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3BE" w:rsidRPr="0052589A" w:rsidRDefault="00E07D56" w:rsidP="003D43BE">
      <w:pPr>
        <w:spacing w:before="60" w:line="480" w:lineRule="auto"/>
        <w:ind w:left="4034" w:right="3314" w:firstLine="1"/>
        <w:jc w:val="center"/>
        <w:rPr>
          <w:b/>
          <w:sz w:val="24"/>
          <w:szCs w:val="24"/>
        </w:rPr>
      </w:pPr>
      <w:r>
        <w:rPr>
          <w:b/>
          <w:noProof/>
          <w:sz w:val="24"/>
          <w:szCs w:val="24"/>
        </w:rPr>
        <w:pict>
          <v:rect id="Rectangle 13" o:spid="_x0000_s1026" style="position:absolute;left:0;text-align:left;margin-left:427.15pt;margin-top:-53.95pt;width:52.35pt;height:49.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" strokecolor="white" strokeweight="2pt"/>
        </w:pict>
      </w:r>
      <w:r w:rsidR="003D43BE" w:rsidRPr="0052589A">
        <w:rPr>
          <w:b/>
          <w:sz w:val="24"/>
          <w:szCs w:val="24"/>
        </w:rPr>
        <w:t xml:space="preserve">BABI </w:t>
      </w:r>
      <w:r w:rsidR="003D43BE" w:rsidRPr="0052589A">
        <w:rPr>
          <w:b/>
          <w:spacing w:val="-2"/>
          <w:sz w:val="24"/>
          <w:szCs w:val="24"/>
        </w:rPr>
        <w:t>PENDAHULUAN</w:t>
      </w:r>
    </w:p>
    <w:p w:rsidR="003D43BE" w:rsidRPr="0052589A" w:rsidRDefault="003D43BE" w:rsidP="003D43BE">
      <w:pPr>
        <w:pStyle w:val="BodyText"/>
        <w:spacing w:before="5"/>
        <w:rPr>
          <w:b/>
        </w:rPr>
      </w:pPr>
    </w:p>
    <w:p w:rsidR="003D43BE" w:rsidRPr="0052589A" w:rsidRDefault="003D43BE" w:rsidP="003D43BE">
      <w:pPr>
        <w:pStyle w:val="Heading1"/>
        <w:numPr>
          <w:ilvl w:val="0"/>
          <w:numId w:val="5"/>
        </w:numPr>
        <w:ind w:left="720" w:hanging="720"/>
      </w:pPr>
      <w:r w:rsidRPr="0052589A">
        <w:t>Latar</w:t>
      </w:r>
      <w:r w:rsidRPr="0052589A">
        <w:rPr>
          <w:spacing w:val="-2"/>
        </w:rPr>
        <w:t>Belakang</w:t>
      </w:r>
    </w:p>
    <w:p w:rsidR="003D43BE" w:rsidRPr="0052589A" w:rsidRDefault="003D43BE" w:rsidP="003D43BE">
      <w:pPr>
        <w:pStyle w:val="Heading1"/>
        <w:ind w:left="720" w:firstLine="0"/>
      </w:pPr>
    </w:p>
    <w:p w:rsidR="003D43BE" w:rsidRPr="0052589A" w:rsidRDefault="003D43BE" w:rsidP="003D43BE">
      <w:pPr>
        <w:pStyle w:val="BodyText"/>
        <w:spacing w:line="480" w:lineRule="auto"/>
        <w:ind w:right="38" w:firstLine="708"/>
        <w:jc w:val="both"/>
      </w:pPr>
      <w:r w:rsidRPr="0052589A">
        <w:t>Kepolisian Negara Republik Indonesia (POLRI)adalah lembaga eksekutif dalam hal keamanan negara di seluruh wilayah negara Indonesia. POLRI memiliki peran untuk mewujudkan keamanan dalam negeri Indonesia yang meliputi terpeliharanya keamanan dan ketertiban masyarakat, tertib dan tegaknya hukum, terselenggaranya perlindungan, pengayoman dan pelayanan masyarakat, serta terbinanya ketentraman masyarakat dengan menjunjung tinggi hak asasi manusia. Demikian pada prinsipnya pengaturan ketentuan Pasal 2, Pasal 4, dan Pasal 13 Undang-Undang Nomor 2 Tahun 2002 tentang Kepolisian Negara Republik Indonesia.</w:t>
      </w:r>
    </w:p>
    <w:p w:rsidR="003D43BE" w:rsidRPr="0052589A" w:rsidRDefault="003D43BE" w:rsidP="003D43BE">
      <w:pPr>
        <w:pStyle w:val="BodyText"/>
        <w:spacing w:line="480" w:lineRule="auto"/>
        <w:ind w:right="38" w:firstLine="708"/>
        <w:jc w:val="both"/>
      </w:pPr>
      <w:r w:rsidRPr="0052589A">
        <w:t>Tantangan tugas-tugas Kepolisian saat ini semakin berat dengan adanya arus globalisasi, demokratisasi, pasar bebas, perkembangan teknologi, dan tuntutan hak azasi manusia. Kondisi ini di satu sisi telah memberikan sumbangan positif bagi kehidupan, namun pada sisi lain juga berpengaruh pada bidang ideologi, politik, ekonomi, sosial budaya dan keamanan termasuk meningkatnya kualitas dan kuantitas ancaman terhadap gangguan Kamtibmas dengan berbagai modus operandinya, sehingga dapat berpengaruh terhadap penyelenggaraan negara. Polri sebagai institusi yang bertanggung-jawab atas keamanan dalam negeri perlu mempersiapkan personelnya untuk mampu mengantisipasi perkembangan yang sangat dinamis.</w:t>
      </w:r>
      <w:r w:rsidRPr="0052589A">
        <w:rPr>
          <w:rStyle w:val="FootnoteReference"/>
        </w:rPr>
        <w:footnoteReference w:id="2"/>
      </w:r>
    </w:p>
    <w:p w:rsidR="003D43BE" w:rsidRPr="0052589A" w:rsidRDefault="00E07D56" w:rsidP="003D43BE">
      <w:pPr>
        <w:pStyle w:val="BodyText"/>
        <w:spacing w:line="480" w:lineRule="auto"/>
        <w:ind w:right="38" w:firstLine="708"/>
        <w:jc w:val="both"/>
      </w:pPr>
      <w:r w:rsidRPr="00E07D56">
        <w:rPr>
          <w:b/>
          <w:noProof/>
        </w:rPr>
        <w:pict>
          <v:rect id="Rectangle 12" o:spid="_x0000_s1027" style="position:absolute;left:0;text-align:left;margin-left:205.7pt;margin-top:159.4pt;width:52.35pt;height:49.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" strokecolor="white" strokeweight="2pt">
            <v:textbox>
              <w:txbxContent>
                <w:p w:rsidR="003D43BE" w:rsidRPr="00AB0859" w:rsidRDefault="003D43BE" w:rsidP="003D43BE">
                  <w:pPr>
                    <w:jc w:val="center"/>
                    <w:rPr>
                      <w:color w:val="000000"/>
                    </w:rPr>
                  </w:pPr>
                  <w:r w:rsidRPr="00AB0859">
                    <w:rPr>
                      <w:color w:val="000000"/>
                    </w:rPr>
                    <w:t>1</w:t>
                  </w:r>
                </w:p>
              </w:txbxContent>
            </v:textbox>
          </v:rect>
        </w:pict>
      </w:r>
      <w:r w:rsidR="003D43BE" w:rsidRPr="0052589A">
        <w:t xml:space="preserve">Sejak didirikan, Polri telah menjalankan tugasnya berdasarkan pada prinsip-prinsip yang mengedepankan integritas, keadilan, dan profesionalisme. Di dalam rangka mencapai tujuan tersebut, kode etik profesi yang diatur dalam Peraturan Kapolri Nomor 7 Tahun 2022 tentang </w:t>
      </w:r>
      <w:r w:rsidR="003D43BE" w:rsidRPr="0052589A">
        <w:lastRenderedPageBreak/>
        <w:t>Kode Etik Profesi dan Komisi Kode Etik Kepolisian Negara Republik Indonesia menjadi landasan yang sangat penting untuk memastikan bahwa anggota Polri selalu bertindak sesuai dengan standar etika dan profesionalisme yang tinggi. Kode etik ini mengatur perilaku yang diharapkan dari setiap anggota Polri dalam menjalankan tugas mereka, termasuk penggunaan kekuatan yang sah, perlakuan terhadap warga negara, dan pelaksanaan tugas sesuai dengan peraturan perundang-undangan yang berlaku.</w:t>
      </w:r>
    </w:p>
    <w:p w:rsidR="003D43BE" w:rsidRPr="0052589A" w:rsidRDefault="003D43BE" w:rsidP="003D43BE">
      <w:pPr>
        <w:pStyle w:val="BodyText"/>
        <w:spacing w:line="480" w:lineRule="auto"/>
        <w:ind w:right="38" w:firstLine="708"/>
        <w:jc w:val="both"/>
      </w:pPr>
      <w:r w:rsidRPr="0052589A">
        <w:t>Perilaku anggota Polri yang melakukan pelanggaran dapat mempengaruhi kinerjanya sebagai anggota Polri sebagaimana Teori efektifitas hukum yang dikemukakan Soerjono Soekanto, relevan dengan teori yang dikemukakan oleh Romli Atmasasmita yaitu bahwa faktor-faktor yang menghambat efektifitas penegakan hukum tidak hanya terletak pada sikap mental aparatur penegak hukum (hakim, jaksa, polisi dan penegakan hukum) akan tetapi juga terletak pada faktor sosialisasi hukum yang sering diabaikan.</w:t>
      </w:r>
      <w:r w:rsidRPr="0052589A">
        <w:rPr>
          <w:rStyle w:val="FootnoteReference"/>
        </w:rPr>
        <w:footnoteReference w:id="3"/>
      </w:r>
    </w:p>
    <w:p w:rsidR="003D43BE" w:rsidRDefault="003D43BE" w:rsidP="003D43BE">
      <w:pPr>
        <w:pStyle w:val="BodyText"/>
        <w:spacing w:line="480" w:lineRule="auto"/>
        <w:ind w:right="38" w:firstLine="708"/>
        <w:jc w:val="both"/>
      </w:pPr>
      <w:r w:rsidRPr="0052589A">
        <w:t xml:space="preserve">Perubahan sikap dan perilaku </w:t>
      </w:r>
      <w:r w:rsidRPr="0052589A">
        <w:rPr>
          <w:i/>
        </w:rPr>
        <w:t>(mind set and culture set)</w:t>
      </w:r>
      <w:r w:rsidRPr="0052589A">
        <w:t xml:space="preserve"> bagi personel Polri merupakan jawaban Polri terhadap tuntutan implementasi kepolisian yang demokratis (democratic policing), transparan, akuntabel, menjunjung tinggi supremasi hukum dan hak-hak asasi manusia. Kita sebagai Polri yang selalu menuntut untuk senantiasa meningkatkan pengetahuan dan keterampilan dalam melaksanakan tugas pokok Polri sesuai pasal 13 Undang-Undang Nomor 2 Tahun 2002 tentang Kepolisian Negara Republik Indonesia secara profesional, bermoral, dan modern.</w:t>
      </w:r>
    </w:p>
    <w:p w:rsidR="003D43BE" w:rsidRDefault="003D43BE" w:rsidP="003D43BE">
      <w:pPr>
        <w:pStyle w:val="BodyText"/>
        <w:spacing w:line="480" w:lineRule="auto"/>
        <w:ind w:right="38" w:firstLine="708"/>
        <w:jc w:val="both"/>
      </w:pPr>
      <w:r w:rsidRPr="00BD5011">
        <w:t xml:space="preserve">Profesionalisme dan integritas aparat kepolisian merupakan aspek fundamental dalam menjaga kepercayaan masyarakat terhadap institusi Polri sebagai penegak hukum dan pelindung keamanan negara. Satuan Brigade Mobil (Brimob) sebagai salah satu unit elit dalam struktur </w:t>
      </w:r>
      <w:r w:rsidRPr="00BD5011">
        <w:lastRenderedPageBreak/>
        <w:t>Kepolisian Negara Republik Indonesia, memiliki peran strategis dalam penanganan berbagai kasus tindak pidana yang kompleks dan berisiko tinggi. Namun, dalam pelaksanaan tugasnya, tidak sedikit personel Brimob yang terlibat dalam pelanggaran kode etik profesi, bahkan beberapa di antaranya melakukan tindak pidana yang mencederai nama baik institusi dan merusak citra kepolisian di mata publik.</w:t>
      </w:r>
    </w:p>
    <w:p w:rsidR="003D43BE" w:rsidRDefault="003D43BE" w:rsidP="003D43BE">
      <w:pPr>
        <w:pStyle w:val="BodyText"/>
        <w:spacing w:line="480" w:lineRule="auto"/>
        <w:ind w:right="38" w:firstLine="708"/>
        <w:jc w:val="both"/>
      </w:pPr>
      <w:r w:rsidRPr="00BD5011">
        <w:t>Pelanggaran kode etik profesi yang dilakukan oleh anggota Polri, khususnya personel Brimob Polda Sumatera Utara, menimbulkan persoalan serius yang memerlukan analisis mendalam secara yuridis. Hal ini penting untuk memahami bagaimana mekanisme pertanggungjawaban hukum diterapkan, sejauh mana efektivitas penegakan kode etik, serta implikasi hukumnya dalam konteks penanganan tindak pidana. Selain itu, permasalahan tersebut juga berkaitan dengan perlindungan hak-hak masyarakat sebagai korban dan menjaga supremasi hukum dalam sistem penegakan hukum nasional.</w:t>
      </w:r>
    </w:p>
    <w:p w:rsidR="003D43BE" w:rsidRPr="0052589A" w:rsidRDefault="003D43BE" w:rsidP="003D43BE">
      <w:pPr>
        <w:pStyle w:val="BodyText"/>
        <w:spacing w:line="480" w:lineRule="auto"/>
        <w:ind w:right="38" w:firstLine="708"/>
        <w:jc w:val="both"/>
      </w:pPr>
      <w:r w:rsidRPr="00BD5011">
        <w:t>Berbagai kasus pelanggaran dan tindak pidana yang melibatkan personel Brimob di wilayah Sumatera Utara telah menjadi sorotan publik dan media massa, sehingga memerlukan kajian yang sistematis untuk menemukan akar permasalahan serta solusi yang tepat. Oleh karena itu, penelitian ini bertujuan untuk melakukan analisis yuridis terhadap pelanggaran kode etik profesi yang dilakukan oleh personel Satuan Brimob Polda Sumatera Utara yang terlibat dalam kasus tindak pidana, serta mengevaluasi mekanisme penegakan hukum dan sanksi yang diberikan guna memperkuat akuntabilitas dan profesionalisme Polri.</w:t>
      </w:r>
    </w:p>
    <w:p w:rsidR="003D43BE" w:rsidRPr="0052589A" w:rsidRDefault="003D43BE" w:rsidP="003D43BE">
      <w:pPr>
        <w:pStyle w:val="BodyText"/>
        <w:spacing w:line="480" w:lineRule="auto"/>
        <w:ind w:right="38" w:firstLine="708"/>
        <w:jc w:val="both"/>
      </w:pPr>
      <w:r w:rsidRPr="0052589A">
        <w:t xml:space="preserve">Setiap organisasi harus mempunyai pola penegakan disiplin bagi setiap pegawai yaitu dengan menciptakan peraturan-peraturan dan tata tertib yang harus dilaksanakan oleh pegawai, menciptakan dan memberi sanksi-sanksi bagi pelanggar disiplin melalui pelatihan-pelatihan kedisiplinan yang terus menerus, pembinaan melalui pelatihan ini dapat berupa pelatihan fisik </w:t>
      </w:r>
      <w:r w:rsidRPr="0052589A">
        <w:lastRenderedPageBreak/>
        <w:t>dengan memberikan pelatihan kepada Polri dan pelatihan mental-spritual yakni dengan cara ceramah agama dan psikologi.</w:t>
      </w:r>
      <w:r w:rsidRPr="0052589A">
        <w:rPr>
          <w:rStyle w:val="FootnoteReference"/>
        </w:rPr>
        <w:footnoteReference w:id="4"/>
      </w:r>
    </w:p>
    <w:p w:rsidR="003D43BE" w:rsidRPr="0052589A" w:rsidRDefault="003D43BE" w:rsidP="003D43BE">
      <w:pPr>
        <w:pStyle w:val="BodyText"/>
        <w:spacing w:line="480" w:lineRule="auto"/>
        <w:ind w:right="38" w:firstLine="708"/>
        <w:jc w:val="both"/>
      </w:pPr>
      <w:r w:rsidRPr="0052589A">
        <w:t>Polri memiliki peran utama dalam menjaga stabilitas keamanan dan ketertiban masyarakat. Sebagai lembaga penegak hukum, Polri berperan dalam memastikan proses penegakan hukum yang adil dan profesional. Oleh karena itu, penting bagi setiap anggota Polri untuk mematuhi standar yang ditetapkan dalam menjalankan tugasnya, salah satunya adalah Kode Etik Profesi Polri. Kode etik ini mengatur perilaku setiap anggota Polri dalam menjalankan tugas-tugas mereka agar tetap sesuai dengan prinsip-prinsip hukum dan moralitas yang tinggi. Hal ini terutama penting bagi satuan-satuan yang memiliki tanggung jawab dalam operasi-operasi khusus seperti Brimob Polri.</w:t>
      </w:r>
    </w:p>
    <w:p w:rsidR="003D43BE" w:rsidRPr="0052589A" w:rsidRDefault="003D43BE" w:rsidP="003D43BE">
      <w:pPr>
        <w:pStyle w:val="BodyText"/>
        <w:spacing w:line="480" w:lineRule="auto"/>
        <w:ind w:right="38" w:firstLine="708"/>
        <w:jc w:val="both"/>
      </w:pPr>
      <w:r w:rsidRPr="0052589A">
        <w:t xml:space="preserve">Kode Etik Profesi Polri berfungsi untuk mengatur standar perilaku yang harus diikuti oleh setiap anggota Polri, termasuk dalam penanganan kasus tindak pidana. Dalam konteks Brimob, yang sering terlibat dalam operasi-operasi yang bersifat khusus dan berisiko tinggi, penerapan kode etik menjadi sangat penting, karena seringkali situasi yang dihadapi melibatkan penggunaan kekuatan dalam jumlah besar atau dalam situasi yang sangat memerlukan keputusan cepat. </w:t>
      </w:r>
    </w:p>
    <w:p w:rsidR="003D43BE" w:rsidRDefault="003D43BE" w:rsidP="003D43BE">
      <w:pPr>
        <w:pStyle w:val="BodyText"/>
        <w:spacing w:line="480" w:lineRule="auto"/>
        <w:ind w:right="38" w:firstLine="708"/>
        <w:jc w:val="both"/>
      </w:pPr>
      <w:r w:rsidRPr="0052589A">
        <w:t xml:space="preserve">Kode etik ini juga memberikan batasan-batasan yang ketat terhadap penggunaan kekerasan. Penggunaan kekuatan yang tidak terkontrol atau berlebihan, meskipun dalam rangka menjalankan tugas, dapat melanggar hak asasi manusia dan berisiko menyebabkan kerusakan fisik atau mental terhadap tersangka atau masyarakat. </w:t>
      </w:r>
    </w:p>
    <w:p w:rsidR="003D43BE" w:rsidRPr="0052589A" w:rsidRDefault="003D43BE" w:rsidP="003D43BE">
      <w:pPr>
        <w:pStyle w:val="BodyText"/>
        <w:spacing w:line="480" w:lineRule="auto"/>
        <w:ind w:right="38" w:firstLine="708"/>
        <w:jc w:val="both"/>
      </w:pPr>
      <w:r w:rsidRPr="0052589A">
        <w:t xml:space="preserve">Menurut Peraturan Nomor 7 Tahun 2022, beberapa pokok yang diatur dalam kode etik profesi Polri antara lain: </w:t>
      </w:r>
    </w:p>
    <w:p w:rsidR="003D43BE" w:rsidRPr="0052589A" w:rsidRDefault="003D43BE" w:rsidP="003D43BE">
      <w:pPr>
        <w:pStyle w:val="BodyText"/>
        <w:numPr>
          <w:ilvl w:val="0"/>
          <w:numId w:val="6"/>
        </w:numPr>
        <w:spacing w:line="480" w:lineRule="auto"/>
        <w:ind w:right="38"/>
        <w:jc w:val="both"/>
      </w:pPr>
      <w:r w:rsidRPr="0052589A">
        <w:t xml:space="preserve">Tanggung jawab moral dan profesional: Setiap anggota Polri harus menjaga moralitas </w:t>
      </w:r>
      <w:r w:rsidRPr="0052589A">
        <w:lastRenderedPageBreak/>
        <w:t xml:space="preserve">dan profesionalisme dalam bertindak, serta tidak boleh menggunakan kekerasan yang berlebihan atau penyalahgunaan wewenang. </w:t>
      </w:r>
    </w:p>
    <w:p w:rsidR="003D43BE" w:rsidRPr="0052589A" w:rsidRDefault="003D43BE" w:rsidP="003D43BE">
      <w:pPr>
        <w:pStyle w:val="BodyText"/>
        <w:numPr>
          <w:ilvl w:val="0"/>
          <w:numId w:val="6"/>
        </w:numPr>
        <w:spacing w:line="480" w:lineRule="auto"/>
        <w:ind w:right="38"/>
        <w:jc w:val="both"/>
      </w:pPr>
      <w:r w:rsidRPr="0052589A">
        <w:t xml:space="preserve">Prosedur dalam pengawasan: Pengawasan terhadap pelaksanaan tugas kepolisian dilakukan oleh berbagai lembaga internal, seperti Propam Polri dan Komisi Kode Etik Profesi Polri (KKEP), yang bertugas untuk menilai apakah seorang anggota Polri telah melakukan pelanggaran kode etik atau tidak. </w:t>
      </w:r>
    </w:p>
    <w:p w:rsidR="003D43BE" w:rsidRPr="0052589A" w:rsidRDefault="003D43BE" w:rsidP="003D43BE">
      <w:pPr>
        <w:pStyle w:val="BodyText"/>
        <w:numPr>
          <w:ilvl w:val="0"/>
          <w:numId w:val="6"/>
        </w:numPr>
        <w:spacing w:line="480" w:lineRule="auto"/>
        <w:ind w:right="38"/>
        <w:jc w:val="both"/>
      </w:pPr>
      <w:r w:rsidRPr="0052589A">
        <w:t>Sanksi bagi pelanggar: Bagi anggota Polri yang terbukti melakukan pelanggaran, sanksi administratif, seperti penurunan pangkat atau pemberhentian, dapat dikenakan. Jika pelanggaran tersebut mengarah pada tindakan pidana, maka anggota Polri juga dapat diproses secara hukum berdasarkan Kitab Undang-Undang Hukum Pidana (KUHP) dan peraturan lainnya.</w:t>
      </w:r>
    </w:p>
    <w:p w:rsidR="003D43BE" w:rsidRPr="0052589A" w:rsidRDefault="003D43BE" w:rsidP="003D43BE">
      <w:pPr>
        <w:pStyle w:val="BodyText"/>
        <w:spacing w:line="480" w:lineRule="auto"/>
        <w:ind w:right="38" w:firstLine="708"/>
        <w:jc w:val="both"/>
      </w:pPr>
      <w:r w:rsidRPr="0052589A">
        <w:t>Sebagai satuan yang menangani kasus-kasus berat dan berisiko tinggi, Brimob Polri sering kali dihadapkan pada situasi yang memerlukan penggunaan kekuatan atau taktik yang lebih intensif. Namun, tidak jarang dalam pelaksanaan tugas, terdapat anggota Polri, termasuk dari Brimob, yang melakukan pelanggaran kode etik, baik berupa penggunaan kekuatan yang berlebihan, diskriminasi, hingga pelanggaran terhadap hak asasi manusia. Sebagai contoh, dalam beberapa kasus penanganan kerusuhan massa atau tindak pidana terorisme, penyalahgunaan kewenangan dalam penggunaan kekerasan fisik sering terjadi, yang pada akhirnya melanggar prinsip-prinsip kode etik.</w:t>
      </w:r>
    </w:p>
    <w:p w:rsidR="003D43BE" w:rsidRPr="0052589A" w:rsidRDefault="003D43BE" w:rsidP="003D43BE">
      <w:pPr>
        <w:pStyle w:val="BodyText"/>
        <w:spacing w:line="480" w:lineRule="auto"/>
        <w:ind w:right="38" w:firstLine="708"/>
        <w:jc w:val="both"/>
      </w:pPr>
      <w:r w:rsidRPr="0052589A">
        <w:t xml:space="preserve">Menurut Benny K. Harmadi, pelanggaran terhadap kode etik profesi sering kali terjadi karena tekanan situasi yang sangat tinggi, terutama ketika personel Brimob menghadapi ancaman fisik yang besar dalam situasi darurat. Hal ini kadang menyebabkan mereka bertindak di luar batas prosedur yang sah menurut hukum. Pelanggaran tersebut dapat mencakup </w:t>
      </w:r>
      <w:r w:rsidRPr="0052589A">
        <w:lastRenderedPageBreak/>
        <w:t>kekerasan yang tidak sah, seperti penyiksaan terhadap tersangka atau penggunaan kekerasan berlebihan dalam upaya penangkapan.</w:t>
      </w:r>
      <w:r w:rsidRPr="0052589A">
        <w:rPr>
          <w:rStyle w:val="FootnoteReference"/>
        </w:rPr>
        <w:footnoteReference w:id="5"/>
      </w:r>
      <w:r w:rsidRPr="0052589A">
        <w:t xml:space="preserve"> Menurut Budi Santosa, pelanggaran seperti ini berisiko merusak citra Polri di mata publik dan menurunkan kepercayaan masyarakat terhadap institusi penegak hukum.</w:t>
      </w:r>
      <w:r w:rsidRPr="0052589A">
        <w:rPr>
          <w:rStyle w:val="FootnoteReference"/>
        </w:rPr>
        <w:footnoteReference w:id="6"/>
      </w:r>
    </w:p>
    <w:p w:rsidR="003D43BE" w:rsidRPr="0052589A" w:rsidRDefault="003D43BE" w:rsidP="003D43BE">
      <w:pPr>
        <w:pStyle w:val="BodyText"/>
        <w:spacing w:line="480" w:lineRule="auto"/>
        <w:ind w:right="38" w:firstLine="708"/>
        <w:jc w:val="both"/>
      </w:pPr>
      <w:r w:rsidRPr="0052589A">
        <w:t>Pelanggaran Kode Etik Profesi Polri adalah setiap perbuatan yang dilakukan oleh anggota Polri yang bertentangan dengan Kode Etik Profesi Polri. Terperiksa adalah anggota Polri yang diduga melakukan pelanggaran Kode Etik Profesi Polri dan atau pelanggaran Pasal 12, Pasal 13 dan Pasal 14 Peraturan Pemerintah Nomor 1 Tahun 2003 tentang Pemberhentian Anggota Polri dan atau Pasal 13 Peraturan Pemerintah Nomor 2 Tahun 2003 tentang Peraturan Disiplin Anggota Polri.</w:t>
      </w:r>
    </w:p>
    <w:p w:rsidR="003D43BE" w:rsidRPr="0052589A" w:rsidRDefault="003D43BE" w:rsidP="003D43BE">
      <w:pPr>
        <w:pStyle w:val="BodyText"/>
        <w:spacing w:line="480" w:lineRule="auto"/>
        <w:ind w:right="38" w:firstLine="708"/>
        <w:jc w:val="both"/>
      </w:pPr>
      <w:r w:rsidRPr="0052589A">
        <w:t>Berdasarkan data dalam sidang Komisi Kode Etik Polri (KKEP) yang digelar pada Januari 2025, dua anggota Polri, HJS dan LH, dinyatakan terbukti melanggar kode etik profesi dalam kasus yang terjadi pada acara DWP 2024. Keduanya terbukti meminta imbalan dalam proses pembebasan pelaku penyalahgunaan narkoba dan melanggar prosedur rehabilitasi melalui Tim Asesmen Terpadu (TAT).s Sanksi yang dijatuhkan meliputi pernyataan perbuatan tercela, kewajiban meminta maaf, pembinaan rohani, penempatan di tempat khusus, dan mutasi demosi.</w:t>
      </w:r>
      <w:r w:rsidRPr="0052589A">
        <w:rPr>
          <w:rStyle w:val="FootnoteReference"/>
        </w:rPr>
        <w:footnoteReference w:id="7"/>
      </w:r>
    </w:p>
    <w:p w:rsidR="003D43BE" w:rsidRPr="0052589A" w:rsidRDefault="003D43BE" w:rsidP="003D43BE">
      <w:pPr>
        <w:pStyle w:val="BodyText"/>
        <w:spacing w:line="480" w:lineRule="auto"/>
        <w:ind w:right="38" w:firstLine="708"/>
        <w:jc w:val="both"/>
      </w:pPr>
      <w:r w:rsidRPr="0052589A">
        <w:t xml:space="preserve">Sidang Kode Etik Profesi Polri merupakan salah satu tugas Provos guna mempersiapkan berkas dan mengajukan ke Ankum bagi anggota Polri yang melanggar etika kepribadian, etika kenegaraan dan etika dalam hubungan dengan masyarakat. Kode Etik Polri yang selanjutnya disebut Komisi suatu wadah yang dibentuk di lingkungan Polri bertugas memeriksa dan menyidangkan pelanggaran Kode Etik Profesi Polri serta pelanggaran Pasal 12, Pasal 13 dan </w:t>
      </w:r>
      <w:r w:rsidRPr="0052589A">
        <w:lastRenderedPageBreak/>
        <w:t>Pasal 14 Peraturan Pemerintah Nomor 1 Tahun 2003 tentang Pemberhentian Anggota Polri dan Pasal 13 Peraturan Pemerintah Nomor 2 Tahun 2003 tentang Peraturan Disiplin Anggota Polri.</w:t>
      </w:r>
    </w:p>
    <w:p w:rsidR="003D43BE" w:rsidRPr="0052589A" w:rsidRDefault="003D43BE" w:rsidP="003D43BE">
      <w:pPr>
        <w:pStyle w:val="BodyText"/>
        <w:spacing w:line="480" w:lineRule="auto"/>
        <w:ind w:right="38" w:firstLine="708"/>
        <w:jc w:val="both"/>
      </w:pPr>
      <w:r w:rsidRPr="0052589A">
        <w:t>Dalam konteks penanganan tindak pidana oleh personel Brimob, penting untuk memperhatikan bagaimana kode etik ini diterapkan dalam situasi yang penuh risiko dan berpotensi menimbulkan kekerasan, seperti dalam penanganan kerusuhan, terorisme, atau pengamanan objek vital negara. Setiap pelanggaran yang dilakukan, misalnya tindakan kekerasan yang berlebihan atau tidak sah, dapat merusak citra Polri dan mengganggu proses peradilan yang adil.</w:t>
      </w:r>
    </w:p>
    <w:p w:rsidR="003D43BE" w:rsidRPr="0052589A" w:rsidRDefault="003D43BE" w:rsidP="003D43BE">
      <w:pPr>
        <w:pStyle w:val="BodyText"/>
        <w:spacing w:line="480" w:lineRule="auto"/>
        <w:ind w:right="38" w:firstLine="708"/>
        <w:jc w:val="both"/>
      </w:pPr>
      <w:r w:rsidRPr="0052589A">
        <w:t xml:space="preserve">Proses pengawasan terhadap pelaksanaan tugas Polri, termasuk Brimob, dilakukan oleh berbagai lembaga. Salah satunya adalah Komisi Kode Etik Profesi Polri (KKEP), yang dibentuk untuk mengawasi dan menindak anggota Polri yang melakukan pelanggaran kode etik. Selain itu, Propam Polri juga berperan dalam pengawasan dan penindakan terhadap pelanggaran yang dilakukan oleh anggota Polri. Lembaga ini bertugas untuk memeriksa dan menyelidiki kasus pelanggaran, serta memberikan rekomendasi sanksi bagi anggota Polri yang melanggar. </w:t>
      </w:r>
    </w:p>
    <w:p w:rsidR="003D43BE" w:rsidRPr="0052589A" w:rsidRDefault="003D43BE" w:rsidP="003D43BE">
      <w:pPr>
        <w:pStyle w:val="BodyText"/>
        <w:spacing w:line="480" w:lineRule="auto"/>
        <w:ind w:right="38" w:firstLine="708"/>
        <w:jc w:val="both"/>
      </w:pPr>
      <w:r w:rsidRPr="0052589A">
        <w:t>M. Djamil S. Pasaribu, pengawasan internal di Polri melalui Propam dan KKEP sangat penting untuk menjaga disiplin dan profesionalisme. Dalam hal ini, KKEP bertanggung jawab untuk menindak pelanggaran yang dilakukan oleh personel Brimob yang terlibat dalam penanganan kasus tindak pidana. Mekanisme pengawasan ini melibatkan serangkaian prosedur yang jelas, termasuk laporan pelanggaran, pemeriksaan saksi, hingga penjatuhan sanksi. Sanksi yang diterapkan dapat berupa peringatan, penurunan pangkat, bahkan pemberhentian apabila pelanggaran tersebut terbukti berat.</w:t>
      </w:r>
      <w:r w:rsidRPr="0052589A">
        <w:rPr>
          <w:rStyle w:val="FootnoteReference"/>
        </w:rPr>
        <w:footnoteReference w:id="8"/>
      </w:r>
    </w:p>
    <w:p w:rsidR="003D43BE" w:rsidRPr="0052589A" w:rsidRDefault="003D43BE" w:rsidP="003D43BE">
      <w:pPr>
        <w:pStyle w:val="BodyText"/>
        <w:spacing w:line="480" w:lineRule="auto"/>
        <w:ind w:right="38" w:firstLine="708"/>
        <w:jc w:val="both"/>
      </w:pPr>
      <w:r w:rsidRPr="0052589A">
        <w:t xml:space="preserve">Penting untuk dicatat bahwa meskipun mekanisme pengawasan sudah ada, tantangan </w:t>
      </w:r>
      <w:r w:rsidRPr="0052589A">
        <w:lastRenderedPageBreak/>
        <w:t>yang dihadapi dalam penegakan kode etik sering kali terkait dengan transparansi dan akuntabilitas. Sebagai contoh, dalam kasus-kasus yang melibatkan pelanggaran hak asasi manusia, proses penegakan hukum dapat terhambat oleh kurangnya bukti atau pengaruh dari pihak-pihak yang terlibat.</w:t>
      </w:r>
    </w:p>
    <w:p w:rsidR="003D43BE" w:rsidRPr="0052589A" w:rsidRDefault="003D43BE" w:rsidP="003D43BE">
      <w:pPr>
        <w:pStyle w:val="BodyText"/>
        <w:spacing w:line="480" w:lineRule="auto"/>
        <w:ind w:right="38" w:firstLine="708"/>
        <w:jc w:val="both"/>
      </w:pPr>
      <w:r w:rsidRPr="0052589A">
        <w:t xml:space="preserve">Setiap pelanggaran terhadap kode etik profesi yang dilakukan oleh personel Brimob Polri dapat dikenakan sanksi administratif, berupa penurunan pangkat atau pemecatan. Selain itu, apabila pelanggaran tersebut melibatkan tindak pidana, seperti penyiksaan atau penyalahgunaan wewenang, maka anggota Polri yang bersangkutan dapat dikenakan sanksi pidana sesuai dengan Kitab Undang-Undang Hukum Pidana (KUHP). </w:t>
      </w:r>
    </w:p>
    <w:p w:rsidR="003D43BE" w:rsidRPr="0052589A" w:rsidRDefault="003D43BE" w:rsidP="003D43BE">
      <w:pPr>
        <w:pStyle w:val="BodyText"/>
        <w:spacing w:line="480" w:lineRule="auto"/>
        <w:ind w:right="38" w:firstLine="708"/>
        <w:jc w:val="both"/>
      </w:pPr>
      <w:r w:rsidRPr="0052589A">
        <w:t xml:space="preserve">Pelanggaran kode etik yang dilakukan oleh personel </w:t>
      </w:r>
      <w:r>
        <w:t xml:space="preserve">Satuan </w:t>
      </w:r>
      <w:r w:rsidRPr="0052589A">
        <w:t>Brimob tidak hanya berdampak pada individu yang bersangkutan, tetapi juga pada reputasi Polri sebagai lembaga penegak hukum. Pelanggaran ini dapat merusak kepercayaan masyarakat terhadap integritas dan profesionalisme Polri, yang pada akhirnya dapat mempengaruhi efektivitas penegakan hukum di Indonesia. Oleh karena itu, penting untuk terus mengawasi dan memperbaiki mekanisme pengawasan serta penegakan disiplin bagi setiap anggota Polri, termasuk Brimob.</w:t>
      </w:r>
    </w:p>
    <w:p w:rsidR="003D43BE" w:rsidRPr="0052589A" w:rsidRDefault="003D43BE" w:rsidP="003D43BE">
      <w:pPr>
        <w:pStyle w:val="BodyText"/>
        <w:spacing w:line="480" w:lineRule="auto"/>
        <w:ind w:right="38" w:firstLine="708"/>
        <w:jc w:val="both"/>
        <w:rPr>
          <w:b/>
          <w:spacing w:val="-2"/>
        </w:rPr>
      </w:pPr>
      <w:r w:rsidRPr="0052589A">
        <w:t>Berdasarkan uraian pada latar belakang diatas, maka Penulis ingin mencoba menganalisa secara ilmiah untuk kemudian selanjutnya dituangkan dalamskripsi.Dariapayangtelahteruraidiatas,Penulistertarik</w:t>
      </w:r>
      <w:r w:rsidRPr="0052589A">
        <w:rPr>
          <w:spacing w:val="-2"/>
        </w:rPr>
        <w:t>untuk m</w:t>
      </w:r>
      <w:r w:rsidRPr="0052589A">
        <w:t xml:space="preserve">engadakan penelitian dengan judul: </w:t>
      </w:r>
      <w:r w:rsidRPr="0052589A">
        <w:rPr>
          <w:b/>
        </w:rPr>
        <w:t>“</w:t>
      </w:r>
      <w:r w:rsidRPr="0030319D">
        <w:rPr>
          <w:b/>
          <w:bCs/>
          <w:spacing w:val="-6"/>
        </w:rPr>
        <w:t>Analisis Yuridis Pelanggaran Kode Etik Profesi Polri Oleh Personel Satuan Brimob Polda Sumatera Utara Yang Melakukan Kasus Tindak Pidana</w:t>
      </w:r>
      <w:r w:rsidRPr="0030319D">
        <w:rPr>
          <w:b/>
          <w:bCs/>
          <w:spacing w:val="-2"/>
        </w:rPr>
        <w:t>’’</w:t>
      </w:r>
      <w:r w:rsidRPr="0052589A">
        <w:rPr>
          <w:b/>
          <w:spacing w:val="-2"/>
        </w:rPr>
        <w:t>.</w:t>
      </w:r>
    </w:p>
    <w:p w:rsidR="003D43BE" w:rsidRPr="0098723E" w:rsidRDefault="003D43BE" w:rsidP="003D43BE">
      <w:pPr>
        <w:pStyle w:val="BodyText"/>
        <w:spacing w:before="1"/>
        <w:rPr>
          <w:b/>
          <w:sz w:val="12"/>
          <w:szCs w:val="12"/>
        </w:rPr>
      </w:pPr>
    </w:p>
    <w:p w:rsidR="003D43BE" w:rsidRPr="0052589A" w:rsidRDefault="003D43BE" w:rsidP="003D43BE">
      <w:pPr>
        <w:pStyle w:val="Heading1"/>
        <w:numPr>
          <w:ilvl w:val="0"/>
          <w:numId w:val="5"/>
        </w:numPr>
        <w:ind w:left="450" w:hanging="428"/>
      </w:pPr>
      <w:r w:rsidRPr="0052589A">
        <w:t>Rumusan</w:t>
      </w:r>
      <w:r w:rsidRPr="0052589A">
        <w:rPr>
          <w:spacing w:val="-2"/>
        </w:rPr>
        <w:t>Masalah</w:t>
      </w:r>
    </w:p>
    <w:p w:rsidR="003D43BE" w:rsidRPr="0052589A" w:rsidRDefault="003D43BE" w:rsidP="003D43BE">
      <w:pPr>
        <w:pStyle w:val="BodyText"/>
        <w:rPr>
          <w:b/>
        </w:rPr>
      </w:pPr>
    </w:p>
    <w:p w:rsidR="003D43BE" w:rsidRPr="0052589A" w:rsidRDefault="003D43BE" w:rsidP="003D43BE">
      <w:pPr>
        <w:pStyle w:val="BodyText"/>
        <w:spacing w:line="480" w:lineRule="auto"/>
        <w:ind w:right="38" w:firstLine="450"/>
        <w:jc w:val="both"/>
      </w:pPr>
      <w:r w:rsidRPr="0052589A">
        <w:t>Berdasarkan pada latar belakang di atas maka permasalahan yang akan dibahas dalam penulisan skripsi ini sebagai berikut :</w:t>
      </w:r>
    </w:p>
    <w:p w:rsidR="003D43BE" w:rsidRPr="0052589A" w:rsidRDefault="003D43BE" w:rsidP="003D43BE">
      <w:pPr>
        <w:pStyle w:val="ListParagraph"/>
        <w:numPr>
          <w:ilvl w:val="1"/>
          <w:numId w:val="5"/>
        </w:numPr>
        <w:spacing w:line="480" w:lineRule="auto"/>
        <w:ind w:left="900" w:right="38"/>
        <w:jc w:val="both"/>
        <w:rPr>
          <w:sz w:val="24"/>
          <w:szCs w:val="24"/>
        </w:rPr>
      </w:pPr>
      <w:r w:rsidRPr="0052589A">
        <w:rPr>
          <w:sz w:val="24"/>
          <w:szCs w:val="24"/>
        </w:rPr>
        <w:lastRenderedPageBreak/>
        <w:t>Bagaimanabentuk pelanggaran kode etik profesi yang dilakukan oleh personel Brimob Pol</w:t>
      </w:r>
      <w:r>
        <w:rPr>
          <w:sz w:val="24"/>
          <w:szCs w:val="24"/>
        </w:rPr>
        <w:t>da</w:t>
      </w:r>
      <w:r>
        <w:rPr>
          <w:sz w:val="24"/>
          <w:szCs w:val="24"/>
          <w:lang w:val="id-ID"/>
        </w:rPr>
        <w:t>Sumatera Utara dalam perkara</w:t>
      </w:r>
      <w:r w:rsidRPr="0052589A">
        <w:rPr>
          <w:sz w:val="24"/>
          <w:szCs w:val="24"/>
        </w:rPr>
        <w:t xml:space="preserve"> kasus tindak pidana ?</w:t>
      </w:r>
    </w:p>
    <w:p w:rsidR="003D43BE" w:rsidRPr="0052589A" w:rsidRDefault="003D43BE" w:rsidP="003D43BE">
      <w:pPr>
        <w:pStyle w:val="ListParagraph"/>
        <w:numPr>
          <w:ilvl w:val="1"/>
          <w:numId w:val="5"/>
        </w:numPr>
        <w:spacing w:line="480" w:lineRule="auto"/>
        <w:ind w:left="900" w:right="38"/>
        <w:jc w:val="both"/>
        <w:rPr>
          <w:sz w:val="24"/>
          <w:szCs w:val="24"/>
        </w:rPr>
      </w:pPr>
      <w:r w:rsidRPr="0052589A">
        <w:rPr>
          <w:sz w:val="24"/>
          <w:szCs w:val="24"/>
        </w:rPr>
        <w:t xml:space="preserve">Bagaimana mekanisme pengawasan dan penegakan kode etik profesi </w:t>
      </w:r>
      <w:r>
        <w:rPr>
          <w:sz w:val="24"/>
          <w:szCs w:val="24"/>
          <w:lang w:val="id-ID"/>
        </w:rPr>
        <w:t xml:space="preserve">polri </w:t>
      </w:r>
      <w:r w:rsidRPr="0052589A">
        <w:rPr>
          <w:sz w:val="24"/>
          <w:szCs w:val="24"/>
        </w:rPr>
        <w:t xml:space="preserve">bagi personel </w:t>
      </w:r>
      <w:r>
        <w:rPr>
          <w:sz w:val="24"/>
          <w:szCs w:val="24"/>
          <w:lang w:val="id-ID"/>
        </w:rPr>
        <w:t xml:space="preserve">Satuan </w:t>
      </w:r>
      <w:r w:rsidRPr="0052589A">
        <w:rPr>
          <w:sz w:val="24"/>
          <w:szCs w:val="24"/>
        </w:rPr>
        <w:t>Brimob Pol</w:t>
      </w:r>
      <w:r>
        <w:rPr>
          <w:sz w:val="24"/>
          <w:szCs w:val="24"/>
        </w:rPr>
        <w:t>da</w:t>
      </w:r>
      <w:r>
        <w:rPr>
          <w:sz w:val="24"/>
          <w:szCs w:val="24"/>
          <w:lang w:val="id-ID"/>
        </w:rPr>
        <w:t xml:space="preserve">Sumatera Utara </w:t>
      </w:r>
      <w:r w:rsidRPr="0052589A">
        <w:rPr>
          <w:sz w:val="24"/>
          <w:szCs w:val="24"/>
        </w:rPr>
        <w:t xml:space="preserve">dalam </w:t>
      </w:r>
      <w:r>
        <w:rPr>
          <w:sz w:val="24"/>
          <w:szCs w:val="24"/>
          <w:lang w:val="id-ID"/>
        </w:rPr>
        <w:t>perkara</w:t>
      </w:r>
      <w:r w:rsidRPr="0052589A">
        <w:rPr>
          <w:sz w:val="24"/>
          <w:szCs w:val="24"/>
        </w:rPr>
        <w:t xml:space="preserve"> kasus tindak pidana?</w:t>
      </w:r>
    </w:p>
    <w:p w:rsidR="003D43BE" w:rsidRPr="0052589A" w:rsidRDefault="003D43BE" w:rsidP="003D43BE">
      <w:pPr>
        <w:pStyle w:val="ListParagraph"/>
        <w:numPr>
          <w:ilvl w:val="1"/>
          <w:numId w:val="5"/>
        </w:numPr>
        <w:spacing w:line="480" w:lineRule="auto"/>
        <w:ind w:left="900" w:right="38"/>
        <w:jc w:val="both"/>
        <w:rPr>
          <w:sz w:val="24"/>
          <w:szCs w:val="24"/>
        </w:rPr>
      </w:pPr>
      <w:r w:rsidRPr="0052589A">
        <w:rPr>
          <w:sz w:val="24"/>
          <w:szCs w:val="24"/>
        </w:rPr>
        <w:t xml:space="preserve">Bagaimana pertanggungjawaban hukum terhadap personel </w:t>
      </w:r>
      <w:r>
        <w:rPr>
          <w:sz w:val="24"/>
          <w:szCs w:val="24"/>
          <w:lang w:val="id-ID"/>
        </w:rPr>
        <w:t xml:space="preserve">Satuan </w:t>
      </w:r>
      <w:r w:rsidRPr="0052589A">
        <w:rPr>
          <w:sz w:val="24"/>
          <w:szCs w:val="24"/>
        </w:rPr>
        <w:t>Brimob Pol</w:t>
      </w:r>
      <w:r>
        <w:rPr>
          <w:sz w:val="24"/>
          <w:szCs w:val="24"/>
        </w:rPr>
        <w:t>da Sumatera Utara</w:t>
      </w:r>
      <w:r w:rsidRPr="0052589A">
        <w:rPr>
          <w:sz w:val="24"/>
          <w:szCs w:val="24"/>
        </w:rPr>
        <w:t xml:space="preserve"> yang terbukti melakukan pelanggaran kode etik profesi </w:t>
      </w:r>
      <w:r>
        <w:rPr>
          <w:sz w:val="24"/>
          <w:szCs w:val="24"/>
          <w:lang w:val="id-ID"/>
        </w:rPr>
        <w:t>Polridalam perkara kasus tindak pidana</w:t>
      </w:r>
      <w:r w:rsidRPr="0052589A">
        <w:rPr>
          <w:sz w:val="24"/>
          <w:szCs w:val="24"/>
        </w:rPr>
        <w:t>?</w:t>
      </w:r>
    </w:p>
    <w:p w:rsidR="003D43BE" w:rsidRPr="0052589A" w:rsidRDefault="003D43BE" w:rsidP="003D43BE">
      <w:pPr>
        <w:pStyle w:val="Heading1"/>
        <w:numPr>
          <w:ilvl w:val="0"/>
          <w:numId w:val="5"/>
        </w:numPr>
        <w:ind w:left="630" w:right="38" w:hanging="540"/>
      </w:pPr>
      <w:r w:rsidRPr="0052589A">
        <w:t>Tujuan</w:t>
      </w:r>
      <w:r w:rsidRPr="0052589A">
        <w:rPr>
          <w:spacing w:val="-2"/>
        </w:rPr>
        <w:t>Penelitian</w:t>
      </w:r>
    </w:p>
    <w:p w:rsidR="003D43BE" w:rsidRPr="0052589A" w:rsidRDefault="003D43BE" w:rsidP="003D43BE">
      <w:pPr>
        <w:pStyle w:val="BodyText"/>
        <w:spacing w:before="1"/>
        <w:ind w:right="38"/>
        <w:rPr>
          <w:b/>
        </w:rPr>
      </w:pPr>
    </w:p>
    <w:p w:rsidR="003D43BE" w:rsidRPr="0052589A" w:rsidRDefault="003D43BE" w:rsidP="003D43BE">
      <w:pPr>
        <w:pStyle w:val="BodyText"/>
        <w:ind w:right="38" w:firstLine="630"/>
      </w:pPr>
      <w:r w:rsidRPr="0052589A">
        <w:rPr>
          <w:spacing w:val="-6"/>
        </w:rPr>
        <w:t>Dalampenelitianiniadabeberapatujuanyanghendakdicapai,yaituantaralain</w:t>
      </w:r>
      <w:r w:rsidRPr="0052589A">
        <w:rPr>
          <w:spacing w:val="-10"/>
        </w:rPr>
        <w:t>:</w:t>
      </w:r>
    </w:p>
    <w:p w:rsidR="003D43BE" w:rsidRPr="0052589A" w:rsidRDefault="003D43BE" w:rsidP="003D43BE">
      <w:pPr>
        <w:pStyle w:val="BodyText"/>
        <w:ind w:right="38"/>
      </w:pPr>
    </w:p>
    <w:p w:rsidR="003D43BE" w:rsidRPr="0052589A" w:rsidRDefault="003D43BE" w:rsidP="003D43BE">
      <w:pPr>
        <w:pStyle w:val="ListParagraph"/>
        <w:numPr>
          <w:ilvl w:val="1"/>
          <w:numId w:val="5"/>
        </w:numPr>
        <w:spacing w:before="1" w:line="477" w:lineRule="auto"/>
        <w:ind w:left="900" w:right="275"/>
        <w:jc w:val="both"/>
        <w:rPr>
          <w:sz w:val="24"/>
          <w:szCs w:val="24"/>
        </w:rPr>
      </w:pPr>
      <w:r w:rsidRPr="0052589A">
        <w:rPr>
          <w:sz w:val="24"/>
          <w:szCs w:val="24"/>
        </w:rPr>
        <w:t xml:space="preserve">Untuk mengetahui bentuk pelanggaran kode etik profesi yang dilakukan oleh personel </w:t>
      </w:r>
      <w:r>
        <w:rPr>
          <w:sz w:val="24"/>
          <w:szCs w:val="24"/>
          <w:lang w:val="id-ID"/>
        </w:rPr>
        <w:t xml:space="preserve">Satuan </w:t>
      </w:r>
      <w:r w:rsidRPr="0052589A">
        <w:rPr>
          <w:sz w:val="24"/>
          <w:szCs w:val="24"/>
        </w:rPr>
        <w:t>Brimob Pol</w:t>
      </w:r>
      <w:r>
        <w:rPr>
          <w:sz w:val="24"/>
          <w:szCs w:val="24"/>
        </w:rPr>
        <w:t>da</w:t>
      </w:r>
      <w:r>
        <w:rPr>
          <w:sz w:val="24"/>
          <w:szCs w:val="24"/>
          <w:lang w:val="id-ID"/>
        </w:rPr>
        <w:t>Sumatera Utara dalam perkara</w:t>
      </w:r>
      <w:r w:rsidRPr="0052589A">
        <w:rPr>
          <w:sz w:val="24"/>
          <w:szCs w:val="24"/>
        </w:rPr>
        <w:t xml:space="preserve"> kasus tindak pidana.</w:t>
      </w:r>
    </w:p>
    <w:p w:rsidR="003D43BE" w:rsidRPr="0052589A" w:rsidRDefault="003D43BE" w:rsidP="003D43BE">
      <w:pPr>
        <w:pStyle w:val="ListParagraph"/>
        <w:numPr>
          <w:ilvl w:val="1"/>
          <w:numId w:val="5"/>
        </w:numPr>
        <w:spacing w:before="1" w:line="477" w:lineRule="auto"/>
        <w:ind w:left="900" w:right="275"/>
        <w:jc w:val="both"/>
        <w:rPr>
          <w:sz w:val="24"/>
          <w:szCs w:val="24"/>
        </w:rPr>
      </w:pPr>
      <w:r w:rsidRPr="0052589A">
        <w:rPr>
          <w:sz w:val="24"/>
          <w:szCs w:val="24"/>
        </w:rPr>
        <w:t xml:space="preserve">Untuk mengetahui mekanisme pengawasan dan penegakan kode etik profesi bagi personel </w:t>
      </w:r>
      <w:r>
        <w:rPr>
          <w:sz w:val="24"/>
          <w:szCs w:val="24"/>
          <w:lang w:val="id-ID"/>
        </w:rPr>
        <w:t xml:space="preserve">Satuan </w:t>
      </w:r>
      <w:r w:rsidRPr="0052589A">
        <w:rPr>
          <w:sz w:val="24"/>
          <w:szCs w:val="24"/>
        </w:rPr>
        <w:t>Brimob Pol</w:t>
      </w:r>
      <w:r>
        <w:rPr>
          <w:sz w:val="24"/>
          <w:szCs w:val="24"/>
        </w:rPr>
        <w:t>da</w:t>
      </w:r>
      <w:r>
        <w:rPr>
          <w:sz w:val="24"/>
          <w:szCs w:val="24"/>
          <w:lang w:val="id-ID"/>
        </w:rPr>
        <w:t xml:space="preserve"> Sumatera Utara</w:t>
      </w:r>
      <w:r w:rsidRPr="0052589A">
        <w:rPr>
          <w:sz w:val="24"/>
          <w:szCs w:val="24"/>
        </w:rPr>
        <w:t xml:space="preserve"> dalam </w:t>
      </w:r>
      <w:r>
        <w:rPr>
          <w:sz w:val="24"/>
          <w:szCs w:val="24"/>
          <w:lang w:val="id-ID"/>
        </w:rPr>
        <w:t>perkara</w:t>
      </w:r>
      <w:r w:rsidRPr="0052589A">
        <w:rPr>
          <w:sz w:val="24"/>
          <w:szCs w:val="24"/>
        </w:rPr>
        <w:t xml:space="preserve"> kasus tindak pidana.</w:t>
      </w:r>
    </w:p>
    <w:p w:rsidR="003D43BE" w:rsidRPr="00560F9A" w:rsidRDefault="003D43BE" w:rsidP="003D43BE">
      <w:pPr>
        <w:pStyle w:val="ListParagraph"/>
        <w:numPr>
          <w:ilvl w:val="1"/>
          <w:numId w:val="5"/>
        </w:numPr>
        <w:spacing w:before="1" w:line="477" w:lineRule="auto"/>
        <w:ind w:left="900" w:right="275"/>
        <w:jc w:val="both"/>
        <w:rPr>
          <w:sz w:val="24"/>
          <w:szCs w:val="24"/>
        </w:rPr>
      </w:pPr>
      <w:r w:rsidRPr="0052589A">
        <w:rPr>
          <w:spacing w:val="-2"/>
          <w:sz w:val="24"/>
          <w:szCs w:val="24"/>
        </w:rPr>
        <w:t>Untuk mengetahui</w:t>
      </w:r>
      <w:r w:rsidRPr="0052589A">
        <w:rPr>
          <w:sz w:val="24"/>
          <w:szCs w:val="24"/>
        </w:rPr>
        <w:t xml:space="preserve">pertanggungjawaban hukum terhadap personel </w:t>
      </w:r>
      <w:r>
        <w:rPr>
          <w:sz w:val="24"/>
          <w:szCs w:val="24"/>
          <w:lang w:val="id-ID"/>
        </w:rPr>
        <w:t xml:space="preserve">Satuan </w:t>
      </w:r>
      <w:r w:rsidRPr="0052589A">
        <w:rPr>
          <w:sz w:val="24"/>
          <w:szCs w:val="24"/>
        </w:rPr>
        <w:t>Brimob Pol</w:t>
      </w:r>
      <w:r>
        <w:rPr>
          <w:sz w:val="24"/>
          <w:szCs w:val="24"/>
        </w:rPr>
        <w:t>da Sumatera Utara</w:t>
      </w:r>
      <w:r w:rsidRPr="0052589A">
        <w:rPr>
          <w:sz w:val="24"/>
          <w:szCs w:val="24"/>
        </w:rPr>
        <w:t xml:space="preserve"> yang terbukti melakukan pelanggaran kode etik profesi </w:t>
      </w:r>
      <w:r>
        <w:rPr>
          <w:sz w:val="24"/>
          <w:szCs w:val="24"/>
          <w:lang w:val="id-ID"/>
        </w:rPr>
        <w:t>Polri dalam kasus tindak pidana</w:t>
      </w:r>
    </w:p>
    <w:p w:rsidR="003D43BE" w:rsidRPr="0052589A" w:rsidRDefault="003D43BE" w:rsidP="003D43BE">
      <w:pPr>
        <w:pStyle w:val="ListParagraph"/>
        <w:spacing w:before="1" w:line="477" w:lineRule="auto"/>
        <w:ind w:left="900" w:right="275" w:firstLine="0"/>
        <w:jc w:val="both"/>
        <w:rPr>
          <w:sz w:val="24"/>
          <w:szCs w:val="24"/>
        </w:rPr>
      </w:pPr>
    </w:p>
    <w:p w:rsidR="003D43BE" w:rsidRPr="0052589A" w:rsidRDefault="003D43BE" w:rsidP="003D43BE">
      <w:pPr>
        <w:pStyle w:val="Heading1"/>
        <w:numPr>
          <w:ilvl w:val="0"/>
          <w:numId w:val="5"/>
        </w:numPr>
        <w:ind w:left="630" w:hanging="540"/>
      </w:pPr>
      <w:r w:rsidRPr="0052589A">
        <w:t>Manfaat</w:t>
      </w:r>
      <w:r w:rsidRPr="0052589A">
        <w:rPr>
          <w:spacing w:val="-2"/>
        </w:rPr>
        <w:t>Penelitian</w:t>
      </w:r>
    </w:p>
    <w:p w:rsidR="003D43BE" w:rsidRPr="0052589A" w:rsidRDefault="003D43BE" w:rsidP="003D43BE">
      <w:pPr>
        <w:pStyle w:val="BodyText"/>
        <w:rPr>
          <w:b/>
        </w:rPr>
      </w:pPr>
    </w:p>
    <w:p w:rsidR="003D43BE" w:rsidRPr="0052589A" w:rsidRDefault="003D43BE" w:rsidP="003D43BE">
      <w:pPr>
        <w:pStyle w:val="BodyText"/>
        <w:ind w:left="630"/>
      </w:pPr>
      <w:r w:rsidRPr="0052589A">
        <w:t>Adapunmanfaatyangingindicapaipenulisdalamskrispsiini</w:t>
      </w:r>
      <w:r w:rsidRPr="0052589A">
        <w:rPr>
          <w:spacing w:val="-2"/>
        </w:rPr>
        <w:t>adalah:</w:t>
      </w:r>
    </w:p>
    <w:p w:rsidR="003D43BE" w:rsidRPr="0052589A" w:rsidRDefault="003D43BE" w:rsidP="003D43BE">
      <w:pPr>
        <w:pStyle w:val="BodyText"/>
        <w:spacing w:before="1"/>
      </w:pPr>
    </w:p>
    <w:p w:rsidR="003D43BE" w:rsidRPr="0052589A" w:rsidRDefault="003D43BE" w:rsidP="003D43BE">
      <w:pPr>
        <w:pStyle w:val="ListParagraph"/>
        <w:numPr>
          <w:ilvl w:val="1"/>
          <w:numId w:val="5"/>
        </w:numPr>
        <w:spacing w:line="480" w:lineRule="auto"/>
        <w:ind w:left="1080" w:right="276"/>
        <w:jc w:val="both"/>
        <w:rPr>
          <w:sz w:val="24"/>
          <w:szCs w:val="24"/>
        </w:rPr>
      </w:pPr>
      <w:r w:rsidRPr="0052589A">
        <w:rPr>
          <w:sz w:val="24"/>
          <w:szCs w:val="24"/>
        </w:rPr>
        <w:t xml:space="preserve">Manfaat Teoritis, dari penelitian ini adalah untuk memberikan kontribusi terhadap pengembangan ilmu hukum, khususnya dalam kajian tentang kode etik profesi kepolisian, dengan mengkaji pelanggaran yang dilakukan oleh personel Brimob Polri dalam penanganan kasus tindak pidana. Penelitian ini juga diharapkan dapat </w:t>
      </w:r>
      <w:r w:rsidRPr="0052589A">
        <w:rPr>
          <w:sz w:val="24"/>
          <w:szCs w:val="24"/>
        </w:rPr>
        <w:lastRenderedPageBreak/>
        <w:t xml:space="preserve">memperkaya literatur mengenai penerapan dan penegakan kode etik profesi di institusi kepolisian serta memberikan pemahaman lebih dalam mengenai peran kode etik dalam mendukung profesionalisme aparat penegak hukum. </w:t>
      </w:r>
    </w:p>
    <w:p w:rsidR="003D43BE" w:rsidRPr="0052589A" w:rsidRDefault="003D43BE" w:rsidP="003D43BE">
      <w:pPr>
        <w:pStyle w:val="ListParagraph"/>
        <w:numPr>
          <w:ilvl w:val="1"/>
          <w:numId w:val="5"/>
        </w:numPr>
        <w:spacing w:line="480" w:lineRule="auto"/>
        <w:ind w:left="1080" w:right="276"/>
        <w:jc w:val="both"/>
        <w:rPr>
          <w:sz w:val="24"/>
          <w:szCs w:val="24"/>
        </w:rPr>
      </w:pPr>
      <w:r w:rsidRPr="0052589A">
        <w:rPr>
          <w:sz w:val="24"/>
          <w:szCs w:val="24"/>
        </w:rPr>
        <w:t xml:space="preserve">Manfaat Praktis, dari penelitian ini adalah memberikan wawasan yang lebih jelas tentang bagaimana pelanggaran kode etik dapat terjadi dalam praktik di lapangan, serta bagaimana mekanisme pengawasan dan penegakan kode etik di lingkungan Polri, khususnya </w:t>
      </w:r>
      <w:r>
        <w:rPr>
          <w:sz w:val="24"/>
          <w:szCs w:val="24"/>
          <w:lang w:val="id-ID"/>
        </w:rPr>
        <w:t xml:space="preserve">Satuan </w:t>
      </w:r>
      <w:r w:rsidRPr="0052589A">
        <w:rPr>
          <w:sz w:val="24"/>
          <w:szCs w:val="24"/>
        </w:rPr>
        <w:t>Brimob</w:t>
      </w:r>
      <w:r>
        <w:rPr>
          <w:sz w:val="24"/>
          <w:szCs w:val="24"/>
          <w:lang w:val="id-ID"/>
        </w:rPr>
        <w:t xml:space="preserve"> Polda Sumut</w:t>
      </w:r>
      <w:r w:rsidRPr="0052589A">
        <w:rPr>
          <w:sz w:val="24"/>
          <w:szCs w:val="24"/>
        </w:rPr>
        <w:t xml:space="preserve">, dapat lebih ditingkatkan. Hasil penelitian ini juga dapat dijadikan sebagai bahan evaluasi bagi institusi Polri dalam memperbaiki sistem pengawasan, serta memberikan rekomendasi untuk meningkatkan kepatuhan personel terhadap kode etik profesi </w:t>
      </w:r>
      <w:r>
        <w:rPr>
          <w:sz w:val="24"/>
          <w:szCs w:val="24"/>
          <w:lang w:val="id-ID"/>
        </w:rPr>
        <w:t xml:space="preserve">polri </w:t>
      </w:r>
      <w:r w:rsidRPr="0052589A">
        <w:rPr>
          <w:sz w:val="24"/>
          <w:szCs w:val="24"/>
        </w:rPr>
        <w:t>demi menciptakan penegakan hukum yang lebih profesional dan transparan..</w:t>
      </w:r>
    </w:p>
    <w:p w:rsidR="003D43BE" w:rsidRPr="0052589A" w:rsidRDefault="003D43BE" w:rsidP="003D43BE">
      <w:pPr>
        <w:spacing w:before="60" w:line="415" w:lineRule="auto"/>
        <w:ind w:right="3024"/>
        <w:rPr>
          <w:sz w:val="24"/>
          <w:szCs w:val="24"/>
        </w:rPr>
      </w:pPr>
    </w:p>
    <w:p w:rsidR="0012512D" w:rsidRPr="003D43BE" w:rsidRDefault="004978E6" w:rsidP="003D43BE">
      <w:bookmarkStart w:id="0" w:name="_GoBack"/>
      <w:bookmarkEnd w:id="0"/>
    </w:p>
    <w:sectPr w:rsidR="0012512D" w:rsidRPr="003D43BE" w:rsidSect="00E07D56">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8E6" w:rsidRDefault="004978E6" w:rsidP="003D43BE">
      <w:r>
        <w:separator/>
      </w:r>
    </w:p>
  </w:endnote>
  <w:endnote w:type="continuationSeparator" w:id="1">
    <w:p w:rsidR="004978E6" w:rsidRDefault="004978E6" w:rsidP="003D4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70" w:rsidRDefault="004978E6">
    <w:pPr>
      <w:pStyle w:val="Footer"/>
      <w:jc w:val="center"/>
    </w:pPr>
  </w:p>
  <w:p w:rsidR="00D67870" w:rsidRDefault="004978E6">
    <w:pPr>
      <w:pStyle w:val="Footer"/>
      <w:jc w:val="center"/>
    </w:pPr>
  </w:p>
  <w:p w:rsidR="00D67870" w:rsidRDefault="004978E6">
    <w:pPr>
      <w:pStyle w:val="Footer"/>
      <w:jc w:val="center"/>
    </w:pPr>
  </w:p>
  <w:p w:rsidR="00D67870" w:rsidRDefault="004978E6">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8E6" w:rsidRDefault="004978E6" w:rsidP="003D43BE">
      <w:r>
        <w:separator/>
      </w:r>
    </w:p>
  </w:footnote>
  <w:footnote w:type="continuationSeparator" w:id="1">
    <w:p w:rsidR="004978E6" w:rsidRDefault="004978E6" w:rsidP="003D43BE">
      <w:r>
        <w:continuationSeparator/>
      </w:r>
    </w:p>
  </w:footnote>
  <w:footnote w:id="2">
    <w:p w:rsidR="003D43BE" w:rsidRPr="009B5152" w:rsidRDefault="003D43BE" w:rsidP="003D43BE">
      <w:pPr>
        <w:pStyle w:val="FootnoteText"/>
        <w:ind w:firstLine="720"/>
        <w:jc w:val="both"/>
      </w:pPr>
      <w:r>
        <w:rPr>
          <w:rStyle w:val="FootnoteReference"/>
        </w:rPr>
        <w:footnoteRef/>
      </w:r>
      <w:r w:rsidRPr="009B5152">
        <w:t>Maria Ulfah, dkk, “Sistem Pertanggungjawaban Hukum Kepolisian Negara Republik Indonesia Secara Organisasional Maupun Personal” penelitian dan pengabdian masyarakat (Bandung:univesitas khato</w:t>
      </w:r>
      <w:r>
        <w:t>lik parayangan, 2013), Hlm. 1.</w:t>
      </w:r>
    </w:p>
  </w:footnote>
  <w:footnote w:id="3">
    <w:p w:rsidR="003D43BE" w:rsidRPr="00742974" w:rsidRDefault="003D43BE" w:rsidP="003D43BE">
      <w:pPr>
        <w:pStyle w:val="FootnoteText"/>
        <w:ind w:firstLine="720"/>
        <w:jc w:val="both"/>
        <w:rPr>
          <w:lang w:val="sv-SE"/>
        </w:rPr>
      </w:pPr>
      <w:r>
        <w:rPr>
          <w:rStyle w:val="FootnoteReference"/>
        </w:rPr>
        <w:footnoteRef/>
      </w:r>
      <w:r w:rsidRPr="006D1165">
        <w:t>Romli Atmasasmita, “Reformasi Hukum, Hak Azazi Manusia dan Penegakkan Hukum”, (Bandu</w:t>
      </w:r>
      <w:r>
        <w:t xml:space="preserve">ng: Mandar Maju, 2001), Hlm. </w:t>
      </w:r>
      <w:r w:rsidRPr="006D1165">
        <w:t>55</w:t>
      </w:r>
      <w:r>
        <w:t>.</w:t>
      </w:r>
    </w:p>
  </w:footnote>
  <w:footnote w:id="4">
    <w:p w:rsidR="003D43BE" w:rsidRPr="00742974" w:rsidRDefault="003D43BE" w:rsidP="003D43BE">
      <w:pPr>
        <w:pStyle w:val="FootnoteText"/>
        <w:ind w:firstLine="720"/>
        <w:rPr>
          <w:lang w:val="sv-SE"/>
        </w:rPr>
      </w:pPr>
      <w:r>
        <w:rPr>
          <w:rStyle w:val="FootnoteReference"/>
        </w:rPr>
        <w:footnoteRef/>
      </w:r>
      <w:r w:rsidRPr="009E05F4">
        <w:t>Saydam., “Manajemen Sumber Daya Manusia”, (Jakarta: Djambatan, 2000), halaman 200</w:t>
      </w:r>
      <w:r>
        <w:t>.</w:t>
      </w:r>
    </w:p>
  </w:footnote>
  <w:footnote w:id="5">
    <w:p w:rsidR="003D43BE" w:rsidRPr="00742974" w:rsidRDefault="003D43BE" w:rsidP="003D43BE">
      <w:pPr>
        <w:pStyle w:val="FootnoteText"/>
        <w:ind w:firstLine="720"/>
        <w:jc w:val="both"/>
        <w:rPr>
          <w:lang w:val="sv-SE"/>
        </w:rPr>
      </w:pPr>
      <w:r>
        <w:rPr>
          <w:rStyle w:val="FootnoteReference"/>
        </w:rPr>
        <w:footnoteRef/>
      </w:r>
      <w:r w:rsidRPr="00140385">
        <w:t>Benny K. Harmadi, Peran Kepolisian Dalam Penegakan Hukum di Indonesia (Jakarta: Rineka Cipta, 2020), hal. 45.</w:t>
      </w:r>
    </w:p>
  </w:footnote>
  <w:footnote w:id="6">
    <w:p w:rsidR="003D43BE" w:rsidRPr="00742974" w:rsidRDefault="003D43BE" w:rsidP="003D43BE">
      <w:pPr>
        <w:pStyle w:val="FootnoteText"/>
        <w:ind w:firstLine="720"/>
        <w:rPr>
          <w:lang w:val="sv-SE"/>
        </w:rPr>
      </w:pPr>
      <w:r>
        <w:rPr>
          <w:rStyle w:val="FootnoteReference"/>
        </w:rPr>
        <w:footnoteRef/>
      </w:r>
      <w:r w:rsidRPr="00140385">
        <w:t>Budi Santosa, Hukum dan Etika Kepolisian Indonesia (Yogyakarta: Pustaka Yustisia, 2021), hal. 72.</w:t>
      </w:r>
    </w:p>
  </w:footnote>
  <w:footnote w:id="7">
    <w:p w:rsidR="003D43BE" w:rsidRPr="00742974" w:rsidRDefault="003D43BE" w:rsidP="003D43BE">
      <w:pPr>
        <w:pStyle w:val="FootnoteText"/>
        <w:ind w:firstLine="720"/>
        <w:jc w:val="both"/>
        <w:rPr>
          <w:lang w:val="sv-SE"/>
        </w:rPr>
      </w:pPr>
      <w:r w:rsidRPr="00F6219F">
        <w:rPr>
          <w:rStyle w:val="FootnoteReference"/>
        </w:rPr>
        <w:footnoteRef/>
      </w:r>
      <w:r w:rsidRPr="00F6219F">
        <w:t xml:space="preserve"> Bidhumas, “Polri Tegakkan Kode Etik Kasus DWP 2024”, </w:t>
      </w:r>
      <w:hyperlink r:id="rId1" w:history="1">
        <w:r w:rsidRPr="00F6219F">
          <w:rPr>
            <w:rStyle w:val="Hyperlink"/>
          </w:rPr>
          <w:t>Polri Tegakkan Kode Etik Kasus DWP 2024: Sidang KKEP Hasilkan Putusan Penting</w:t>
        </w:r>
      </w:hyperlink>
      <w:r w:rsidRPr="00F6219F">
        <w:t xml:space="preserve">, Diakses pada Minggu 16 Februari 2025, Pukul 15.02 WIB. </w:t>
      </w:r>
    </w:p>
  </w:footnote>
  <w:footnote w:id="8">
    <w:p w:rsidR="003D43BE" w:rsidRPr="00140385" w:rsidRDefault="003D43BE" w:rsidP="003D43BE">
      <w:pPr>
        <w:pStyle w:val="FootnoteText"/>
        <w:ind w:firstLine="720"/>
        <w:jc w:val="both"/>
      </w:pPr>
      <w:r>
        <w:rPr>
          <w:rStyle w:val="FootnoteReference"/>
        </w:rPr>
        <w:footnoteRef/>
      </w:r>
      <w:r w:rsidRPr="00140385">
        <w:t>M. Djamil S. Pasaribu, “Pengawasan Disiplin Kepolisian di Indonesia,</w:t>
      </w:r>
      <w:r w:rsidRPr="00140385">
        <w:rPr>
          <w:i/>
        </w:rPr>
        <w:t>” Jurnal Hukum &amp; Keadilan</w:t>
      </w:r>
      <w:r>
        <w:t xml:space="preserve">”, </w:t>
      </w:r>
      <w:r w:rsidRPr="00140385">
        <w:t>Vol. 5, No. 2, 2019, hal. 130-131.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E07D56">
    <w:pPr>
      <w:pStyle w:val="Header"/>
    </w:pPr>
    <w:r w:rsidRPr="00E07D56">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0" o:spid="_x0000_s2053" type="#_x0000_t75" style="position:absolute;margin-left:0;margin-top:0;width:460.6pt;height:454.2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E07D56">
    <w:pPr>
      <w:pStyle w:val="Header"/>
    </w:pPr>
    <w:r w:rsidRPr="00E07D56">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1" o:spid="_x0000_s2054" type="#_x0000_t75" style="position:absolute;margin-left:0;margin-top:0;width:460.6pt;height:454.2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E07D56">
    <w:pPr>
      <w:pStyle w:val="Header"/>
    </w:pPr>
    <w:r w:rsidRPr="00E07D56">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59" o:spid="_x0000_s2052" type="#_x0000_t75" style="position:absolute;margin-left:0;margin-top:0;width:460.6pt;height:454.2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996"/>
    <w:multiLevelType w:val="hybridMultilevel"/>
    <w:tmpl w:val="AA76145E"/>
    <w:lvl w:ilvl="0" w:tplc="D5D6FA28">
      <w:start w:val="1"/>
      <w:numFmt w:val="decimal"/>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F454CE4"/>
    <w:multiLevelType w:val="hybridMultilevel"/>
    <w:tmpl w:val="CECAD86E"/>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892941E">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5FA9A80">
      <w:start w:val="1"/>
      <w:numFmt w:val="decimal"/>
      <w:lvlText w:val="%3."/>
      <w:lvlJc w:val="left"/>
      <w:pPr>
        <w:ind w:left="2486" w:hanging="360"/>
      </w:pPr>
      <w:rPr>
        <w:rFonts w:ascii="Times New Roman" w:eastAsia="Times New Roman" w:hAnsi="Times New Roman" w:cs="Times New Roman" w:hint="default"/>
        <w:b/>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2">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4A17E7"/>
    <w:multiLevelType w:val="hybridMultilevel"/>
    <w:tmpl w:val="4A3AE718"/>
    <w:lvl w:ilvl="0" w:tplc="7610BC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58906178"/>
    <w:multiLevelType w:val="hybridMultilevel"/>
    <w:tmpl w:val="E172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ZM1LRgz7q3s1aTWPgo/VHlTgfG4=" w:salt="nwjgz11BjJRD/kFv0JCYG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C5330"/>
    <w:rsid w:val="00126C4E"/>
    <w:rsid w:val="00324A6F"/>
    <w:rsid w:val="003D43BE"/>
    <w:rsid w:val="004978E6"/>
    <w:rsid w:val="00755F14"/>
    <w:rsid w:val="00C80362"/>
    <w:rsid w:val="00E07D56"/>
    <w:rsid w:val="00EC5330"/>
    <w:rsid w:val="00F91339"/>
    <w:rsid w:val="00FA3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jogja.polri.go.id/polda/tribrata-news/online/detail/polri-tegakkan-kode-etik-kasus-dwp-2024--sidang-kkep-hasilkan-putusan-penting.html?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2025-12-04T08:45:00Z</dcterms:created>
  <dcterms:modified xsi:type="dcterms:W3CDTF">2025-12-04T08:45:00Z</dcterms:modified>
</cp:coreProperties>
</file>