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82" w:rsidRPr="0052589A" w:rsidRDefault="00C10182" w:rsidP="00C10182">
      <w:pPr>
        <w:spacing w:before="60" w:line="480" w:lineRule="auto"/>
        <w:ind w:left="714"/>
        <w:jc w:val="center"/>
        <w:rPr>
          <w:b/>
          <w:spacing w:val="-2"/>
          <w:sz w:val="24"/>
          <w:szCs w:val="24"/>
        </w:rPr>
      </w:pPr>
      <w:r w:rsidRPr="0052589A">
        <w:rPr>
          <w:b/>
          <w:sz w:val="24"/>
          <w:szCs w:val="24"/>
        </w:rPr>
        <w:t>DAFTAR</w:t>
      </w:r>
      <w:r w:rsidRPr="0052589A">
        <w:rPr>
          <w:b/>
          <w:spacing w:val="-2"/>
          <w:sz w:val="24"/>
          <w:szCs w:val="24"/>
        </w:rPr>
        <w:t>PUSTAKA</w:t>
      </w:r>
    </w:p>
    <w:p w:rsidR="00C10182" w:rsidRPr="0052589A" w:rsidRDefault="00C10182" w:rsidP="00C10182">
      <w:pPr>
        <w:spacing w:before="60" w:line="480" w:lineRule="auto"/>
        <w:ind w:left="714"/>
        <w:jc w:val="center"/>
        <w:rPr>
          <w:b/>
          <w:sz w:val="24"/>
          <w:szCs w:val="24"/>
        </w:rPr>
      </w:pPr>
    </w:p>
    <w:p w:rsidR="00C10182" w:rsidRPr="0052589A" w:rsidRDefault="00C10182" w:rsidP="00FF1FCE">
      <w:pPr>
        <w:pStyle w:val="ListParagraph"/>
        <w:numPr>
          <w:ilvl w:val="0"/>
          <w:numId w:val="1"/>
        </w:numPr>
        <w:spacing w:line="480" w:lineRule="auto"/>
        <w:ind w:left="450"/>
        <w:rPr>
          <w:b/>
          <w:sz w:val="24"/>
          <w:szCs w:val="24"/>
        </w:rPr>
      </w:pPr>
      <w:r w:rsidRPr="0052589A">
        <w:rPr>
          <w:b/>
          <w:sz w:val="24"/>
          <w:szCs w:val="24"/>
        </w:rPr>
        <w:t>Buku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rStyle w:val="Strong"/>
          <w:b w:val="0"/>
          <w:sz w:val="24"/>
          <w:szCs w:val="24"/>
        </w:rPr>
        <w:t>A.P. Prabowo</w:t>
      </w:r>
      <w:r w:rsidRPr="0052589A">
        <w:rPr>
          <w:b/>
          <w:sz w:val="24"/>
          <w:szCs w:val="24"/>
        </w:rPr>
        <w:t>,</w:t>
      </w:r>
      <w:r w:rsidRPr="0052589A">
        <w:rPr>
          <w:rStyle w:val="Emphasis"/>
          <w:sz w:val="24"/>
          <w:szCs w:val="24"/>
        </w:rPr>
        <w:t>Profesi Kepolisian dan Etika Polisi</w:t>
      </w:r>
      <w:r w:rsidRPr="0052589A">
        <w:rPr>
          <w:sz w:val="24"/>
          <w:szCs w:val="24"/>
        </w:rPr>
        <w:t>, (Bandung: Refika Aditama, 2015).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Andi Hamzah, </w:t>
      </w:r>
      <w:r w:rsidRPr="0052589A">
        <w:rPr>
          <w:i/>
          <w:sz w:val="24"/>
          <w:szCs w:val="24"/>
        </w:rPr>
        <w:t>Hukum Positif di Indonesia, (</w:t>
      </w:r>
      <w:r w:rsidRPr="0052589A">
        <w:rPr>
          <w:sz w:val="24"/>
          <w:szCs w:val="24"/>
        </w:rPr>
        <w:t>PT. Gramedia Pustaka Utama, 2016).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Benny K. Harmadi, Peran Kepolisian Dalam Penegakan Hukum di Indonesia (Jakarta: Rineka Cipta, 2020).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Budi Santosa, Hukum dan Etika Kepolisian Indonesia (Yogyakarta: Pustaka Yustisia, 2021).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  <w:lang w:val="sv-SE"/>
        </w:rPr>
        <w:t xml:space="preserve">Budi Santosa, </w:t>
      </w:r>
      <w:r w:rsidRPr="0052589A">
        <w:rPr>
          <w:i/>
          <w:iCs/>
          <w:sz w:val="24"/>
          <w:szCs w:val="24"/>
          <w:lang w:val="sv-SE"/>
        </w:rPr>
        <w:t>Pembinaan Mental dan Etika Profesi Polisi: Upaya Pencegahan Pelanggaran Kode Etik</w:t>
      </w:r>
      <w:r w:rsidRPr="0052589A">
        <w:rPr>
          <w:sz w:val="24"/>
          <w:szCs w:val="24"/>
          <w:lang w:val="sv-SE"/>
        </w:rPr>
        <w:t>, (Bandung: Refika Aditama, 2021),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Brincat, C. &amp; Wike, V. </w:t>
      </w:r>
      <w:r w:rsidRPr="0052589A">
        <w:rPr>
          <w:i/>
          <w:iCs/>
          <w:sz w:val="24"/>
          <w:szCs w:val="24"/>
        </w:rPr>
        <w:t>Moral Theories and Professional Conduct</w:t>
      </w:r>
      <w:r w:rsidRPr="0052589A">
        <w:rPr>
          <w:sz w:val="24"/>
          <w:szCs w:val="24"/>
        </w:rPr>
        <w:t>. New York: Prentice Hall, 1999.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Dep. Pendidikan dan Kebudayaan,Kamus Besar Bahasa Indonesia, (Jakarta: Balai Pustaka, 1989).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Divisi Propam Polri, </w:t>
      </w:r>
      <w:r w:rsidRPr="0052589A">
        <w:rPr>
          <w:i/>
          <w:iCs/>
          <w:sz w:val="24"/>
          <w:szCs w:val="24"/>
        </w:rPr>
        <w:t>Manual Pengawasan dan Pengendalian Tugas Operasional Lapangan</w:t>
      </w:r>
      <w:r w:rsidRPr="0052589A">
        <w:rPr>
          <w:sz w:val="24"/>
          <w:szCs w:val="24"/>
        </w:rPr>
        <w:t>, (Jakarta: Mabes Polri, 2020).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Hasibuan, M. </w:t>
      </w:r>
      <w:r w:rsidRPr="0052589A">
        <w:rPr>
          <w:rStyle w:val="Emphasis"/>
          <w:sz w:val="24"/>
          <w:szCs w:val="24"/>
        </w:rPr>
        <w:t>Transparansi dalam Penegakan Hukum Kepolisian</w:t>
      </w:r>
      <w:r w:rsidRPr="0052589A">
        <w:rPr>
          <w:sz w:val="24"/>
          <w:szCs w:val="24"/>
        </w:rPr>
        <w:t>. (Jakarta: Rajawali Press, 2018).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Hidayat, A. </w:t>
      </w:r>
      <w:r w:rsidRPr="0052589A">
        <w:rPr>
          <w:i/>
          <w:iCs/>
          <w:sz w:val="24"/>
          <w:szCs w:val="24"/>
        </w:rPr>
        <w:t>Polri di Era Digital: Etika Media Sosial bagi Aparat Kepolisian</w:t>
      </w:r>
      <w:r w:rsidRPr="0052589A">
        <w:rPr>
          <w:sz w:val="24"/>
          <w:szCs w:val="24"/>
        </w:rPr>
        <w:t>. (Yogyakarta: Pustaka Integritas), 2023.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Hidayat, A. </w:t>
      </w:r>
      <w:r w:rsidRPr="0052589A">
        <w:rPr>
          <w:i/>
          <w:iCs/>
          <w:sz w:val="24"/>
          <w:szCs w:val="24"/>
        </w:rPr>
        <w:t>Kepolisian dalam Perspektif Etika dan Hukum</w:t>
      </w:r>
      <w:r w:rsidRPr="0052589A">
        <w:rPr>
          <w:sz w:val="24"/>
          <w:szCs w:val="24"/>
        </w:rPr>
        <w:t>. (Yogyakarta: Pustaka Integritas, 2022).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Huda, Chairul, </w:t>
      </w:r>
      <w:r w:rsidRPr="0052589A">
        <w:rPr>
          <w:i/>
          <w:iCs/>
          <w:sz w:val="24"/>
          <w:szCs w:val="24"/>
        </w:rPr>
        <w:t>Asas-Asas Hukum Pidana: Perspektif Internasional dan Nasional</w:t>
      </w:r>
      <w:r w:rsidRPr="0052589A">
        <w:rPr>
          <w:sz w:val="24"/>
          <w:szCs w:val="24"/>
        </w:rPr>
        <w:t>. (Jakarta: Kencana, 2020)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lastRenderedPageBreak/>
        <w:t xml:space="preserve">Kementerian Pendidikan dan Kebudayaan Republik Indonesia, </w:t>
      </w:r>
      <w:r w:rsidRPr="0052589A">
        <w:rPr>
          <w:i/>
          <w:iCs/>
          <w:sz w:val="24"/>
          <w:szCs w:val="24"/>
        </w:rPr>
        <w:t>Kamus Besar Bahasa Indonesia</w:t>
      </w:r>
      <w:r w:rsidRPr="0052589A">
        <w:rPr>
          <w:sz w:val="24"/>
          <w:szCs w:val="24"/>
        </w:rPr>
        <w:t>, ed. V, (Jakarta: Balai Pustaka, 2016).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  <w:lang w:val="sv-SE"/>
        </w:rPr>
      </w:pPr>
      <w:r w:rsidRPr="0052589A">
        <w:rPr>
          <w:sz w:val="24"/>
          <w:szCs w:val="24"/>
          <w:lang w:val="sv-SE"/>
        </w:rPr>
        <w:t xml:space="preserve">Koentjaraningrat, </w:t>
      </w:r>
      <w:r w:rsidRPr="0052589A">
        <w:rPr>
          <w:i/>
          <w:sz w:val="24"/>
          <w:szCs w:val="24"/>
          <w:lang w:val="sv-SE"/>
        </w:rPr>
        <w:t xml:space="preserve">Metode-Metode Penelitian Masyarakat, </w:t>
      </w:r>
      <w:r w:rsidRPr="0052589A">
        <w:rPr>
          <w:sz w:val="24"/>
          <w:szCs w:val="24"/>
          <w:lang w:val="sv-SE"/>
        </w:rPr>
        <w:t>(Jakarta, PT Gramedia, 1985).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  <w:lang w:val="sv-SE"/>
        </w:rPr>
      </w:pPr>
      <w:r w:rsidRPr="0052589A">
        <w:rPr>
          <w:sz w:val="24"/>
          <w:szCs w:val="24"/>
        </w:rPr>
        <w:t xml:space="preserve">Lexy J. Moleong, </w:t>
      </w:r>
      <w:r w:rsidRPr="0052589A">
        <w:rPr>
          <w:i/>
          <w:iCs/>
          <w:sz w:val="24"/>
          <w:szCs w:val="24"/>
        </w:rPr>
        <w:t xml:space="preserve">Metodelogi Penelitian Kualitatif”, </w:t>
      </w:r>
      <w:r w:rsidRPr="0052589A">
        <w:rPr>
          <w:sz w:val="24"/>
          <w:szCs w:val="24"/>
        </w:rPr>
        <w:t xml:space="preserve">(Bandung : PT. </w:t>
      </w:r>
      <w:r w:rsidRPr="0052589A">
        <w:rPr>
          <w:sz w:val="24"/>
          <w:szCs w:val="24"/>
          <w:lang w:val="sv-SE"/>
        </w:rPr>
        <w:t>Remaja Rosdakarya, 2019).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Lilik Mulyadi, </w:t>
      </w:r>
      <w:r w:rsidRPr="0052589A">
        <w:rPr>
          <w:i/>
          <w:iCs/>
          <w:sz w:val="24"/>
          <w:szCs w:val="24"/>
        </w:rPr>
        <w:t>Kode Etik Profesi dalam Penegakan Hukum di Indonesia</w:t>
      </w:r>
      <w:r w:rsidRPr="0052589A">
        <w:rPr>
          <w:sz w:val="24"/>
          <w:szCs w:val="24"/>
        </w:rPr>
        <w:t>, (Bandung: Alumni, 2018).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Maria Ulfah, dkk, “Sistem Pertanggungjawaban Hukum Kepolisian Negara Republik Indonesia Secara Organisasional Maupun Personal” penelitian dan pengabdian masyarakat (Bandung:univesitas khatolik parayangan, 2013).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M. Hidayat, </w:t>
      </w:r>
      <w:r w:rsidRPr="0052589A">
        <w:rPr>
          <w:i/>
          <w:iCs/>
          <w:sz w:val="24"/>
          <w:szCs w:val="24"/>
        </w:rPr>
        <w:t>Polri dan Penggunaan Kekuatan dalam Penegakan Hukum</w:t>
      </w:r>
      <w:r w:rsidRPr="0052589A">
        <w:rPr>
          <w:sz w:val="24"/>
          <w:szCs w:val="24"/>
        </w:rPr>
        <w:t>, (Jakarta: Sinar Grafika, 2017).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Moeljatno, </w:t>
      </w:r>
      <w:r w:rsidRPr="0052589A">
        <w:rPr>
          <w:i/>
          <w:iCs/>
          <w:sz w:val="24"/>
          <w:szCs w:val="24"/>
        </w:rPr>
        <w:t>Asas-Asas Hukum Pidana</w:t>
      </w:r>
      <w:r w:rsidRPr="0052589A">
        <w:rPr>
          <w:sz w:val="24"/>
          <w:szCs w:val="24"/>
        </w:rPr>
        <w:t>, (Jakarta: Rineka Cipta, 2008).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Mulyana, A, </w:t>
      </w:r>
      <w:r w:rsidRPr="0052589A">
        <w:rPr>
          <w:i/>
          <w:iCs/>
          <w:sz w:val="24"/>
          <w:szCs w:val="24"/>
        </w:rPr>
        <w:t>Kode Etik Kepolisian dan Implementasinya dalam Praktik Penegakan Hukum</w:t>
      </w:r>
      <w:r w:rsidRPr="0052589A">
        <w:rPr>
          <w:sz w:val="24"/>
          <w:szCs w:val="24"/>
        </w:rPr>
        <w:t>. (Jakarta: Sinar Grafika, 2014).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Nasution, M. </w:t>
      </w:r>
      <w:r w:rsidRPr="0052589A">
        <w:rPr>
          <w:i/>
          <w:sz w:val="24"/>
          <w:szCs w:val="24"/>
        </w:rPr>
        <w:t>Kode Etik Profesi Kepolisian Indonesia</w:t>
      </w:r>
      <w:r w:rsidRPr="0052589A">
        <w:rPr>
          <w:sz w:val="24"/>
          <w:szCs w:val="24"/>
        </w:rPr>
        <w:t>. (Jakarta: Sinar Grafika, 2010).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  <w:lang w:val="sv-SE"/>
        </w:rPr>
      </w:pPr>
      <w:r w:rsidRPr="0052589A">
        <w:rPr>
          <w:sz w:val="24"/>
          <w:szCs w:val="24"/>
          <w:lang w:val="sv-SE"/>
        </w:rPr>
        <w:t>Nazar, Bakry, Tuntunan Praktis Metodologi Penelitian. (Jakarta: Pedoman Ilmu Jaya, 1994).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  <w:lang w:val="sv-SE"/>
        </w:rPr>
        <w:t xml:space="preserve">Peter Mahmud Marzuki, </w:t>
      </w:r>
      <w:r w:rsidRPr="0052589A">
        <w:rPr>
          <w:i/>
          <w:sz w:val="24"/>
          <w:szCs w:val="24"/>
          <w:lang w:val="sv-SE"/>
        </w:rPr>
        <w:t xml:space="preserve">Pengantar Ilmu Hukum, </w:t>
      </w:r>
      <w:r w:rsidRPr="0052589A">
        <w:rPr>
          <w:sz w:val="24"/>
          <w:szCs w:val="24"/>
          <w:lang w:val="sv-SE"/>
        </w:rPr>
        <w:t>Jakarta : Prenadamedia Group, 2017.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Ridwan, H.R., </w:t>
      </w:r>
      <w:r w:rsidRPr="0052589A">
        <w:rPr>
          <w:i/>
          <w:iCs/>
          <w:sz w:val="24"/>
          <w:szCs w:val="24"/>
        </w:rPr>
        <w:t>Etika Profesi Hukum</w:t>
      </w:r>
      <w:r w:rsidRPr="0052589A">
        <w:rPr>
          <w:sz w:val="24"/>
          <w:szCs w:val="24"/>
        </w:rPr>
        <w:t>, (Yogyakarta: FH UII Press, 2012).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Romli Atmasasmita, “Reformasi Hukum, Hak Azazi Manusia dan Penegakkan Hukum”, (Bandung: Mandar Maju, 2001).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R. Soesilo. </w:t>
      </w:r>
      <w:r w:rsidRPr="0052589A">
        <w:rPr>
          <w:i/>
          <w:iCs/>
          <w:sz w:val="24"/>
          <w:szCs w:val="24"/>
        </w:rPr>
        <w:t>Kitab Undang-Undang Hukum Pidana (KUHP) serta Komentar-Komentarnya</w:t>
      </w:r>
      <w:r w:rsidRPr="0052589A">
        <w:rPr>
          <w:sz w:val="24"/>
          <w:szCs w:val="24"/>
        </w:rPr>
        <w:t>.(Jakarta: Politeia, 1996).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R. Prasetyo, </w:t>
      </w:r>
      <w:r w:rsidRPr="0052589A">
        <w:rPr>
          <w:i/>
          <w:iCs/>
          <w:sz w:val="24"/>
          <w:szCs w:val="24"/>
        </w:rPr>
        <w:t>Akuntabilitas dan Transparansi dalam Penegakan Hukum Polri</w:t>
      </w:r>
      <w:r w:rsidRPr="0052589A">
        <w:rPr>
          <w:sz w:val="24"/>
          <w:szCs w:val="24"/>
        </w:rPr>
        <w:t xml:space="preserve">, (Jakarta: </w:t>
      </w:r>
      <w:r w:rsidRPr="0052589A">
        <w:rPr>
          <w:sz w:val="24"/>
          <w:szCs w:val="24"/>
        </w:rPr>
        <w:lastRenderedPageBreak/>
        <w:t>Bumi Aksara, 2016).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Sadjijono, Etika Profesi Hukum: Suatu Telah Filosofis terhadap Konsep dan Implementasi Kode Etik Profesi POLRI, (LaksbangM ediatama, Yogyakarta, 2008).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Saydam., “Manajemen Sumber Daya Manusia”, (Jakarta: Djambatan, 2000).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S. H. Lumbantoruan, Hukum Disiplin dan Kode Etik Kepolisian, (Yogyakarta: Pustaka Pelajar, 2019).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Sitompul, E. </w:t>
      </w:r>
      <w:r w:rsidRPr="0052589A">
        <w:rPr>
          <w:i/>
          <w:iCs/>
          <w:sz w:val="24"/>
          <w:szCs w:val="24"/>
        </w:rPr>
        <w:t>Penyelidikan dan Penyidikan dalam Sistem Hukum Pidana Indonesia</w:t>
      </w:r>
      <w:r w:rsidRPr="0052589A">
        <w:rPr>
          <w:sz w:val="24"/>
          <w:szCs w:val="24"/>
        </w:rPr>
        <w:t>. (Yogyakarta: UGM Press, 2018).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  <w:lang w:val="sv-SE"/>
        </w:rPr>
        <w:t xml:space="preserve">Soesilo, </w:t>
      </w:r>
      <w:r w:rsidRPr="0052589A">
        <w:rPr>
          <w:i/>
          <w:iCs/>
          <w:sz w:val="24"/>
          <w:szCs w:val="24"/>
          <w:lang w:val="sv-SE"/>
        </w:rPr>
        <w:t>Kitab Undang-Undang Hukum Pidana (KUHP) serta Komentar-Komentarnya Lengkap Pasal demi Pasal</w:t>
      </w:r>
      <w:r w:rsidRPr="0052589A">
        <w:rPr>
          <w:sz w:val="24"/>
          <w:szCs w:val="24"/>
          <w:lang w:val="sv-SE"/>
        </w:rPr>
        <w:t>, (Bogor: Politeia, 2007).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Soekanto, Soerjono dan Mamudji, Sri, </w:t>
      </w:r>
      <w:r w:rsidRPr="0052589A">
        <w:rPr>
          <w:i/>
          <w:iCs/>
          <w:sz w:val="24"/>
          <w:szCs w:val="24"/>
        </w:rPr>
        <w:t>Penelitian Hukum Normatif</w:t>
      </w:r>
      <w:r w:rsidRPr="0052589A">
        <w:rPr>
          <w:sz w:val="24"/>
          <w:szCs w:val="24"/>
        </w:rPr>
        <w:t>, (Jakarta: Rajawali Pers, 2001).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Soekanto, Soerjono. </w:t>
      </w:r>
      <w:r w:rsidRPr="0052589A">
        <w:rPr>
          <w:i/>
          <w:iCs/>
          <w:sz w:val="24"/>
          <w:szCs w:val="24"/>
        </w:rPr>
        <w:t>Sosiologi Suatu Pengantar</w:t>
      </w:r>
      <w:r w:rsidRPr="0052589A">
        <w:rPr>
          <w:sz w:val="24"/>
          <w:szCs w:val="24"/>
        </w:rPr>
        <w:t>. (Jakarta: Rajawali Pers, 2013).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Soerjono Soekanto, Pokok-Pokok Hukum Indonesia, (Jakarta: Rajawali Pers, 2011).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Soerjono Soekanto dalam Buku Abdulkadir Muhammad</w:t>
      </w:r>
      <w:r w:rsidRPr="0052589A">
        <w:rPr>
          <w:i/>
          <w:iCs/>
          <w:sz w:val="24"/>
          <w:szCs w:val="24"/>
        </w:rPr>
        <w:t xml:space="preserve">Hukum dan Penelitian Hukum, </w:t>
      </w:r>
      <w:r w:rsidRPr="0052589A">
        <w:rPr>
          <w:sz w:val="24"/>
          <w:szCs w:val="24"/>
        </w:rPr>
        <w:t>(Bandung : Citra Aditya Bakti, 2004).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Sudirman, S.H., Kode Etik Profesi Polri: Pengaruh Terhadap Profesionalisme Kepolisian, (Yogyakarta: UGM Press, 2018).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Sudirman, A. Pengaturan Hak Asasi Manusia dalam Penegakan Hukum Kepolisian. (Bandung: Alfabeta, 2017).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Soerjono Soekanto, Pokok-Pokok Hukum Indonesia,( Jakarta: Rajawali Pers, 2011.)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Tantowi Yahya, Etika Profesi Kepolisian, (Jakarta: PT Raja Grafindo Persada, 2014).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Wahyudi, </w:t>
      </w:r>
      <w:r w:rsidRPr="0052589A">
        <w:rPr>
          <w:i/>
          <w:iCs/>
          <w:sz w:val="24"/>
          <w:szCs w:val="24"/>
        </w:rPr>
        <w:t>Etika Profesi Kepolisian dalam Penegakan Hukum</w:t>
      </w:r>
      <w:r w:rsidRPr="0052589A">
        <w:rPr>
          <w:sz w:val="24"/>
          <w:szCs w:val="24"/>
        </w:rPr>
        <w:t>, (Jakarta: Prenada Media, 2018).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Wibowo, D. </w:t>
      </w:r>
      <w:r w:rsidRPr="0052589A">
        <w:rPr>
          <w:i/>
          <w:sz w:val="24"/>
          <w:szCs w:val="24"/>
        </w:rPr>
        <w:t>Manajemen Disiplin Anggota Polri</w:t>
      </w:r>
      <w:r w:rsidRPr="0052589A">
        <w:rPr>
          <w:sz w:val="24"/>
          <w:szCs w:val="24"/>
        </w:rPr>
        <w:t>.( Yogyakarta: Graha Ilmu, 2015).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lastRenderedPageBreak/>
        <w:t xml:space="preserve">Wiyata, M. </w:t>
      </w:r>
      <w:r w:rsidRPr="0052589A">
        <w:rPr>
          <w:i/>
          <w:iCs/>
          <w:sz w:val="24"/>
          <w:szCs w:val="24"/>
        </w:rPr>
        <w:t>Pengawasan dan Penegakan Kode Etik Kepolisian di Indonesia</w:t>
      </w:r>
      <w:r w:rsidRPr="0052589A">
        <w:rPr>
          <w:sz w:val="24"/>
          <w:szCs w:val="24"/>
        </w:rPr>
        <w:t>. (Bandung: Refika Aditama, 2015).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Wicaksono, B, </w:t>
      </w:r>
      <w:r w:rsidRPr="0052589A">
        <w:rPr>
          <w:i/>
          <w:iCs/>
          <w:sz w:val="24"/>
          <w:szCs w:val="24"/>
        </w:rPr>
        <w:t>Etika Profesi Kepolisian: Refleksi Nilai Tribrata dan Catur Prasetya</w:t>
      </w:r>
      <w:r w:rsidRPr="0052589A">
        <w:rPr>
          <w:sz w:val="24"/>
          <w:szCs w:val="24"/>
        </w:rPr>
        <w:t>. (Jakarta: Lembaga Kajian Hukum Kepolisian), 2022.</w:t>
      </w:r>
    </w:p>
    <w:p w:rsidR="00C10182" w:rsidRPr="0052589A" w:rsidRDefault="00C10182" w:rsidP="00C10182">
      <w:pPr>
        <w:spacing w:line="480" w:lineRule="auto"/>
        <w:ind w:left="720"/>
        <w:jc w:val="both"/>
        <w:rPr>
          <w:sz w:val="24"/>
          <w:szCs w:val="24"/>
        </w:rPr>
      </w:pPr>
    </w:p>
    <w:p w:rsidR="00C10182" w:rsidRPr="0052589A" w:rsidRDefault="00C10182" w:rsidP="00FF1FCE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sz w:val="24"/>
          <w:szCs w:val="24"/>
        </w:rPr>
      </w:pPr>
      <w:r w:rsidRPr="0052589A">
        <w:rPr>
          <w:b/>
          <w:sz w:val="24"/>
          <w:szCs w:val="24"/>
        </w:rPr>
        <w:t>PeraturanPerundang-</w:t>
      </w:r>
      <w:r w:rsidRPr="0052589A">
        <w:rPr>
          <w:b/>
          <w:spacing w:val="-2"/>
          <w:sz w:val="24"/>
          <w:szCs w:val="24"/>
        </w:rPr>
        <w:t>undangan</w:t>
      </w:r>
    </w:p>
    <w:p w:rsidR="00C10182" w:rsidRPr="0052589A" w:rsidRDefault="00C10182" w:rsidP="00C10182">
      <w:pPr>
        <w:spacing w:line="480" w:lineRule="auto"/>
        <w:ind w:left="45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Undang-Undnag Dasar 1945.</w:t>
      </w:r>
    </w:p>
    <w:p w:rsidR="00C10182" w:rsidRPr="0052589A" w:rsidRDefault="00C10182" w:rsidP="00C10182">
      <w:pPr>
        <w:spacing w:line="480" w:lineRule="auto"/>
        <w:ind w:left="45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Undang-Undang Nomor 2 Tahun 2002 tentang Kepolisian Negara Republik Indonesia</w:t>
      </w:r>
    </w:p>
    <w:p w:rsidR="00C10182" w:rsidRPr="0052589A" w:rsidRDefault="00C10182" w:rsidP="00C10182">
      <w:pPr>
        <w:spacing w:line="480" w:lineRule="auto"/>
        <w:ind w:left="45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Undang-Undang Nomor 39 Tahun 1999 tentang Hak Asasi Manusia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Peraturan Kepolisian Negara Republik Indonesia Nomor 7 Tahun 2022 Tentang Kode Etik Profesi dan Komisi Kode Etik Kepolisian Negara Republik Indonesia</w:t>
      </w:r>
    </w:p>
    <w:p w:rsidR="00C10182" w:rsidRPr="0052589A" w:rsidRDefault="00C10182" w:rsidP="00C10182">
      <w:pPr>
        <w:spacing w:line="480" w:lineRule="auto"/>
        <w:ind w:left="1080" w:hanging="63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Peraturan Pemerintah Nomor 2 Tahun 2003 tentang Peraturan Disiplin Anggota Kepolisian Negara Republik Indonesia.</w:t>
      </w:r>
    </w:p>
    <w:p w:rsidR="00C10182" w:rsidRPr="0052589A" w:rsidRDefault="00C10182" w:rsidP="00C10182">
      <w:pPr>
        <w:spacing w:line="480" w:lineRule="auto"/>
        <w:ind w:left="450"/>
        <w:jc w:val="both"/>
        <w:rPr>
          <w:spacing w:val="-7"/>
          <w:sz w:val="24"/>
          <w:szCs w:val="24"/>
        </w:rPr>
      </w:pPr>
      <w:r w:rsidRPr="0052589A">
        <w:rPr>
          <w:sz w:val="24"/>
          <w:szCs w:val="24"/>
        </w:rPr>
        <w:t>Kitab Undang-Undang Hukum Pidana</w:t>
      </w:r>
    </w:p>
    <w:p w:rsidR="00C10182" w:rsidRPr="0052589A" w:rsidRDefault="00C10182" w:rsidP="00C10182">
      <w:pPr>
        <w:spacing w:line="480" w:lineRule="auto"/>
        <w:ind w:left="720"/>
        <w:jc w:val="both"/>
        <w:rPr>
          <w:sz w:val="24"/>
          <w:szCs w:val="24"/>
        </w:rPr>
      </w:pPr>
    </w:p>
    <w:p w:rsidR="00C10182" w:rsidRPr="0052589A" w:rsidRDefault="00C10182" w:rsidP="00FF1FCE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sz w:val="24"/>
          <w:szCs w:val="24"/>
        </w:rPr>
      </w:pPr>
      <w:r w:rsidRPr="0052589A">
        <w:rPr>
          <w:b/>
          <w:spacing w:val="-2"/>
          <w:sz w:val="24"/>
          <w:szCs w:val="24"/>
        </w:rPr>
        <w:t>Jurnal</w:t>
      </w:r>
    </w:p>
    <w:p w:rsidR="00C10182" w:rsidRPr="0052589A" w:rsidRDefault="00C10182" w:rsidP="00C10182">
      <w:pPr>
        <w:spacing w:line="480" w:lineRule="auto"/>
        <w:ind w:left="1080" w:hanging="72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Gunawan, A., “Fenomena Code of Silence dalam Institusi Penegak Hukum”. </w:t>
      </w:r>
      <w:r w:rsidRPr="0052589A">
        <w:rPr>
          <w:i/>
          <w:iCs/>
          <w:sz w:val="24"/>
          <w:szCs w:val="24"/>
        </w:rPr>
        <w:t>Jurnal Kriminologi Indonesia</w:t>
      </w:r>
      <w:r w:rsidRPr="0052589A">
        <w:rPr>
          <w:sz w:val="24"/>
          <w:szCs w:val="24"/>
        </w:rPr>
        <w:t>, Vol. 16, No.2.</w:t>
      </w:r>
    </w:p>
    <w:p w:rsidR="00C10182" w:rsidRPr="0052589A" w:rsidRDefault="00C10182" w:rsidP="00C10182">
      <w:pPr>
        <w:spacing w:line="480" w:lineRule="auto"/>
        <w:ind w:left="1080" w:hanging="72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>M. Djamil S. Pasaribu, “Pengawasan Disiplin Kepolisian di Indonesia,</w:t>
      </w:r>
      <w:r w:rsidRPr="0052589A">
        <w:rPr>
          <w:i/>
          <w:sz w:val="24"/>
          <w:szCs w:val="24"/>
        </w:rPr>
        <w:t>” Jurnal Hukum &amp; Keadilan</w:t>
      </w:r>
      <w:r w:rsidRPr="0052589A">
        <w:rPr>
          <w:sz w:val="24"/>
          <w:szCs w:val="24"/>
        </w:rPr>
        <w:t>”, Vol. 5, No. 2, 2019.</w:t>
      </w:r>
    </w:p>
    <w:p w:rsidR="00C10182" w:rsidRPr="0052589A" w:rsidRDefault="00C10182" w:rsidP="00C10182">
      <w:pPr>
        <w:spacing w:line="480" w:lineRule="auto"/>
        <w:ind w:left="1080" w:hanging="72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Niken Purwanti, “Urgensi Integritas Polri dalam Mewujudkan Good Governance”, </w:t>
      </w:r>
      <w:r w:rsidRPr="0052589A">
        <w:rPr>
          <w:i/>
          <w:iCs/>
          <w:sz w:val="24"/>
          <w:szCs w:val="24"/>
        </w:rPr>
        <w:t>Jurnal Hukum &amp; Etika Profesi</w:t>
      </w:r>
      <w:r w:rsidRPr="0052589A">
        <w:rPr>
          <w:sz w:val="24"/>
          <w:szCs w:val="24"/>
        </w:rPr>
        <w:t>, Vol. 4 No. 2 (2020).</w:t>
      </w:r>
    </w:p>
    <w:p w:rsidR="00C10182" w:rsidRPr="0052589A" w:rsidRDefault="00C10182" w:rsidP="00C10182">
      <w:pPr>
        <w:spacing w:line="480" w:lineRule="auto"/>
        <w:ind w:left="1080" w:hanging="72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Nurcholis, M. “Kode Etik Kepolisian dan Media Sosial: Studi terhadap Perilaku Digital Personel Polri”. </w:t>
      </w:r>
      <w:r w:rsidRPr="0052589A">
        <w:rPr>
          <w:i/>
          <w:iCs/>
          <w:sz w:val="24"/>
          <w:szCs w:val="24"/>
        </w:rPr>
        <w:t>Jurnal Media dan Hukum</w:t>
      </w:r>
      <w:r w:rsidRPr="0052589A">
        <w:rPr>
          <w:sz w:val="24"/>
          <w:szCs w:val="24"/>
        </w:rPr>
        <w:t>, Vol.7, No. 1, 2019.</w:t>
      </w:r>
    </w:p>
    <w:p w:rsidR="00C10182" w:rsidRPr="0052589A" w:rsidRDefault="00C10182" w:rsidP="00C10182">
      <w:pPr>
        <w:spacing w:line="480" w:lineRule="auto"/>
        <w:ind w:left="1080" w:hanging="72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Sahal, S. “Evaluasi Pelaksanaan Kode Etik Polri dalam Penanganan Tindak Pidana oleh </w:t>
      </w:r>
      <w:r w:rsidRPr="0052589A">
        <w:rPr>
          <w:sz w:val="24"/>
          <w:szCs w:val="24"/>
        </w:rPr>
        <w:lastRenderedPageBreak/>
        <w:t>Brimob”.</w:t>
      </w:r>
      <w:r w:rsidRPr="0052589A">
        <w:rPr>
          <w:i/>
          <w:iCs/>
          <w:sz w:val="24"/>
          <w:szCs w:val="24"/>
        </w:rPr>
        <w:t>Jurnal Hukum dan Etika Profesi</w:t>
      </w:r>
      <w:r w:rsidRPr="0052589A">
        <w:rPr>
          <w:sz w:val="24"/>
          <w:szCs w:val="24"/>
        </w:rPr>
        <w:t>, Vol. 2, No.1, 2021.</w:t>
      </w:r>
    </w:p>
    <w:p w:rsidR="00C10182" w:rsidRPr="0052589A" w:rsidRDefault="00C10182" w:rsidP="00C10182">
      <w:pPr>
        <w:spacing w:line="480" w:lineRule="auto"/>
        <w:jc w:val="both"/>
        <w:rPr>
          <w:sz w:val="24"/>
          <w:szCs w:val="24"/>
        </w:rPr>
      </w:pPr>
    </w:p>
    <w:p w:rsidR="00C10182" w:rsidRPr="0052589A" w:rsidRDefault="00C10182" w:rsidP="00FF1FCE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bCs/>
          <w:sz w:val="24"/>
          <w:szCs w:val="24"/>
        </w:rPr>
      </w:pPr>
      <w:r w:rsidRPr="0052589A">
        <w:rPr>
          <w:b/>
          <w:bCs/>
          <w:sz w:val="24"/>
          <w:szCs w:val="24"/>
        </w:rPr>
        <w:t>Internet</w:t>
      </w:r>
    </w:p>
    <w:p w:rsidR="00C10182" w:rsidRPr="0052589A" w:rsidRDefault="00C10182" w:rsidP="00C10182">
      <w:pPr>
        <w:spacing w:line="480" w:lineRule="auto"/>
        <w:ind w:left="1170" w:hanging="81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Bidhumas, “Polri Tegakkan Kode Etik Kasus DWP 2024”, </w:t>
      </w:r>
      <w:hyperlink r:id="rId7" w:history="1">
        <w:r w:rsidRPr="0052589A">
          <w:rPr>
            <w:rStyle w:val="Hyperlink"/>
            <w:sz w:val="24"/>
            <w:szCs w:val="24"/>
          </w:rPr>
          <w:t>Polri Tegakkan Kode Etik Kasus DWP 2024: Sidang KKEP Hasilkan Putusan Penting</w:t>
        </w:r>
      </w:hyperlink>
      <w:r w:rsidRPr="0052589A">
        <w:rPr>
          <w:sz w:val="24"/>
          <w:szCs w:val="24"/>
        </w:rPr>
        <w:t>, Diakses pada Minggu 16 Februari 2025.</w:t>
      </w:r>
    </w:p>
    <w:p w:rsidR="00C10182" w:rsidRPr="0052589A" w:rsidRDefault="00C10182" w:rsidP="00C10182">
      <w:pPr>
        <w:spacing w:line="480" w:lineRule="auto"/>
        <w:ind w:left="1080" w:hanging="360"/>
        <w:jc w:val="both"/>
        <w:rPr>
          <w:sz w:val="24"/>
          <w:szCs w:val="24"/>
        </w:rPr>
      </w:pPr>
      <w:r w:rsidRPr="0052589A">
        <w:rPr>
          <w:sz w:val="24"/>
          <w:szCs w:val="24"/>
        </w:rPr>
        <w:t xml:space="preserve">JDIH (Jaringan Dokumentasi dan Informasi Hukum).Diakses dari </w:t>
      </w:r>
      <w:hyperlink r:id="rId8" w:history="1">
        <w:r w:rsidRPr="0052589A">
          <w:rPr>
            <w:rStyle w:val="Hyperlink"/>
            <w:sz w:val="24"/>
            <w:szCs w:val="24"/>
          </w:rPr>
          <w:t>https://www.jdih.setneg.go.id</w:t>
        </w:r>
      </w:hyperlink>
      <w:r w:rsidRPr="0052589A">
        <w:rPr>
          <w:sz w:val="24"/>
          <w:szCs w:val="24"/>
        </w:rPr>
        <w:t>.Diakses pada Minggu 16 Februari 2025.</w:t>
      </w:r>
    </w:p>
    <w:p w:rsidR="00C10182" w:rsidRPr="0052589A" w:rsidRDefault="00C10182" w:rsidP="00C10182">
      <w:pPr>
        <w:spacing w:line="480" w:lineRule="auto"/>
        <w:ind w:left="720"/>
        <w:jc w:val="both"/>
        <w:rPr>
          <w:sz w:val="24"/>
          <w:szCs w:val="24"/>
        </w:rPr>
      </w:pPr>
    </w:p>
    <w:p w:rsidR="00C10182" w:rsidRDefault="00C10182" w:rsidP="00C10182">
      <w:pPr>
        <w:spacing w:before="60"/>
        <w:ind w:left="477" w:right="3"/>
        <w:jc w:val="center"/>
        <w:rPr>
          <w:sz w:val="24"/>
          <w:szCs w:val="24"/>
        </w:rPr>
        <w:sectPr w:rsidR="00C10182" w:rsidSect="00C913B0">
          <w:pgSz w:w="11910" w:h="16840"/>
          <w:pgMar w:top="1640" w:right="1417" w:bottom="1200" w:left="1275" w:header="0" w:footer="1014" w:gutter="0"/>
          <w:cols w:space="720"/>
        </w:sectPr>
      </w:pPr>
      <w:r>
        <w:rPr>
          <w:sz w:val="24"/>
          <w:szCs w:val="24"/>
        </w:rPr>
        <w:br w:type="page"/>
      </w:r>
    </w:p>
    <w:p w:rsidR="00C10182" w:rsidRDefault="00C10182" w:rsidP="00C10182">
      <w:pPr>
        <w:spacing w:before="60"/>
        <w:ind w:left="477" w:right="3"/>
        <w:jc w:val="center"/>
        <w:rPr>
          <w:sz w:val="24"/>
          <w:szCs w:val="24"/>
          <w:lang w:val="id-ID"/>
        </w:rPr>
        <w:sectPr w:rsidR="00C10182" w:rsidSect="00C913B0">
          <w:pgSz w:w="11910" w:h="16840"/>
          <w:pgMar w:top="1640" w:right="1417" w:bottom="1200" w:left="1275" w:header="0" w:footer="1014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-66040</wp:posOffset>
            </wp:positionV>
            <wp:extent cx="6161405" cy="8474075"/>
            <wp:effectExtent l="0" t="0" r="0" b="3175"/>
            <wp:wrapNone/>
            <wp:docPr id="21" name="Picture 21" descr="C:\Users\OPERATOR\Pictures\2025-11-19\2025-11-19 09-19-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ATOR\Pictures\2025-11-19\2025-11-19 09-19-05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1405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182" w:rsidRPr="00DD3A14" w:rsidRDefault="00C10182" w:rsidP="00C10182">
      <w:pPr>
        <w:spacing w:before="60"/>
        <w:ind w:left="477" w:right="3"/>
        <w:jc w:val="center"/>
        <w:rPr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631190</wp:posOffset>
            </wp:positionH>
            <wp:positionV relativeFrom="paragraph">
              <wp:posOffset>-133985</wp:posOffset>
            </wp:positionV>
            <wp:extent cx="6400800" cy="8803005"/>
            <wp:effectExtent l="0" t="0" r="0" b="0"/>
            <wp:wrapNone/>
            <wp:docPr id="20" name="Picture 20" descr="C:\Users\OPERATOR\Pictures\2025-11-19\2025-11-19 09-19-2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ATOR\Pictures\2025-11-19\2025-11-19 09-19-27_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0800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182" w:rsidRPr="00DD3A14" w:rsidRDefault="00C10182" w:rsidP="00C10182">
      <w:pPr>
        <w:rPr>
          <w:sz w:val="24"/>
          <w:szCs w:val="24"/>
          <w:lang w:val="id-ID"/>
        </w:rPr>
      </w:pPr>
    </w:p>
    <w:p w:rsidR="00C10182" w:rsidRDefault="00C10182" w:rsidP="00C10182">
      <w:pPr>
        <w:rPr>
          <w:sz w:val="24"/>
          <w:szCs w:val="24"/>
          <w:lang w:val="id-ID"/>
        </w:rPr>
      </w:pPr>
    </w:p>
    <w:p w:rsidR="00C10182" w:rsidRDefault="00C10182" w:rsidP="00C10182">
      <w:pPr>
        <w:tabs>
          <w:tab w:val="left" w:pos="3806"/>
        </w:tabs>
        <w:rPr>
          <w:sz w:val="24"/>
          <w:szCs w:val="24"/>
          <w:lang w:val="id-ID"/>
        </w:rPr>
        <w:sectPr w:rsidR="00C10182" w:rsidSect="00C913B0">
          <w:pgSz w:w="11910" w:h="16840"/>
          <w:pgMar w:top="1640" w:right="1417" w:bottom="1200" w:left="1275" w:header="0" w:footer="1014" w:gutter="0"/>
          <w:cols w:space="720"/>
        </w:sectPr>
      </w:pPr>
      <w:r>
        <w:rPr>
          <w:sz w:val="24"/>
          <w:szCs w:val="24"/>
          <w:lang w:val="id-ID"/>
        </w:rPr>
        <w:tab/>
      </w:r>
    </w:p>
    <w:p w:rsidR="00C10182" w:rsidRPr="00DD3A14" w:rsidRDefault="00C10182" w:rsidP="00C10182">
      <w:pPr>
        <w:tabs>
          <w:tab w:val="left" w:pos="3806"/>
        </w:tabs>
        <w:rPr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565785</wp:posOffset>
            </wp:positionH>
            <wp:positionV relativeFrom="paragraph">
              <wp:posOffset>-275590</wp:posOffset>
            </wp:positionV>
            <wp:extent cx="5617210" cy="7725410"/>
            <wp:effectExtent l="0" t="0" r="2540" b="8890"/>
            <wp:wrapNone/>
            <wp:docPr id="19" name="Picture 19" descr="C:\Users\OPERATOR\Pictures\2025-11-19\2025-11-19 09-19-4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ERATOR\Pictures\2025-11-19\2025-11-19 09-19-44_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721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12D" w:rsidRPr="00C10182" w:rsidRDefault="009A4794" w:rsidP="00C10182">
      <w:bookmarkStart w:id="0" w:name="_GoBack"/>
      <w:bookmarkEnd w:id="0"/>
    </w:p>
    <w:sectPr w:rsidR="0012512D" w:rsidRPr="00C10182" w:rsidSect="009D33C8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794" w:rsidRDefault="009A4794" w:rsidP="003D43BE">
      <w:r>
        <w:separator/>
      </w:r>
    </w:p>
  </w:endnote>
  <w:endnote w:type="continuationSeparator" w:id="1">
    <w:p w:rsidR="009A4794" w:rsidRDefault="009A4794" w:rsidP="003D4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870" w:rsidRDefault="009A4794">
    <w:pPr>
      <w:pStyle w:val="Footer"/>
      <w:jc w:val="center"/>
    </w:pPr>
  </w:p>
  <w:p w:rsidR="00D67870" w:rsidRDefault="009A4794">
    <w:pPr>
      <w:pStyle w:val="Footer"/>
      <w:jc w:val="center"/>
    </w:pPr>
  </w:p>
  <w:p w:rsidR="00D67870" w:rsidRDefault="009A4794">
    <w:pPr>
      <w:pStyle w:val="Footer"/>
      <w:jc w:val="center"/>
    </w:pPr>
  </w:p>
  <w:p w:rsidR="00D67870" w:rsidRDefault="009A479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794" w:rsidRDefault="009A4794" w:rsidP="003D43BE">
      <w:r>
        <w:separator/>
      </w:r>
    </w:p>
  </w:footnote>
  <w:footnote w:type="continuationSeparator" w:id="1">
    <w:p w:rsidR="009A4794" w:rsidRDefault="009A4794" w:rsidP="003D4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C3" w:rsidRDefault="009D33C8">
    <w:pPr>
      <w:pStyle w:val="Header"/>
    </w:pPr>
    <w:r w:rsidRPr="009D33C8"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660" o:spid="_x0000_s2053" type="#_x0000_t75" style="position:absolute;margin-left:0;margin-top:0;width:460.6pt;height:454.2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C3" w:rsidRDefault="009D33C8">
    <w:pPr>
      <w:pStyle w:val="Header"/>
    </w:pPr>
    <w:r w:rsidRPr="009D33C8"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661" o:spid="_x0000_s2054" type="#_x0000_t75" style="position:absolute;margin-left:0;margin-top:0;width:460.6pt;height:454.2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C3" w:rsidRDefault="009D33C8">
    <w:pPr>
      <w:pStyle w:val="Header"/>
    </w:pPr>
    <w:r w:rsidRPr="009D33C8"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659" o:spid="_x0000_s2052" type="#_x0000_t75" style="position:absolute;margin-left:0;margin-top:0;width:460.6pt;height:454.2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7D7"/>
    <w:multiLevelType w:val="hybridMultilevel"/>
    <w:tmpl w:val="28103572"/>
    <w:lvl w:ilvl="0" w:tplc="A452791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cumentProtection w:edit="forms" w:enforcement="1" w:cryptProviderType="rsaFull" w:cryptAlgorithmClass="hash" w:cryptAlgorithmType="typeAny" w:cryptAlgorithmSid="4" w:cryptSpinCount="50000" w:hash="PbCzsSg3PKsWiNmhIQA3TBwNTW4=" w:salt="ulwyBwLFnq9g6QcQ3tju+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C5330"/>
    <w:rsid w:val="002468EE"/>
    <w:rsid w:val="00250189"/>
    <w:rsid w:val="00324A6F"/>
    <w:rsid w:val="003D43BE"/>
    <w:rsid w:val="0056688D"/>
    <w:rsid w:val="00755F14"/>
    <w:rsid w:val="00760637"/>
    <w:rsid w:val="009A4794"/>
    <w:rsid w:val="009D33C8"/>
    <w:rsid w:val="00C10182"/>
    <w:rsid w:val="00C80362"/>
    <w:rsid w:val="00C81894"/>
    <w:rsid w:val="00EC5330"/>
    <w:rsid w:val="00FA3BAA"/>
    <w:rsid w:val="00FF1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3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3D43BE"/>
    <w:pPr>
      <w:ind w:left="1541" w:hanging="5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C533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53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53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33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C53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330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First Level Outline,kepala,Light Grid - Accent 31 Char,kepala Char Char Char,kepala Char Char"/>
    <w:basedOn w:val="Normal"/>
    <w:link w:val="ListParagraphChar"/>
    <w:uiPriority w:val="34"/>
    <w:qFormat/>
    <w:rsid w:val="00C80362"/>
    <w:pPr>
      <w:ind w:left="2082" w:hanging="360"/>
    </w:pPr>
  </w:style>
  <w:style w:type="paragraph" w:customStyle="1" w:styleId="TableParagraph">
    <w:name w:val="Table Paragraph"/>
    <w:basedOn w:val="Normal"/>
    <w:uiPriority w:val="1"/>
    <w:qFormat/>
    <w:rsid w:val="00C80362"/>
  </w:style>
  <w:style w:type="character" w:customStyle="1" w:styleId="ListParagraphChar">
    <w:name w:val="List Paragraph Char"/>
    <w:aliases w:val="Body of text Char,First Level Outline Char,kepala Char,Light Grid - Accent 31 Char Char,kepala Char Char Char Char,kepala Char Char Char1"/>
    <w:basedOn w:val="DefaultParagraphFont"/>
    <w:link w:val="ListParagraph"/>
    <w:uiPriority w:val="1"/>
    <w:qFormat/>
    <w:locked/>
    <w:rsid w:val="00C80362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D43B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3D43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43B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43B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43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6688D"/>
    <w:rPr>
      <w:b/>
      <w:bCs/>
    </w:rPr>
  </w:style>
  <w:style w:type="character" w:styleId="Emphasis">
    <w:name w:val="Emphasis"/>
    <w:basedOn w:val="DefaultParagraphFont"/>
    <w:uiPriority w:val="20"/>
    <w:qFormat/>
    <w:rsid w:val="005668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3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3D43BE"/>
    <w:pPr>
      <w:ind w:left="1541" w:hanging="5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C533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53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53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33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C53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330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First Level Outline,kepala,Light Grid - Accent 31 Char,kepala Char Char Char,kepala Char Char"/>
    <w:basedOn w:val="Normal"/>
    <w:link w:val="ListParagraphChar"/>
    <w:uiPriority w:val="34"/>
    <w:qFormat/>
    <w:rsid w:val="00C80362"/>
    <w:pPr>
      <w:ind w:left="2082" w:hanging="360"/>
    </w:pPr>
  </w:style>
  <w:style w:type="paragraph" w:customStyle="1" w:styleId="TableParagraph">
    <w:name w:val="Table Paragraph"/>
    <w:basedOn w:val="Normal"/>
    <w:uiPriority w:val="1"/>
    <w:qFormat/>
    <w:rsid w:val="00C80362"/>
  </w:style>
  <w:style w:type="character" w:customStyle="1" w:styleId="ListParagraphChar">
    <w:name w:val="List Paragraph Char"/>
    <w:aliases w:val="Body of text Char,First Level Outline Char,kepala Char,Light Grid - Accent 31 Char Char,kepala Char Char Char Char,kepala Char Char Char1"/>
    <w:basedOn w:val="DefaultParagraphFont"/>
    <w:link w:val="ListParagraph"/>
    <w:uiPriority w:val="1"/>
    <w:qFormat/>
    <w:locked/>
    <w:rsid w:val="00C80362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D43B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3D43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43B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43B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43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6688D"/>
    <w:rPr>
      <w:b/>
      <w:bCs/>
    </w:rPr>
  </w:style>
  <w:style w:type="character" w:styleId="Emphasis">
    <w:name w:val="Emphasis"/>
    <w:basedOn w:val="DefaultParagraphFont"/>
    <w:uiPriority w:val="20"/>
    <w:qFormat/>
    <w:rsid w:val="0056688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dih.setneg.go.id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jogja.polri.go.id/polda/tribrata-news/online/detail/polri-tegakkan-kode-etik-kasus-dwp-2024--sidang-kkep-hasilkan-putusan-penting.html?utm_source=chatgpt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2025-12-04T08:47:00Z</dcterms:created>
  <dcterms:modified xsi:type="dcterms:W3CDTF">2025-12-04T08:47:00Z</dcterms:modified>
</cp:coreProperties>
</file>