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3F03" w:rsidRPr="00C678BC" w:rsidRDefault="001A3F03" w:rsidP="001A3F03">
      <w:pPr>
        <w:pStyle w:val="Heading2"/>
        <w:spacing w:before="0" w:after="0" w:line="480" w:lineRule="auto"/>
        <w:jc w:val="center"/>
        <w:rPr>
          <w:rFonts w:ascii="Times New Roman" w:hAnsi="Times New Roman"/>
          <w:i w:val="0"/>
          <w:color w:val="0D0D0D"/>
          <w:sz w:val="24"/>
          <w:szCs w:val="24"/>
          <w:lang w:val="en-US" w:eastAsia="x-none" w:bidi="ar-SA"/>
        </w:rPr>
      </w:pPr>
      <w:bookmarkStart w:id="0" w:name="_Toc199964744"/>
      <w:bookmarkStart w:id="1" w:name="_GoBack"/>
      <w:bookmarkEnd w:id="1"/>
      <w:r w:rsidRPr="00C678BC">
        <w:rPr>
          <w:rFonts w:ascii="Times New Roman" w:hAnsi="Times New Roman"/>
          <w:i w:val="0"/>
          <w:color w:val="0D0D0D"/>
          <w:sz w:val="24"/>
          <w:szCs w:val="24"/>
          <w:lang w:val="en-US" w:eastAsia="x-none" w:bidi="ar-SA"/>
        </w:rPr>
        <w:t>BAB V</w:t>
      </w:r>
      <w:bookmarkEnd w:id="0"/>
    </w:p>
    <w:p w:rsidR="001A3F03" w:rsidRPr="00C678BC" w:rsidRDefault="001A3F03" w:rsidP="001A3F03">
      <w:pPr>
        <w:pStyle w:val="Heading2"/>
        <w:spacing w:before="0" w:after="0" w:line="480" w:lineRule="auto"/>
        <w:jc w:val="center"/>
        <w:rPr>
          <w:rFonts w:ascii="Times New Roman" w:hAnsi="Times New Roman"/>
          <w:i w:val="0"/>
          <w:color w:val="0D0D0D"/>
          <w:sz w:val="24"/>
          <w:szCs w:val="24"/>
          <w:lang w:val="en-US" w:eastAsia="x-none" w:bidi="ar-SA"/>
        </w:rPr>
      </w:pPr>
      <w:bookmarkStart w:id="2" w:name="_Toc199964745"/>
      <w:r w:rsidRPr="00C678BC">
        <w:rPr>
          <w:rFonts w:ascii="Times New Roman" w:hAnsi="Times New Roman"/>
          <w:i w:val="0"/>
          <w:color w:val="0D0D0D"/>
          <w:sz w:val="24"/>
          <w:szCs w:val="24"/>
          <w:lang w:val="en-US" w:eastAsia="x-none" w:bidi="ar-SA"/>
        </w:rPr>
        <w:t>KESIMPULAN DAN SARAN</w:t>
      </w:r>
      <w:bookmarkEnd w:id="2"/>
    </w:p>
    <w:p w:rsidR="001A3F03" w:rsidRPr="00295218" w:rsidRDefault="001A3F03" w:rsidP="001A3F03">
      <w:pPr>
        <w:pStyle w:val="Heading2"/>
        <w:spacing w:before="0" w:after="0" w:line="480" w:lineRule="auto"/>
        <w:ind w:left="709" w:hanging="709"/>
        <w:jc w:val="both"/>
        <w:rPr>
          <w:rFonts w:ascii="Times New Roman" w:hAnsi="Times New Roman"/>
          <w:i w:val="0"/>
          <w:sz w:val="24"/>
          <w:szCs w:val="24"/>
          <w:lang w:val="en-US" w:eastAsia="x-none" w:bidi="ar-SA"/>
        </w:rPr>
      </w:pPr>
      <w:bookmarkStart w:id="3" w:name="_Toc199964746"/>
      <w:r w:rsidRPr="00295218">
        <w:rPr>
          <w:rFonts w:ascii="Times New Roman" w:hAnsi="Times New Roman"/>
          <w:i w:val="0"/>
          <w:sz w:val="24"/>
          <w:szCs w:val="24"/>
          <w:lang w:val="en-US" w:eastAsia="x-none" w:bidi="ar-SA"/>
        </w:rPr>
        <w:t>5.1</w:t>
      </w:r>
      <w:r w:rsidRPr="00295218">
        <w:rPr>
          <w:rFonts w:ascii="Times New Roman" w:hAnsi="Times New Roman"/>
          <w:i w:val="0"/>
          <w:sz w:val="24"/>
          <w:szCs w:val="24"/>
          <w:lang w:val="en-US" w:eastAsia="x-none" w:bidi="ar-SA"/>
        </w:rPr>
        <w:tab/>
        <w:t>Kesimpulan</w:t>
      </w:r>
      <w:bookmarkEnd w:id="3"/>
      <w:r w:rsidRPr="00295218">
        <w:rPr>
          <w:rFonts w:ascii="Times New Roman" w:hAnsi="Times New Roman"/>
          <w:i w:val="0"/>
          <w:sz w:val="24"/>
          <w:szCs w:val="24"/>
          <w:lang w:val="en-US" w:eastAsia="x-none" w:bidi="ar-SA"/>
        </w:rPr>
        <w:t xml:space="preserve"> </w:t>
      </w:r>
    </w:p>
    <w:p w:rsidR="001A3F03" w:rsidRDefault="001A3F03" w:rsidP="001A3F03">
      <w:pPr>
        <w:spacing w:line="480" w:lineRule="auto"/>
        <w:ind w:firstLine="709"/>
        <w:jc w:val="both"/>
        <w:rPr>
          <w:rFonts w:ascii="Times New Roman" w:hAnsi="Times New Roman" w:cs="Times New Roman"/>
          <w:lang w:val="en-US" w:eastAsia="x-none" w:bidi="ar-SA"/>
        </w:rPr>
      </w:pPr>
      <w:r w:rsidRPr="009D6D4E">
        <w:rPr>
          <w:rFonts w:ascii="Times New Roman" w:hAnsi="Times New Roman" w:cs="Times New Roman"/>
          <w:lang w:val="en-US" w:eastAsia="x-none" w:bidi="ar-SA"/>
        </w:rPr>
        <w:t>Berdasarkan analisis komprehensif terhadap data keuangan PTPN II Tanjung Morawa, dapat disimpulkan beberapa hal penting terkait ketiga rumusan masalah yang diteliti.</w:t>
      </w:r>
      <w:r w:rsidRPr="009D6D4E">
        <w:rPr>
          <w:rFonts w:ascii="Times New Roman" w:hAnsi="Times New Roman" w:cs="Times New Roman"/>
          <w:lang w:val="en-US" w:eastAsia="x-none" w:bidi="ar-SA"/>
        </w:rPr>
        <w:tab/>
      </w:r>
    </w:p>
    <w:p w:rsidR="001A3F03" w:rsidRPr="009D6D4E" w:rsidRDefault="001A3F03" w:rsidP="001A3F03">
      <w:pPr>
        <w:numPr>
          <w:ilvl w:val="6"/>
          <w:numId w:val="1"/>
        </w:numPr>
        <w:spacing w:line="480" w:lineRule="auto"/>
        <w:ind w:left="709" w:hanging="425"/>
        <w:jc w:val="both"/>
        <w:rPr>
          <w:rFonts w:ascii="Times New Roman" w:hAnsi="Times New Roman" w:cs="Times New Roman"/>
          <w:lang w:val="en-US" w:eastAsia="x-none" w:bidi="ar-SA"/>
        </w:rPr>
      </w:pPr>
      <w:r w:rsidRPr="009D6D4E">
        <w:rPr>
          <w:rFonts w:ascii="Times New Roman" w:hAnsi="Times New Roman" w:cs="Times New Roman"/>
          <w:lang w:val="en-US" w:eastAsia="x-none" w:bidi="ar-SA"/>
        </w:rPr>
        <w:t>Target Penjualan yang Harus Dicapai PTPN II Tanjung Morawa</w:t>
      </w:r>
    </w:p>
    <w:p w:rsidR="001A3F03" w:rsidRPr="009D6D4E" w:rsidRDefault="001A3F03" w:rsidP="001A3F03">
      <w:pPr>
        <w:spacing w:line="480" w:lineRule="auto"/>
        <w:ind w:left="709"/>
        <w:jc w:val="both"/>
        <w:rPr>
          <w:rFonts w:ascii="Times New Roman" w:hAnsi="Times New Roman" w:cs="Times New Roman"/>
          <w:lang w:val="en-US" w:eastAsia="x-none" w:bidi="ar-SA"/>
        </w:rPr>
      </w:pPr>
      <w:r w:rsidRPr="009D6D4E">
        <w:rPr>
          <w:rFonts w:ascii="Times New Roman" w:hAnsi="Times New Roman" w:cs="Times New Roman"/>
          <w:lang w:val="en-US" w:eastAsia="x-none" w:bidi="ar-SA"/>
        </w:rPr>
        <w:t xml:space="preserve">Berdasarkan analisis Break Even Point (BEP) yang telah dilakukan, PTPN II Tanjung Morawa harus mencapai target penjualan tertentu untuk mencapai titik impas dan meraih keuntungan yang direncanakan. Pada tahun 2023, untuk produk olahan sawit, perusahaan harus mampu menjual minimal 1.615 unit dengan nilai penjualan sebesar Rp 60.562.500 dan harga jual per unit sebesar Rp 37.500 untuk mencapai titik impas. Namun demikian, untuk mencapai laba yang direncanakan, target penjualan harus lebih tinggi yaitu 1.300.000 kg kelapa sawit dengan target laba Rp 1.200.000.000 dan 1.633.333 liter molase dengan target laba Rp 900.000.000. Total penjualan dalam rupiah yang harus dicapai untuk meraih laba yang diinginkan </w:t>
      </w:r>
      <w:r w:rsidRPr="009D6D4E">
        <w:rPr>
          <w:rFonts w:ascii="Times New Roman" w:hAnsi="Times New Roman" w:cs="Times New Roman"/>
          <w:lang w:val="en-US" w:eastAsia="x-none" w:bidi="ar-SA"/>
        </w:rPr>
        <w:lastRenderedPageBreak/>
        <w:t>adalah sebesar Rp 14.000.000.000.</w:t>
      </w:r>
    </w:p>
    <w:p w:rsidR="001A3F03" w:rsidRPr="009D6D4E" w:rsidRDefault="001A3F03" w:rsidP="001A3F03">
      <w:pPr>
        <w:numPr>
          <w:ilvl w:val="4"/>
          <w:numId w:val="1"/>
        </w:numPr>
        <w:spacing w:line="480" w:lineRule="auto"/>
        <w:ind w:left="709" w:hanging="425"/>
        <w:jc w:val="both"/>
        <w:rPr>
          <w:rFonts w:ascii="Times New Roman" w:hAnsi="Times New Roman" w:cs="Times New Roman"/>
          <w:lang w:val="en-US" w:eastAsia="x-none" w:bidi="ar-SA"/>
        </w:rPr>
      </w:pPr>
      <w:r w:rsidRPr="009D6D4E">
        <w:rPr>
          <w:rFonts w:ascii="Times New Roman" w:hAnsi="Times New Roman" w:cs="Times New Roman"/>
          <w:lang w:val="en-US" w:eastAsia="x-none" w:bidi="ar-SA"/>
        </w:rPr>
        <w:t>Margin of Safety pada PTPN II Tanjung Morawa</w:t>
      </w:r>
    </w:p>
    <w:p w:rsidR="001A3F03" w:rsidRDefault="001A3F03" w:rsidP="001A3F03">
      <w:pPr>
        <w:spacing w:line="480" w:lineRule="auto"/>
        <w:ind w:left="709"/>
        <w:jc w:val="both"/>
        <w:rPr>
          <w:rFonts w:ascii="Times New Roman" w:hAnsi="Times New Roman" w:cs="Times New Roman"/>
          <w:lang w:val="en-US" w:eastAsia="x-none" w:bidi="ar-SA"/>
        </w:rPr>
        <w:sectPr w:rsidR="001A3F03" w:rsidSect="001A3F03">
          <w:headerReference w:type="even" r:id="rId7"/>
          <w:headerReference w:type="default" r:id="rId8"/>
          <w:footerReference w:type="default" r:id="rId9"/>
          <w:headerReference w:type="first" r:id="rId10"/>
          <w:type w:val="continuous"/>
          <w:pgSz w:w="11900" w:h="16840" w:code="9"/>
          <w:pgMar w:top="2268" w:right="1701" w:bottom="1701" w:left="2268" w:header="851" w:footer="1275" w:gutter="0"/>
          <w:cols w:space="720"/>
          <w:noEndnote/>
          <w:docGrid w:linePitch="360"/>
        </w:sectPr>
      </w:pPr>
      <w:r w:rsidRPr="009D6D4E">
        <w:rPr>
          <w:rFonts w:ascii="Times New Roman" w:hAnsi="Times New Roman" w:cs="Times New Roman"/>
          <w:lang w:val="en-US" w:eastAsia="x-none" w:bidi="ar-SA"/>
        </w:rPr>
        <w:t xml:space="preserve">Margin of Safety merupakan indikator penting yang menunjukkan seberapa aman posisi keuangan perusahaan dengan mengukur selisih antara penjualan aktual dengan penjualan pada titik impas (BEP). Untuk mengetahui margin of safety pada PTPN II Tanjung Morawa, dapat </w:t>
      </w:r>
    </w:p>
    <w:p w:rsidR="001A3F03" w:rsidRDefault="001A3F03" w:rsidP="001A3F03">
      <w:pPr>
        <w:spacing w:line="480" w:lineRule="auto"/>
        <w:ind w:left="709"/>
        <w:jc w:val="both"/>
        <w:rPr>
          <w:rFonts w:ascii="Times New Roman" w:hAnsi="Times New Roman" w:cs="Times New Roman"/>
          <w:lang w:val="en-US" w:eastAsia="x-none" w:bidi="ar-SA"/>
        </w:rPr>
      </w:pPr>
      <w:r w:rsidRPr="009D6D4E">
        <w:rPr>
          <w:rFonts w:ascii="Times New Roman" w:hAnsi="Times New Roman" w:cs="Times New Roman"/>
          <w:lang w:val="en-US" w:eastAsia="x-none" w:bidi="ar-SA"/>
        </w:rPr>
        <w:lastRenderedPageBreak/>
        <w:t>menggunakan rumus: Margin of Safety = Penjualan Aktual - Penjualan BEP, yang kemudian dapat dinyatakan dalam persentase dengan membagi hasil tersebut dengan penjualan aktual dan dikalikan 100%. Berdasarkan data penjualan aktual tahun 2023 sebesar Rp 23.377.000.000 dan BEP sebesar Rp 14.000.000.000, maka margin of safety PTPN II adalah Rp 9.377.000.000 atau setara dengan 40,09%. Angka ini menunjukkan bahwa penjualan perusahaan dapat turun hingga 40,09% dari tingkat saat ini sebelum mengalami kerugian.</w:t>
      </w:r>
    </w:p>
    <w:p w:rsidR="001A3F03" w:rsidRPr="00245F45" w:rsidRDefault="001A3F03" w:rsidP="001A3F03">
      <w:pPr>
        <w:numPr>
          <w:ilvl w:val="0"/>
          <w:numId w:val="1"/>
        </w:numPr>
        <w:spacing w:line="480" w:lineRule="auto"/>
        <w:ind w:left="709" w:hanging="425"/>
        <w:jc w:val="both"/>
        <w:rPr>
          <w:rFonts w:ascii="Times New Roman" w:hAnsi="Times New Roman" w:cs="Times New Roman"/>
          <w:lang w:val="en-US" w:eastAsia="x-none" w:bidi="ar-SA"/>
        </w:rPr>
      </w:pPr>
      <w:r>
        <w:rPr>
          <w:rFonts w:ascii="Times New Roman" w:hAnsi="Times New Roman" w:cs="Times New Roman"/>
          <w:lang w:val="en-US" w:eastAsia="x-none" w:bidi="ar-SA"/>
        </w:rPr>
        <w:t xml:space="preserve"> </w:t>
      </w:r>
      <w:r w:rsidRPr="00245F45">
        <w:rPr>
          <w:rFonts w:ascii="Times New Roman" w:hAnsi="Times New Roman" w:cs="Times New Roman"/>
          <w:lang w:val="en-US" w:eastAsia="x-none" w:bidi="ar-SA"/>
        </w:rPr>
        <w:t xml:space="preserve">Mengingat data historis yang tersedia dalam dokumen hanya mencakup tahun 2023 dan 2024, perkiraan perencanaan laba untuk tahun 2020 dan 2022 harus dibuat berdasarkan proyeksi mundur (backcasting) dengan mempertimbangkan </w:t>
      </w:r>
      <w:r w:rsidRPr="00245F45">
        <w:rPr>
          <w:rFonts w:ascii="Times New Roman" w:hAnsi="Times New Roman" w:cs="Times New Roman"/>
          <w:lang w:val="en-US" w:eastAsia="x-none" w:bidi="ar-SA"/>
        </w:rPr>
        <w:lastRenderedPageBreak/>
        <w:t>tren pertumbuhan yang terlihat serta faktor-faktor eksternal yang mempengaruhi industri perkebunan kelapa sawit. Berdasarkan analisis tren pertumbuhan dari tahun 2023 ke 2024 yang menunjukkan peningkatan total penjualan dari Rp 23.377.000.000 menjadi Rp 26.087.000.000 atau sekitar 11,6%, dapat diasumsikan bahwa pertumbuhan rata-rata perusahaan berkisar antara 10-15% per tahun sebelum periode pandemi dan selama pemulihan ekonomi.</w:t>
      </w:r>
    </w:p>
    <w:p w:rsidR="001A3F03" w:rsidRPr="00DD0359" w:rsidRDefault="001A3F03" w:rsidP="001A3F03">
      <w:pPr>
        <w:pStyle w:val="Heading2"/>
        <w:spacing w:before="0" w:after="0" w:line="480" w:lineRule="auto"/>
        <w:rPr>
          <w:rFonts w:ascii="Times New Roman" w:hAnsi="Times New Roman"/>
          <w:i w:val="0"/>
          <w:sz w:val="24"/>
          <w:szCs w:val="24"/>
          <w:lang w:val="en-US" w:eastAsia="x-none" w:bidi="ar-SA"/>
        </w:rPr>
      </w:pPr>
      <w:bookmarkStart w:id="4" w:name="_Toc199964747"/>
      <w:r w:rsidRPr="00DD0359">
        <w:rPr>
          <w:rFonts w:ascii="Times New Roman" w:hAnsi="Times New Roman"/>
          <w:i w:val="0"/>
          <w:sz w:val="24"/>
          <w:szCs w:val="24"/>
          <w:lang w:val="en-US" w:eastAsia="x-none" w:bidi="ar-SA"/>
        </w:rPr>
        <w:t>5.2</w:t>
      </w:r>
      <w:r w:rsidRPr="00DD0359">
        <w:rPr>
          <w:rFonts w:ascii="Times New Roman" w:hAnsi="Times New Roman"/>
          <w:i w:val="0"/>
          <w:sz w:val="24"/>
          <w:szCs w:val="24"/>
          <w:lang w:val="en-US" w:eastAsia="x-none" w:bidi="ar-SA"/>
        </w:rPr>
        <w:tab/>
        <w:t>Saran</w:t>
      </w:r>
      <w:bookmarkEnd w:id="4"/>
      <w:r w:rsidRPr="00DD0359">
        <w:rPr>
          <w:rFonts w:ascii="Times New Roman" w:hAnsi="Times New Roman"/>
          <w:i w:val="0"/>
          <w:sz w:val="24"/>
          <w:szCs w:val="24"/>
          <w:lang w:val="en-US" w:eastAsia="x-none" w:bidi="ar-SA"/>
        </w:rPr>
        <w:t xml:space="preserve"> </w:t>
      </w:r>
    </w:p>
    <w:p w:rsidR="001A3F03" w:rsidRDefault="001A3F03" w:rsidP="001A3F03">
      <w:pPr>
        <w:spacing w:line="480" w:lineRule="auto"/>
        <w:ind w:firstLine="709"/>
        <w:jc w:val="both"/>
        <w:rPr>
          <w:rFonts w:ascii="Times New Roman" w:hAnsi="Times New Roman" w:cs="Times New Roman"/>
          <w:lang w:val="en-US"/>
        </w:rPr>
      </w:pPr>
      <w:r w:rsidRPr="00154F6D">
        <w:rPr>
          <w:rFonts w:ascii="Times New Roman" w:hAnsi="Times New Roman" w:cs="Times New Roman"/>
        </w:rPr>
        <w:t>Berdasarkan hasil penelitian ini, terdapat beberapa saran yang dapat disampaikan</w:t>
      </w:r>
      <w:r>
        <w:rPr>
          <w:rFonts w:ascii="Times New Roman" w:hAnsi="Times New Roman" w:cs="Times New Roman"/>
        </w:rPr>
        <w:t xml:space="preserve"> :</w:t>
      </w:r>
    </w:p>
    <w:p w:rsidR="000B465B" w:rsidRDefault="000B465B"/>
    <w:sectPr w:rsidR="000B465B" w:rsidSect="001A3F03">
      <w:type w:val="continuous"/>
      <w:pgSz w:w="11900"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4518" w:rsidRDefault="0019176F">
      <w:r>
        <w:separator/>
      </w:r>
    </w:p>
  </w:endnote>
  <w:endnote w:type="continuationSeparator" w:id="0">
    <w:p w:rsidR="00F44518" w:rsidRDefault="00191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4BCA" w:rsidRDefault="001A3F03">
    <w:pPr>
      <w:pStyle w:val="Footer"/>
      <w:jc w:val="center"/>
    </w:pPr>
    <w:r>
      <w:fldChar w:fldCharType="begin"/>
    </w:r>
    <w:r>
      <w:instrText xml:space="preserve"> PAGE   \* MERGEFORMAT </w:instrText>
    </w:r>
    <w:r>
      <w:fldChar w:fldCharType="separate"/>
    </w:r>
    <w:r w:rsidR="007A6C84">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4518" w:rsidRDefault="0019176F">
      <w:r>
        <w:separator/>
      </w:r>
    </w:p>
  </w:footnote>
  <w:footnote w:type="continuationSeparator" w:id="0">
    <w:p w:rsidR="00F44518" w:rsidRDefault="001917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F18" w:rsidRDefault="007A6C84">
    <w:pPr>
      <w:pStyle w:val="Header"/>
    </w:pPr>
    <w:r>
      <w:rPr>
        <w:noProof/>
        <w:lang w:val="en-US" w:eastAsia="en-US"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354719" o:spid="_x0000_s2050" type="#_x0000_t75" style="position:absolute;margin-left:0;margin-top:0;width:396.3pt;height:396.3pt;z-index:-251657216;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4BCA" w:rsidRDefault="007A6C84">
    <w:pPr>
      <w:spacing w:line="1" w:lineRule="exact"/>
    </w:pPr>
    <w:r>
      <w:rPr>
        <w:noProof/>
        <w:lang w:val="en-US" w:eastAsia="en-US"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354720" o:spid="_x0000_s2051" type="#_x0000_t75" style="position:absolute;margin-left:0;margin-top:0;width:396.3pt;height:396.3pt;z-index:-251656192;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F18" w:rsidRDefault="007A6C84">
    <w:pPr>
      <w:pStyle w:val="Header"/>
    </w:pPr>
    <w:r>
      <w:rPr>
        <w:noProof/>
        <w:lang w:val="en-US" w:eastAsia="en-US"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354718" o:spid="_x0000_s2049" type="#_x0000_t75" style="position:absolute;margin-left:0;margin-top:0;width:396.3pt;height:396.3pt;z-index:-251658240;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CDC4C88"/>
    <w:multiLevelType w:val="multilevel"/>
    <w:tmpl w:val="46687F9A"/>
    <w:lvl w:ilvl="0">
      <w:start w:val="2"/>
      <w:numFmt w:val="decimal"/>
      <w:lvlText w:val="%1"/>
      <w:lvlJc w:val="left"/>
      <w:pPr>
        <w:ind w:left="1318" w:hanging="351"/>
      </w:pPr>
      <w:rPr>
        <w:rFonts w:hint="default"/>
        <w:lang w:val="id" w:eastAsia="en-US" w:bidi="ar-SA"/>
      </w:rPr>
    </w:lvl>
    <w:lvl w:ilvl="1">
      <w:start w:val="1"/>
      <w:numFmt w:val="decimal"/>
      <w:lvlText w:val="%2."/>
      <w:lvlJc w:val="left"/>
      <w:pPr>
        <w:ind w:left="1318" w:hanging="351"/>
      </w:pPr>
      <w:rPr>
        <w:rFonts w:hint="default"/>
        <w:b w:val="0"/>
        <w:bCs/>
        <w:spacing w:val="-1"/>
        <w:w w:val="101"/>
        <w:sz w:val="23"/>
        <w:szCs w:val="23"/>
        <w:lang w:val="id" w:eastAsia="en-US" w:bidi="ar-SA"/>
      </w:rPr>
    </w:lvl>
    <w:lvl w:ilvl="2">
      <w:start w:val="1"/>
      <w:numFmt w:val="decimal"/>
      <w:lvlText w:val="%1.%2.%3"/>
      <w:lvlJc w:val="left"/>
      <w:pPr>
        <w:ind w:left="1493" w:hanging="526"/>
      </w:pPr>
      <w:rPr>
        <w:rFonts w:ascii="Times New Roman" w:eastAsia="Times New Roman" w:hAnsi="Times New Roman" w:cs="Times New Roman" w:hint="default"/>
        <w:b/>
        <w:bCs/>
        <w:spacing w:val="-1"/>
        <w:w w:val="101"/>
        <w:sz w:val="23"/>
        <w:szCs w:val="23"/>
        <w:lang w:val="id" w:eastAsia="en-US" w:bidi="ar-SA"/>
      </w:rPr>
    </w:lvl>
    <w:lvl w:ilvl="3">
      <w:start w:val="1"/>
      <w:numFmt w:val="decimal"/>
      <w:lvlText w:val="%1.%2.%3.%4"/>
      <w:lvlJc w:val="left"/>
      <w:pPr>
        <w:ind w:left="1668" w:hanging="701"/>
      </w:pPr>
      <w:rPr>
        <w:rFonts w:ascii="Times New Roman" w:eastAsia="Times New Roman" w:hAnsi="Times New Roman" w:cs="Times New Roman" w:hint="default"/>
        <w:b/>
        <w:bCs/>
        <w:spacing w:val="-1"/>
        <w:w w:val="101"/>
        <w:sz w:val="23"/>
        <w:szCs w:val="23"/>
        <w:lang w:val="id" w:eastAsia="en-US" w:bidi="ar-SA"/>
      </w:rPr>
    </w:lvl>
    <w:lvl w:ilvl="4">
      <w:start w:val="1"/>
      <w:numFmt w:val="decimal"/>
      <w:lvlText w:val="%5."/>
      <w:lvlJc w:val="left"/>
      <w:pPr>
        <w:ind w:left="346" w:hanging="346"/>
      </w:pPr>
      <w:rPr>
        <w:rFonts w:ascii="Times New Roman" w:eastAsia="Times New Roman" w:hAnsi="Times New Roman" w:cs="Times New Roman" w:hint="default"/>
        <w:w w:val="101"/>
        <w:sz w:val="23"/>
        <w:szCs w:val="23"/>
        <w:lang w:val="id" w:eastAsia="en-US" w:bidi="ar-SA"/>
      </w:rPr>
    </w:lvl>
    <w:lvl w:ilvl="5">
      <w:start w:val="1"/>
      <w:numFmt w:val="lowerLetter"/>
      <w:lvlText w:val="%6."/>
      <w:lvlJc w:val="left"/>
      <w:pPr>
        <w:ind w:left="1875" w:hanging="219"/>
      </w:pPr>
      <w:rPr>
        <w:rFonts w:ascii="Times New Roman" w:eastAsia="Times New Roman" w:hAnsi="Times New Roman" w:cs="Times New Roman" w:hint="default"/>
        <w:spacing w:val="-1"/>
        <w:w w:val="101"/>
        <w:sz w:val="23"/>
        <w:szCs w:val="23"/>
        <w:lang w:val="id" w:eastAsia="en-US" w:bidi="ar-SA"/>
      </w:rPr>
    </w:lvl>
    <w:lvl w:ilvl="6">
      <w:start w:val="1"/>
      <w:numFmt w:val="decimal"/>
      <w:lvlText w:val="%7."/>
      <w:lvlJc w:val="left"/>
      <w:pPr>
        <w:ind w:left="2580" w:hanging="233"/>
      </w:pPr>
      <w:rPr>
        <w:rFonts w:ascii="Times New Roman" w:eastAsia="Times New Roman" w:hAnsi="Times New Roman" w:cs="Times New Roman" w:hint="default"/>
        <w:w w:val="101"/>
        <w:sz w:val="23"/>
        <w:szCs w:val="23"/>
        <w:lang w:val="id" w:eastAsia="en-US" w:bidi="ar-SA"/>
      </w:rPr>
    </w:lvl>
    <w:lvl w:ilvl="7">
      <w:numFmt w:val="bullet"/>
      <w:lvlText w:val="•"/>
      <w:lvlJc w:val="left"/>
      <w:pPr>
        <w:ind w:left="5324" w:hanging="233"/>
      </w:pPr>
      <w:rPr>
        <w:rFonts w:hint="default"/>
        <w:lang w:val="id" w:eastAsia="en-US" w:bidi="ar-SA"/>
      </w:rPr>
    </w:lvl>
    <w:lvl w:ilvl="8">
      <w:numFmt w:val="bullet"/>
      <w:lvlText w:val="•"/>
      <w:lvlJc w:val="left"/>
      <w:pPr>
        <w:ind w:left="6696" w:hanging="233"/>
      </w:pPr>
      <w:rPr>
        <w:rFonts w:hint="default"/>
        <w:lang w:val="id"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SRxtE70SPte1vwNqDyA0fYhlrRrPK+2+9TfMaG6g22jIlhh4olGak3nccwliJ6AWSwrY+1WGH1/STVZx+YuuaQ==" w:salt="yEjsfB3rYy0GHMsZ09Faqw=="/>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F03"/>
    <w:rsid w:val="000B465B"/>
    <w:rsid w:val="0019176F"/>
    <w:rsid w:val="001A3F03"/>
    <w:rsid w:val="0028459F"/>
    <w:rsid w:val="00297F18"/>
    <w:rsid w:val="007A6C84"/>
    <w:rsid w:val="009B0B52"/>
    <w:rsid w:val="00CA4490"/>
    <w:rsid w:val="00DA3998"/>
    <w:rsid w:val="00F44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54FC224A-62C9-4502-8A40-AD536016B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A3F03"/>
    <w:pPr>
      <w:widowControl w:val="0"/>
      <w:spacing w:after="0" w:line="240" w:lineRule="auto"/>
    </w:pPr>
    <w:rPr>
      <w:rFonts w:ascii="Microsoft Sans Serif" w:eastAsia="Microsoft Sans Serif" w:hAnsi="Microsoft Sans Serif" w:cs="Microsoft Sans Serif"/>
      <w:color w:val="000000"/>
      <w:sz w:val="24"/>
      <w:szCs w:val="24"/>
      <w:lang w:val="id-ID" w:eastAsia="id-ID" w:bidi="id-ID"/>
    </w:rPr>
  </w:style>
  <w:style w:type="paragraph" w:styleId="Heading2">
    <w:name w:val="heading 2"/>
    <w:basedOn w:val="Normal"/>
    <w:next w:val="Normal"/>
    <w:link w:val="Heading2Char"/>
    <w:uiPriority w:val="9"/>
    <w:semiHidden/>
    <w:unhideWhenUsed/>
    <w:qFormat/>
    <w:rsid w:val="001A3F03"/>
    <w:pPr>
      <w:keepNext/>
      <w:spacing w:before="240" w:after="60"/>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1A3F03"/>
    <w:rPr>
      <w:rFonts w:ascii="Cambria" w:eastAsia="Times New Roman" w:hAnsi="Cambria" w:cs="Times New Roman"/>
      <w:b/>
      <w:bCs/>
      <w:i/>
      <w:iCs/>
      <w:color w:val="000000"/>
      <w:sz w:val="28"/>
      <w:szCs w:val="28"/>
      <w:lang w:val="id-ID" w:eastAsia="id-ID" w:bidi="id-ID"/>
    </w:rPr>
  </w:style>
  <w:style w:type="paragraph" w:styleId="Footer">
    <w:name w:val="footer"/>
    <w:basedOn w:val="Normal"/>
    <w:link w:val="FooterChar"/>
    <w:uiPriority w:val="99"/>
    <w:unhideWhenUsed/>
    <w:rsid w:val="001A3F03"/>
    <w:pPr>
      <w:tabs>
        <w:tab w:val="center" w:pos="4680"/>
        <w:tab w:val="right" w:pos="9360"/>
      </w:tabs>
    </w:pPr>
    <w:rPr>
      <w:rFonts w:cs="Times New Roman"/>
      <w:sz w:val="20"/>
      <w:szCs w:val="20"/>
      <w:lang w:val="x-none" w:eastAsia="x-none" w:bidi="ar-SA"/>
    </w:rPr>
  </w:style>
  <w:style w:type="character" w:customStyle="1" w:styleId="FooterChar">
    <w:name w:val="Footer Char"/>
    <w:basedOn w:val="DefaultParagraphFont"/>
    <w:link w:val="Footer"/>
    <w:uiPriority w:val="99"/>
    <w:rsid w:val="001A3F03"/>
    <w:rPr>
      <w:rFonts w:ascii="Microsoft Sans Serif" w:eastAsia="Microsoft Sans Serif" w:hAnsi="Microsoft Sans Serif" w:cs="Times New Roman"/>
      <w:color w:val="000000"/>
      <w:sz w:val="20"/>
      <w:szCs w:val="20"/>
      <w:lang w:val="x-none" w:eastAsia="x-none"/>
    </w:rPr>
  </w:style>
  <w:style w:type="paragraph" w:styleId="Header">
    <w:name w:val="header"/>
    <w:basedOn w:val="Normal"/>
    <w:link w:val="HeaderChar"/>
    <w:uiPriority w:val="99"/>
    <w:unhideWhenUsed/>
    <w:rsid w:val="00297F18"/>
    <w:pPr>
      <w:tabs>
        <w:tab w:val="center" w:pos="4680"/>
        <w:tab w:val="right" w:pos="9360"/>
      </w:tabs>
    </w:pPr>
  </w:style>
  <w:style w:type="character" w:customStyle="1" w:styleId="HeaderChar">
    <w:name w:val="Header Char"/>
    <w:basedOn w:val="DefaultParagraphFont"/>
    <w:link w:val="Header"/>
    <w:uiPriority w:val="99"/>
    <w:rsid w:val="00297F18"/>
    <w:rPr>
      <w:rFonts w:ascii="Microsoft Sans Serif" w:eastAsia="Microsoft Sans Serif" w:hAnsi="Microsoft Sans Serif" w:cs="Microsoft Sans Serif"/>
      <w:color w:val="000000"/>
      <w:sz w:val="24"/>
      <w:szCs w:val="24"/>
      <w:lang w:val="id-ID" w:eastAsia="id-ID" w:bidi="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384</Words>
  <Characters>2191</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2026-01-26T01:31:00Z</dcterms:created>
  <dcterms:modified xsi:type="dcterms:W3CDTF">2026-01-26T01:31:00Z</dcterms:modified>
</cp:coreProperties>
</file>