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80" w:rsidRDefault="00FE0180">
      <w:pPr>
        <w:pStyle w:val="BodyText"/>
        <w:spacing w:before="53"/>
      </w:pPr>
      <w:bookmarkStart w:id="0" w:name="_GoBack"/>
      <w:bookmarkEnd w:id="0"/>
    </w:p>
    <w:p w:rsidR="00FE0180" w:rsidRDefault="00D46610">
      <w:pPr>
        <w:pStyle w:val="Heading1"/>
        <w:spacing w:line="451" w:lineRule="auto"/>
        <w:ind w:left="2990" w:right="2144" w:firstLine="1183"/>
      </w:pPr>
      <w:r>
        <w:t>BAB V KESIMPULAN</w:t>
      </w:r>
      <w:r>
        <w:rPr>
          <w:spacing w:val="-15"/>
        </w:rPr>
        <w:t xml:space="preserve"> </w:t>
      </w:r>
      <w:r>
        <w:t>DAN</w:t>
      </w:r>
      <w:r>
        <w:rPr>
          <w:spacing w:val="-15"/>
        </w:rPr>
        <w:t xml:space="preserve"> </w:t>
      </w:r>
      <w:r>
        <w:t>SARAN</w:t>
      </w:r>
    </w:p>
    <w:p w:rsidR="00FE0180" w:rsidRDefault="00FE0180">
      <w:pPr>
        <w:pStyle w:val="BodyText"/>
        <w:rPr>
          <w:b/>
        </w:rPr>
      </w:pPr>
    </w:p>
    <w:p w:rsidR="00FE0180" w:rsidRDefault="00FE0180">
      <w:pPr>
        <w:pStyle w:val="BodyText"/>
        <w:spacing w:before="196"/>
        <w:rPr>
          <w:b/>
        </w:rPr>
      </w:pPr>
    </w:p>
    <w:p w:rsidR="00FE0180" w:rsidRDefault="00D46610">
      <w:pPr>
        <w:pStyle w:val="ListParagraph"/>
        <w:numPr>
          <w:ilvl w:val="1"/>
          <w:numId w:val="2"/>
        </w:numPr>
        <w:tabs>
          <w:tab w:val="left" w:pos="995"/>
        </w:tabs>
        <w:ind w:hanging="427"/>
        <w:rPr>
          <w:b/>
          <w:sz w:val="24"/>
        </w:rPr>
      </w:pPr>
      <w:r>
        <w:rPr>
          <w:b/>
          <w:spacing w:val="-2"/>
          <w:sz w:val="24"/>
        </w:rPr>
        <w:t>Kesimpulan</w:t>
      </w:r>
    </w:p>
    <w:p w:rsidR="00FE0180" w:rsidRDefault="00FE0180">
      <w:pPr>
        <w:pStyle w:val="BodyText"/>
        <w:rPr>
          <w:b/>
        </w:rPr>
      </w:pPr>
    </w:p>
    <w:p w:rsidR="00FE0180" w:rsidRDefault="00D46610">
      <w:pPr>
        <w:pStyle w:val="BodyText"/>
        <w:spacing w:line="480" w:lineRule="auto"/>
        <w:ind w:left="568" w:right="141" w:firstLine="708"/>
        <w:jc w:val="both"/>
      </w:pPr>
      <w:r>
        <w:t>Berdasarkan dari hasil penelitian dan pembahasan yang telah dilakukan oleh PT. Perkebunan Nusantara I Regional I, mengenai masalah akuntansi aktiva tetap, maka pada bab penutup ini akan dikemukakan kesimpulan yang dapat diambil sehubungan dengan penelitian</w:t>
      </w:r>
      <w:r>
        <w:t xml:space="preserve"> dan pembahasan tersebut yaitu:</w:t>
      </w:r>
    </w:p>
    <w:p w:rsidR="00FE0180" w:rsidRDefault="00D46610">
      <w:pPr>
        <w:pStyle w:val="ListParagraph"/>
        <w:numPr>
          <w:ilvl w:val="0"/>
          <w:numId w:val="1"/>
        </w:numPr>
        <w:tabs>
          <w:tab w:val="left" w:pos="995"/>
        </w:tabs>
        <w:spacing w:before="1" w:line="480" w:lineRule="auto"/>
        <w:ind w:right="140"/>
        <w:jc w:val="both"/>
        <w:rPr>
          <w:sz w:val="24"/>
        </w:rPr>
      </w:pPr>
      <w:r>
        <w:rPr>
          <w:sz w:val="24"/>
        </w:rPr>
        <w:t>Salah satu Badan Usaha Milik Negara (BUMN) yang bergerak di bidang perkebunan adalah PT Perkebunan Nusantara I (PTPN I). Komoditas utama seperti kelapa sawit, tebu, karet dan teh menjadi fokus PTPN I</w:t>
      </w:r>
      <w:r>
        <w:rPr>
          <w:spacing w:val="-1"/>
          <w:sz w:val="24"/>
        </w:rPr>
        <w:t xml:space="preserve"> </w:t>
      </w:r>
      <w:r>
        <w:rPr>
          <w:sz w:val="24"/>
        </w:rPr>
        <w:t>yang memiliki nilai aset</w:t>
      </w:r>
      <w:r>
        <w:rPr>
          <w:sz w:val="24"/>
        </w:rPr>
        <w:t xml:space="preserve"> tetap cukup besar dan menjadi komponen penting dalam kegiatan operasional perusahaan.</w:t>
      </w:r>
    </w:p>
    <w:p w:rsidR="00FE0180" w:rsidRDefault="00D46610">
      <w:pPr>
        <w:pStyle w:val="ListParagraph"/>
        <w:numPr>
          <w:ilvl w:val="0"/>
          <w:numId w:val="1"/>
        </w:numPr>
        <w:tabs>
          <w:tab w:val="left" w:pos="995"/>
        </w:tabs>
        <w:spacing w:line="480" w:lineRule="auto"/>
        <w:ind w:right="137"/>
        <w:jc w:val="both"/>
        <w:rPr>
          <w:sz w:val="24"/>
        </w:rPr>
      </w:pPr>
      <w:r>
        <w:rPr>
          <w:sz w:val="24"/>
        </w:rPr>
        <w:t>Pada PT. Perkebunan Nusantara I</w:t>
      </w:r>
      <w:r>
        <w:rPr>
          <w:spacing w:val="-1"/>
          <w:sz w:val="24"/>
        </w:rPr>
        <w:t xml:space="preserve"> </w:t>
      </w:r>
      <w:r>
        <w:rPr>
          <w:sz w:val="24"/>
        </w:rPr>
        <w:t>Regional I, aktiva tetap dicatat berdasarkan harga perolehan, yaitu harga faktur ditambah dengan biaya-biaya tambahan yang dikeluarkan pe</w:t>
      </w:r>
      <w:r>
        <w:rPr>
          <w:sz w:val="24"/>
        </w:rPr>
        <w:t xml:space="preserve">rusahaan sampai aktiva tetap tersebut dapat digunakan </w:t>
      </w:r>
      <w:r>
        <w:rPr>
          <w:sz w:val="24"/>
        </w:rPr>
        <w:lastRenderedPageBreak/>
        <w:t>dalam kegiatan usaha. Namun, dalam penentuan harga perolehan pada pengadaan dan pemasangan tower anti petir dan buis beton, perusahaan menggabungkan dengan harga perolehan biaya pemasangan. Penggabungan</w:t>
      </w:r>
      <w:r>
        <w:rPr>
          <w:sz w:val="24"/>
        </w:rPr>
        <w:t xml:space="preserve"> harga perolehan berdampak pada perhitungan dan penyajian penyusutan dan biaya operasional yang lebih substansial, sehingga laba yang dihitung dalam laporan</w:t>
      </w:r>
      <w:r>
        <w:rPr>
          <w:spacing w:val="79"/>
          <w:sz w:val="24"/>
        </w:rPr>
        <w:t xml:space="preserve"> </w:t>
      </w:r>
      <w:r>
        <w:rPr>
          <w:sz w:val="24"/>
        </w:rPr>
        <w:t>laba</w:t>
      </w:r>
      <w:r>
        <w:rPr>
          <w:spacing w:val="78"/>
          <w:sz w:val="24"/>
        </w:rPr>
        <w:t xml:space="preserve"> </w:t>
      </w:r>
      <w:r>
        <w:rPr>
          <w:sz w:val="24"/>
        </w:rPr>
        <w:t>rugi</w:t>
      </w:r>
      <w:r>
        <w:rPr>
          <w:spacing w:val="79"/>
          <w:sz w:val="24"/>
        </w:rPr>
        <w:t xml:space="preserve"> </w:t>
      </w:r>
      <w:r>
        <w:rPr>
          <w:sz w:val="24"/>
        </w:rPr>
        <w:t>menjadi</w:t>
      </w:r>
      <w:r>
        <w:rPr>
          <w:spacing w:val="80"/>
          <w:sz w:val="24"/>
        </w:rPr>
        <w:t xml:space="preserve"> </w:t>
      </w:r>
      <w:r>
        <w:rPr>
          <w:sz w:val="24"/>
        </w:rPr>
        <w:t>berkurang.</w:t>
      </w:r>
      <w:r>
        <w:rPr>
          <w:spacing w:val="79"/>
          <w:sz w:val="24"/>
        </w:rPr>
        <w:t xml:space="preserve"> </w:t>
      </w:r>
      <w:r>
        <w:rPr>
          <w:sz w:val="24"/>
        </w:rPr>
        <w:t>Hal</w:t>
      </w:r>
      <w:r>
        <w:rPr>
          <w:spacing w:val="80"/>
          <w:sz w:val="24"/>
        </w:rPr>
        <w:t xml:space="preserve"> </w:t>
      </w:r>
      <w:r>
        <w:rPr>
          <w:sz w:val="24"/>
        </w:rPr>
        <w:t>ini</w:t>
      </w:r>
      <w:r>
        <w:rPr>
          <w:spacing w:val="80"/>
          <w:sz w:val="24"/>
        </w:rPr>
        <w:t xml:space="preserve"> </w:t>
      </w:r>
      <w:r>
        <w:rPr>
          <w:sz w:val="24"/>
        </w:rPr>
        <w:t>mengakibatkan</w:t>
      </w:r>
      <w:r>
        <w:rPr>
          <w:spacing w:val="79"/>
          <w:sz w:val="24"/>
        </w:rPr>
        <w:t xml:space="preserve"> </w:t>
      </w:r>
      <w:r>
        <w:rPr>
          <w:sz w:val="24"/>
        </w:rPr>
        <w:t>akumulasi</w:t>
      </w:r>
    </w:p>
    <w:p w:rsidR="00FE0180" w:rsidRDefault="00FE0180">
      <w:pPr>
        <w:pStyle w:val="BodyText"/>
        <w:rPr>
          <w:sz w:val="22"/>
        </w:rPr>
      </w:pPr>
    </w:p>
    <w:p w:rsidR="00FE0180" w:rsidRDefault="00FE0180">
      <w:pPr>
        <w:pStyle w:val="BodyText"/>
        <w:rPr>
          <w:sz w:val="22"/>
        </w:rPr>
      </w:pPr>
    </w:p>
    <w:p w:rsidR="00FE0180" w:rsidRDefault="00FE0180">
      <w:pPr>
        <w:pStyle w:val="BodyText"/>
        <w:rPr>
          <w:sz w:val="22"/>
        </w:rPr>
      </w:pPr>
    </w:p>
    <w:p w:rsidR="00FE0180" w:rsidRDefault="00FE0180">
      <w:pPr>
        <w:pStyle w:val="BodyText"/>
        <w:spacing w:before="41"/>
        <w:rPr>
          <w:sz w:val="22"/>
        </w:rPr>
      </w:pPr>
    </w:p>
    <w:p w:rsidR="00FE0180" w:rsidRDefault="00D46610">
      <w:pPr>
        <w:ind w:left="429"/>
        <w:jc w:val="center"/>
        <w:rPr>
          <w:rFonts w:ascii="Calibri"/>
        </w:rPr>
      </w:pPr>
      <w:r>
        <w:rPr>
          <w:rFonts w:ascii="Calibri"/>
          <w:spacing w:val="-5"/>
        </w:rPr>
        <w:t>62</w:t>
      </w:r>
    </w:p>
    <w:p w:rsidR="00FE0180" w:rsidRDefault="00FE0180">
      <w:pPr>
        <w:jc w:val="center"/>
        <w:rPr>
          <w:rFonts w:ascii="Calibri"/>
        </w:rPr>
        <w:sectPr w:rsidR="00FE0180">
          <w:type w:val="continuous"/>
          <w:pgSz w:w="11910" w:h="16840"/>
          <w:pgMar w:top="1920" w:right="1559" w:bottom="280" w:left="1700" w:header="720" w:footer="720" w:gutter="0"/>
          <w:cols w:space="720"/>
        </w:sectPr>
      </w:pPr>
    </w:p>
    <w:p w:rsidR="00FE0180" w:rsidRDefault="00D46610">
      <w:pPr>
        <w:spacing w:before="29"/>
        <w:ind w:right="136"/>
        <w:jc w:val="right"/>
        <w:rPr>
          <w:rFonts w:ascii="Calibri"/>
        </w:rPr>
      </w:pPr>
      <w:r>
        <w:rPr>
          <w:rFonts w:ascii="Calibri"/>
          <w:spacing w:val="-5"/>
        </w:rPr>
        <w:lastRenderedPageBreak/>
        <w:t>63</w:t>
      </w:r>
    </w:p>
    <w:p w:rsidR="00FE0180" w:rsidRDefault="00FE0180">
      <w:pPr>
        <w:pStyle w:val="BodyText"/>
        <w:rPr>
          <w:rFonts w:ascii="Calibri"/>
          <w:sz w:val="22"/>
        </w:rPr>
      </w:pPr>
    </w:p>
    <w:p w:rsidR="00FE0180" w:rsidRDefault="00FE0180">
      <w:pPr>
        <w:pStyle w:val="BodyText"/>
        <w:rPr>
          <w:rFonts w:ascii="Calibri"/>
          <w:sz w:val="22"/>
        </w:rPr>
      </w:pPr>
    </w:p>
    <w:p w:rsidR="00FE0180" w:rsidRDefault="00FE0180">
      <w:pPr>
        <w:pStyle w:val="BodyText"/>
        <w:rPr>
          <w:rFonts w:ascii="Calibri"/>
          <w:sz w:val="22"/>
        </w:rPr>
      </w:pPr>
    </w:p>
    <w:p w:rsidR="00FE0180" w:rsidRDefault="00FE0180">
      <w:pPr>
        <w:pStyle w:val="BodyText"/>
        <w:spacing w:before="217"/>
        <w:rPr>
          <w:rFonts w:ascii="Calibri"/>
          <w:sz w:val="22"/>
        </w:rPr>
      </w:pPr>
    </w:p>
    <w:p w:rsidR="00FE0180" w:rsidRDefault="00D46610">
      <w:pPr>
        <w:pStyle w:val="BodyText"/>
        <w:spacing w:line="480" w:lineRule="auto"/>
        <w:ind w:left="995"/>
      </w:pPr>
      <w:r>
        <w:t>penyusutan</w:t>
      </w:r>
      <w:r>
        <w:rPr>
          <w:spacing w:val="80"/>
          <w:w w:val="150"/>
        </w:rPr>
        <w:t xml:space="preserve"> </w:t>
      </w:r>
      <w:r>
        <w:t>yang</w:t>
      </w:r>
      <w:r>
        <w:rPr>
          <w:spacing w:val="80"/>
          <w:w w:val="150"/>
        </w:rPr>
        <w:t xml:space="preserve"> </w:t>
      </w:r>
      <w:r>
        <w:t>cukup</w:t>
      </w:r>
      <w:r>
        <w:rPr>
          <w:spacing w:val="80"/>
          <w:w w:val="150"/>
        </w:rPr>
        <w:t xml:space="preserve"> </w:t>
      </w:r>
      <w:r>
        <w:t>besar</w:t>
      </w:r>
      <w:r>
        <w:rPr>
          <w:spacing w:val="80"/>
          <w:w w:val="150"/>
        </w:rPr>
        <w:t xml:space="preserve"> </w:t>
      </w:r>
      <w:r>
        <w:t>di</w:t>
      </w:r>
      <w:r>
        <w:rPr>
          <w:spacing w:val="80"/>
          <w:w w:val="150"/>
        </w:rPr>
        <w:t xml:space="preserve"> </w:t>
      </w:r>
      <w:r>
        <w:t>neraca,</w:t>
      </w:r>
      <w:r>
        <w:rPr>
          <w:spacing w:val="80"/>
          <w:w w:val="150"/>
        </w:rPr>
        <w:t xml:space="preserve"> </w:t>
      </w:r>
      <w:r>
        <w:t>sehingga</w:t>
      </w:r>
      <w:r>
        <w:rPr>
          <w:spacing w:val="80"/>
          <w:w w:val="150"/>
        </w:rPr>
        <w:t xml:space="preserve"> </w:t>
      </w:r>
      <w:r>
        <w:t>nilai</w:t>
      </w:r>
      <w:r>
        <w:rPr>
          <w:spacing w:val="80"/>
          <w:w w:val="150"/>
        </w:rPr>
        <w:t xml:space="preserve"> </w:t>
      </w:r>
      <w:r>
        <w:t>buku</w:t>
      </w:r>
      <w:r>
        <w:rPr>
          <w:spacing w:val="80"/>
          <w:w w:val="150"/>
        </w:rPr>
        <w:t xml:space="preserve"> </w:t>
      </w:r>
      <w:r>
        <w:t>yang diestimasikan menjadi lebih rendah.</w:t>
      </w:r>
    </w:p>
    <w:p w:rsidR="00FE0180" w:rsidRDefault="00FE0180">
      <w:pPr>
        <w:pStyle w:val="BodyText"/>
      </w:pPr>
    </w:p>
    <w:p w:rsidR="00FE0180" w:rsidRDefault="00FE0180">
      <w:pPr>
        <w:pStyle w:val="BodyText"/>
        <w:spacing w:before="60"/>
      </w:pPr>
    </w:p>
    <w:p w:rsidR="00FE0180" w:rsidRDefault="00D46610">
      <w:pPr>
        <w:pStyle w:val="Heading1"/>
        <w:numPr>
          <w:ilvl w:val="1"/>
          <w:numId w:val="2"/>
        </w:numPr>
        <w:tabs>
          <w:tab w:val="left" w:pos="995"/>
        </w:tabs>
        <w:ind w:hanging="427"/>
      </w:pPr>
      <w:r>
        <w:rPr>
          <w:spacing w:val="-4"/>
        </w:rPr>
        <w:t>Saran</w:t>
      </w:r>
    </w:p>
    <w:p w:rsidR="00FE0180" w:rsidRDefault="00FE0180">
      <w:pPr>
        <w:pStyle w:val="BodyText"/>
        <w:spacing w:before="2"/>
        <w:rPr>
          <w:b/>
        </w:rPr>
      </w:pPr>
    </w:p>
    <w:p w:rsidR="00FE0180" w:rsidRDefault="00D46610">
      <w:pPr>
        <w:pStyle w:val="BodyText"/>
        <w:spacing w:before="1" w:line="480" w:lineRule="auto"/>
        <w:ind w:left="568" w:right="140" w:firstLine="708"/>
        <w:jc w:val="both"/>
      </w:pPr>
      <w:r>
        <w:t>Selanjutnya dari hasil kesimpulan akan dikemukakan beberapa saran-saran yang berkemungkinan akan berguna bagi pihak manajemen perusahaan terutama d</w:t>
      </w:r>
      <w:r>
        <w:t xml:space="preserve">alam penyajian laporan keuangan agar dapat menyajikan secara wajar dan sesuai dengan Standar Akuntansi Keuangan. Adapun saran tersebut, dibawah ini sebagai </w:t>
      </w:r>
      <w:r>
        <w:rPr>
          <w:spacing w:val="-2"/>
        </w:rPr>
        <w:t>berikut:</w:t>
      </w:r>
    </w:p>
    <w:p w:rsidR="00FE0180" w:rsidRDefault="00D46610">
      <w:pPr>
        <w:pStyle w:val="ListParagraph"/>
        <w:numPr>
          <w:ilvl w:val="2"/>
          <w:numId w:val="2"/>
        </w:numPr>
        <w:tabs>
          <w:tab w:val="left" w:pos="1288"/>
        </w:tabs>
        <w:spacing w:line="480" w:lineRule="auto"/>
        <w:ind w:right="140"/>
        <w:jc w:val="both"/>
        <w:rPr>
          <w:sz w:val="24"/>
        </w:rPr>
      </w:pPr>
      <w:r>
        <w:rPr>
          <w:sz w:val="24"/>
        </w:rPr>
        <w:t>Sebaiknya perusahaan memisahkan harga perolehan antara nilai barang dan biaya pemasangan untuk tujuan akuntansi, dikarenakan biaya perolehan biaya pemasangan tidak disusutkan sedangkan aktiva tetap berupa buis beton atau tower anti petir disusutkan.</w:t>
      </w:r>
    </w:p>
    <w:p w:rsidR="00FE0180" w:rsidRDefault="00D46610">
      <w:pPr>
        <w:pStyle w:val="ListParagraph"/>
        <w:numPr>
          <w:ilvl w:val="2"/>
          <w:numId w:val="2"/>
        </w:numPr>
        <w:tabs>
          <w:tab w:val="left" w:pos="1288"/>
        </w:tabs>
        <w:spacing w:before="1" w:line="480" w:lineRule="auto"/>
        <w:ind w:right="141"/>
        <w:jc w:val="both"/>
        <w:rPr>
          <w:sz w:val="24"/>
        </w:rPr>
      </w:pPr>
      <w:r>
        <w:rPr>
          <w:sz w:val="24"/>
        </w:rPr>
        <w:lastRenderedPageBreak/>
        <w:t xml:space="preserve">Untuk </w:t>
      </w:r>
      <w:r>
        <w:rPr>
          <w:sz w:val="24"/>
        </w:rPr>
        <w:t>menentukan perhitungan penyusutan sebaiknya perusahaan lebih teliti dan cermat karena adanya penggabungan aktiva tetap berupa barang buis beton dan tower anti petir dengan biaya pemasangan karena berpengaruh terhadap perhitungan nilai buku untuk periode se</w:t>
      </w:r>
      <w:r>
        <w:rPr>
          <w:sz w:val="24"/>
        </w:rPr>
        <w:t>lanjutnya.</w:t>
      </w:r>
    </w:p>
    <w:p w:rsidR="00FE0180" w:rsidRDefault="00D46610">
      <w:pPr>
        <w:pStyle w:val="ListParagraph"/>
        <w:numPr>
          <w:ilvl w:val="2"/>
          <w:numId w:val="2"/>
        </w:numPr>
        <w:tabs>
          <w:tab w:val="left" w:pos="1288"/>
        </w:tabs>
        <w:spacing w:line="480" w:lineRule="auto"/>
        <w:ind w:right="142"/>
        <w:jc w:val="both"/>
        <w:rPr>
          <w:sz w:val="24"/>
        </w:rPr>
      </w:pPr>
      <w:r>
        <w:rPr>
          <w:sz w:val="24"/>
        </w:rPr>
        <w:t>Untuk pencatatan penyusutan asset setiap bulannya agar di dibukukan sesuai dengan tanggal nilai perolehan asset tersebut secara real time, sehingga tidak terjadi keterlambatan dalam pencatatan penyusutan asset yang mengakibatkan penumpukan biaya</w:t>
      </w:r>
      <w:r>
        <w:rPr>
          <w:sz w:val="24"/>
        </w:rPr>
        <w:t xml:space="preserve"> pada satu bulan berjalan yang seharusnya penyusutan tersebut dapat ter depresiasi dengan teratur setiap </w:t>
      </w:r>
      <w:r>
        <w:rPr>
          <w:spacing w:val="-2"/>
          <w:sz w:val="24"/>
        </w:rPr>
        <w:t>bulannya.</w:t>
      </w:r>
    </w:p>
    <w:sectPr w:rsidR="00FE0180">
      <w:pgSz w:w="11910" w:h="16840"/>
      <w:pgMar w:top="66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E46DE"/>
    <w:multiLevelType w:val="hybridMultilevel"/>
    <w:tmpl w:val="EC808EC2"/>
    <w:lvl w:ilvl="0" w:tplc="14787EA8">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AE0760">
      <w:numFmt w:val="bullet"/>
      <w:lvlText w:val="•"/>
      <w:lvlJc w:val="left"/>
      <w:pPr>
        <w:ind w:left="1764" w:hanging="428"/>
      </w:pPr>
      <w:rPr>
        <w:rFonts w:hint="default"/>
        <w:lang w:val="id" w:eastAsia="en-US" w:bidi="ar-SA"/>
      </w:rPr>
    </w:lvl>
    <w:lvl w:ilvl="2" w:tplc="37786512">
      <w:numFmt w:val="bullet"/>
      <w:lvlText w:val="•"/>
      <w:lvlJc w:val="left"/>
      <w:pPr>
        <w:ind w:left="2529" w:hanging="428"/>
      </w:pPr>
      <w:rPr>
        <w:rFonts w:hint="default"/>
        <w:lang w:val="id" w:eastAsia="en-US" w:bidi="ar-SA"/>
      </w:rPr>
    </w:lvl>
    <w:lvl w:ilvl="3" w:tplc="F87A0F08">
      <w:numFmt w:val="bullet"/>
      <w:lvlText w:val="•"/>
      <w:lvlJc w:val="left"/>
      <w:pPr>
        <w:ind w:left="3294" w:hanging="428"/>
      </w:pPr>
      <w:rPr>
        <w:rFonts w:hint="default"/>
        <w:lang w:val="id" w:eastAsia="en-US" w:bidi="ar-SA"/>
      </w:rPr>
    </w:lvl>
    <w:lvl w:ilvl="4" w:tplc="2BFCC0D0">
      <w:numFmt w:val="bullet"/>
      <w:lvlText w:val="•"/>
      <w:lvlJc w:val="left"/>
      <w:pPr>
        <w:ind w:left="4058" w:hanging="428"/>
      </w:pPr>
      <w:rPr>
        <w:rFonts w:hint="default"/>
        <w:lang w:val="id" w:eastAsia="en-US" w:bidi="ar-SA"/>
      </w:rPr>
    </w:lvl>
    <w:lvl w:ilvl="5" w:tplc="7D5A8214">
      <w:numFmt w:val="bullet"/>
      <w:lvlText w:val="•"/>
      <w:lvlJc w:val="left"/>
      <w:pPr>
        <w:ind w:left="4823" w:hanging="428"/>
      </w:pPr>
      <w:rPr>
        <w:rFonts w:hint="default"/>
        <w:lang w:val="id" w:eastAsia="en-US" w:bidi="ar-SA"/>
      </w:rPr>
    </w:lvl>
    <w:lvl w:ilvl="6" w:tplc="D1A093E2">
      <w:numFmt w:val="bullet"/>
      <w:lvlText w:val="•"/>
      <w:lvlJc w:val="left"/>
      <w:pPr>
        <w:ind w:left="5588" w:hanging="428"/>
      </w:pPr>
      <w:rPr>
        <w:rFonts w:hint="default"/>
        <w:lang w:val="id" w:eastAsia="en-US" w:bidi="ar-SA"/>
      </w:rPr>
    </w:lvl>
    <w:lvl w:ilvl="7" w:tplc="CFA0A9F2">
      <w:numFmt w:val="bullet"/>
      <w:lvlText w:val="•"/>
      <w:lvlJc w:val="left"/>
      <w:pPr>
        <w:ind w:left="6353" w:hanging="428"/>
      </w:pPr>
      <w:rPr>
        <w:rFonts w:hint="default"/>
        <w:lang w:val="id" w:eastAsia="en-US" w:bidi="ar-SA"/>
      </w:rPr>
    </w:lvl>
    <w:lvl w:ilvl="8" w:tplc="1228C86E">
      <w:numFmt w:val="bullet"/>
      <w:lvlText w:val="•"/>
      <w:lvlJc w:val="left"/>
      <w:pPr>
        <w:ind w:left="7117" w:hanging="428"/>
      </w:pPr>
      <w:rPr>
        <w:rFonts w:hint="default"/>
        <w:lang w:val="id" w:eastAsia="en-US" w:bidi="ar-SA"/>
      </w:rPr>
    </w:lvl>
  </w:abstractNum>
  <w:abstractNum w:abstractNumId="1">
    <w:nsid w:val="679A5B60"/>
    <w:multiLevelType w:val="multilevel"/>
    <w:tmpl w:val="85E62D24"/>
    <w:lvl w:ilvl="0">
      <w:start w:val="5"/>
      <w:numFmt w:val="decimal"/>
      <w:lvlText w:val="%1"/>
      <w:lvlJc w:val="left"/>
      <w:pPr>
        <w:ind w:left="995" w:hanging="428"/>
        <w:jc w:val="left"/>
      </w:pPr>
      <w:rPr>
        <w:rFonts w:hint="default"/>
        <w:lang w:val="id" w:eastAsia="en-US" w:bidi="ar-SA"/>
      </w:rPr>
    </w:lvl>
    <w:lvl w:ilvl="1">
      <w:start w:val="1"/>
      <w:numFmt w:val="decimal"/>
      <w:lvlText w:val="%1.%2"/>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pyVLc7RdttOmc8HBWQ9F5c+v+6O1PeCwBFuE5vRzFVI5TlUjhG7eG3YuYiVnSGcR6ODLsgPTyEJ5aRiJZIOsA==" w:salt="1azK8wQ9nj+7KqZehrYk4Q=="/>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80"/>
    <w:rsid w:val="00D46610"/>
    <w:rsid w:val="00FE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E34E6-0CBF-40E2-A969-B7C4BE1E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2026-02-02T02:26:00Z</dcterms:created>
  <dcterms:modified xsi:type="dcterms:W3CDTF">2026-02-02T02:26:00Z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Nitro PDF Pro 14 (14.42.0.34)</vt:lpwstr>
  </property>
  <property fmtid="{D5CDD505-2E9C-101B-9397-08002B2CF9AE}" pid="4" name="LastSaved">
    <vt:filetime>2026-01-29T00:00:00Z</vt:filetime>
  </property>
</Properties>
</file>