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2DC" w:rsidRPr="004132DC" w:rsidRDefault="004132DC" w:rsidP="004132DC">
      <w:pPr>
        <w:pStyle w:val="Heading1"/>
        <w:spacing w:after="0"/>
        <w:rPr>
          <w:rFonts w:ascii="Times" w:hAnsi="Times"/>
          <w:color w:val="0D0D0D" w:themeColor="text1" w:themeTint="F2"/>
        </w:rPr>
      </w:pPr>
      <w:bookmarkStart w:id="0" w:name="_Toc198691537"/>
      <w:bookmarkStart w:id="1" w:name="_Toc199160189"/>
      <w:bookmarkStart w:id="2" w:name="_GoBack"/>
      <w:bookmarkEnd w:id="2"/>
      <w:r w:rsidRPr="004132DC">
        <w:rPr>
          <w:rFonts w:ascii="Times" w:hAnsi="Times"/>
          <w:color w:val="0D0D0D" w:themeColor="text1" w:themeTint="F2"/>
        </w:rPr>
        <w:t>BAB IV</w:t>
      </w:r>
      <w:bookmarkEnd w:id="0"/>
      <w:bookmarkEnd w:id="1"/>
    </w:p>
    <w:p w:rsidR="004132DC" w:rsidRPr="004132DC" w:rsidRDefault="004132DC" w:rsidP="004132DC">
      <w:pPr>
        <w:pStyle w:val="Heading1"/>
        <w:spacing w:after="0"/>
        <w:rPr>
          <w:rFonts w:ascii="Times" w:hAnsi="Times"/>
          <w:color w:val="0D0D0D" w:themeColor="text1" w:themeTint="F2"/>
        </w:rPr>
      </w:pPr>
      <w:bookmarkStart w:id="3" w:name="_Toc198683517"/>
      <w:bookmarkStart w:id="4" w:name="_Toc198688763"/>
      <w:bookmarkStart w:id="5" w:name="_Toc199160190"/>
      <w:r w:rsidRPr="004132DC">
        <w:rPr>
          <w:rFonts w:ascii="Times" w:hAnsi="Times"/>
          <w:color w:val="0D0D0D" w:themeColor="text1" w:themeTint="F2"/>
        </w:rPr>
        <w:t>PENELITIAN DAN PEMBAHASAN</w:t>
      </w:r>
      <w:bookmarkStart w:id="6" w:name="_Toc198683518"/>
      <w:bookmarkStart w:id="7" w:name="_Toc198688764"/>
      <w:bookmarkEnd w:id="3"/>
      <w:bookmarkEnd w:id="4"/>
      <w:bookmarkEnd w:id="5"/>
    </w:p>
    <w:p w:rsidR="004132DC" w:rsidRPr="004132DC" w:rsidRDefault="004132DC" w:rsidP="004132DC">
      <w:pPr>
        <w:pStyle w:val="Heading2"/>
        <w:spacing w:before="0" w:line="480" w:lineRule="auto"/>
        <w:rPr>
          <w:rFonts w:ascii="Times" w:hAnsi="Times"/>
          <w:b w:val="0"/>
          <w:bCs w:val="0"/>
          <w:color w:val="0D0D0D" w:themeColor="text1" w:themeTint="F2"/>
          <w:sz w:val="24"/>
          <w:szCs w:val="24"/>
        </w:rPr>
      </w:pPr>
      <w:bookmarkStart w:id="8" w:name="_Toc199160191"/>
      <w:r w:rsidRPr="004132DC">
        <w:rPr>
          <w:rFonts w:ascii="Times" w:hAnsi="Times"/>
          <w:b w:val="0"/>
          <w:bCs w:val="0"/>
          <w:color w:val="0D0D0D" w:themeColor="text1" w:themeTint="F2"/>
          <w:sz w:val="24"/>
          <w:szCs w:val="24"/>
        </w:rPr>
        <w:t>A. Proses Penyelesaian Perkara Wanprestasi Pada Perjanjian Kredit KUPEDES menurut Putusan Nomor 76/Pdt.G.S/2024/PN Mdn.</w:t>
      </w:r>
      <w:bookmarkEnd w:id="6"/>
      <w:bookmarkEnd w:id="7"/>
      <w:bookmarkEnd w:id="8"/>
      <w:r w:rsidRPr="004132DC">
        <w:rPr>
          <w:rFonts w:ascii="Times" w:hAnsi="Times"/>
          <w:b w:val="0"/>
          <w:bCs w:val="0"/>
          <w:color w:val="0D0D0D" w:themeColor="text1" w:themeTint="F2"/>
          <w:sz w:val="24"/>
          <w:szCs w:val="24"/>
        </w:rPr>
        <w:t xml:space="preserve"> </w:t>
      </w:r>
    </w:p>
    <w:p w:rsidR="004132DC" w:rsidRPr="004132DC" w:rsidRDefault="004132DC" w:rsidP="004132DC">
      <w:pPr>
        <w:pStyle w:val="NormalWeb"/>
        <w:spacing w:before="0" w:beforeAutospacing="0" w:after="0" w:afterAutospacing="0" w:line="480" w:lineRule="auto"/>
        <w:jc w:val="both"/>
        <w:rPr>
          <w:rFonts w:ascii="Times" w:hAnsi="Times"/>
          <w:color w:val="0D0D0D" w:themeColor="text1" w:themeTint="F2"/>
        </w:rPr>
      </w:pPr>
      <w:r w:rsidRPr="004132DC">
        <w:rPr>
          <w:rFonts w:ascii="Times" w:hAnsi="Times" w:cstheme="majorBidi"/>
          <w:b/>
          <w:bCs/>
          <w:color w:val="0D0D0D" w:themeColor="text1" w:themeTint="F2"/>
        </w:rPr>
        <w:tab/>
      </w:r>
      <w:r w:rsidRPr="004132DC">
        <w:rPr>
          <w:rFonts w:ascii="Times" w:hAnsi="Times"/>
          <w:color w:val="0D0D0D" w:themeColor="text1" w:themeTint="F2"/>
        </w:rPr>
        <w:t>Perkara wanprestasi dalam perjanjian kredit KUPEDES pada dasarnya dimulai ketika debitur gagal memenuhi kewajibannya, misalnya tidak membayar angsuran sesuai jadwal yang telah disepakati dalam perjanjian kredit. Adapun yang dimaksud wanprestasi adalah suatu keadaan yang dikarenakan kelalaian atau kesalahannya, debitur tidak dapat memenuhi prestasi seperti yang telah ditentukan dalam perjanjian dan bukan dalam keadaan memaksa</w:t>
      </w:r>
      <w:r w:rsidRPr="004132DC">
        <w:rPr>
          <w:rStyle w:val="FootnoteReference"/>
          <w:rFonts w:ascii="Times" w:hAnsi="Times"/>
          <w:color w:val="0D0D0D" w:themeColor="text1" w:themeTint="F2"/>
        </w:rPr>
        <w:footnoteReference w:id="1"/>
      </w:r>
      <w:r w:rsidRPr="004132DC">
        <w:rPr>
          <w:rFonts w:ascii="Times" w:hAnsi="Times"/>
          <w:color w:val="0D0D0D" w:themeColor="text1" w:themeTint="F2"/>
        </w:rPr>
        <w:t xml:space="preserve">. </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r w:rsidRPr="004132DC">
        <w:rPr>
          <w:rFonts w:ascii="Times" w:hAnsi="Times"/>
          <w:color w:val="0D0D0D" w:themeColor="text1" w:themeTint="F2"/>
        </w:rPr>
        <w:t xml:space="preserve">Dalam situasi ini, pihak kreditur, yaitu (Bank Rakyat Indonesia, sebagai pelaksana program KUPEDES), akan terlebih dahulu melakukan pendekatan persuasif kepada debitur, seperti memberikan peringatan secara lisan maupun tertulis. </w:t>
      </w:r>
    </w:p>
    <w:p w:rsidR="004132DC" w:rsidRPr="004132DC" w:rsidRDefault="004132DC" w:rsidP="004132DC">
      <w:pPr>
        <w:pStyle w:val="NormalWeb"/>
        <w:spacing w:before="0" w:beforeAutospacing="0" w:after="0" w:afterAutospacing="0" w:line="480" w:lineRule="auto"/>
        <w:ind w:firstLine="720"/>
        <w:jc w:val="both"/>
        <w:rPr>
          <w:rFonts w:ascii="Times" w:hAnsi="Times" w:cstheme="majorBidi"/>
          <w:color w:val="0D0D0D" w:themeColor="text1" w:themeTint="F2"/>
        </w:rPr>
      </w:pPr>
      <w:r w:rsidRPr="004132DC">
        <w:rPr>
          <w:rFonts w:ascii="Times" w:hAnsi="Times"/>
          <w:color w:val="0D0D0D" w:themeColor="text1" w:themeTint="F2"/>
        </w:rPr>
        <w:lastRenderedPageBreak/>
        <w:t xml:space="preserve">Peringatan ini bertujuan untuk memberikan kesempatan kepada debitur agar segera melunasi kewajibannya atau menjelaskan alasan keterlambatan yang terjadi. </w:t>
      </w:r>
      <w:r w:rsidRPr="004132DC">
        <w:rPr>
          <w:rFonts w:ascii="Times" w:hAnsi="Times" w:cstheme="majorBidi"/>
          <w:color w:val="0D0D0D" w:themeColor="text1" w:themeTint="F2"/>
        </w:rPr>
        <w:t xml:space="preserve">Dalam surat gugatannya tertanggal 15 Juli 2024 yang kemudian secara resmi tercatat di Kepaniteraan Pengadilan Negeri Medan pada tanggal 18 Juli 2024 dengan nomor register perkara gugatan sederhana Nomor 76/Pdt.G.S/2024/PN Mdn, pihak penggugat pada dasarnya telah menyampaikan serangkaian dalil atau alasan yang mendasari pengajuan gugatan tersebut. </w:t>
      </w:r>
    </w:p>
    <w:p w:rsidR="004132DC" w:rsidRPr="004132DC" w:rsidRDefault="004132DC" w:rsidP="004132DC">
      <w:pPr>
        <w:pStyle w:val="NormalWeb"/>
        <w:spacing w:before="0" w:beforeAutospacing="0" w:after="0" w:afterAutospacing="0" w:line="480" w:lineRule="auto"/>
        <w:ind w:firstLine="720"/>
        <w:jc w:val="both"/>
        <w:rPr>
          <w:rFonts w:ascii="Times" w:hAnsi="Times" w:cstheme="majorBidi"/>
          <w:b/>
          <w:bCs/>
          <w:color w:val="0D0D0D" w:themeColor="text1" w:themeTint="F2"/>
        </w:rPr>
      </w:pPr>
      <w:r w:rsidRPr="004132DC">
        <w:rPr>
          <w:rFonts w:ascii="Times" w:hAnsi="Times" w:cstheme="majorBidi"/>
          <w:color w:val="0D0D0D" w:themeColor="text1" w:themeTint="F2"/>
        </w:rPr>
        <w:t>Dalil-dalil ini merupakan inti dari tuntutan penggugat kepada pihak tergugat, yang berisi uraian mengenai fakta-fakta kejadian, hubungan hukum antara para pihak, serta kerugian yang dialami oleh penggugat yang menjadi dasar permintaan ganti rugi atau tindakan hukum lainnya dari pengadilan. Dengan kata lain, dalam gugatan sederhana yang teregister tersebut, penggugat telah menguraikan secara naratif pokok permasalahan yang ingin diselesaikan melalui proses peradilan di Pengadilan Negeri Medan.</w:t>
      </w:r>
      <w:r w:rsidRPr="004132DC">
        <w:rPr>
          <w:rFonts w:ascii="Times" w:hAnsi="Times" w:cstheme="majorBidi"/>
          <w:b/>
          <w:bCs/>
          <w:color w:val="0D0D0D" w:themeColor="text1" w:themeTint="F2"/>
        </w:rPr>
        <w:t xml:space="preserve"> </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r w:rsidRPr="004132DC">
        <w:rPr>
          <w:rFonts w:ascii="Times" w:hAnsi="Times"/>
          <w:color w:val="0D0D0D" w:themeColor="text1" w:themeTint="F2"/>
        </w:rPr>
        <w:t xml:space="preserve">Perjanjian pinjaman antara penggugat dan para tergugat dibuat pada hari Jumat, tanggal 11 November 2021. Bentuk perjanjian tersebut adalah tertulis, yang dibuktikan dengan adanya Surat Pengakuan Hutang Nomor: 87759211/5316/11/21 yang juga bertanggal 11 November 2021. Adapun pokok-pokok yang diperjanjikan dalam surat </w:t>
      </w:r>
      <w:r w:rsidRPr="004132DC">
        <w:rPr>
          <w:rFonts w:ascii="Times" w:hAnsi="Times"/>
          <w:color w:val="0D0D0D" w:themeColor="text1" w:themeTint="F2"/>
        </w:rPr>
        <w:lastRenderedPageBreak/>
        <w:t>pengakuan hutang tersebut adalah para tergugat mengakui telah menerima pinjaman atau Kredit Umum Pedesaan (KUPEDES) dari penggugat sebesar Rp 80.000.000,- (delapan puluh juta rupiah).</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r w:rsidRPr="004132DC">
        <w:rPr>
          <w:rFonts w:ascii="Times" w:hAnsi="Times"/>
          <w:color w:val="0D0D0D" w:themeColor="text1" w:themeTint="F2"/>
        </w:rPr>
        <w:t>Dana pinjaman beserta bunganya disepakati untuk dibayar kembali oleh para tergugat dalam jangka waktu 60 (enam puluh) bulan dengan tingkat bunga sebesar 1.83% per bulan, terhitung sejak tanggal penandatanganan surat pengakuan hutang, yaitu 11 November 2021. Pembayaran angsuran pokok dan bunga dilakukan setiap bulan dengan jumlah yang sama selama 60 kali angsuran, yang masing-masing sebesar Rp 2.209.513 (dua juta dua ratus sembilan ribu lima ratus tiga belas rupiah).</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r w:rsidRPr="004132DC">
        <w:rPr>
          <w:rFonts w:ascii="Times" w:hAnsi="Times"/>
          <w:color w:val="0D0D0D" w:themeColor="text1" w:themeTint="F2"/>
        </w:rPr>
        <w:t>Perjanjian pinjaman yang terjadi antara penggugat dan para tergugat merupakan bentuk hubungan hukum perdata yang mengikat secara sah berdasarkan asas kebebasan berkontrak sebagaimana diatur dalam Pasal 1338 KUH Perdata. Dengan dibuatnya surat pengakuan hutang, maka terdapat bukti tertulis yang menjadi dasar keberadaan perjanjian pinjaman tersebut.</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r w:rsidRPr="004132DC">
        <w:rPr>
          <w:rFonts w:ascii="Times" w:hAnsi="Times"/>
          <w:color w:val="0D0D0D" w:themeColor="text1" w:themeTint="F2"/>
        </w:rPr>
        <w:t xml:space="preserve">Sebagai jaminan atas pinjaman tersebut, para tergugat menyerahkan agunan berupa tanah atau bangunan yang dibuktikan dengan Akta Pelepasan Hak Atas Tanah Dengan </w:t>
      </w:r>
      <w:r w:rsidRPr="004132DC">
        <w:rPr>
          <w:rFonts w:ascii="Times" w:hAnsi="Times"/>
          <w:color w:val="0D0D0D" w:themeColor="text1" w:themeTint="F2"/>
        </w:rPr>
        <w:lastRenderedPageBreak/>
        <w:t>Ganti Rugi Nomor 120 tanggal 30 Juni 2021 atas nama NURSIYAH dengan luas lebih kurang 190,75 M2 yang terletak di Kelurahan Hamparan Perak, Kecamatan Hamparan Perak, Kabupaten Deli Serdang. Asli dari Akta Pelepasan Hak Atas Tanah Dengan Ganti Rugi Nomor 120 tanggal 30 Juni 2021 atas nama NURSIYAH juga turut diserahkan sebagai bagian dari perjanjian tersebut.</w:t>
      </w:r>
    </w:p>
    <w:p w:rsidR="004132DC" w:rsidRPr="004132DC" w:rsidRDefault="004132DC" w:rsidP="004132DC">
      <w:pPr>
        <w:spacing w:after="0" w:line="480" w:lineRule="auto"/>
        <w:ind w:firstLine="720"/>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t xml:space="preserve">Dalam perjanjian pinjaman tersebut apabila para tergugat tidak membayar pinjaman sesuai dengan waktu yang telah ditentukan, maka sebagai penggugat berhak untuk menjual seluruh agunan yang telah diserahkan, baik melalui penjualan di bawah tangan maupun di muka umum. Penjualan ini akan dilakukan untuk dan atas nama penggugat sebagai pihak pemberi pinjaman. </w:t>
      </w:r>
    </w:p>
    <w:p w:rsidR="004132DC" w:rsidRPr="004132DC" w:rsidRDefault="004132DC" w:rsidP="004132DC">
      <w:pPr>
        <w:spacing w:after="0" w:line="480" w:lineRule="auto"/>
        <w:ind w:firstLine="720"/>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t>Lebih lanjut, para tergugat selaku pihak yang berhutang dan pemilik agunan menyatakan kesediaannya untuk menyerahkan dan mengosongkan tanah dan/atau bangunan yang menjadi agunan. Apabila  para tergugat atau pemilik agunan tidak melaksanakan kewajiban pengosongan tersebut, maka segala biaya yang timbul akan ditanggung oleh para tergugat, dan sebagai penggugat berhak untuk melakukan pengosongan dengan bantuan pihak yang berwenang.</w:t>
      </w:r>
    </w:p>
    <w:p w:rsidR="004132DC" w:rsidRPr="004132DC" w:rsidRDefault="004132DC" w:rsidP="004132DC">
      <w:pPr>
        <w:spacing w:after="0" w:line="480" w:lineRule="auto"/>
        <w:ind w:firstLine="720"/>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lastRenderedPageBreak/>
        <w:t xml:space="preserve">Kemudian, pihak tergugat dinilai telah melanggar beberapa hal dalam perjanjian. Pertama, para tergugat dianggap tidak memenuhi kewajiban atau melakukan wanprestasi karena tidak melaksanakan ketentuan Pasal 2 dalam Surat  Pengakuan Hutang Nomor: 87759211/5316/11/21 tanggal 11 November 2021. Kedua, para tergugat tidak membayar angsuran pinjaman secara tepat waktu, yang mengakibatkan status kredit menjadi macet dengan total kewajiban hingga saat ini mencapai Rp. 82.933.547,- (delapan puluh dua juta sembilan ratus tiga puluh tiga ribu lima ratus empat puluh tujuh rupiah). </w:t>
      </w:r>
    </w:p>
    <w:p w:rsidR="004132DC" w:rsidRPr="004132DC" w:rsidRDefault="004132DC" w:rsidP="004132DC">
      <w:pPr>
        <w:spacing w:after="0" w:line="480" w:lineRule="auto"/>
        <w:ind w:firstLine="720"/>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t>Akibat kredit yang macet tersebut, penggugat mengalami kerugian karena dana pinjaman yang macet tersebut tidak dapat disalurkan kembali kepada masyarakat. Meskipun demikian, penggugaT telah melakukan upaya  penagihan secara rutin kepada para tergugat, baik dengan kunjungan langsung ke tempat tinggal mereka yang tercatat dalam laporan kunjungan nasabah (LKN), maupun dengan mengirimkan surat penagihan, surat peringatan, hingga surat somasi.</w:t>
      </w:r>
    </w:p>
    <w:p w:rsidR="004132DC" w:rsidRPr="004132DC" w:rsidRDefault="004132DC" w:rsidP="004132DC">
      <w:pPr>
        <w:spacing w:after="0" w:line="480" w:lineRule="auto"/>
        <w:ind w:firstLine="720"/>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t xml:space="preserve">Selanjutnya, sebagai penggugat mengklaim menderita kerugian akibat kredit macet dari para tergugat. Kerugian tersebut berupa tunggakan pokok dan bunga pinjaman dengan rincian sebagai berikut: pokok pinjaman sebesar Rp. 71.158.813,- (tujuh puluh satu juta </w:t>
      </w:r>
      <w:r w:rsidRPr="004132DC">
        <w:rPr>
          <w:rFonts w:ascii="Times" w:eastAsia="Times New Roman" w:hAnsi="Times" w:cstheme="majorBidi"/>
          <w:color w:val="0D0D0D" w:themeColor="text1" w:themeTint="F2"/>
          <w:sz w:val="24"/>
          <w:szCs w:val="24"/>
          <w:lang w:val="en-ID" w:eastAsia="en-ID"/>
        </w:rPr>
        <w:lastRenderedPageBreak/>
        <w:t>seratus lima puluh delapan ribu delapan ratus tiga belas rupiah) dan bunga sebesar Rp. 11.774.734,- (sebelas juta tujuh ratus tujuh puluh empat ribu tujuh ratus tiga puluh empat rupiah).</w:t>
      </w:r>
      <w:r w:rsidRPr="004132DC">
        <w:rPr>
          <w:rFonts w:ascii="Times" w:eastAsia="Times New Roman" w:hAnsi="Times" w:cs="Times New Roman"/>
          <w:color w:val="0D0D0D" w:themeColor="text1" w:themeTint="F2"/>
          <w:sz w:val="24"/>
          <w:szCs w:val="24"/>
          <w:lang w:val="en-ID" w:eastAsia="en-ID"/>
        </w:rPr>
        <w:t>Berdasarkan bukti-bukti surat yang diajukan, dapat disimpulkan beberapa poin penting terkait permasalahan hutang piutang antara Penggugat dan Tergugat:</w:t>
      </w:r>
    </w:p>
    <w:p w:rsidR="004132DC" w:rsidRPr="004132DC" w:rsidRDefault="004132DC" w:rsidP="004132DC">
      <w:pPr>
        <w:numPr>
          <w:ilvl w:val="0"/>
          <w:numId w:val="25"/>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bdr w:val="none" w:sz="0" w:space="0" w:color="auto" w:frame="1"/>
          <w:lang w:val="en-ID" w:eastAsia="en-ID"/>
        </w:rPr>
        <w:t>Identitas dan Pengajuan Kredit:</w:t>
      </w:r>
      <w:r w:rsidRPr="004132DC">
        <w:rPr>
          <w:rFonts w:ascii="Times" w:eastAsia="Times New Roman" w:hAnsi="Times" w:cs="Times New Roman"/>
          <w:color w:val="0D0D0D" w:themeColor="text1" w:themeTint="F2"/>
          <w:sz w:val="24"/>
          <w:szCs w:val="24"/>
          <w:lang w:val="en-ID" w:eastAsia="en-ID"/>
        </w:rPr>
        <w:t xml:space="preserve"> Kopi Kartu Tanda Penduduk (KTP) Tergugat menguatkan bahwa Tergugat adalah pihak yang mengajukan kredit/pinjaman, menandatangani Surat Pengakuan Hutang, dan menerima pencairan dana dari Penggugat.</w:t>
      </w:r>
    </w:p>
    <w:p w:rsidR="004132DC" w:rsidRPr="004132DC" w:rsidRDefault="004132DC" w:rsidP="004132DC">
      <w:pPr>
        <w:numPr>
          <w:ilvl w:val="0"/>
          <w:numId w:val="25"/>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bdr w:val="none" w:sz="0" w:space="0" w:color="auto" w:frame="1"/>
          <w:lang w:val="en-ID" w:eastAsia="en-ID"/>
        </w:rPr>
        <w:t>Perjanjian Hutang Piutang yang Sah:</w:t>
      </w:r>
      <w:r w:rsidRPr="004132DC">
        <w:rPr>
          <w:rFonts w:ascii="Times" w:eastAsia="Times New Roman" w:hAnsi="Times" w:cs="Times New Roman"/>
          <w:color w:val="0D0D0D" w:themeColor="text1" w:themeTint="F2"/>
          <w:sz w:val="24"/>
          <w:szCs w:val="24"/>
          <w:lang w:val="en-ID" w:eastAsia="en-ID"/>
        </w:rPr>
        <w:t xml:space="preserve"> Kopi Surat Pengakuan Hutang Nomor: 87759211/5316/11/21 tanggal 11 November 2021 secara jelas membuktikan adanya perjanjian hutang piutang antara Penggugat dan Tergugat. Dalam surat tersebut tercantum: </w:t>
      </w:r>
    </w:p>
    <w:p w:rsidR="004132DC" w:rsidRPr="004132DC" w:rsidRDefault="004132DC" w:rsidP="004132DC">
      <w:pPr>
        <w:numPr>
          <w:ilvl w:val="1"/>
          <w:numId w:val="26"/>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lang w:val="en-ID" w:eastAsia="en-ID"/>
        </w:rPr>
        <w:t>Pengakuan Tergugat telah menerima pinjaman sebesar Rp80.000.000,- (Delapan puluh juta rupiah).</w:t>
      </w:r>
    </w:p>
    <w:p w:rsidR="004132DC" w:rsidRPr="004132DC" w:rsidRDefault="004132DC" w:rsidP="004132DC">
      <w:pPr>
        <w:numPr>
          <w:ilvl w:val="1"/>
          <w:numId w:val="26"/>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lang w:val="en-ID" w:eastAsia="en-ID"/>
        </w:rPr>
        <w:t>Kesepakatan mengenai jangka waktu pelunasan selama 60 (enam puluh) bulan.</w:t>
      </w:r>
    </w:p>
    <w:p w:rsidR="004132DC" w:rsidRPr="004132DC" w:rsidRDefault="004132DC" w:rsidP="004132DC">
      <w:pPr>
        <w:numPr>
          <w:ilvl w:val="1"/>
          <w:numId w:val="26"/>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lang w:val="en-ID" w:eastAsia="en-ID"/>
        </w:rPr>
        <w:lastRenderedPageBreak/>
        <w:t>Tingkat bunga sebesar 1.83% per bulan.</w:t>
      </w:r>
    </w:p>
    <w:p w:rsidR="004132DC" w:rsidRPr="004132DC" w:rsidRDefault="004132DC" w:rsidP="004132DC">
      <w:pPr>
        <w:numPr>
          <w:ilvl w:val="1"/>
          <w:numId w:val="26"/>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lang w:val="en-ID" w:eastAsia="en-ID"/>
        </w:rPr>
        <w:t>Besaran angsuran bulanan yang tetap sebesar Rp.2.209.513,- (Dua juta dua ratus sembilan ribu lima ratus tiga belas rupiah).</w:t>
      </w:r>
    </w:p>
    <w:p w:rsidR="004132DC" w:rsidRPr="004132DC" w:rsidRDefault="004132DC" w:rsidP="004132DC">
      <w:pPr>
        <w:numPr>
          <w:ilvl w:val="1"/>
          <w:numId w:val="26"/>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lang w:val="en-ID" w:eastAsia="en-ID"/>
        </w:rPr>
        <w:t>Pemberian agunan berupa tanah dan/atau bangunan dengan bukti Akta Pelepasan Hak Atas Tanah Dengan Ganti Rugi Nomor 120 Tanggal 30 Juni 2021 atas nama NURSIYAH yang disimpan oleh Penggugat sebagai jaminan hingga pinjaman lunas.</w:t>
      </w:r>
    </w:p>
    <w:p w:rsidR="004132DC" w:rsidRPr="004132DC" w:rsidRDefault="004132DC" w:rsidP="004132DC">
      <w:pPr>
        <w:numPr>
          <w:ilvl w:val="1"/>
          <w:numId w:val="26"/>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lang w:val="en-ID" w:eastAsia="en-ID"/>
        </w:rPr>
        <w:t>Kesepakatan mengenai hak Penggugat untuk menjual agunan jika terjadi wanprestasi (tidak membayar sesuai waktu yang ditetapkan), serta kewajiban Tergugat dan pemilik agunan untuk menyerahkan/mengosongkan agunan tersebut.</w:t>
      </w:r>
    </w:p>
    <w:p w:rsidR="004132DC" w:rsidRPr="004132DC" w:rsidRDefault="004132DC" w:rsidP="004132DC">
      <w:pPr>
        <w:numPr>
          <w:ilvl w:val="0"/>
          <w:numId w:val="27"/>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bdr w:val="none" w:sz="0" w:space="0" w:color="auto" w:frame="1"/>
          <w:lang w:val="en-ID" w:eastAsia="en-ID"/>
        </w:rPr>
        <w:t>Penerimaan Dana Pinjaman:</w:t>
      </w:r>
      <w:r w:rsidRPr="004132DC">
        <w:rPr>
          <w:rFonts w:ascii="Times" w:eastAsia="Times New Roman" w:hAnsi="Times" w:cs="Times New Roman"/>
          <w:color w:val="0D0D0D" w:themeColor="text1" w:themeTint="F2"/>
          <w:sz w:val="24"/>
          <w:szCs w:val="24"/>
          <w:lang w:val="en-ID" w:eastAsia="en-ID"/>
        </w:rPr>
        <w:t xml:space="preserve"> Kopi Tanda Terima Hutang tanggal 11 November 2021 secara tegas membuktikan bahwa Tergugat telah menerima dana pinjaman sebesar Rp 80.000.000,- (Delapan puluh juta rupiah) dari Penggugat.</w:t>
      </w:r>
    </w:p>
    <w:p w:rsidR="004132DC" w:rsidRPr="004132DC" w:rsidRDefault="004132DC" w:rsidP="004132DC">
      <w:pPr>
        <w:numPr>
          <w:ilvl w:val="0"/>
          <w:numId w:val="27"/>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bdr w:val="none" w:sz="0" w:space="0" w:color="auto" w:frame="1"/>
          <w:lang w:val="en-ID" w:eastAsia="en-ID"/>
        </w:rPr>
        <w:t>Agunan yang Dijaminkan:</w:t>
      </w:r>
      <w:r w:rsidRPr="004132DC">
        <w:rPr>
          <w:rFonts w:ascii="Times" w:eastAsia="Times New Roman" w:hAnsi="Times" w:cs="Times New Roman"/>
          <w:color w:val="0D0D0D" w:themeColor="text1" w:themeTint="F2"/>
          <w:sz w:val="24"/>
          <w:szCs w:val="24"/>
          <w:lang w:val="en-ID" w:eastAsia="en-ID"/>
        </w:rPr>
        <w:t xml:space="preserve"> Kopi Akta Pelepasan Hak Atas Tanah Dengan Ganti Rugi Nomor 120 Tanggal 30 Juni 2021 atas nama NURSIYAH menunjukkan </w:t>
      </w:r>
      <w:r w:rsidRPr="004132DC">
        <w:rPr>
          <w:rFonts w:ascii="Times" w:eastAsia="Times New Roman" w:hAnsi="Times" w:cs="Times New Roman"/>
          <w:color w:val="0D0D0D" w:themeColor="text1" w:themeTint="F2"/>
          <w:sz w:val="24"/>
          <w:szCs w:val="24"/>
          <w:lang w:val="en-ID" w:eastAsia="en-ID"/>
        </w:rPr>
        <w:lastRenderedPageBreak/>
        <w:t>keberadaan agunan yang telah diserahkan Tergugat kepada Penggugat sebagai jaminan pinjaman.</w:t>
      </w:r>
    </w:p>
    <w:p w:rsidR="004132DC" w:rsidRPr="004132DC" w:rsidRDefault="004132DC" w:rsidP="004132DC">
      <w:pPr>
        <w:numPr>
          <w:ilvl w:val="0"/>
          <w:numId w:val="27"/>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bdr w:val="none" w:sz="0" w:space="0" w:color="auto" w:frame="1"/>
          <w:lang w:val="en-ID" w:eastAsia="en-ID"/>
        </w:rPr>
        <w:t>Upaya Pemberitahuan dan Peringatan:</w:t>
      </w:r>
      <w:r w:rsidRPr="004132DC">
        <w:rPr>
          <w:rFonts w:ascii="Times" w:eastAsia="Times New Roman" w:hAnsi="Times" w:cs="Times New Roman"/>
          <w:color w:val="0D0D0D" w:themeColor="text1" w:themeTint="F2"/>
          <w:sz w:val="24"/>
          <w:szCs w:val="24"/>
          <w:lang w:val="en-ID" w:eastAsia="en-ID"/>
        </w:rPr>
        <w:t xml:space="preserve"> Kopi Surat Peringatan dari BRI Unit Helvetia Cabang Gatot Subroto (Surat Peringatan 1, 2, dan 3) membuktikan bahwa Penggugat telah melaksanakan kewajibannya untuk memberitahukan dan memperingatkan Tergugat secara patut dan lazim terkait adanya tunggakan pembayaran angsuran pinjaman sesuai dengan perjanjian dalam Surat Pengakuan Hutang.</w:t>
      </w:r>
    </w:p>
    <w:p w:rsidR="004132DC" w:rsidRPr="004132DC" w:rsidRDefault="004132DC" w:rsidP="004132DC">
      <w:pPr>
        <w:numPr>
          <w:ilvl w:val="0"/>
          <w:numId w:val="27"/>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bdr w:val="none" w:sz="0" w:space="0" w:color="auto" w:frame="1"/>
          <w:lang w:val="en-ID" w:eastAsia="en-ID"/>
        </w:rPr>
        <w:t>Bukti Tunggakan Pembayaran:</w:t>
      </w:r>
      <w:r w:rsidRPr="004132DC">
        <w:rPr>
          <w:rFonts w:ascii="Times" w:eastAsia="Times New Roman" w:hAnsi="Times" w:cs="Times New Roman"/>
          <w:color w:val="0D0D0D" w:themeColor="text1" w:themeTint="F2"/>
          <w:sz w:val="24"/>
          <w:szCs w:val="24"/>
          <w:lang w:val="en-ID" w:eastAsia="en-ID"/>
        </w:rPr>
        <w:t xml:space="preserve"> Print out Rekening Koran Pinjaman atas nama NURSIYAH memperkuat bahwa Tergugat tidak melakukan pembayaran angsuran pinjaman secara teratur atau telah terjadi kemacetan pembayaran.</w:t>
      </w:r>
    </w:p>
    <w:p w:rsidR="004132DC" w:rsidRPr="004132DC" w:rsidRDefault="004132DC" w:rsidP="004132DC">
      <w:pPr>
        <w:numPr>
          <w:ilvl w:val="0"/>
          <w:numId w:val="27"/>
        </w:numPr>
        <w:spacing w:after="0" w:line="480" w:lineRule="auto"/>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bdr w:val="none" w:sz="0" w:space="0" w:color="auto" w:frame="1"/>
          <w:lang w:val="en-ID" w:eastAsia="en-ID"/>
        </w:rPr>
        <w:t>Total Kewajiban Debitur:</w:t>
      </w:r>
      <w:r w:rsidRPr="004132DC">
        <w:rPr>
          <w:rFonts w:ascii="Times" w:eastAsia="Times New Roman" w:hAnsi="Times" w:cs="Times New Roman"/>
          <w:color w:val="0D0D0D" w:themeColor="text1" w:themeTint="F2"/>
          <w:sz w:val="24"/>
          <w:szCs w:val="24"/>
          <w:lang w:val="en-ID" w:eastAsia="en-ID"/>
        </w:rPr>
        <w:t xml:space="preserve"> Print out Laporan Total Kewajiban Debitur atas nama NURSIYAH menunjukkan besaran total kewajiban Tergugat kepada Penggugat saat ini adalah sebesar Rp.82.933.547,- (Delapan puluh dua juta sembilan ratus tiga puluh tiga lima ratus empat puluh tujuh rupiah).</w:t>
      </w:r>
    </w:p>
    <w:p w:rsidR="004132DC" w:rsidRPr="004132DC" w:rsidRDefault="004132DC" w:rsidP="004132DC">
      <w:pPr>
        <w:spacing w:after="0" w:line="480" w:lineRule="auto"/>
        <w:ind w:firstLine="709"/>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lang w:val="en-ID" w:eastAsia="en-ID"/>
        </w:rPr>
        <w:lastRenderedPageBreak/>
        <w:t>Dengan adanya bukti-bukti surat tersebut, bahwa terdapat hubungan hukum berupa perjanjian hutang piutang yang sah antara Penggugat dan Tergugat. Tergugat telah menerima dana pinjaman dan memberikan agunan sebagai jaminan. Tergugat juga terbukti tidak melaksanakan kewajibannya untuk membayar angsuran pinjaman sesuai dengan yang diperjanjikan, sehingga menimbulkan tunggakan dan total kewajiban yang belum dibayar. Penggugat juga telah melakukan upaya pemberitahuan dan peringatan kepada Tergugat. Bukti-bukti ini secara kuat mendukung klaim Penggugat terkait adanya wanprestasi yang dilakukan oleh Tergugat dalam perjanjian hutang piutang tersebut.</w:t>
      </w:r>
    </w:p>
    <w:p w:rsidR="004132DC" w:rsidRPr="004132DC" w:rsidRDefault="004132DC" w:rsidP="004132DC">
      <w:pPr>
        <w:spacing w:after="0" w:line="480" w:lineRule="auto"/>
        <w:ind w:firstLine="709"/>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t>Berdasarkan uraian gugatan yang telah diajukan, Penggugat memohon kepada Ketua Pengadilan Negeri Medan untuk memanggil para pihak dalam persidangan yang telah ditentukan. Penggugat selanjutnya meminta agar Pengadilan Negeri Medan memeriksa, mengadili, dan memutus perkara ini dengan amar sebagai berikut:</w:t>
      </w:r>
    </w:p>
    <w:p w:rsidR="004132DC" w:rsidRPr="004132DC" w:rsidRDefault="004132DC" w:rsidP="004132DC">
      <w:pPr>
        <w:numPr>
          <w:ilvl w:val="0"/>
          <w:numId w:val="19"/>
        </w:numPr>
        <w:spacing w:after="0" w:line="480" w:lineRule="auto"/>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t>Mengabulkan seluruh gugatan Penggugat.</w:t>
      </w:r>
    </w:p>
    <w:p w:rsidR="004132DC" w:rsidRPr="004132DC" w:rsidRDefault="004132DC" w:rsidP="004132DC">
      <w:pPr>
        <w:numPr>
          <w:ilvl w:val="0"/>
          <w:numId w:val="19"/>
        </w:numPr>
        <w:spacing w:after="0" w:line="480" w:lineRule="auto"/>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t>Menyatakan perbuatan Tergugat sebagai Wanprestasi.</w:t>
      </w:r>
    </w:p>
    <w:p w:rsidR="004132DC" w:rsidRPr="004132DC" w:rsidRDefault="004132DC" w:rsidP="004132DC">
      <w:pPr>
        <w:numPr>
          <w:ilvl w:val="0"/>
          <w:numId w:val="19"/>
        </w:numPr>
        <w:spacing w:after="0" w:line="480" w:lineRule="auto"/>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t>Menghukum Tergugat untuk membayar lunas seluruh sisa pinjaman/kredit (pokok dan bunga) sebesar Rp.82.933.547,- secara sekaligus tanpa syarat.</w:t>
      </w:r>
    </w:p>
    <w:p w:rsidR="004132DC" w:rsidRPr="004132DC" w:rsidRDefault="004132DC" w:rsidP="004132DC">
      <w:pPr>
        <w:numPr>
          <w:ilvl w:val="0"/>
          <w:numId w:val="19"/>
        </w:numPr>
        <w:spacing w:after="0" w:line="480" w:lineRule="auto"/>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lastRenderedPageBreak/>
        <w:t>Apabila Tergugat tidak melunasi sisa pinjaman/kredit secara sukarela, Penggugat mohon agar agunan berupa Akta Pelepasan Hak Atas Tanah Dengan Ganti Rugi Nomor 120 Tanggal 30 Juni 2021 atas nama NURSIYAH seluas lebih kurang 190,75 M2 di Kelurahan Hamparan Perak Kecamatan Hamparan Perak Kota Deli Serdang dilelang melalui Kantor Pelayanan Kekayaan Negara dan Lelang (KPKNL) Medan, dan hasil lelang digunakan untuk melunasi kewajiban Tergugat.</w:t>
      </w:r>
    </w:p>
    <w:p w:rsidR="004132DC" w:rsidRPr="004132DC" w:rsidRDefault="004132DC" w:rsidP="004132DC">
      <w:pPr>
        <w:numPr>
          <w:ilvl w:val="0"/>
          <w:numId w:val="19"/>
        </w:numPr>
        <w:spacing w:after="0" w:line="480" w:lineRule="auto"/>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t>Menyatakan sah dan berharga Sita Jaminan (</w:t>
      </w:r>
      <w:r w:rsidRPr="004132DC">
        <w:rPr>
          <w:rFonts w:ascii="Times" w:eastAsia="Times New Roman" w:hAnsi="Times" w:cstheme="majorBidi"/>
          <w:i/>
          <w:iCs/>
          <w:color w:val="0D0D0D" w:themeColor="text1" w:themeTint="F2"/>
          <w:sz w:val="24"/>
          <w:szCs w:val="24"/>
          <w:lang w:val="en-ID" w:eastAsia="en-ID"/>
        </w:rPr>
        <w:t>Conservatoir Beslag</w:t>
      </w:r>
      <w:r w:rsidRPr="004132DC">
        <w:rPr>
          <w:rFonts w:ascii="Times" w:eastAsia="Times New Roman" w:hAnsi="Times" w:cstheme="majorBidi"/>
          <w:color w:val="0D0D0D" w:themeColor="text1" w:themeTint="F2"/>
          <w:sz w:val="24"/>
          <w:szCs w:val="24"/>
          <w:lang w:val="en-ID" w:eastAsia="en-ID"/>
        </w:rPr>
        <w:t>) terhadap obyek agunan berupa Akta Pelepasan Hak Atas Tanah Dengan Ganti Rugi Nomor 120 Tanggal 30 Juni 2021 atas nama NURSIYAH seluas lebih kurang 190,75 M2 di Kelurahan Hamparan Perak Kecamatan Hamparan Perak Kota Deli Serdang, beserta tanah dan/atau bangunan di atasnya.</w:t>
      </w:r>
    </w:p>
    <w:p w:rsidR="004132DC" w:rsidRPr="004132DC" w:rsidRDefault="004132DC" w:rsidP="004132DC">
      <w:pPr>
        <w:numPr>
          <w:ilvl w:val="0"/>
          <w:numId w:val="19"/>
        </w:numPr>
        <w:spacing w:after="0" w:line="480" w:lineRule="auto"/>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t xml:space="preserve">Memerintahkan Tergugat atau pihak lain yang menguasai obyek agunan berupa Akta Pelepasan Hak Atas Tanah Dengan Ganti Rugi Nomor 120 Tanggal 30 Juni 2021 atas nama NURSIYAH seluas lebih kurang 190,75 M2 di Kelurahan Hamparan Perak Kecamatan Hamparan Perak Kota Deli Serdang untuk segera mengosongkannya. Apabila Tergugat tidak melaksanakan perintah ini, Penggugat </w:t>
      </w:r>
      <w:r w:rsidRPr="004132DC">
        <w:rPr>
          <w:rFonts w:ascii="Times" w:eastAsia="Times New Roman" w:hAnsi="Times" w:cstheme="majorBidi"/>
          <w:color w:val="0D0D0D" w:themeColor="text1" w:themeTint="F2"/>
          <w:sz w:val="24"/>
          <w:szCs w:val="24"/>
          <w:lang w:val="en-ID" w:eastAsia="en-ID"/>
        </w:rPr>
        <w:lastRenderedPageBreak/>
        <w:t>berhak mengosongkan obyek agunan dengan bantuan pihak berwenang atas biaya Tergugat.</w:t>
      </w:r>
    </w:p>
    <w:p w:rsidR="004132DC" w:rsidRPr="004132DC" w:rsidRDefault="004132DC" w:rsidP="004132DC">
      <w:pPr>
        <w:numPr>
          <w:ilvl w:val="0"/>
          <w:numId w:val="19"/>
        </w:numPr>
        <w:spacing w:after="0" w:line="480" w:lineRule="auto"/>
        <w:jc w:val="both"/>
        <w:rPr>
          <w:rFonts w:ascii="Times" w:eastAsia="Times New Roman" w:hAnsi="Times" w:cstheme="majorBidi"/>
          <w:color w:val="0D0D0D" w:themeColor="text1" w:themeTint="F2"/>
          <w:sz w:val="24"/>
          <w:szCs w:val="24"/>
          <w:lang w:val="en-ID" w:eastAsia="en-ID"/>
        </w:rPr>
      </w:pPr>
      <w:r w:rsidRPr="004132DC">
        <w:rPr>
          <w:rFonts w:ascii="Times" w:eastAsia="Times New Roman" w:hAnsi="Times" w:cstheme="majorBidi"/>
          <w:color w:val="0D0D0D" w:themeColor="text1" w:themeTint="F2"/>
          <w:sz w:val="24"/>
          <w:szCs w:val="24"/>
          <w:lang w:val="en-ID" w:eastAsia="en-ID"/>
        </w:rPr>
        <w:t>Menghukum Tergugat untuk membayar biaya perkara atau, apabila Ketua Pengadilan Negeri Medan berpendapat lain, Penggugat memohon putusan yang seadil-adilnya (</w:t>
      </w:r>
      <w:r w:rsidRPr="004132DC">
        <w:rPr>
          <w:rFonts w:ascii="Times" w:eastAsia="Times New Roman" w:hAnsi="Times" w:cstheme="majorBidi"/>
          <w:i/>
          <w:iCs/>
          <w:color w:val="0D0D0D" w:themeColor="text1" w:themeTint="F2"/>
          <w:sz w:val="24"/>
          <w:szCs w:val="24"/>
          <w:lang w:val="en-ID" w:eastAsia="en-ID"/>
        </w:rPr>
        <w:t>Ex Aequo et Bono</w:t>
      </w:r>
      <w:r w:rsidRPr="004132DC">
        <w:rPr>
          <w:rFonts w:ascii="Times" w:eastAsia="Times New Roman" w:hAnsi="Times" w:cstheme="majorBidi"/>
          <w:color w:val="0D0D0D" w:themeColor="text1" w:themeTint="F2"/>
          <w:sz w:val="24"/>
          <w:szCs w:val="24"/>
          <w:lang w:val="en-ID" w:eastAsia="en-ID"/>
        </w:rPr>
        <w:t>).</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 xml:space="preserve"> Menimbang, bahwa oleh karena gugatan penggugat dalam perkara </w:t>
      </w:r>
      <w:r w:rsidRPr="004132DC">
        <w:rPr>
          <w:rFonts w:ascii="Times" w:hAnsi="Times" w:cstheme="majorBidi"/>
          <w:i/>
          <w:iCs/>
          <w:color w:val="0D0D0D" w:themeColor="text1" w:themeTint="F2"/>
          <w:sz w:val="24"/>
          <w:szCs w:val="24"/>
        </w:rPr>
        <w:t>a quo</w:t>
      </w:r>
      <w:r w:rsidRPr="004132DC">
        <w:rPr>
          <w:rFonts w:ascii="Times" w:hAnsi="Times" w:cstheme="majorBidi"/>
          <w:color w:val="0D0D0D" w:themeColor="text1" w:themeTint="F2"/>
          <w:sz w:val="24"/>
          <w:szCs w:val="24"/>
        </w:rPr>
        <w:t xml:space="preserve"> diajukan dalam tata cara penyelesaian gugatan sederhana yang kemudian dalam tahapan pemeriksaan kelengkapan gugatan oleh Panitera serta pemeriksaan pendahuluan oleh Hakim yang bersangkutan dipandang telah memenuhi syarat sebagaimana dikehendaki dan diatur dalam ketentuan pasal 5 dan pasal 7 Jo. Pasal 3 dan pasal 4 Peraturan Mahkamah Agung Nomor 2 tahun 2015 sebagaimana telah diubah dan disempurnakan dengan Peraturan Mahkamah Agung Nomor 4 tahun 2019 maka selanjutnya kepada kedua belah pihak berperkara yang hadir dipersidangan telah diupayakan dan disarankan untuk menempuh upaya perdamaian yang tentunya perdamaian dimaksud tidak dalam bentuk wadah (formulasi) mediasi secara formal sebagaimana kehendaki</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lastRenderedPageBreak/>
        <w:t xml:space="preserve"> Dalam Peraturan Mahkamah Agung Nomor 1 tahun 2016, tetapi lebih kepada bersifat mengupayakan dan menyarankan dalam tenggang waktu yang memperhitungkan batasan waktu pemeriksaan gugatan sederhana yaitu 25 (dua puluh lima) hari kerja sejak sidang pertama (vide pasal pasal 5 ayat (3) dan pasal 14 ayat (1) huruf b PERMA No. 2 tahun 2015 sebagaimana telah diubah dan disempurnakan dengan PERMA nomor 4 tahun 2019). </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selanjutnya dalam pola pembagian waktu yang wajar dan patut yakni 5 (lima) hari sejak hari sidang pertama ternyata kedua belah pihak berperkara tidak berhasil untuk berdamai maka selanjutnya kepada Penggugat diberi kesempatan untuk membacakan gugatannya dan untuk itu ia hanya menyatakan tetap pada gugatannya semula.</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 xml:space="preserve">Namun sebelumnya Hakim yang bersangkutan telah menjelaskan kepada kedua belah pihak berperkara agar selama proses persidangan perkara </w:t>
      </w:r>
      <w:r w:rsidRPr="004132DC">
        <w:rPr>
          <w:rFonts w:ascii="Times" w:hAnsi="Times" w:cstheme="majorBidi"/>
          <w:i/>
          <w:color w:val="0D0D0D" w:themeColor="text1" w:themeTint="F2"/>
          <w:sz w:val="24"/>
          <w:szCs w:val="24"/>
        </w:rPr>
        <w:t>a quo</w:t>
      </w:r>
      <w:r w:rsidRPr="004132DC">
        <w:rPr>
          <w:rFonts w:ascii="Times" w:hAnsi="Times" w:cstheme="majorBidi"/>
          <w:color w:val="0D0D0D" w:themeColor="text1" w:themeTint="F2"/>
          <w:sz w:val="24"/>
          <w:szCs w:val="24"/>
        </w:rPr>
        <w:t xml:space="preserve"> sampai sebelum dijatuhkannya putusan kiranya dapat mengupayakan perdamaian diluar proses persidangan. Kemudian pihak Tergugat selama persidangan berlangsung baru sekali hadir dalam persidangan dan selanjutnya tidak pernah hadir sama sekali dalam persidangan. selanjutnya atas gugatan Penggugat tersebut, Tergugat tidak megajukan jawaban. </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lastRenderedPageBreak/>
        <w:t xml:space="preserve"> Ketentuan pasal 17 Perma Nomor 2 tahun 2015 sebagaimana telah diubah dan disempurnakan dengan Perma Nomor 4 tahun 2019 secara tegas disebutkan “bahwa dalam proses pemeriksaan gugatan sederhana, tidak dapat diajukan tuntutan provisi, eksepsi, rekonvensi, intervensi, replik, duplik atau kesimpulan”. </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Ketentuan ini menjadi bentuk yang menunjukkan karateristik kesederhanaan proses dalam pemeriksaan gugatan sederhana yang bersifat eksepsional normatif, karenanya memperhatikan ketentuan dimaksud selanjutnya untuk membuktikan dalil gugatannya maka kuasa hukum.</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 xml:space="preserve"> Pengugat telah mengajukan bukti surat berupa fotocopy surat-surat yang telah dilegalisir di Kepaniteraan Pengadilan Negeri Medan, diberi meterai secukupnya dan selanjutnya diperlihatkan dipersidangan, surat bukti mana sejak semula telah menjadi lampiran pada saat pengugat mendaftarkan surat gugatannya (vide pasal 6 ayat (4) PERMA Nomor 2 tahun 2015 yang telah diubah dan disempurnakan dengan PERMA Nomor 4 tahun 2019), yaitu :  </w:t>
      </w:r>
    </w:p>
    <w:p w:rsidR="004132DC" w:rsidRPr="004132DC" w:rsidRDefault="004132DC" w:rsidP="004132DC">
      <w:pPr>
        <w:pStyle w:val="ListParagraph"/>
        <w:numPr>
          <w:ilvl w:val="0"/>
          <w:numId w:val="20"/>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 xml:space="preserve">Fotocopy Kartu Tanda Penduduk (KTP) dengan NIK : 1271127112600057, atas Nama Nursiyah, Selanjutnya diberi tanda Bukti P-1; </w:t>
      </w:r>
    </w:p>
    <w:p w:rsidR="004132DC" w:rsidRPr="004132DC" w:rsidRDefault="004132DC" w:rsidP="004132DC">
      <w:pPr>
        <w:pStyle w:val="ListParagraph"/>
        <w:numPr>
          <w:ilvl w:val="0"/>
          <w:numId w:val="20"/>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lastRenderedPageBreak/>
        <w:t>Fotocopy Surat Perjanjian Hutang dengan No. SPH.87759211/5316/11/2.</w:t>
      </w:r>
    </w:p>
    <w:p w:rsidR="004132DC" w:rsidRPr="004132DC" w:rsidRDefault="004132DC" w:rsidP="004132DC">
      <w:p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 xml:space="preserve">pada hari ini, tanggal 11 November 2021, Selanjutnya diberi tanda Bukti P-2; </w:t>
      </w:r>
    </w:p>
    <w:p w:rsidR="004132DC" w:rsidRPr="004132DC" w:rsidRDefault="004132DC" w:rsidP="004132DC">
      <w:pPr>
        <w:spacing w:after="0" w:line="480" w:lineRule="auto"/>
        <w:ind w:left="360"/>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3. a. Fotocopy Surat Peringatan 1 Pemanggilan Tunggakan dengan No. B      01/MKR/07/2024, Selanjutnya diberi tanda Bukti P-3.a.</w:t>
      </w:r>
    </w:p>
    <w:p w:rsidR="004132DC" w:rsidRPr="004132DC" w:rsidRDefault="004132DC" w:rsidP="004132DC">
      <w:pPr>
        <w:spacing w:after="0" w:line="480" w:lineRule="auto"/>
        <w:ind w:left="360"/>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b. Fotocopy Surat Peringatan 2 Pemanggilan Tunggakan dengan No. B 06/MKR/07/2024, Selanjutnya diberi tanda Bukti P-3.b.</w:t>
      </w:r>
    </w:p>
    <w:p w:rsidR="004132DC" w:rsidRPr="004132DC" w:rsidRDefault="004132DC" w:rsidP="004132DC">
      <w:pPr>
        <w:spacing w:after="0" w:line="480" w:lineRule="auto"/>
        <w:ind w:left="360"/>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c. Fotocopy Surat Peringatan 3 Pemanggilan Tunggakan dengan No. B 011/MKR/07/2024, Selanjutnya diberi tanda Bukti P-3.c.</w:t>
      </w:r>
    </w:p>
    <w:p w:rsidR="004132DC" w:rsidRPr="004132DC" w:rsidRDefault="004132DC" w:rsidP="004132DC">
      <w:pPr>
        <w:pStyle w:val="ListParagraph"/>
        <w:numPr>
          <w:ilvl w:val="0"/>
          <w:numId w:val="21"/>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Fotocopy Akta Notaris Pelepasan Hak Atas Tanah dengan Ganti Rugi No.120 tanggal 30 Juni 2021, yang terletak di Desa Hamparan Perak Kecamatan Hamparan Perak Kabupaten Deli Serdang Provinsi Sumatera Utara atas nama Nursiyah, Selanjutnya diberi tanda Bukti P-4.</w:t>
      </w:r>
    </w:p>
    <w:p w:rsidR="004132DC" w:rsidRPr="004132DC" w:rsidRDefault="004132DC" w:rsidP="004132DC">
      <w:pPr>
        <w:pStyle w:val="ListParagraph"/>
        <w:numPr>
          <w:ilvl w:val="0"/>
          <w:numId w:val="21"/>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Fotocopy Total Payoff Inquiry atas nama Nursiyah dengan Account No.5316- 01-011793-10-1, dengan sisa total pinjaman IDR 82.933.547, Selanjutnya diberi tanda Bukti P-5.</w:t>
      </w:r>
    </w:p>
    <w:p w:rsidR="004132DC" w:rsidRPr="004132DC" w:rsidRDefault="004132DC" w:rsidP="004132DC">
      <w:pPr>
        <w:pStyle w:val="ListParagraph"/>
        <w:numPr>
          <w:ilvl w:val="0"/>
          <w:numId w:val="21"/>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lastRenderedPageBreak/>
        <w:t>Fotocopy Laporan Transaksi Pinjaman dengan No.Rekening 5316-01-011793- 10-1 atas nama Nursiyah, Selanjutnya diberi tanda Bukti P-6.</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Keseluruhan bukti surat tersebut telah diberi materai secukupnya dan bersesuaian dengan aslinya, kecuali bukti surat P-1, fotocopy dari fotocopy, P-5, dan P-6 berupa print out. Kemudian fotocopy bukti surat tersebut dilampirkan kedalam berkas perkara, sedangkan aslinya dikembalikan kepada Kuasa Penggugat.</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 xml:space="preserve">Tergugat tidak mengajukan bukti surat, dikarenakan Tergugat baru sekali hadir dalam persidangan yang telah ditentukan sampai dengan mau pembacaan putusan, maka Hakim mengambil kesimpulan bahwa Tergugat tidak menggunakan hak sebagai pihak terperkara. </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 xml:space="preserve">sekalipun telah diberi ruang waktu dan kesempatan yang wajar dan patut agar Kuasa Penggugat menghadirkan saksi guna membuktikan kebenaran dalil gugatan dan dalil bantahannya semula, namun Kuasa Penggugat berperkara dengan tegas menyampaikan tidak akan menghadirkan saksi dan sudah cukup dengan bukti surat dimaksud. </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lastRenderedPageBreak/>
        <w:t>Menurut ketentuan pasal 17 Perma Nomor 2 tahun 2015 yang telah diubah dan disempurnakan dengan PERMA Nomor 4 tahun 2019 sebagaimana dikemukakan diatas maka secara yuridis normatif tidak ada lagi tahapan persidangan untuk penyampaian kesimpulan, namun oleh para pihak tetap bermohon untuk diberi kesempatan mengajukan kesimpulan dan untuk itu pihak kuasa hukum Penggugat telah menyampaikan kesimpulan secara lisan tertanggal 21 Agustus 2024.</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 xml:space="preserve"> Bahwa oleh karena sudah tidak ada lagi yang hendak disampaikan dalam proses persidangan sebagai upaya mempertahankan dan membuktikan dalil dari masing-masing pihak maka selanjutnya kedua belah pihak berperkara memohon putusan. Segala sesuatu yang menyangkut duduk permasalahan, keterangan-keterangan dan fakta-fakta lain dalam perkara ini maka dapat dilihat dalam kesatuan berkas yang merupakan bahagian tidak terpisahkan dalam putusan a quo.</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Memperhatikan ketentuan Peraturan Mahkamah Agung Nomor 2 tahun 2015 sebagaimana telah diubah dan disempurnakan dengan Peraturan Mahkamah Agung RI Nomor 4 tahun 2019 serta peraturan perundangundangan yang berhubungan dengan perkara tersebut.</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p>
    <w:p w:rsidR="004132DC" w:rsidRPr="004132DC" w:rsidRDefault="004132DC" w:rsidP="004132DC">
      <w:pPr>
        <w:spacing w:after="0" w:line="480" w:lineRule="auto"/>
        <w:ind w:firstLine="709"/>
        <w:jc w:val="center"/>
        <w:rPr>
          <w:rFonts w:ascii="Times" w:hAnsi="Times" w:cstheme="majorBidi"/>
          <w:b/>
          <w:bCs/>
          <w:color w:val="0D0D0D" w:themeColor="text1" w:themeTint="F2"/>
          <w:sz w:val="24"/>
          <w:szCs w:val="24"/>
        </w:rPr>
      </w:pPr>
      <w:r w:rsidRPr="004132DC">
        <w:rPr>
          <w:rFonts w:ascii="Times" w:hAnsi="Times" w:cstheme="majorBidi"/>
          <w:b/>
          <w:bCs/>
          <w:color w:val="0D0D0D" w:themeColor="text1" w:themeTint="F2"/>
          <w:sz w:val="24"/>
          <w:szCs w:val="24"/>
        </w:rPr>
        <w:t>M E N G A D I L I</w:t>
      </w:r>
    </w:p>
    <w:p w:rsidR="004132DC" w:rsidRPr="004132DC" w:rsidRDefault="004132DC" w:rsidP="004132DC">
      <w:pPr>
        <w:pStyle w:val="ListParagraph"/>
        <w:numPr>
          <w:ilvl w:val="0"/>
          <w:numId w:val="22"/>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Mengabulkan gugatan Penggugat seluruhnya.</w:t>
      </w:r>
    </w:p>
    <w:p w:rsidR="004132DC" w:rsidRPr="004132DC" w:rsidRDefault="004132DC" w:rsidP="004132DC">
      <w:pPr>
        <w:pStyle w:val="ListParagraph"/>
        <w:numPr>
          <w:ilvl w:val="0"/>
          <w:numId w:val="22"/>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Menyatakan demi hukum perbuatan Tergugat adalah Wanprestasi kepada Penggugat.</w:t>
      </w:r>
    </w:p>
    <w:p w:rsidR="004132DC" w:rsidRPr="004132DC" w:rsidRDefault="004132DC" w:rsidP="004132DC">
      <w:pPr>
        <w:pStyle w:val="ListParagraph"/>
        <w:numPr>
          <w:ilvl w:val="0"/>
          <w:numId w:val="22"/>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Menghukum Tergugat untuk membayar lunas seketika tanpa syarat seluruh sisa pinjaman/kreditnya (Pokok + bunga) kepada Penggugat sebesar Rp.82.933.547,- (Delapan puluh dua juta sembilan ratus tiga puluh tiga ribu lima ratus empat puluh tujuh rupiah).</w:t>
      </w:r>
    </w:p>
    <w:p w:rsidR="004132DC" w:rsidRPr="004132DC" w:rsidRDefault="004132DC" w:rsidP="004132DC">
      <w:pPr>
        <w:pStyle w:val="ListParagraph"/>
        <w:numPr>
          <w:ilvl w:val="0"/>
          <w:numId w:val="22"/>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 xml:space="preserve">Apabila Tergugat tidak melunasi seluruh sisa pinjaman/kreditnya (pokok + bunga) secara suka rela kepada Penggugat, maka terhadap agunan dengan bukti akta Pelepasan Hak Atas Tanah Dengan Ganti Rugi Nomor 120 Tanggal 30 Juni 2021 atas nama NURSIYAH dengan luas lebih kurang 190,75 M2 yang terletak di Kelurahan Hamparan Perak Kecamatan Hamparan Perak Kota Deli Serdang, yang dijaminkan kepada Penggugat dilelang dengan perantara Kantor Pelayanan Kekayaan Negara dan Lelang (KPKNL) Medan dan hasil penjualan </w:t>
      </w:r>
      <w:r w:rsidRPr="004132DC">
        <w:rPr>
          <w:rFonts w:ascii="Times" w:hAnsi="Times" w:cstheme="majorBidi"/>
          <w:color w:val="0D0D0D" w:themeColor="text1" w:themeTint="F2"/>
          <w:sz w:val="24"/>
          <w:szCs w:val="24"/>
        </w:rPr>
        <w:lastRenderedPageBreak/>
        <w:t>lelang tersebut digunakan untuk pelunasan pembayaran pinjaman/kredit Tergugat kepada Penggugat.</w:t>
      </w:r>
    </w:p>
    <w:p w:rsidR="004132DC" w:rsidRPr="004132DC" w:rsidRDefault="004132DC" w:rsidP="004132DC">
      <w:pPr>
        <w:pStyle w:val="ListParagraph"/>
        <w:numPr>
          <w:ilvl w:val="0"/>
          <w:numId w:val="22"/>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 xml:space="preserve">Menyatakan atas obyek agunan dengan bukti bukti akta Pelepasan Hak Atas Tanah Dengan Ganti Rugi Nomor 120 Tanggal 30 Juni 2021 atas nama NURSIYAH dengan luas lebih kurang 190,75 M2 yang terletak di Kelurahan Hamparan Perak Kecamatan Hamparan Perak Kota Deli Serdang, berikut sekaligus tanah dan/atau bangunan yang berdiri di atasnya sah dan berharga dilakukan Sita Jaminan (Conservatoir Beslag) untuk kepentingan Penggugat. </w:t>
      </w:r>
    </w:p>
    <w:p w:rsidR="004132DC" w:rsidRPr="004132DC" w:rsidRDefault="004132DC" w:rsidP="004132DC">
      <w:pPr>
        <w:pStyle w:val="ListParagraph"/>
        <w:numPr>
          <w:ilvl w:val="0"/>
          <w:numId w:val="22"/>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Memerintahkan kepada Tergugat atau siapa saja yang menguasai atau menempati obyek agunan berupa bukti akta Pelepasan Hak Atas Tanah Dengan Ganti Rugi Nomor 120 Tanggal 30 Juni 2021 atas nama NURSIYAH dengan luas lebih kurang 190,75 M2 yang terletak di Kelurahan Hamparan Perak Kecamatan Hamparan Perak Kota Deli Serdang tersebut untuk segera mengosongkan obyek agunan tersebut. Apabila Tergugat tidak melaksanakan sebagaimana mestinya maka atas beban biaya Tergugat sendiri pihak Penggugat dengan bantuan pihak yang berwenang dapat melaksanakannya.</w:t>
      </w:r>
    </w:p>
    <w:p w:rsidR="004132DC" w:rsidRPr="004132DC" w:rsidRDefault="004132DC" w:rsidP="004132DC">
      <w:pPr>
        <w:pStyle w:val="ListParagraph"/>
        <w:numPr>
          <w:ilvl w:val="0"/>
          <w:numId w:val="22"/>
        </w:numPr>
        <w:spacing w:after="0" w:line="480" w:lineRule="auto"/>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lastRenderedPageBreak/>
        <w:t xml:space="preserve">Menghukum Tergugat untuk membayar biaya perkara yang sampai saat ini sejumlah Rp.259.000,00 (Dua ratus lima puluh sembilan ribu rupiah). </w:t>
      </w:r>
    </w:p>
    <w:p w:rsidR="004132DC" w:rsidRPr="004132DC" w:rsidRDefault="004132DC" w:rsidP="004132DC">
      <w:pPr>
        <w:spacing w:after="0" w:line="480" w:lineRule="auto"/>
        <w:ind w:firstLine="709"/>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Demikianlah perkara ini diputus pada hari Senin tanggal 9 September 2024 oleh kami Khamozaro Waruwu, S.H.,M.H., yang berdasarkan Penetapan Wakil Ketua Pengadilan Negeri Medan Nomor 76/Pdt.G.S/2024/PN Mdn tanggal 18 Juli 2024 telah ditunjuk selaku Hakim Tunggal yang memeriksa dan mengadili perkara tersebut, putusan mana pada hari itu juga diucapkan dalam persidangan yang terbuka untuk umum oleh Hakim tersebut, yang dibantu oleh Kalep Rumanus Tarigan, S.H., Panitera Pengganti Pengadilan Negeri Medan, dihadiri oleh Kuasa Hukum Penggugat dan tanpa dihadiri oleh Tergugat.</w:t>
      </w:r>
    </w:p>
    <w:p w:rsidR="004132DC" w:rsidRPr="004132DC" w:rsidRDefault="004132DC" w:rsidP="004132DC">
      <w:pPr>
        <w:pStyle w:val="Heading2"/>
        <w:spacing w:before="0" w:line="480" w:lineRule="auto"/>
        <w:rPr>
          <w:rFonts w:ascii="Times" w:hAnsi="Times"/>
          <w:b w:val="0"/>
          <w:bCs w:val="0"/>
          <w:color w:val="0D0D0D" w:themeColor="text1" w:themeTint="F2"/>
          <w:sz w:val="24"/>
          <w:szCs w:val="24"/>
        </w:rPr>
      </w:pPr>
      <w:bookmarkStart w:id="9" w:name="_Toc198683519"/>
      <w:bookmarkStart w:id="10" w:name="_Toc198688765"/>
      <w:bookmarkStart w:id="11" w:name="_Toc199160192"/>
      <w:r w:rsidRPr="004132DC">
        <w:rPr>
          <w:rFonts w:ascii="Times" w:hAnsi="Times"/>
          <w:b w:val="0"/>
          <w:bCs w:val="0"/>
          <w:color w:val="0D0D0D" w:themeColor="text1" w:themeTint="F2"/>
          <w:sz w:val="24"/>
          <w:szCs w:val="24"/>
        </w:rPr>
        <w:t>B. Faktor-faktor yang mempengaruhi terjadinya wanprestasi dalam perjanjian pinjaman KUPEDES di Bank BRI</w:t>
      </w:r>
      <w:bookmarkEnd w:id="9"/>
      <w:bookmarkEnd w:id="10"/>
      <w:bookmarkEnd w:id="11"/>
    </w:p>
    <w:p w:rsidR="004132DC" w:rsidRPr="004132DC" w:rsidRDefault="004132DC" w:rsidP="004132DC">
      <w:pPr>
        <w:spacing w:after="0" w:line="480" w:lineRule="auto"/>
        <w:ind w:firstLine="720"/>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lang w:val="en-ID" w:eastAsia="en-ID"/>
        </w:rPr>
        <w:t xml:space="preserve">Wanprestasi dalam perjanjian pinjaman, seperti yang terjadi dalam kasus gugatan sederhana yang diajukan ke Pengadilan Negeri Medan pada Juli 2024, mencerminkan kegagalan salah satu pihak dalam memenuhi kewajibannya sebagaimana tertuang dalam kesepakatan. Dalam kasus tersebut, wanprestasi terjadi akibat Tergugat tidak membayar </w:t>
      </w:r>
      <w:r w:rsidRPr="004132DC">
        <w:rPr>
          <w:rFonts w:ascii="Times" w:eastAsia="Times New Roman" w:hAnsi="Times" w:cs="Times New Roman"/>
          <w:color w:val="0D0D0D" w:themeColor="text1" w:themeTint="F2"/>
          <w:sz w:val="24"/>
          <w:szCs w:val="24"/>
          <w:lang w:val="en-ID" w:eastAsia="en-ID"/>
        </w:rPr>
        <w:lastRenderedPageBreak/>
        <w:t>angsuran pinjaman secara tepat waktu sesuai dengan Surat Pengakuan Hutang yang dibuat pada 11 November 2021. Pinjaman sebesar Rp80.000.000 yang dijanjikan akan dilunasi dalam jangka waktu 60 bulan dengan bunga bulanan sebesar 1,83%, tidak dipenuhi, sehingga menyebabkan kredit menjadi macet dengan total kewajiban mencapai Rp82.933.547.</w:t>
      </w:r>
    </w:p>
    <w:p w:rsidR="004132DC" w:rsidRPr="004132DC" w:rsidRDefault="004132DC" w:rsidP="004132DC">
      <w:pPr>
        <w:spacing w:after="0" w:line="480" w:lineRule="auto"/>
        <w:ind w:firstLine="720"/>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lang w:val="en-ID" w:eastAsia="en-ID"/>
        </w:rPr>
        <w:t xml:space="preserve">Penggugat telah menempuh berbagai upaya persuasif seperti mengirimkan surat peringatan dan somasi, namun tidak mendapat respons yang memadai dari pihak Tergugat. Bahkan selama proses persidangan, Tergugat menunjukkan itikad tidak baik dengan hanya hadir sekali tanpa memberikan jawaban maupun bukti yang dapat membantah tuduhan wanprestasi. </w:t>
      </w:r>
    </w:p>
    <w:p w:rsidR="004132DC" w:rsidRPr="004132DC" w:rsidRDefault="004132DC" w:rsidP="004132DC">
      <w:pPr>
        <w:spacing w:after="0" w:line="480" w:lineRule="auto"/>
        <w:ind w:firstLine="720"/>
        <w:jc w:val="both"/>
        <w:rPr>
          <w:rFonts w:ascii="Times" w:eastAsia="Times New Roman" w:hAnsi="Times" w:cs="Times New Roman"/>
          <w:color w:val="0D0D0D" w:themeColor="text1" w:themeTint="F2"/>
          <w:sz w:val="24"/>
          <w:szCs w:val="24"/>
          <w:lang w:val="en-ID" w:eastAsia="en-ID"/>
        </w:rPr>
      </w:pPr>
      <w:r w:rsidRPr="004132DC">
        <w:rPr>
          <w:rFonts w:ascii="Times" w:eastAsia="Times New Roman" w:hAnsi="Times" w:cs="Times New Roman"/>
          <w:color w:val="0D0D0D" w:themeColor="text1" w:themeTint="F2"/>
          <w:sz w:val="24"/>
          <w:szCs w:val="24"/>
          <w:lang w:val="en-ID" w:eastAsia="en-ID"/>
        </w:rPr>
        <w:t>Hal ini akhirnya mendorong hakim untuk memutuskan bahwa Tergugat memang telah wanprestasi, menghukumnya untuk melunasi seluruh sisa pinjaman, dan menyetujui agar agunan berupa tanah atas nama Nursiyah dapat dilelang melalui KPKNL jika tidak dilakukan pelunasan secara sukarela. Selain itu, dilakukan sita jaminan atas agunan dan perintah pengosongan objek jaminan.</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r w:rsidRPr="004132DC">
        <w:rPr>
          <w:rFonts w:ascii="Times" w:hAnsi="Times"/>
          <w:color w:val="0D0D0D" w:themeColor="text1" w:themeTint="F2"/>
        </w:rPr>
        <w:lastRenderedPageBreak/>
        <w:t>Wanprestasi dalam perjanjian pinjaman KUPEDES di Bank BRI bisa dipengaruhi oleh berbagai aspek yang saling terkait, baik yang berasal dari diri peminjam maupun dari lingkungan eksternal dan bahkan dari pihak bank sendiri. Jika sejak awal peminjam tidak memiliki niat baik untuk melunasi pinjaman atau cenderung mengambil risiko berlebihan setelah mendapatkan dana, potensi gagal bayar menjadi lebih tinggi. Ketidakjujuran dalam memberikan informasi saat pengajuan pinjaman juga menjadi indikator buruk yang bisa berujung pada wanprestasi.</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r w:rsidRPr="004132DC">
        <w:rPr>
          <w:rFonts w:ascii="Times" w:hAnsi="Times"/>
          <w:color w:val="0D0D0D" w:themeColor="text1" w:themeTint="F2"/>
        </w:rPr>
        <w:t xml:space="preserve">Selain itu, kemampuan finansial peminjam menjadi faktor krusial. Penurunan pendapatan usaha, pengelolaan keuangan yang kurang baik, atau adanya beban keuangan lain seperti utang atau tanggungan keluarga yang meningkat, secara langsung dapat mengurangi kemampuan peminjam untuk membayar cicilan KUPEDES. Musibah atau kejadian darurat yang tidak terduga juga bisa memukul kondisi finansial peminjam dan menghambat pembayaran. </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r w:rsidRPr="004132DC">
        <w:rPr>
          <w:rFonts w:ascii="Times" w:hAnsi="Times"/>
          <w:color w:val="0D0D0D" w:themeColor="text1" w:themeTint="F2"/>
        </w:rPr>
        <w:t xml:space="preserve">Kemudian kurangnya pemahaman peminjam terhadap isi perjanjian pinjaman serta kesadaran hukum mengenai kewajiban membayar utang juga dapat berkontribusi pada terjadinya wanprestasi. Faktor-faktor eksternal di luar kendali peminjam juga memainkan </w:t>
      </w:r>
      <w:r w:rsidRPr="004132DC">
        <w:rPr>
          <w:rFonts w:ascii="Times" w:hAnsi="Times"/>
          <w:color w:val="0D0D0D" w:themeColor="text1" w:themeTint="F2"/>
        </w:rPr>
        <w:lastRenderedPageBreak/>
        <w:t xml:space="preserve">peran signifikan. Kondisi ekonomi makro seperti perlambatan ekonomi, inflasi tinggi, perubahan kebijakan pemer intah yang merugikan sektor usaha mikro, serta persaingan usaha yang semakin ketat dapat mempengaruhi kelancaran usaha peminjam dan kemampuan mereka untuk menghasilkan pendapatan. </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r w:rsidRPr="004132DC">
        <w:rPr>
          <w:rFonts w:ascii="Times" w:hAnsi="Times"/>
          <w:color w:val="0D0D0D" w:themeColor="text1" w:themeTint="F2"/>
        </w:rPr>
        <w:t>Bencana alam juga dapat merusak aset usaha dan mengganggu aktivitas ekonomi peminjam. Perubahan tren pasar dan preferensi konsumen yang cepat, serta faktor sosial budaya tertentu di masyarakat, juga dapat memengaruhi keberlangsungan usaha. Situasi luar biasa seperti pandemi juga memberikan dampak besar terhadap berbagai sektor usaha, termasuk usaha mikro dan kecil yang menjadi sasaran KUPEDES</w:t>
      </w:r>
      <w:r w:rsidRPr="004132DC">
        <w:rPr>
          <w:rStyle w:val="FootnoteReference"/>
          <w:rFonts w:ascii="Times" w:hAnsi="Times"/>
          <w:color w:val="0D0D0D" w:themeColor="text1" w:themeTint="F2"/>
        </w:rPr>
        <w:footnoteReference w:id="2"/>
      </w:r>
      <w:r w:rsidRPr="004132DC">
        <w:rPr>
          <w:rFonts w:ascii="Times" w:hAnsi="Times"/>
          <w:color w:val="0D0D0D" w:themeColor="text1" w:themeTint="F2"/>
        </w:rPr>
        <w:t>.</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r w:rsidRPr="004132DC">
        <w:rPr>
          <w:rFonts w:ascii="Times" w:hAnsi="Times"/>
          <w:color w:val="0D0D0D" w:themeColor="text1" w:themeTint="F2"/>
        </w:rPr>
        <w:t xml:space="preserve">Dari sisi Bank BRI, proses analisis kredit yang kurang mendalam dapat menjadi penyebab wanprestasi. Jika bank kurang teliti dalam mengevaluasi kelayakan peminjam, termasuk karakter, kemampuan finansial, dan prospek usaha, risiko memberikan pinjaman kepada pihak yang tidak mampu membayar menjadi lebih besar. Pengawasan dan pembinaan yang kurang efektif setelah pinjaman dicairkan juga dapat menjadi masalah. </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r w:rsidRPr="004132DC">
        <w:rPr>
          <w:rFonts w:ascii="Times" w:hAnsi="Times"/>
          <w:color w:val="0D0D0D" w:themeColor="text1" w:themeTint="F2"/>
        </w:rPr>
        <w:lastRenderedPageBreak/>
        <w:t xml:space="preserve"> Jika bank tidak aktif memantau perkembangan usaha peminjam dan tidak memberikan pendampingan yang memadai, potensi masalah keuangan pada usaha peminjam bisa tidak terdeteksi dan tidak tertangani sejak dini. Kebijakan penagihan yang kurang tegas juga dapat mendorong peminjam untuk tidak disiplin dalam membayar. Terakhir, komunikasi yang kurang baik antara bank dan peminjam mengenai kewajiban pembayaran dan potensi kesulitan yang dihadapi peminjam dapat menghambat upaya mencari solusi bersama dan meningkatkan risiko wanprestasi.</w:t>
      </w:r>
    </w:p>
    <w:p w:rsidR="004132DC" w:rsidRPr="004132DC" w:rsidRDefault="004132DC" w:rsidP="004132DC">
      <w:pPr>
        <w:pStyle w:val="NormalWeb"/>
        <w:spacing w:before="0" w:beforeAutospacing="0" w:after="0" w:afterAutospacing="0" w:line="480" w:lineRule="auto"/>
        <w:ind w:firstLine="720"/>
        <w:jc w:val="both"/>
        <w:rPr>
          <w:rFonts w:ascii="Times" w:hAnsi="Times"/>
          <w:color w:val="0D0D0D" w:themeColor="text1" w:themeTint="F2"/>
        </w:rPr>
      </w:pPr>
    </w:p>
    <w:p w:rsidR="004132DC" w:rsidRPr="004132DC" w:rsidRDefault="004132DC" w:rsidP="004132DC">
      <w:pPr>
        <w:pStyle w:val="Heading2"/>
        <w:spacing w:before="0" w:line="480" w:lineRule="auto"/>
        <w:rPr>
          <w:rFonts w:ascii="Times" w:hAnsi="Times"/>
          <w:b w:val="0"/>
          <w:bCs w:val="0"/>
          <w:color w:val="0D0D0D" w:themeColor="text1" w:themeTint="F2"/>
          <w:sz w:val="24"/>
          <w:szCs w:val="24"/>
        </w:rPr>
      </w:pPr>
      <w:bookmarkStart w:id="12" w:name="_Toc198683520"/>
      <w:bookmarkStart w:id="13" w:name="_Toc198688766"/>
      <w:bookmarkStart w:id="14" w:name="_Toc199160193"/>
      <w:r w:rsidRPr="004132DC">
        <w:rPr>
          <w:rFonts w:ascii="Times" w:hAnsi="Times"/>
          <w:b w:val="0"/>
          <w:bCs w:val="0"/>
          <w:color w:val="0D0D0D" w:themeColor="text1" w:themeTint="F2"/>
          <w:sz w:val="24"/>
          <w:szCs w:val="24"/>
        </w:rPr>
        <w:t>C. Upaya Hukum Apa yang dilakukan agar tidak terjadi Wanprestasi dalam perjanjian pinjam-meminjam KUPEDES Bank BRI</w:t>
      </w:r>
      <w:bookmarkEnd w:id="12"/>
      <w:bookmarkEnd w:id="13"/>
      <w:bookmarkEnd w:id="14"/>
    </w:p>
    <w:p w:rsidR="004132DC" w:rsidRPr="004132DC" w:rsidRDefault="004132DC" w:rsidP="004132DC">
      <w:pPr>
        <w:pStyle w:val="NormalWeb"/>
        <w:spacing w:before="0" w:beforeAutospacing="0" w:after="0" w:afterAutospacing="0" w:line="480" w:lineRule="auto"/>
        <w:ind w:firstLine="720"/>
        <w:jc w:val="both"/>
        <w:rPr>
          <w:rFonts w:ascii="Times" w:hAnsi="Times" w:cstheme="majorBidi"/>
          <w:color w:val="0D0D0D" w:themeColor="text1" w:themeTint="F2"/>
        </w:rPr>
      </w:pPr>
      <w:r w:rsidRPr="004132DC">
        <w:rPr>
          <w:rFonts w:ascii="Times" w:hAnsi="Times" w:cstheme="majorBidi"/>
          <w:color w:val="0D0D0D" w:themeColor="text1" w:themeTint="F2"/>
        </w:rPr>
        <w:t xml:space="preserve">Untuk mencegah wanprestasi dalam perjanjian pinjam-meminjam KUPEDES Bank BRI, langkah-langkah hukum dan strategis perlu diterapkan secara menyeluruh oleh bank dan calon debitur sejak awal proses hingga pinjaman lunas. Sebelum menyetujui pinjaman, Bank BRI harus melakukan analisis kredit yang mendalam, mengevaluasi secara seksama karakter, kemampuan finansial, dan prospek usaha calon peminjam, serta memastikan informasi yang diberikan akurat. </w:t>
      </w:r>
    </w:p>
    <w:p w:rsidR="004132DC" w:rsidRPr="004132DC" w:rsidRDefault="004132DC" w:rsidP="004132DC">
      <w:pPr>
        <w:pStyle w:val="NormalWeb"/>
        <w:spacing w:before="0" w:beforeAutospacing="0" w:after="0" w:afterAutospacing="0" w:line="480" w:lineRule="auto"/>
        <w:ind w:firstLine="720"/>
        <w:jc w:val="both"/>
        <w:rPr>
          <w:rFonts w:ascii="Times" w:hAnsi="Times" w:cstheme="majorBidi"/>
          <w:color w:val="0D0D0D" w:themeColor="text1" w:themeTint="F2"/>
        </w:rPr>
      </w:pPr>
      <w:r w:rsidRPr="004132DC">
        <w:rPr>
          <w:rFonts w:ascii="Times" w:hAnsi="Times" w:cstheme="majorBidi"/>
          <w:color w:val="0D0D0D" w:themeColor="text1" w:themeTint="F2"/>
        </w:rPr>
        <w:lastRenderedPageBreak/>
        <w:t xml:space="preserve">Ada beberapa prinsip yang harus diperhatikan pihak Bank sebagai Kreditor yaitu analisa yang mendalam terhadap calon debitor, dikenal dengan beberapa prinsip 4P  sebagai berikut </w:t>
      </w:r>
      <w:r w:rsidRPr="004132DC">
        <w:rPr>
          <w:rStyle w:val="FootnoteReference"/>
          <w:rFonts w:ascii="Times" w:hAnsi="Times" w:cstheme="majorBidi"/>
          <w:color w:val="0D0D0D" w:themeColor="text1" w:themeTint="F2"/>
        </w:rPr>
        <w:footnoteReference w:id="3"/>
      </w:r>
      <w:r w:rsidRPr="004132DC">
        <w:rPr>
          <w:rFonts w:ascii="Times" w:hAnsi="Times" w:cstheme="majorBidi"/>
          <w:color w:val="0D0D0D" w:themeColor="text1" w:themeTint="F2"/>
        </w:rPr>
        <w:t>:</w:t>
      </w:r>
    </w:p>
    <w:p w:rsidR="004132DC" w:rsidRPr="004132DC" w:rsidRDefault="004132DC" w:rsidP="004132DC">
      <w:pPr>
        <w:pStyle w:val="NormalWeb"/>
        <w:numPr>
          <w:ilvl w:val="1"/>
          <w:numId w:val="23"/>
        </w:numPr>
        <w:spacing w:before="0" w:beforeAutospacing="0" w:after="0" w:afterAutospacing="0" w:line="480" w:lineRule="auto"/>
        <w:jc w:val="both"/>
        <w:rPr>
          <w:rFonts w:ascii="Times" w:hAnsi="Times" w:cstheme="majorBidi"/>
          <w:color w:val="0D0D0D" w:themeColor="text1" w:themeTint="F2"/>
        </w:rPr>
      </w:pPr>
      <w:r w:rsidRPr="004132DC">
        <w:rPr>
          <w:rFonts w:ascii="Times" w:hAnsi="Times" w:cstheme="majorBidi"/>
          <w:i/>
          <w:iCs/>
          <w:color w:val="0D0D0D" w:themeColor="text1" w:themeTint="F2"/>
        </w:rPr>
        <w:t>Personality</w:t>
      </w:r>
      <w:r w:rsidRPr="004132DC">
        <w:rPr>
          <w:rFonts w:ascii="Times" w:hAnsi="Times" w:cstheme="majorBidi"/>
          <w:color w:val="0D0D0D" w:themeColor="text1" w:themeTint="F2"/>
        </w:rPr>
        <w:t>, Yaitu : “Bank mencari data tentang kepribadian si peminjam seperti riwayat hidupnya( kelahiran, pendidikan , pengalaman, usaha, hobi, keadaan keluarganya dan yang ada kaitannya dengan kepribadian si peminjam.”</w:t>
      </w:r>
    </w:p>
    <w:p w:rsidR="004132DC" w:rsidRPr="004132DC" w:rsidRDefault="004132DC" w:rsidP="004132DC">
      <w:pPr>
        <w:pStyle w:val="NormalWeb"/>
        <w:numPr>
          <w:ilvl w:val="1"/>
          <w:numId w:val="23"/>
        </w:numPr>
        <w:spacing w:before="0" w:beforeAutospacing="0" w:after="0" w:afterAutospacing="0" w:line="480" w:lineRule="auto"/>
        <w:jc w:val="both"/>
        <w:rPr>
          <w:rFonts w:ascii="Times" w:hAnsi="Times" w:cstheme="majorBidi"/>
          <w:color w:val="0D0D0D" w:themeColor="text1" w:themeTint="F2"/>
        </w:rPr>
      </w:pPr>
      <w:r w:rsidRPr="004132DC">
        <w:rPr>
          <w:rFonts w:ascii="Times" w:hAnsi="Times" w:cstheme="majorBidi"/>
          <w:i/>
          <w:iCs/>
          <w:color w:val="0D0D0D" w:themeColor="text1" w:themeTint="F2"/>
        </w:rPr>
        <w:t>Purpose</w:t>
      </w:r>
      <w:r w:rsidRPr="004132DC">
        <w:rPr>
          <w:rFonts w:ascii="Times" w:hAnsi="Times" w:cstheme="majorBidi"/>
          <w:color w:val="0D0D0D" w:themeColor="text1" w:themeTint="F2"/>
        </w:rPr>
        <w:t xml:space="preserve">, Yaitu : “Mencari data tentang tujuan atau keperluan penggunaan kredit, apakah akan digunakan untuk berdagang, berproduksi atau untuk membeli rumah, dan apakah tujuan penggunaan kredit itu sesuai dengan </w:t>
      </w:r>
      <w:r w:rsidRPr="004132DC">
        <w:rPr>
          <w:rFonts w:ascii="Times" w:hAnsi="Times" w:cstheme="majorBidi"/>
          <w:i/>
          <w:iCs/>
          <w:color w:val="0D0D0D" w:themeColor="text1" w:themeTint="F2"/>
        </w:rPr>
        <w:t>line of business</w:t>
      </w:r>
      <w:r w:rsidRPr="004132DC">
        <w:rPr>
          <w:rFonts w:ascii="Times" w:hAnsi="Times" w:cstheme="majorBidi"/>
          <w:color w:val="0D0D0D" w:themeColor="text1" w:themeTint="F2"/>
        </w:rPr>
        <w:t xml:space="preserve"> kredit bank bersangkutan.”</w:t>
      </w:r>
    </w:p>
    <w:p w:rsidR="004132DC" w:rsidRPr="004132DC" w:rsidRDefault="004132DC" w:rsidP="004132DC">
      <w:pPr>
        <w:pStyle w:val="NormalWeb"/>
        <w:numPr>
          <w:ilvl w:val="1"/>
          <w:numId w:val="23"/>
        </w:numPr>
        <w:spacing w:before="0" w:beforeAutospacing="0" w:after="0" w:afterAutospacing="0" w:line="480" w:lineRule="auto"/>
        <w:jc w:val="both"/>
        <w:rPr>
          <w:rFonts w:ascii="Times" w:hAnsi="Times" w:cstheme="majorBidi"/>
          <w:color w:val="0D0D0D" w:themeColor="text1" w:themeTint="F2"/>
        </w:rPr>
      </w:pPr>
      <w:r w:rsidRPr="004132DC">
        <w:rPr>
          <w:rFonts w:ascii="Times" w:hAnsi="Times" w:cstheme="majorBidi"/>
          <w:i/>
          <w:iCs/>
          <w:color w:val="0D0D0D" w:themeColor="text1" w:themeTint="F2"/>
        </w:rPr>
        <w:lastRenderedPageBreak/>
        <w:t>Prospect,</w:t>
      </w:r>
      <w:r w:rsidRPr="004132DC">
        <w:rPr>
          <w:rFonts w:ascii="Times" w:hAnsi="Times" w:cstheme="majorBidi"/>
          <w:color w:val="0D0D0D" w:themeColor="text1" w:themeTint="F2"/>
        </w:rPr>
        <w:t xml:space="preserve"> Yaitu : “ harapan masa depan dari bidang usaha atau kegiatan usaha si peminjam. Ini dapat diketahui dari perkembangan usaha si peminjam selama beberapa bulan atau tahun, perkembangan keadaan ekonomi perdagangan masa lalu dan masa yang akan datang.” </w:t>
      </w:r>
    </w:p>
    <w:p w:rsidR="004132DC" w:rsidRPr="004132DC" w:rsidRDefault="004132DC" w:rsidP="004132DC">
      <w:pPr>
        <w:pStyle w:val="NormalWeb"/>
        <w:numPr>
          <w:ilvl w:val="1"/>
          <w:numId w:val="23"/>
        </w:numPr>
        <w:spacing w:before="0" w:beforeAutospacing="0" w:after="0" w:afterAutospacing="0" w:line="480" w:lineRule="auto"/>
        <w:jc w:val="both"/>
        <w:rPr>
          <w:rFonts w:ascii="Times" w:hAnsi="Times" w:cstheme="majorBidi"/>
          <w:color w:val="0D0D0D" w:themeColor="text1" w:themeTint="F2"/>
        </w:rPr>
      </w:pPr>
      <w:r w:rsidRPr="004132DC">
        <w:rPr>
          <w:rFonts w:ascii="Times" w:hAnsi="Times" w:cstheme="majorBidi"/>
          <w:i/>
          <w:iCs/>
          <w:color w:val="0D0D0D" w:themeColor="text1" w:themeTint="F2"/>
        </w:rPr>
        <w:t>Payment,</w:t>
      </w:r>
      <w:r w:rsidRPr="004132DC">
        <w:rPr>
          <w:rFonts w:ascii="Times" w:hAnsi="Times" w:cstheme="majorBidi"/>
          <w:color w:val="0D0D0D" w:themeColor="text1" w:themeTint="F2"/>
        </w:rPr>
        <w:t xml:space="preserve"> Yaitu : “Mengetahui bagaimana pembayaran kembali pinjaman yang akan diberikan. Hal ini dapat diperoleh dari perhitungan tentang prospect, kelancaran, penjualan dan pendapatan sehingga dapat diperkirakan kemampuan pengembalian pinjaman ditinjau dari waktu serta jumlah pengambilannya.”</w:t>
      </w:r>
    </w:p>
    <w:p w:rsidR="004132DC" w:rsidRPr="004132DC" w:rsidRDefault="004132DC" w:rsidP="004132DC">
      <w:pPr>
        <w:pStyle w:val="NormalWeb"/>
        <w:spacing w:before="0" w:beforeAutospacing="0" w:after="0" w:afterAutospacing="0" w:line="480" w:lineRule="auto"/>
        <w:ind w:firstLine="720"/>
        <w:jc w:val="both"/>
        <w:rPr>
          <w:rFonts w:ascii="Times" w:hAnsi="Times" w:cstheme="majorBidi"/>
          <w:color w:val="0D0D0D" w:themeColor="text1" w:themeTint="F2"/>
        </w:rPr>
      </w:pPr>
      <w:r w:rsidRPr="004132DC">
        <w:rPr>
          <w:rFonts w:ascii="Times" w:hAnsi="Times" w:cstheme="majorBidi"/>
          <w:color w:val="0D0D0D" w:themeColor="text1" w:themeTint="F2"/>
        </w:rPr>
        <w:t xml:space="preserve">Selain kedua prinsip diatas, dalam pemberian kredit juga memperhatikan prinsip 3R yaitu </w:t>
      </w:r>
      <w:r w:rsidRPr="004132DC">
        <w:rPr>
          <w:rFonts w:ascii="Times" w:hAnsi="Times" w:cstheme="majorBidi"/>
          <w:i/>
          <w:iCs/>
          <w:color w:val="0D0D0D" w:themeColor="text1" w:themeTint="F2"/>
        </w:rPr>
        <w:t>Returns, Repayment,</w:t>
      </w:r>
      <w:r w:rsidRPr="004132DC">
        <w:rPr>
          <w:rFonts w:ascii="Times" w:hAnsi="Times" w:cstheme="majorBidi"/>
          <w:color w:val="0D0D0D" w:themeColor="text1" w:themeTint="F2"/>
        </w:rPr>
        <w:t xml:space="preserve"> dan </w:t>
      </w:r>
      <w:r w:rsidRPr="004132DC">
        <w:rPr>
          <w:rFonts w:ascii="Times" w:hAnsi="Times" w:cstheme="majorBidi"/>
          <w:i/>
          <w:iCs/>
          <w:color w:val="0D0D0D" w:themeColor="text1" w:themeTint="F2"/>
        </w:rPr>
        <w:t>Risk Bearing Ability.</w:t>
      </w:r>
    </w:p>
    <w:p w:rsidR="004132DC" w:rsidRPr="004132DC" w:rsidRDefault="004132DC" w:rsidP="004132DC">
      <w:pPr>
        <w:pStyle w:val="NormalWeb"/>
        <w:numPr>
          <w:ilvl w:val="2"/>
          <w:numId w:val="28"/>
        </w:numPr>
        <w:spacing w:before="0" w:beforeAutospacing="0" w:after="0" w:afterAutospacing="0" w:line="480" w:lineRule="auto"/>
        <w:ind w:left="1276" w:hanging="425"/>
        <w:jc w:val="both"/>
        <w:rPr>
          <w:rFonts w:ascii="Times" w:hAnsi="Times" w:cstheme="majorBidi"/>
          <w:color w:val="0D0D0D" w:themeColor="text1" w:themeTint="F2"/>
        </w:rPr>
      </w:pPr>
      <w:r w:rsidRPr="004132DC">
        <w:rPr>
          <w:rFonts w:ascii="Times" w:hAnsi="Times" w:cstheme="majorBidi"/>
          <w:i/>
          <w:iCs/>
          <w:color w:val="0D0D0D" w:themeColor="text1" w:themeTint="F2"/>
        </w:rPr>
        <w:t>Returns</w:t>
      </w:r>
      <w:r w:rsidRPr="004132DC">
        <w:rPr>
          <w:rFonts w:ascii="Times" w:hAnsi="Times" w:cstheme="majorBidi"/>
          <w:color w:val="0D0D0D" w:themeColor="text1" w:themeTint="F2"/>
        </w:rPr>
        <w:t xml:space="preserve"> yakni hasil yang akan diperoleh oleh debitur, artinya peroleh tersebut mencukupi untuk membayar kembali kredit beserta bunga, ongkos-ongkos di samping membayar keperluan perusahaan yang lain seperti untuk </w:t>
      </w:r>
      <w:r w:rsidRPr="004132DC">
        <w:rPr>
          <w:rFonts w:ascii="Times" w:hAnsi="Times" w:cstheme="majorBidi"/>
          <w:i/>
          <w:iCs/>
          <w:color w:val="0D0D0D" w:themeColor="text1" w:themeTint="F2"/>
        </w:rPr>
        <w:t>cash flow</w:t>
      </w:r>
      <w:r w:rsidRPr="004132DC">
        <w:rPr>
          <w:rFonts w:ascii="Times" w:hAnsi="Times" w:cstheme="majorBidi"/>
          <w:color w:val="0D0D0D" w:themeColor="text1" w:themeTint="F2"/>
        </w:rPr>
        <w:t xml:space="preserve">, kredit lain jika ada dan sebagainya. </w:t>
      </w:r>
    </w:p>
    <w:p w:rsidR="004132DC" w:rsidRPr="004132DC" w:rsidRDefault="004132DC" w:rsidP="004132DC">
      <w:pPr>
        <w:pStyle w:val="NormalWeb"/>
        <w:numPr>
          <w:ilvl w:val="2"/>
          <w:numId w:val="28"/>
        </w:numPr>
        <w:spacing w:before="0" w:beforeAutospacing="0" w:after="0" w:afterAutospacing="0" w:line="480" w:lineRule="auto"/>
        <w:ind w:left="1276" w:hanging="425"/>
        <w:jc w:val="both"/>
        <w:rPr>
          <w:rFonts w:ascii="Times" w:hAnsi="Times" w:cstheme="majorBidi"/>
          <w:color w:val="0D0D0D" w:themeColor="text1" w:themeTint="F2"/>
        </w:rPr>
      </w:pPr>
      <w:r w:rsidRPr="004132DC">
        <w:rPr>
          <w:rFonts w:ascii="Times" w:hAnsi="Times" w:cstheme="majorBidi"/>
          <w:i/>
          <w:iCs/>
          <w:color w:val="0D0D0D" w:themeColor="text1" w:themeTint="F2"/>
        </w:rPr>
        <w:lastRenderedPageBreak/>
        <w:t>Repayment</w:t>
      </w:r>
      <w:r w:rsidRPr="004132DC">
        <w:rPr>
          <w:rFonts w:ascii="Times" w:hAnsi="Times" w:cstheme="majorBidi"/>
          <w:color w:val="0D0D0D" w:themeColor="text1" w:themeTint="F2"/>
        </w:rPr>
        <w:t xml:space="preserve"> yaitu kemampuan bayar dari pihak debitur. Perlu diperhatikan apakah kemampuan bayar tersebut match dengan schedule pembayaran dari kredit yang diberikan itu. </w:t>
      </w:r>
    </w:p>
    <w:p w:rsidR="004132DC" w:rsidRPr="004132DC" w:rsidRDefault="004132DC" w:rsidP="004132DC">
      <w:pPr>
        <w:pStyle w:val="NormalWeb"/>
        <w:numPr>
          <w:ilvl w:val="2"/>
          <w:numId w:val="28"/>
        </w:numPr>
        <w:spacing w:before="0" w:beforeAutospacing="0" w:after="0" w:afterAutospacing="0" w:line="480" w:lineRule="auto"/>
        <w:ind w:left="1276" w:hanging="425"/>
        <w:jc w:val="both"/>
        <w:rPr>
          <w:rFonts w:ascii="Times" w:hAnsi="Times" w:cstheme="majorBidi"/>
          <w:color w:val="0D0D0D" w:themeColor="text1" w:themeTint="F2"/>
        </w:rPr>
      </w:pPr>
      <w:r w:rsidRPr="004132DC">
        <w:rPr>
          <w:rFonts w:ascii="Times" w:hAnsi="Times" w:cstheme="majorBidi"/>
          <w:i/>
          <w:iCs/>
          <w:color w:val="0D0D0D" w:themeColor="text1" w:themeTint="F2"/>
        </w:rPr>
        <w:t>Risk bearing ability</w:t>
      </w:r>
      <w:r w:rsidRPr="004132DC">
        <w:rPr>
          <w:rFonts w:ascii="Times" w:hAnsi="Times" w:cstheme="majorBidi"/>
          <w:color w:val="0D0D0D" w:themeColor="text1" w:themeTint="F2"/>
        </w:rPr>
        <w:t xml:space="preserve"> atau kemampuan menanggung risiko perlu diperhatikan sejauh mana kemampuan debitur untuk menanggung risiko dalam hal-hal di luar antisipasi kedua belah pihak</w:t>
      </w:r>
      <w:r w:rsidRPr="004132DC">
        <w:rPr>
          <w:rStyle w:val="FootnoteReference"/>
          <w:rFonts w:ascii="Times" w:hAnsi="Times" w:cstheme="majorBidi"/>
          <w:color w:val="0D0D0D" w:themeColor="text1" w:themeTint="F2"/>
        </w:rPr>
        <w:footnoteReference w:id="4"/>
      </w:r>
      <w:r w:rsidRPr="004132DC">
        <w:rPr>
          <w:rFonts w:ascii="Times" w:hAnsi="Times" w:cstheme="majorBidi"/>
          <w:color w:val="0D0D0D" w:themeColor="text1" w:themeTint="F2"/>
        </w:rPr>
        <w:t>.</w:t>
      </w:r>
    </w:p>
    <w:p w:rsidR="004132DC" w:rsidRPr="004132DC" w:rsidRDefault="004132DC" w:rsidP="004132DC">
      <w:pPr>
        <w:pStyle w:val="NormalWeb"/>
        <w:spacing w:before="0" w:beforeAutospacing="0" w:after="0" w:afterAutospacing="0" w:line="480" w:lineRule="auto"/>
        <w:ind w:firstLine="720"/>
        <w:jc w:val="both"/>
        <w:rPr>
          <w:rFonts w:ascii="Times" w:hAnsi="Times" w:cstheme="majorBidi"/>
          <w:color w:val="0D0D0D" w:themeColor="text1" w:themeTint="F2"/>
        </w:rPr>
      </w:pPr>
      <w:r w:rsidRPr="004132DC">
        <w:rPr>
          <w:rFonts w:ascii="Times" w:hAnsi="Times" w:cstheme="majorBidi"/>
          <w:color w:val="0D0D0D" w:themeColor="text1" w:themeTint="F2"/>
        </w:rPr>
        <w:t xml:space="preserve">Perjanjian pinjaman itu sendiri harus dirancang dengan jelas dan tegas, memuat hak dan kewajiban kedua pihak, termasuk konsekuensi jika terjadi gagal bayar, dan idealnya disertai dengan jaminan yang nilainya memadai serta diikat secara hukum. </w:t>
      </w:r>
    </w:p>
    <w:p w:rsidR="004132DC" w:rsidRPr="004132DC" w:rsidRDefault="004132DC" w:rsidP="004132DC">
      <w:pPr>
        <w:pStyle w:val="NormalWeb"/>
        <w:spacing w:before="0" w:beforeAutospacing="0" w:after="0" w:afterAutospacing="0" w:line="480" w:lineRule="auto"/>
        <w:ind w:firstLine="720"/>
        <w:jc w:val="both"/>
        <w:rPr>
          <w:rFonts w:ascii="Times" w:hAnsi="Times" w:cstheme="majorBidi"/>
          <w:color w:val="0D0D0D" w:themeColor="text1" w:themeTint="F2"/>
        </w:rPr>
      </w:pPr>
      <w:r w:rsidRPr="004132DC">
        <w:rPr>
          <w:rFonts w:ascii="Times" w:hAnsi="Times" w:cstheme="majorBidi"/>
          <w:color w:val="0D0D0D" w:themeColor="text1" w:themeTint="F2"/>
        </w:rPr>
        <w:t xml:space="preserve">Bank juga memiliki tanggung jawab untuk memberikan sosialisasi dan edukasi yang komprehensif kepada calon debitur mengenai isi perjanjian dan risikonya. Setelah pinjaman diberikan, BRI perlu aktif melakukan pengawasan terhadap perkembangan usaha debitur dan memberikan pembinaan jika diperlukan untuk membantu kelancaran usaha mereka. </w:t>
      </w:r>
    </w:p>
    <w:p w:rsidR="004132DC" w:rsidRPr="004132DC" w:rsidRDefault="004132DC" w:rsidP="004132DC">
      <w:pPr>
        <w:pStyle w:val="NormalWeb"/>
        <w:spacing w:before="0" w:beforeAutospacing="0" w:after="0" w:afterAutospacing="0" w:line="480" w:lineRule="auto"/>
        <w:ind w:firstLine="720"/>
        <w:jc w:val="both"/>
        <w:rPr>
          <w:rFonts w:ascii="Times" w:hAnsi="Times" w:cstheme="majorBidi"/>
          <w:color w:val="0D0D0D" w:themeColor="text1" w:themeTint="F2"/>
        </w:rPr>
      </w:pPr>
      <w:r w:rsidRPr="004132DC">
        <w:rPr>
          <w:rFonts w:ascii="Times" w:hAnsi="Times" w:cstheme="majorBidi"/>
          <w:color w:val="0D0D0D" w:themeColor="text1" w:themeTint="F2"/>
        </w:rPr>
        <w:lastRenderedPageBreak/>
        <w:t>Komunikasi yang terbuka dan proaktif antara bank dan debitur juga krusial; bank perlu mengingatkan jatuh tempo pembayaran dan bersedia mendengarkan serta mencari solusi jika debitur menghadapi kesulitan keuangan. Dari sisi calon debitur, pemahaman yang mendalam terhadap isi perjanjian pinjaman sebelum penandatanganan adalah hal yang mutlak.</w:t>
      </w:r>
    </w:p>
    <w:p w:rsidR="004132DC" w:rsidRPr="004132DC" w:rsidRDefault="004132DC" w:rsidP="004132DC">
      <w:pPr>
        <w:pStyle w:val="NormalWeb"/>
        <w:spacing w:before="0" w:beforeAutospacing="0" w:after="0" w:afterAutospacing="0" w:line="480" w:lineRule="auto"/>
        <w:ind w:firstLine="720"/>
        <w:jc w:val="both"/>
        <w:rPr>
          <w:rFonts w:ascii="Times" w:hAnsi="Times" w:cstheme="majorBidi"/>
          <w:color w:val="0D0D0D" w:themeColor="text1" w:themeTint="F2"/>
        </w:rPr>
      </w:pPr>
      <w:r w:rsidRPr="004132DC">
        <w:rPr>
          <w:rFonts w:ascii="Times" w:hAnsi="Times" w:cstheme="majorBidi"/>
          <w:color w:val="0D0D0D" w:themeColor="text1" w:themeTint="F2"/>
        </w:rPr>
        <w:t xml:space="preserve"> Mereka harus bersikap terbuka dan jujur dalam memberikan informasi kepada bank serta memiliki perencanaan keuangan yang matang dan pengelolaan keuangan yang disiplin untuk memastikan dana pinjaman digunakan secara efektif dan mampu menghasilkan pendapatan untuk membayar cicilan. Jika timbul potensi kesulitan keuangan, debitur harus proaktif berkomunikasi dengan bank untuk mencari solusi bersama, seperti restrukturisasi pinjaman.</w:t>
      </w:r>
    </w:p>
    <w:p w:rsidR="004132DC" w:rsidRPr="004132DC" w:rsidRDefault="004132DC" w:rsidP="004132DC">
      <w:pPr>
        <w:pStyle w:val="NormalWeb"/>
        <w:spacing w:before="0" w:beforeAutospacing="0" w:after="0" w:afterAutospacing="0" w:line="480" w:lineRule="auto"/>
        <w:ind w:firstLine="720"/>
        <w:jc w:val="both"/>
        <w:rPr>
          <w:rFonts w:ascii="Times" w:hAnsi="Times" w:cstheme="majorBidi"/>
          <w:color w:val="0D0D0D" w:themeColor="text1" w:themeTint="F2"/>
        </w:rPr>
      </w:pPr>
      <w:r w:rsidRPr="004132DC">
        <w:rPr>
          <w:rFonts w:ascii="Times" w:hAnsi="Times" w:cstheme="majorBidi"/>
          <w:color w:val="0D0D0D" w:themeColor="text1" w:themeTint="F2"/>
        </w:rPr>
        <w:t xml:space="preserve">Apabila terjadi keterlambatan pembayaran, Bank BRI akan mengirimkan surat peringatan atau somasi sebagai langkah awal. Sebelum mengambil tindakan hukum yang lebih jauh, upaya restrukturisasi atau penjadwalan kembali pembayaran dapat ditawarkan kepada debitur yang menunjukkan itikad baik. Mediasi juga bisa menjadi alternatif penyelesaian sengketa sebelum jalur litigasi ditempuh. Dengan serangkaian upaya hukum </w:t>
      </w:r>
      <w:r w:rsidRPr="004132DC">
        <w:rPr>
          <w:rFonts w:ascii="Times" w:hAnsi="Times" w:cstheme="majorBidi"/>
          <w:color w:val="0D0D0D" w:themeColor="text1" w:themeTint="F2"/>
        </w:rPr>
        <w:lastRenderedPageBreak/>
        <w:t>dan langkah-langkah strategis yang diterapkan secara bertanggung jawab oleh kedua belah pihak, diharapkan risiko wanprestasi dapat diminimalkan, menciptakan hubungan yang saling menguntungkan dan menjaga keberlanjutan program KUPEDES.</w:t>
      </w:r>
    </w:p>
    <w:p w:rsidR="004132DC" w:rsidRPr="004132DC" w:rsidRDefault="004132DC" w:rsidP="004132DC">
      <w:pPr>
        <w:spacing w:after="0" w:line="480" w:lineRule="auto"/>
        <w:ind w:firstLine="720"/>
        <w:jc w:val="both"/>
        <w:rPr>
          <w:rFonts w:ascii="Times" w:eastAsia="Times New Roman" w:hAnsi="Times" w:cs="Times New Roman"/>
          <w:noProof w:val="0"/>
          <w:color w:val="0D0D0D" w:themeColor="text1" w:themeTint="F2"/>
          <w:sz w:val="24"/>
          <w:szCs w:val="24"/>
          <w:lang w:val="en-ID" w:eastAsia="en-ID"/>
        </w:rPr>
      </w:pPr>
      <w:r w:rsidRPr="004132DC">
        <w:rPr>
          <w:rFonts w:ascii="Times" w:hAnsi="Times" w:cstheme="majorBidi"/>
          <w:color w:val="0D0D0D" w:themeColor="text1" w:themeTint="F2"/>
          <w:sz w:val="24"/>
          <w:szCs w:val="24"/>
        </w:rPr>
        <w:t>Dalam prakteknya somasi biasanya diberikan tiga kali, yaitu: Somasi I, Somasi II, dan Somasi III</w:t>
      </w:r>
      <w:r w:rsidRPr="004132DC">
        <w:rPr>
          <w:rStyle w:val="FootnoteReference"/>
          <w:rFonts w:ascii="Times" w:hAnsi="Times"/>
          <w:color w:val="0D0D0D" w:themeColor="text1" w:themeTint="F2"/>
          <w:sz w:val="24"/>
          <w:szCs w:val="24"/>
        </w:rPr>
        <w:footnoteReference w:id="5"/>
      </w:r>
      <w:r w:rsidRPr="004132DC">
        <w:rPr>
          <w:rFonts w:ascii="Times" w:hAnsi="Times"/>
          <w:color w:val="0D0D0D" w:themeColor="text1" w:themeTint="F2"/>
          <w:sz w:val="24"/>
          <w:szCs w:val="24"/>
        </w:rPr>
        <w:t xml:space="preserve">. </w:t>
      </w:r>
      <w:r w:rsidRPr="004132DC">
        <w:rPr>
          <w:rFonts w:ascii="Times" w:eastAsia="Times New Roman" w:hAnsi="Times" w:cs="Times New Roman"/>
          <w:noProof w:val="0"/>
          <w:color w:val="0D0D0D" w:themeColor="text1" w:themeTint="F2"/>
          <w:sz w:val="24"/>
          <w:szCs w:val="24"/>
          <w:lang w:val="en-ID" w:eastAsia="en-ID"/>
        </w:rPr>
        <w:t>Jika debitur tidak menanggapi atau tidak menunjukkan itikad baik setelah Somasi I, maka akan dilanjutkan dengan Somasi II. Pada tahap ini, sifat peringatannya menjadi lebih tegas. Kreditur menekankan konsekuensi hukum apabila debitur tetap tidak melakukan pelunasan, seperti ancaman gugatan perdata atau pelelangan agunan.</w:t>
      </w:r>
    </w:p>
    <w:p w:rsidR="004132DC" w:rsidRPr="004132DC" w:rsidRDefault="004132DC" w:rsidP="004132DC">
      <w:pPr>
        <w:spacing w:after="0" w:line="480" w:lineRule="auto"/>
        <w:ind w:firstLine="720"/>
        <w:jc w:val="both"/>
        <w:rPr>
          <w:rFonts w:ascii="Times" w:eastAsia="Times New Roman" w:hAnsi="Times" w:cs="Times New Roman"/>
          <w:noProof w:val="0"/>
          <w:color w:val="0D0D0D" w:themeColor="text1" w:themeTint="F2"/>
          <w:sz w:val="24"/>
          <w:szCs w:val="24"/>
          <w:lang w:val="en-ID" w:eastAsia="en-ID"/>
        </w:rPr>
      </w:pPr>
      <w:r w:rsidRPr="004132DC">
        <w:rPr>
          <w:rFonts w:ascii="Times" w:eastAsia="Times New Roman" w:hAnsi="Times" w:cs="Times New Roman"/>
          <w:noProof w:val="0"/>
          <w:color w:val="0D0D0D" w:themeColor="text1" w:themeTint="F2"/>
          <w:sz w:val="24"/>
          <w:szCs w:val="24"/>
          <w:lang w:val="en-ID" w:eastAsia="en-ID"/>
        </w:rPr>
        <w:t xml:space="preserve">Somasi II menunjukkan bahwa kesabaran pihak kreditur mulai terbatas dan memberi peringatan bahwa jalur hukum akan ditempuh jika masalah tidak segera diselesaikan.Somasi III adalah peringatan terakhir dan bersifat final sebelum gugatan diajukan ke pengadilan. Dalam somasi ini, biasanya diberikan tenggat waktu terakhir bagi debitur untuk melaksanakan kewajibannya. </w:t>
      </w:r>
    </w:p>
    <w:p w:rsidR="004132DC" w:rsidRPr="004132DC" w:rsidRDefault="004132DC" w:rsidP="004132DC">
      <w:pPr>
        <w:spacing w:after="0" w:line="480" w:lineRule="auto"/>
        <w:ind w:firstLine="720"/>
        <w:jc w:val="both"/>
        <w:rPr>
          <w:rFonts w:ascii="Times" w:eastAsia="Times New Roman" w:hAnsi="Times" w:cs="Times New Roman"/>
          <w:noProof w:val="0"/>
          <w:color w:val="0D0D0D" w:themeColor="text1" w:themeTint="F2"/>
          <w:sz w:val="24"/>
          <w:szCs w:val="24"/>
          <w:lang w:val="en-ID" w:eastAsia="en-ID"/>
        </w:rPr>
      </w:pPr>
      <w:r w:rsidRPr="004132DC">
        <w:rPr>
          <w:rFonts w:ascii="Times" w:eastAsia="Times New Roman" w:hAnsi="Times" w:cs="Times New Roman"/>
          <w:noProof w:val="0"/>
          <w:color w:val="0D0D0D" w:themeColor="text1" w:themeTint="F2"/>
          <w:sz w:val="24"/>
          <w:szCs w:val="24"/>
          <w:lang w:val="en-ID" w:eastAsia="en-ID"/>
        </w:rPr>
        <w:lastRenderedPageBreak/>
        <w:t>Jika dalam waktu yang diberikan tetap tidak ada penyelesaian atau tanggapan, maka kreditur berhak melanjutkan proses hukum, termasuk mengajukan gugatan sederhana ke pengadilan atau meminta eksekusi agunan.</w:t>
      </w:r>
    </w:p>
    <w:p w:rsidR="004132DC" w:rsidRPr="004132DC" w:rsidRDefault="004132DC" w:rsidP="004132DC">
      <w:pPr>
        <w:spacing w:after="0" w:line="480" w:lineRule="auto"/>
        <w:jc w:val="both"/>
        <w:rPr>
          <w:rFonts w:ascii="Times" w:eastAsia="Times New Roman" w:hAnsi="Times" w:cs="Times New Roman"/>
          <w:noProof w:val="0"/>
          <w:color w:val="0D0D0D" w:themeColor="text1" w:themeTint="F2"/>
          <w:sz w:val="24"/>
          <w:szCs w:val="24"/>
          <w:lang w:val="en-ID" w:eastAsia="en-ID"/>
        </w:rPr>
      </w:pPr>
      <w:r w:rsidRPr="004132DC">
        <w:rPr>
          <w:rFonts w:ascii="Times" w:eastAsia="Times New Roman" w:hAnsi="Times" w:cs="Times New Roman"/>
          <w:noProof w:val="0"/>
          <w:color w:val="0D0D0D" w:themeColor="text1" w:themeTint="F2"/>
          <w:sz w:val="24"/>
          <w:szCs w:val="24"/>
          <w:lang w:val="en-ID" w:eastAsia="en-ID"/>
        </w:rPr>
        <w:t>Debitur jugsa harus mengakui fakta tersebut di atas, maka kreditur dapat melakukan hal-hal berikut ketika berhadapan dengan debitur yang diwanprestasi (Pasal 1276 KUHPerdata):</w:t>
      </w:r>
    </w:p>
    <w:p w:rsidR="004132DC" w:rsidRPr="004132DC" w:rsidRDefault="004132DC" w:rsidP="004132DC">
      <w:pPr>
        <w:pStyle w:val="ListParagraph"/>
        <w:numPr>
          <w:ilvl w:val="1"/>
          <w:numId w:val="13"/>
        </w:numPr>
        <w:spacing w:after="0" w:line="480" w:lineRule="auto"/>
        <w:jc w:val="both"/>
        <w:rPr>
          <w:rFonts w:ascii="Times" w:eastAsia="Times New Roman" w:hAnsi="Times" w:cs="Times New Roman"/>
          <w:noProof w:val="0"/>
          <w:color w:val="0D0D0D" w:themeColor="text1" w:themeTint="F2"/>
          <w:sz w:val="24"/>
          <w:szCs w:val="24"/>
          <w:lang w:val="en-ID" w:eastAsia="en-ID"/>
        </w:rPr>
      </w:pPr>
      <w:r w:rsidRPr="004132DC">
        <w:rPr>
          <w:rFonts w:ascii="Times" w:eastAsia="Times New Roman" w:hAnsi="Times" w:cs="Times New Roman"/>
          <w:noProof w:val="0"/>
          <w:color w:val="0D0D0D" w:themeColor="text1" w:themeTint="F2"/>
          <w:sz w:val="24"/>
          <w:szCs w:val="24"/>
          <w:lang w:val="en-ID" w:eastAsia="en-ID"/>
        </w:rPr>
        <w:t>Memenuhi perjanjian.</w:t>
      </w:r>
    </w:p>
    <w:p w:rsidR="004132DC" w:rsidRPr="004132DC" w:rsidRDefault="004132DC" w:rsidP="004132DC">
      <w:pPr>
        <w:pStyle w:val="ListParagraph"/>
        <w:numPr>
          <w:ilvl w:val="1"/>
          <w:numId w:val="13"/>
        </w:numPr>
        <w:spacing w:after="0" w:line="480" w:lineRule="auto"/>
        <w:jc w:val="both"/>
        <w:rPr>
          <w:rFonts w:ascii="Times" w:eastAsia="Times New Roman" w:hAnsi="Times" w:cs="Times New Roman"/>
          <w:noProof w:val="0"/>
          <w:color w:val="0D0D0D" w:themeColor="text1" w:themeTint="F2"/>
          <w:sz w:val="24"/>
          <w:szCs w:val="24"/>
          <w:lang w:val="en-ID" w:eastAsia="en-ID"/>
        </w:rPr>
      </w:pPr>
      <w:r w:rsidRPr="004132DC">
        <w:rPr>
          <w:rFonts w:ascii="Times" w:eastAsia="Times New Roman" w:hAnsi="Times" w:cs="Times New Roman"/>
          <w:noProof w:val="0"/>
          <w:color w:val="0D0D0D" w:themeColor="text1" w:themeTint="F2"/>
          <w:sz w:val="24"/>
          <w:szCs w:val="24"/>
          <w:lang w:val="en-ID" w:eastAsia="en-ID"/>
        </w:rPr>
        <w:t>kewajiban membayar ganti rugi.</w:t>
      </w:r>
    </w:p>
    <w:p w:rsidR="004132DC" w:rsidRPr="004132DC" w:rsidRDefault="004132DC" w:rsidP="004132DC">
      <w:pPr>
        <w:pStyle w:val="ListParagraph"/>
        <w:numPr>
          <w:ilvl w:val="1"/>
          <w:numId w:val="13"/>
        </w:numPr>
        <w:spacing w:after="0" w:line="480" w:lineRule="auto"/>
        <w:jc w:val="both"/>
        <w:rPr>
          <w:rFonts w:ascii="Times" w:eastAsia="Times New Roman" w:hAnsi="Times" w:cs="Times New Roman"/>
          <w:noProof w:val="0"/>
          <w:color w:val="0D0D0D" w:themeColor="text1" w:themeTint="F2"/>
          <w:sz w:val="24"/>
          <w:szCs w:val="24"/>
          <w:lang w:val="en-ID" w:eastAsia="en-ID"/>
        </w:rPr>
      </w:pPr>
      <w:r w:rsidRPr="004132DC">
        <w:rPr>
          <w:rFonts w:ascii="Times" w:eastAsia="Times New Roman" w:hAnsi="Times" w:cs="Times New Roman"/>
          <w:noProof w:val="0"/>
          <w:color w:val="0D0D0D" w:themeColor="text1" w:themeTint="F2"/>
          <w:sz w:val="24"/>
          <w:szCs w:val="24"/>
          <w:lang w:val="en-ID" w:eastAsia="en-ID"/>
        </w:rPr>
        <w:t>Membayar ganti rugi.</w:t>
      </w:r>
    </w:p>
    <w:p w:rsidR="004132DC" w:rsidRPr="004132DC" w:rsidRDefault="004132DC" w:rsidP="004132DC">
      <w:pPr>
        <w:pStyle w:val="ListParagraph"/>
        <w:numPr>
          <w:ilvl w:val="1"/>
          <w:numId w:val="13"/>
        </w:numPr>
        <w:spacing w:after="0" w:line="480" w:lineRule="auto"/>
        <w:jc w:val="both"/>
        <w:rPr>
          <w:rFonts w:ascii="Times" w:eastAsia="Times New Roman" w:hAnsi="Times" w:cs="Times New Roman"/>
          <w:noProof w:val="0"/>
          <w:color w:val="0D0D0D" w:themeColor="text1" w:themeTint="F2"/>
          <w:sz w:val="24"/>
          <w:szCs w:val="24"/>
          <w:lang w:val="en-ID" w:eastAsia="en-ID"/>
        </w:rPr>
      </w:pPr>
      <w:r w:rsidRPr="004132DC">
        <w:rPr>
          <w:rFonts w:ascii="Times" w:eastAsia="Times New Roman" w:hAnsi="Times" w:cs="Times New Roman"/>
          <w:noProof w:val="0"/>
          <w:color w:val="0D0D0D" w:themeColor="text1" w:themeTint="F2"/>
          <w:sz w:val="24"/>
          <w:szCs w:val="24"/>
          <w:lang w:val="en-ID" w:eastAsia="en-ID"/>
        </w:rPr>
        <w:t>Membatalkan perjanjian.</w:t>
      </w:r>
    </w:p>
    <w:p w:rsidR="004132DC" w:rsidRPr="004132DC" w:rsidRDefault="004132DC" w:rsidP="004132DC">
      <w:pPr>
        <w:spacing w:after="0" w:line="480" w:lineRule="auto"/>
        <w:ind w:firstLine="1134"/>
        <w:jc w:val="both"/>
        <w:rPr>
          <w:rFonts w:ascii="Times" w:eastAsia="Times New Roman" w:hAnsi="Times" w:cs="Times New Roman"/>
          <w:noProof w:val="0"/>
          <w:color w:val="0D0D0D" w:themeColor="text1" w:themeTint="F2"/>
          <w:sz w:val="24"/>
          <w:szCs w:val="24"/>
          <w:lang w:val="en-ID" w:eastAsia="en-ID"/>
        </w:rPr>
      </w:pPr>
      <w:r w:rsidRPr="004132DC">
        <w:rPr>
          <w:rFonts w:ascii="Times" w:eastAsia="Times New Roman" w:hAnsi="Times" w:cs="Times New Roman"/>
          <w:noProof w:val="0"/>
          <w:color w:val="0D0D0D" w:themeColor="text1" w:themeTint="F2"/>
          <w:sz w:val="24"/>
          <w:szCs w:val="24"/>
          <w:lang w:val="en-ID" w:eastAsia="en-ID"/>
        </w:rPr>
        <w:t xml:space="preserve"> 5. Membatalkan perjanjian dengan ganti rugi. Ganti rugi yang dapat dituntut : </w:t>
      </w:r>
    </w:p>
    <w:p w:rsidR="004132DC" w:rsidRPr="004132DC" w:rsidRDefault="004132DC" w:rsidP="004132DC">
      <w:pPr>
        <w:spacing w:after="0" w:line="480" w:lineRule="auto"/>
        <w:ind w:firstLine="720"/>
        <w:jc w:val="both"/>
        <w:rPr>
          <w:rFonts w:ascii="Times" w:eastAsia="Times New Roman" w:hAnsi="Times" w:cs="Times New Roman"/>
          <w:noProof w:val="0"/>
          <w:color w:val="0D0D0D" w:themeColor="text1" w:themeTint="F2"/>
          <w:sz w:val="24"/>
          <w:szCs w:val="24"/>
          <w:lang w:val="en-ID" w:eastAsia="en-ID"/>
        </w:rPr>
      </w:pPr>
      <w:r w:rsidRPr="004132DC">
        <w:rPr>
          <w:rFonts w:ascii="Times" w:eastAsia="Times New Roman" w:hAnsi="Times" w:cs="Times New Roman"/>
          <w:noProof w:val="0"/>
          <w:color w:val="0D0D0D" w:themeColor="text1" w:themeTint="F2"/>
          <w:sz w:val="24"/>
          <w:szCs w:val="24"/>
          <w:lang w:val="en-ID" w:eastAsia="en-ID"/>
        </w:rPr>
        <w:lastRenderedPageBreak/>
        <w:t>a. Debitur wajib membayar ganti rugi, setelah dinyatakan lalai tidak memenuhi prestasi itu. “Ganti rugi terdiri dari bunga, rugi, dan biaya” (Pasal 1244 s.d. 1246 KUHPerdata)</w:t>
      </w:r>
      <w:r w:rsidRPr="004132DC">
        <w:rPr>
          <w:rStyle w:val="FootnoteReference"/>
          <w:rFonts w:ascii="Times" w:eastAsia="Times New Roman" w:hAnsi="Times" w:cs="Times New Roman"/>
          <w:noProof w:val="0"/>
          <w:color w:val="0D0D0D" w:themeColor="text1" w:themeTint="F2"/>
          <w:sz w:val="24"/>
          <w:szCs w:val="24"/>
          <w:lang w:val="en-ID" w:eastAsia="en-ID"/>
        </w:rPr>
        <w:footnoteReference w:id="6"/>
      </w:r>
      <w:r w:rsidRPr="004132DC">
        <w:rPr>
          <w:rFonts w:ascii="Times" w:eastAsia="Times New Roman" w:hAnsi="Times" w:cs="Times New Roman"/>
          <w:noProof w:val="0"/>
          <w:color w:val="0D0D0D" w:themeColor="text1" w:themeTint="F2"/>
          <w:sz w:val="24"/>
          <w:szCs w:val="24"/>
          <w:lang w:val="en-ID" w:eastAsia="en-ID"/>
        </w:rPr>
        <w:t>.</w:t>
      </w:r>
    </w:p>
    <w:p w:rsidR="004132DC" w:rsidRPr="004132DC" w:rsidRDefault="004132DC" w:rsidP="004132DC">
      <w:pPr>
        <w:pStyle w:val="ListParagraph"/>
        <w:numPr>
          <w:ilvl w:val="2"/>
          <w:numId w:val="24"/>
        </w:numPr>
        <w:tabs>
          <w:tab w:val="clear" w:pos="2160"/>
        </w:tabs>
        <w:spacing w:after="0" w:line="480" w:lineRule="auto"/>
        <w:ind w:left="1560" w:hanging="284"/>
        <w:jc w:val="both"/>
        <w:rPr>
          <w:rFonts w:ascii="Times" w:hAnsi="Times" w:cstheme="majorBidi"/>
          <w:color w:val="0D0D0D" w:themeColor="text1" w:themeTint="F2"/>
          <w:sz w:val="24"/>
          <w:szCs w:val="24"/>
        </w:rPr>
      </w:pPr>
      <w:r w:rsidRPr="004132DC">
        <w:rPr>
          <w:rFonts w:ascii="Times" w:eastAsia="Times New Roman" w:hAnsi="Times" w:cs="Times New Roman"/>
          <w:noProof w:val="0"/>
          <w:color w:val="0D0D0D" w:themeColor="text1" w:themeTint="F2"/>
          <w:sz w:val="24"/>
          <w:szCs w:val="24"/>
          <w:lang w:val="en-ID" w:eastAsia="en-ID"/>
        </w:rPr>
        <w:t xml:space="preserve">Biaya adalah setiap kesepakatan atau kesepakatan yang telah </w:t>
      </w:r>
      <w:r w:rsidRPr="004132DC">
        <w:rPr>
          <w:rFonts w:ascii="Times" w:eastAsia="Times New Roman" w:hAnsi="Times" w:cstheme="majorBidi"/>
          <w:noProof w:val="0"/>
          <w:color w:val="0D0D0D" w:themeColor="text1" w:themeTint="F2"/>
          <w:sz w:val="24"/>
          <w:szCs w:val="24"/>
          <w:lang w:val="en-ID" w:eastAsia="en-ID"/>
        </w:rPr>
        <w:t xml:space="preserve">ditandatangani secara resmi </w:t>
      </w:r>
      <w:r w:rsidRPr="004132DC">
        <w:rPr>
          <w:rFonts w:ascii="Times" w:hAnsi="Times" w:cstheme="majorBidi"/>
          <w:color w:val="0D0D0D" w:themeColor="text1" w:themeTint="F2"/>
          <w:sz w:val="24"/>
          <w:szCs w:val="24"/>
        </w:rPr>
        <w:t xml:space="preserve">oleh suatu organisasi. </w:t>
      </w:r>
    </w:p>
    <w:p w:rsidR="004132DC" w:rsidRPr="004132DC" w:rsidRDefault="004132DC" w:rsidP="004132DC">
      <w:pPr>
        <w:pStyle w:val="ListParagraph"/>
        <w:numPr>
          <w:ilvl w:val="2"/>
          <w:numId w:val="24"/>
        </w:numPr>
        <w:tabs>
          <w:tab w:val="clear" w:pos="2160"/>
        </w:tabs>
        <w:spacing w:after="0" w:line="480" w:lineRule="auto"/>
        <w:ind w:left="1560" w:hanging="284"/>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Rugi adalah kerugian karena kerusakan barang-barang kepunyaan kreditur yang diakibatkan oleh kelalaian si debitur.</w:t>
      </w:r>
    </w:p>
    <w:p w:rsidR="004132DC" w:rsidRPr="004132DC" w:rsidRDefault="004132DC" w:rsidP="004132DC">
      <w:pPr>
        <w:pStyle w:val="ListParagraph"/>
        <w:numPr>
          <w:ilvl w:val="2"/>
          <w:numId w:val="24"/>
        </w:numPr>
        <w:tabs>
          <w:tab w:val="clear" w:pos="2160"/>
        </w:tabs>
        <w:spacing w:after="0" w:line="480" w:lineRule="auto"/>
        <w:ind w:left="1560" w:hanging="284"/>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Bunga adalah istilah yang digunakan untuk menyebut suatu kerugian yang terdiri dari hilangnya keuntungan yang telah dibayarkan atau ditanggung oleh kreditur.</w:t>
      </w:r>
    </w:p>
    <w:p w:rsidR="004132DC" w:rsidRPr="004132DC" w:rsidRDefault="004132DC" w:rsidP="004132DC">
      <w:pPr>
        <w:spacing w:after="0" w:line="480" w:lineRule="auto"/>
        <w:ind w:firstLine="720"/>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t xml:space="preserve">c. Ganti rugi harus mempunyai hubungan langsung dengan ingkar janji. </w:t>
      </w:r>
    </w:p>
    <w:p w:rsidR="004132DC" w:rsidRPr="004132DC" w:rsidRDefault="004132DC" w:rsidP="004132DC">
      <w:pPr>
        <w:spacing w:after="0" w:line="480" w:lineRule="auto"/>
        <w:ind w:left="720"/>
        <w:jc w:val="both"/>
        <w:rPr>
          <w:rFonts w:ascii="Times" w:eastAsia="Times New Roman" w:hAnsi="Times" w:cstheme="majorBidi"/>
          <w:noProof w:val="0"/>
          <w:color w:val="0D0D0D" w:themeColor="text1" w:themeTint="F2"/>
          <w:sz w:val="24"/>
          <w:szCs w:val="24"/>
          <w:lang w:val="en-ID" w:eastAsia="en-ID"/>
        </w:rPr>
      </w:pPr>
      <w:r w:rsidRPr="004132DC">
        <w:rPr>
          <w:rFonts w:ascii="Times" w:hAnsi="Times" w:cstheme="majorBidi"/>
          <w:color w:val="0D0D0D" w:themeColor="text1" w:themeTint="F2"/>
          <w:sz w:val="24"/>
          <w:szCs w:val="24"/>
        </w:rPr>
        <w:t>d. Ada kemungkinan bahwa ingkar janji (wanprestasi) yang terjadi bukan     hanya disebabkan oleh salat debitur (lalai atau kesengajaan).</w:t>
      </w:r>
    </w:p>
    <w:p w:rsidR="004132DC" w:rsidRPr="004132DC" w:rsidRDefault="004132DC" w:rsidP="004132DC">
      <w:pPr>
        <w:spacing w:after="0" w:line="480" w:lineRule="auto"/>
        <w:ind w:firstLine="720"/>
        <w:jc w:val="both"/>
        <w:rPr>
          <w:rFonts w:ascii="Times" w:hAnsi="Times" w:cstheme="majorBidi"/>
          <w:color w:val="0D0D0D" w:themeColor="text1" w:themeTint="F2"/>
          <w:sz w:val="24"/>
          <w:szCs w:val="24"/>
        </w:rPr>
      </w:pPr>
      <w:r w:rsidRPr="004132DC">
        <w:rPr>
          <w:rFonts w:ascii="Times" w:hAnsi="Times" w:cstheme="majorBidi"/>
          <w:color w:val="0D0D0D" w:themeColor="text1" w:themeTint="F2"/>
          <w:sz w:val="24"/>
          <w:szCs w:val="24"/>
        </w:rPr>
        <w:lastRenderedPageBreak/>
        <w:t xml:space="preserve">Ganti rugi akibat wanprestasi terdiri dari tiga unsur, yaitu biaya, rugi, dan bunga. Biaya merujuk pada pengeluaran nyata yang harus ditanggung kreditur akibat wanprestasi, bukan kesepakatan organisasi sebagaimana disebutkan. Rugi adalah kerugian riil yang diderita, seperti kerusakan atau kehilangan barang milik kreditur karena kelalaian debitur. </w:t>
      </w:r>
    </w:p>
    <w:p w:rsidR="00870089" w:rsidRPr="004132DC" w:rsidRDefault="004132DC" w:rsidP="004132DC">
      <w:pPr>
        <w:spacing w:after="0" w:line="480" w:lineRule="auto"/>
        <w:rPr>
          <w:rFonts w:ascii="Times" w:hAnsi="Times"/>
          <w:color w:val="0D0D0D" w:themeColor="text1" w:themeTint="F2"/>
          <w:sz w:val="24"/>
          <w:szCs w:val="24"/>
        </w:rPr>
      </w:pPr>
      <w:r w:rsidRPr="004132DC">
        <w:rPr>
          <w:rFonts w:ascii="Times" w:hAnsi="Times" w:cstheme="majorBidi"/>
          <w:color w:val="0D0D0D" w:themeColor="text1" w:themeTint="F2"/>
          <w:sz w:val="24"/>
          <w:szCs w:val="24"/>
        </w:rPr>
        <w:t xml:space="preserve">Sementara itu, bunga merupakan kerugian berupa hilangnya keuntungan yang seharusnya diperoleh kreditur jika perjanjian berjalan sebagaimana mestinya. Ganti rugi hanya dapat dituntut jika ada hubungan langsung antara wanprestasi dengan kerugian yang timbul. Namun, tidak semua wanprestasi disebabkan oleh kesalahan debitur. Dalam keadaan tertentu, seperti </w:t>
      </w:r>
      <w:r w:rsidRPr="004132DC">
        <w:rPr>
          <w:rFonts w:ascii="Times" w:hAnsi="Times" w:cstheme="majorBidi"/>
          <w:i/>
          <w:iCs/>
          <w:color w:val="0D0D0D" w:themeColor="text1" w:themeTint="F2"/>
          <w:sz w:val="24"/>
          <w:szCs w:val="24"/>
        </w:rPr>
        <w:t>force majeure</w:t>
      </w:r>
      <w:r w:rsidRPr="004132DC">
        <w:rPr>
          <w:rFonts w:ascii="Times" w:hAnsi="Times" w:cstheme="majorBidi"/>
          <w:color w:val="0D0D0D" w:themeColor="text1" w:themeTint="F2"/>
          <w:sz w:val="24"/>
          <w:szCs w:val="24"/>
        </w:rPr>
        <w:t xml:space="preserve"> atau hal di luar kuasa debitur, ia tidak dapat dimintai tanggung jawab atas kerugian tersebut.</w:t>
      </w:r>
    </w:p>
    <w:sectPr w:rsidR="00870089" w:rsidRPr="004132DC" w:rsidSect="00C770F0">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475" w:rsidRDefault="004F2475" w:rsidP="004D067C">
      <w:pPr>
        <w:spacing w:after="0" w:line="240" w:lineRule="auto"/>
      </w:pPr>
      <w:r>
        <w:separator/>
      </w:r>
    </w:p>
  </w:endnote>
  <w:endnote w:type="continuationSeparator" w:id="0">
    <w:p w:rsidR="004F2475" w:rsidRDefault="004F2475" w:rsidP="004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2774825"/>
      <w:docPartObj>
        <w:docPartGallery w:val="Page Numbers (Bottom of Page)"/>
        <w:docPartUnique/>
      </w:docPartObj>
    </w:sdtPr>
    <w:sdtEndPr>
      <w:rPr>
        <w:noProof/>
      </w:rPr>
    </w:sdtEndPr>
    <w:sdtContent>
      <w:p w:rsidR="000B4311" w:rsidRDefault="004F2475">
        <w:pPr>
          <w:pStyle w:val="Footer"/>
          <w:jc w:val="center"/>
        </w:pPr>
        <w:r>
          <w:rPr>
            <w:noProof w:val="0"/>
          </w:rPr>
          <w:fldChar w:fldCharType="begin"/>
        </w:r>
        <w:r>
          <w:instrText xml:space="preserve"> PAGE   \* MERGEFORMAT </w:instrText>
        </w:r>
        <w:r>
          <w:rPr>
            <w:noProof w:val="0"/>
          </w:rPr>
          <w:fldChar w:fldCharType="separate"/>
        </w:r>
        <w:r w:rsidR="009C2E72">
          <w:t>2</w:t>
        </w:r>
        <w:r>
          <w:fldChar w:fldCharType="end"/>
        </w:r>
      </w:p>
    </w:sdtContent>
  </w:sdt>
  <w:p w:rsidR="000B4311" w:rsidRDefault="009C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475" w:rsidRDefault="004F2475" w:rsidP="004D067C">
      <w:pPr>
        <w:spacing w:after="0" w:line="240" w:lineRule="auto"/>
      </w:pPr>
      <w:r>
        <w:separator/>
      </w:r>
    </w:p>
  </w:footnote>
  <w:footnote w:type="continuationSeparator" w:id="0">
    <w:p w:rsidR="004F2475" w:rsidRDefault="004F2475" w:rsidP="004D067C">
      <w:pPr>
        <w:spacing w:after="0" w:line="240" w:lineRule="auto"/>
      </w:pPr>
      <w:r>
        <w:continuationSeparator/>
      </w:r>
    </w:p>
  </w:footnote>
  <w:footnote w:id="1">
    <w:p w:rsidR="004132DC" w:rsidRDefault="004132DC" w:rsidP="004132DC">
      <w:pPr>
        <w:pStyle w:val="FootnoteText"/>
        <w:ind w:firstLine="720"/>
      </w:pPr>
      <w:r>
        <w:rPr>
          <w:rStyle w:val="FootnoteReference"/>
        </w:rPr>
        <w:footnoteRef/>
      </w:r>
      <w:r>
        <w:t xml:space="preserve"> </w:t>
      </w:r>
      <w:r w:rsidRPr="00093B76">
        <w:rPr>
          <w:rFonts w:asciiTheme="majorBidi" w:hAnsiTheme="majorBidi" w:cstheme="majorBidi"/>
        </w:rPr>
        <w:t xml:space="preserve">Dsalimunthe Dermina. </w:t>
      </w:r>
      <w:r w:rsidRPr="00093B76">
        <w:rPr>
          <w:rFonts w:asciiTheme="majorBidi" w:hAnsiTheme="majorBidi" w:cstheme="majorBidi"/>
          <w:i/>
          <w:iCs/>
        </w:rPr>
        <w:t>Akibat Hukum Wanprestasi Dalam Perspektif Kitab Undangundang Hukum Perdata (Bw)</w:t>
      </w:r>
      <w:r w:rsidRPr="00093B76">
        <w:rPr>
          <w:rFonts w:asciiTheme="majorBidi" w:hAnsiTheme="majorBidi" w:cstheme="majorBidi"/>
        </w:rPr>
        <w:t>. Jurnal Al-Maqasid. Volume 3. Issue 1 (Januari) 2017.</w:t>
      </w:r>
    </w:p>
  </w:footnote>
  <w:footnote w:id="2">
    <w:p w:rsidR="004132DC" w:rsidRDefault="004132DC" w:rsidP="004132DC">
      <w:pPr>
        <w:pStyle w:val="FootnoteText"/>
        <w:ind w:firstLine="720"/>
      </w:pPr>
      <w:r>
        <w:rPr>
          <w:rStyle w:val="FootnoteReference"/>
        </w:rPr>
        <w:footnoteRef/>
      </w:r>
      <w:r>
        <w:t xml:space="preserve"> </w:t>
      </w:r>
      <w:r w:rsidRPr="00D25BE5">
        <w:rPr>
          <w:rFonts w:asciiTheme="majorBidi" w:hAnsiTheme="majorBidi" w:cstheme="majorBidi"/>
        </w:rPr>
        <w:t>Faturrahman Djamil, Penyelesaian Pembiayaan Bermasalah di Bank Syariah (Jakarta : Sinar Grafika, 2012), h. 73.</w:t>
      </w:r>
    </w:p>
  </w:footnote>
  <w:footnote w:id="3">
    <w:p w:rsidR="004132DC" w:rsidRDefault="004132DC" w:rsidP="004132DC">
      <w:pPr>
        <w:pStyle w:val="FootnoteText"/>
        <w:ind w:firstLine="720"/>
      </w:pPr>
      <w:r>
        <w:rPr>
          <w:rStyle w:val="FootnoteReference"/>
        </w:rPr>
        <w:footnoteRef/>
      </w:r>
      <w:r>
        <w:t xml:space="preserve"> </w:t>
      </w:r>
      <w:r w:rsidRPr="00F6117C">
        <w:rPr>
          <w:rFonts w:asciiTheme="majorBidi" w:hAnsiTheme="majorBidi" w:cstheme="majorBidi"/>
        </w:rPr>
        <w:t>Muchdarsyah Sinungan, Manajemen Dana Bank, Bumi Aksara, Jakarta, 1993, hal.240</w:t>
      </w:r>
      <w:r>
        <w:t>.</w:t>
      </w:r>
    </w:p>
  </w:footnote>
  <w:footnote w:id="4">
    <w:p w:rsidR="004132DC" w:rsidRPr="002771CC" w:rsidRDefault="004132DC" w:rsidP="004132DC">
      <w:pPr>
        <w:pStyle w:val="FootnoteText"/>
        <w:ind w:firstLine="720"/>
        <w:rPr>
          <w:rFonts w:asciiTheme="majorBidi" w:hAnsiTheme="majorBidi" w:cstheme="majorBidi"/>
        </w:rPr>
      </w:pPr>
      <w:r w:rsidRPr="002771CC">
        <w:rPr>
          <w:rStyle w:val="FootnoteReference"/>
          <w:rFonts w:asciiTheme="majorBidi" w:hAnsiTheme="majorBidi" w:cstheme="majorBidi"/>
        </w:rPr>
        <w:footnoteRef/>
      </w:r>
      <w:r w:rsidRPr="002771CC">
        <w:rPr>
          <w:rFonts w:asciiTheme="majorBidi" w:hAnsiTheme="majorBidi" w:cstheme="majorBidi"/>
        </w:rPr>
        <w:t xml:space="preserve"> Mukhlidin, (2021), Seluk Beluk Lelang Hak Tanggungan, Jawa Tengah : PT.Nasya Expanding management, hlm. 50-51.</w:t>
      </w:r>
    </w:p>
  </w:footnote>
  <w:footnote w:id="5">
    <w:p w:rsidR="004132DC" w:rsidRDefault="004132DC" w:rsidP="004132DC">
      <w:pPr>
        <w:pStyle w:val="FootnoteText"/>
        <w:ind w:firstLine="720"/>
      </w:pPr>
      <w:r>
        <w:rPr>
          <w:rStyle w:val="FootnoteReference"/>
        </w:rPr>
        <w:footnoteRef/>
      </w:r>
      <w:r>
        <w:t xml:space="preserve"> </w:t>
      </w:r>
      <w:r w:rsidRPr="003A75E0">
        <w:rPr>
          <w:rFonts w:asciiTheme="majorBidi" w:hAnsiTheme="majorBidi" w:cstheme="majorBidi"/>
        </w:rPr>
        <w:t xml:space="preserve">Reza Al Fajar, Ashar Sinilele. </w:t>
      </w:r>
      <w:r w:rsidRPr="003A75E0">
        <w:rPr>
          <w:rFonts w:asciiTheme="majorBidi" w:hAnsiTheme="majorBidi" w:cstheme="majorBidi"/>
          <w:i/>
          <w:iCs/>
        </w:rPr>
        <w:t>Urgensi Penyelesaian Sengketa Wanprestasi</w:t>
      </w:r>
      <w:r w:rsidRPr="003A75E0">
        <w:rPr>
          <w:rFonts w:asciiTheme="majorBidi" w:hAnsiTheme="majorBidi" w:cstheme="majorBidi"/>
        </w:rPr>
        <w:t>. Alauddin Law Develompent (Aldev). Volume 2. Issue 17 Mei 2025</w:t>
      </w:r>
      <w:r>
        <w:t>.</w:t>
      </w:r>
    </w:p>
  </w:footnote>
  <w:footnote w:id="6">
    <w:p w:rsidR="004132DC" w:rsidRPr="00A97792" w:rsidRDefault="004132DC" w:rsidP="004132DC">
      <w:pPr>
        <w:pStyle w:val="FootnoteText"/>
        <w:ind w:firstLine="720"/>
        <w:rPr>
          <w:rFonts w:asciiTheme="majorBidi" w:hAnsiTheme="majorBidi" w:cstheme="majorBidi"/>
        </w:rPr>
      </w:pPr>
      <w:r w:rsidRPr="00A97792">
        <w:rPr>
          <w:rStyle w:val="FootnoteReference"/>
          <w:rFonts w:asciiTheme="majorBidi" w:hAnsiTheme="majorBidi" w:cstheme="majorBidi"/>
        </w:rPr>
        <w:footnoteRef/>
      </w:r>
      <w:r w:rsidRPr="00A97792">
        <w:rPr>
          <w:rFonts w:asciiTheme="majorBidi" w:hAnsiTheme="majorBidi" w:cstheme="majorBidi"/>
        </w:rPr>
        <w:t xml:space="preserve"> Sudjana. Akibat Hukum </w:t>
      </w:r>
      <w:r w:rsidRPr="00A97792">
        <w:rPr>
          <w:rFonts w:asciiTheme="majorBidi" w:hAnsiTheme="majorBidi" w:cstheme="majorBidi"/>
          <w:i/>
          <w:iCs/>
        </w:rPr>
        <w:t>Wanprestasi Dan Tanggung Jawab Para Pihak Dalam Transaksi Anjak Piutang.</w:t>
      </w:r>
      <w:r w:rsidRPr="00A97792">
        <w:rPr>
          <w:rFonts w:asciiTheme="majorBidi" w:hAnsiTheme="majorBidi" w:cstheme="majorBidi"/>
        </w:rPr>
        <w:t xml:space="preserve"> Fakultas Hukum. Universitas Padjadjaran. Volume 5. Issue </w:t>
      </w:r>
      <w:r>
        <w:rPr>
          <w:rFonts w:asciiTheme="majorBidi" w:hAnsiTheme="majorBidi" w:cstheme="majorBidi"/>
        </w:rPr>
        <w:t>17 (Mei)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9C2E7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8"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9C2E7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9"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9C2E7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7"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5C04"/>
    <w:multiLevelType w:val="hybridMultilevel"/>
    <w:tmpl w:val="ADA873A8"/>
    <w:lvl w:ilvl="0" w:tplc="38090019">
      <w:start w:val="1"/>
      <w:numFmt w:val="lowerLetter"/>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
    <w:nsid w:val="0852700B"/>
    <w:multiLevelType w:val="multilevel"/>
    <w:tmpl w:val="569AC71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0C525CF8"/>
    <w:multiLevelType w:val="hybridMultilevel"/>
    <w:tmpl w:val="E8DAB3F4"/>
    <w:lvl w:ilvl="0" w:tplc="130E75E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nsid w:val="0D7154FD"/>
    <w:multiLevelType w:val="multilevel"/>
    <w:tmpl w:val="ABB49E18"/>
    <w:lvl w:ilvl="0">
      <w:start w:val="1"/>
      <w:numFmt w:val="decimal"/>
      <w:lvlText w:val="%1."/>
      <w:lvlJc w:val="center"/>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D4772"/>
    <w:multiLevelType w:val="multilevel"/>
    <w:tmpl w:val="5992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B23F34"/>
    <w:multiLevelType w:val="hybridMultilevel"/>
    <w:tmpl w:val="5D561D3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6D3631EC">
      <w:start w:val="1"/>
      <w:numFmt w:val="lowerLetter"/>
      <w:lvlText w:val="%3)"/>
      <w:lvlJc w:val="left"/>
      <w:pPr>
        <w:ind w:left="2340" w:hanging="360"/>
      </w:pPr>
      <w:rPr>
        <w:rFonts w:hint="default"/>
      </w:rPr>
    </w:lvl>
    <w:lvl w:ilvl="3" w:tplc="BA28131A">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505635C"/>
    <w:multiLevelType w:val="hybridMultilevel"/>
    <w:tmpl w:val="0AE41CE8"/>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D1D776B"/>
    <w:multiLevelType w:val="hybridMultilevel"/>
    <w:tmpl w:val="77F20B36"/>
    <w:lvl w:ilvl="0" w:tplc="A53C86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30B12B78"/>
    <w:multiLevelType w:val="hybridMultilevel"/>
    <w:tmpl w:val="CBB453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05C51"/>
    <w:multiLevelType w:val="hybridMultilevel"/>
    <w:tmpl w:val="49E41D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2A94DF1"/>
    <w:multiLevelType w:val="hybridMultilevel"/>
    <w:tmpl w:val="CDDC2070"/>
    <w:lvl w:ilvl="0" w:tplc="EE8036D8">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38F2D28"/>
    <w:multiLevelType w:val="multilevel"/>
    <w:tmpl w:val="3964F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D24A81"/>
    <w:multiLevelType w:val="multilevel"/>
    <w:tmpl w:val="454E31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BF44EF"/>
    <w:multiLevelType w:val="hybridMultilevel"/>
    <w:tmpl w:val="AC08578E"/>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2491112"/>
    <w:multiLevelType w:val="multilevel"/>
    <w:tmpl w:val="F398AA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9608EA"/>
    <w:multiLevelType w:val="multilevel"/>
    <w:tmpl w:val="A53EAEC2"/>
    <w:lvl w:ilvl="0">
      <w:start w:val="3"/>
      <w:numFmt w:val="decimal"/>
      <w:lvlText w:val="%1."/>
      <w:lvlJc w:val="center"/>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E1D5825"/>
    <w:multiLevelType w:val="hybridMultilevel"/>
    <w:tmpl w:val="B54EE7F6"/>
    <w:lvl w:ilvl="0" w:tplc="AC82665E">
      <w:start w:val="1"/>
      <w:numFmt w:val="lowerLetter"/>
      <w:lvlText w:val="%1."/>
      <w:lvlJc w:val="left"/>
      <w:pPr>
        <w:ind w:left="1440" w:hanging="360"/>
      </w:pPr>
      <w:rPr>
        <w:rFonts w:hint="default"/>
        <w:i w:val="0"/>
        <w:iCs w:val="0"/>
        <w:lang w:val="en-ID"/>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nsid w:val="654854FD"/>
    <w:multiLevelType w:val="hybridMultilevel"/>
    <w:tmpl w:val="80E09D38"/>
    <w:lvl w:ilvl="0" w:tplc="AC82665E">
      <w:start w:val="1"/>
      <w:numFmt w:val="lowerLetter"/>
      <w:lvlText w:val="%1."/>
      <w:lvlJc w:val="left"/>
      <w:pPr>
        <w:ind w:left="1130" w:hanging="360"/>
      </w:pPr>
      <w:rPr>
        <w:rFonts w:hint="default"/>
        <w:i w:val="0"/>
        <w:iCs w:val="0"/>
        <w:lang w:val="en-ID"/>
      </w:rPr>
    </w:lvl>
    <w:lvl w:ilvl="1" w:tplc="38090019" w:tentative="1">
      <w:start w:val="1"/>
      <w:numFmt w:val="lowerLetter"/>
      <w:lvlText w:val="%2."/>
      <w:lvlJc w:val="left"/>
      <w:pPr>
        <w:ind w:left="1850" w:hanging="360"/>
      </w:pPr>
    </w:lvl>
    <w:lvl w:ilvl="2" w:tplc="3809001B" w:tentative="1">
      <w:start w:val="1"/>
      <w:numFmt w:val="lowerRoman"/>
      <w:lvlText w:val="%3."/>
      <w:lvlJc w:val="right"/>
      <w:pPr>
        <w:ind w:left="2570" w:hanging="180"/>
      </w:pPr>
    </w:lvl>
    <w:lvl w:ilvl="3" w:tplc="3809000F" w:tentative="1">
      <w:start w:val="1"/>
      <w:numFmt w:val="decimal"/>
      <w:lvlText w:val="%4."/>
      <w:lvlJc w:val="left"/>
      <w:pPr>
        <w:ind w:left="3290" w:hanging="360"/>
      </w:pPr>
    </w:lvl>
    <w:lvl w:ilvl="4" w:tplc="38090019" w:tentative="1">
      <w:start w:val="1"/>
      <w:numFmt w:val="lowerLetter"/>
      <w:lvlText w:val="%5."/>
      <w:lvlJc w:val="left"/>
      <w:pPr>
        <w:ind w:left="4010" w:hanging="360"/>
      </w:pPr>
    </w:lvl>
    <w:lvl w:ilvl="5" w:tplc="3809001B" w:tentative="1">
      <w:start w:val="1"/>
      <w:numFmt w:val="lowerRoman"/>
      <w:lvlText w:val="%6."/>
      <w:lvlJc w:val="right"/>
      <w:pPr>
        <w:ind w:left="4730" w:hanging="180"/>
      </w:pPr>
    </w:lvl>
    <w:lvl w:ilvl="6" w:tplc="3809000F" w:tentative="1">
      <w:start w:val="1"/>
      <w:numFmt w:val="decimal"/>
      <w:lvlText w:val="%7."/>
      <w:lvlJc w:val="left"/>
      <w:pPr>
        <w:ind w:left="5450" w:hanging="360"/>
      </w:pPr>
    </w:lvl>
    <w:lvl w:ilvl="7" w:tplc="38090019" w:tentative="1">
      <w:start w:val="1"/>
      <w:numFmt w:val="lowerLetter"/>
      <w:lvlText w:val="%8."/>
      <w:lvlJc w:val="left"/>
      <w:pPr>
        <w:ind w:left="6170" w:hanging="360"/>
      </w:pPr>
    </w:lvl>
    <w:lvl w:ilvl="8" w:tplc="3809001B" w:tentative="1">
      <w:start w:val="1"/>
      <w:numFmt w:val="lowerRoman"/>
      <w:lvlText w:val="%9."/>
      <w:lvlJc w:val="right"/>
      <w:pPr>
        <w:ind w:left="6890" w:hanging="180"/>
      </w:pPr>
    </w:lvl>
  </w:abstractNum>
  <w:abstractNum w:abstractNumId="18">
    <w:nsid w:val="670274FB"/>
    <w:multiLevelType w:val="hybridMultilevel"/>
    <w:tmpl w:val="F9E0C7E4"/>
    <w:lvl w:ilvl="0" w:tplc="969C5768">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9">
    <w:nsid w:val="67475E05"/>
    <w:multiLevelType w:val="multilevel"/>
    <w:tmpl w:val="80A6EDBC"/>
    <w:lvl w:ilvl="0">
      <w:start w:val="1"/>
      <w:numFmt w:val="decimal"/>
      <w:lvlText w:val="%1."/>
      <w:lvlJc w:val="center"/>
      <w:pPr>
        <w:tabs>
          <w:tab w:val="num" w:pos="644"/>
        </w:tabs>
        <w:ind w:left="644"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BA383A"/>
    <w:multiLevelType w:val="hybridMultilevel"/>
    <w:tmpl w:val="B16625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6E7EDA"/>
    <w:multiLevelType w:val="multilevel"/>
    <w:tmpl w:val="9A60D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9B209B"/>
    <w:multiLevelType w:val="hybridMultilevel"/>
    <w:tmpl w:val="48A8E76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A891F7B"/>
    <w:multiLevelType w:val="multilevel"/>
    <w:tmpl w:val="D1509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9A1907"/>
    <w:multiLevelType w:val="hybridMultilevel"/>
    <w:tmpl w:val="4440BE12"/>
    <w:lvl w:ilvl="0" w:tplc="969C5768">
      <w:start w:val="1"/>
      <w:numFmt w:val="lowerLetter"/>
      <w:lvlText w:val="%1."/>
      <w:lvlJc w:val="left"/>
      <w:pPr>
        <w:ind w:left="927" w:hanging="360"/>
      </w:pPr>
      <w:rPr>
        <w:rFonts w:hint="default"/>
      </w:rPr>
    </w:lvl>
    <w:lvl w:ilvl="1" w:tplc="DB9A328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EA975D3"/>
    <w:multiLevelType w:val="hybridMultilevel"/>
    <w:tmpl w:val="C17AD84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EB25154"/>
    <w:multiLevelType w:val="multilevel"/>
    <w:tmpl w:val="76CC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3578F9"/>
    <w:multiLevelType w:val="multilevel"/>
    <w:tmpl w:val="6D96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7"/>
  </w:num>
  <w:num w:numId="3">
    <w:abstractNumId w:val="13"/>
  </w:num>
  <w:num w:numId="4">
    <w:abstractNumId w:val="19"/>
  </w:num>
  <w:num w:numId="5">
    <w:abstractNumId w:val="4"/>
  </w:num>
  <w:num w:numId="6">
    <w:abstractNumId w:val="22"/>
  </w:num>
  <w:num w:numId="7">
    <w:abstractNumId w:val="12"/>
  </w:num>
  <w:num w:numId="8">
    <w:abstractNumId w:val="26"/>
  </w:num>
  <w:num w:numId="9">
    <w:abstractNumId w:val="21"/>
  </w:num>
  <w:num w:numId="10">
    <w:abstractNumId w:val="0"/>
  </w:num>
  <w:num w:numId="11">
    <w:abstractNumId w:val="25"/>
  </w:num>
  <w:num w:numId="12">
    <w:abstractNumId w:val="17"/>
  </w:num>
  <w:num w:numId="13">
    <w:abstractNumId w:val="24"/>
  </w:num>
  <w:num w:numId="14">
    <w:abstractNumId w:val="20"/>
  </w:num>
  <w:num w:numId="15">
    <w:abstractNumId w:val="7"/>
  </w:num>
  <w:num w:numId="16">
    <w:abstractNumId w:val="18"/>
  </w:num>
  <w:num w:numId="17">
    <w:abstractNumId w:val="1"/>
  </w:num>
  <w:num w:numId="18">
    <w:abstractNumId w:val="16"/>
  </w:num>
  <w:num w:numId="19">
    <w:abstractNumId w:val="23"/>
  </w:num>
  <w:num w:numId="20">
    <w:abstractNumId w:val="9"/>
  </w:num>
  <w:num w:numId="21">
    <w:abstractNumId w:val="10"/>
  </w:num>
  <w:num w:numId="22">
    <w:abstractNumId w:val="2"/>
  </w:num>
  <w:num w:numId="23">
    <w:abstractNumId w:val="5"/>
  </w:num>
  <w:num w:numId="24">
    <w:abstractNumId w:val="14"/>
  </w:num>
  <w:num w:numId="25">
    <w:abstractNumId w:val="3"/>
  </w:num>
  <w:num w:numId="26">
    <w:abstractNumId w:val="11"/>
  </w:num>
  <w:num w:numId="27">
    <w:abstractNumId w:val="1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PfR+rajUL6jFfGpjKdCFoVVqhEW7cjWEN6gUVtAs0q6+Em5MSOgOMmg4pspfaL3kBpazTJLt+bR3ziGvZMl8Sg==" w:salt="S+pBXLTaJV9tN5nMHprzD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F0"/>
    <w:rsid w:val="004132DC"/>
    <w:rsid w:val="004D067C"/>
    <w:rsid w:val="004F2475"/>
    <w:rsid w:val="009C2E72"/>
    <w:rsid w:val="00AB385E"/>
    <w:rsid w:val="00BA3EC7"/>
    <w:rsid w:val="00BA55BA"/>
    <w:rsid w:val="00C768BB"/>
    <w:rsid w:val="00C770F0"/>
    <w:rsid w:val="00EB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325F90D-D118-4FBB-B653-3B2F23B9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F0"/>
    <w:pPr>
      <w:spacing w:after="160" w:line="259" w:lineRule="auto"/>
    </w:pPr>
    <w:rPr>
      <w:noProof/>
    </w:rPr>
  </w:style>
  <w:style w:type="paragraph" w:styleId="Heading1">
    <w:name w:val="heading 1"/>
    <w:basedOn w:val="Normal"/>
    <w:next w:val="Normal"/>
    <w:link w:val="Heading1Char"/>
    <w:uiPriority w:val="9"/>
    <w:qFormat/>
    <w:rsid w:val="00C770F0"/>
    <w:pPr>
      <w:spacing w:line="480" w:lineRule="auto"/>
      <w:jc w:val="center"/>
      <w:outlineLvl w:val="0"/>
    </w:pPr>
    <w:rPr>
      <w:rFonts w:asciiTheme="majorBidi" w:hAnsiTheme="majorBidi" w:cstheme="majorBidi"/>
      <w:b/>
      <w:bCs/>
      <w:sz w:val="24"/>
      <w:szCs w:val="24"/>
    </w:rPr>
  </w:style>
  <w:style w:type="paragraph" w:styleId="Heading2">
    <w:name w:val="heading 2"/>
    <w:basedOn w:val="Normal"/>
    <w:next w:val="Normal"/>
    <w:link w:val="Heading2Char"/>
    <w:uiPriority w:val="9"/>
    <w:semiHidden/>
    <w:unhideWhenUsed/>
    <w:qFormat/>
    <w:rsid w:val="004D06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27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F0"/>
    <w:rPr>
      <w:rFonts w:asciiTheme="majorBidi" w:hAnsiTheme="majorBidi" w:cstheme="majorBidi"/>
      <w:b/>
      <w:bCs/>
      <w:noProof/>
      <w:sz w:val="24"/>
      <w:szCs w:val="24"/>
    </w:rPr>
  </w:style>
  <w:style w:type="paragraph" w:styleId="NoSpacing">
    <w:name w:val="No Spacing"/>
    <w:uiPriority w:val="1"/>
    <w:qFormat/>
    <w:rsid w:val="00C770F0"/>
    <w:pPr>
      <w:spacing w:after="0" w:line="240" w:lineRule="auto"/>
    </w:pPr>
    <w:rPr>
      <w:noProof/>
    </w:rPr>
  </w:style>
  <w:style w:type="paragraph" w:styleId="Header">
    <w:name w:val="header"/>
    <w:basedOn w:val="Normal"/>
    <w:link w:val="HeaderChar"/>
    <w:uiPriority w:val="99"/>
    <w:unhideWhenUsed/>
    <w:rsid w:val="00C77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F0"/>
    <w:rPr>
      <w:noProof/>
    </w:rPr>
  </w:style>
  <w:style w:type="paragraph" w:styleId="Footer">
    <w:name w:val="footer"/>
    <w:basedOn w:val="Normal"/>
    <w:link w:val="FooterChar"/>
    <w:uiPriority w:val="99"/>
    <w:unhideWhenUsed/>
    <w:rsid w:val="00C77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F0"/>
    <w:rPr>
      <w:noProof/>
    </w:rPr>
  </w:style>
  <w:style w:type="paragraph" w:styleId="BalloonText">
    <w:name w:val="Balloon Text"/>
    <w:basedOn w:val="Normal"/>
    <w:link w:val="BalloonTextChar"/>
    <w:uiPriority w:val="99"/>
    <w:semiHidden/>
    <w:unhideWhenUsed/>
    <w:rsid w:val="00C7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F0"/>
    <w:rPr>
      <w:rFonts w:ascii="Tahoma" w:hAnsi="Tahoma" w:cs="Tahoma"/>
      <w:noProof/>
      <w:sz w:val="16"/>
      <w:szCs w:val="16"/>
    </w:rPr>
  </w:style>
  <w:style w:type="character" w:styleId="Hyperlink">
    <w:name w:val="Hyperlink"/>
    <w:basedOn w:val="DefaultParagraphFont"/>
    <w:uiPriority w:val="99"/>
    <w:unhideWhenUsed/>
    <w:rsid w:val="00C768BB"/>
    <w:rPr>
      <w:color w:val="0000FF" w:themeColor="hyperlink"/>
      <w:u w:val="single"/>
    </w:rPr>
  </w:style>
  <w:style w:type="paragraph" w:styleId="NormalWeb">
    <w:name w:val="Normal (Web)"/>
    <w:basedOn w:val="Normal"/>
    <w:uiPriority w:val="99"/>
    <w:unhideWhenUsed/>
    <w:rsid w:val="00C768BB"/>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character" w:customStyle="1" w:styleId="uv3um">
    <w:name w:val="uv3um"/>
    <w:basedOn w:val="DefaultParagraphFont"/>
    <w:rsid w:val="00C768BB"/>
  </w:style>
  <w:style w:type="paragraph" w:styleId="TOCHeading">
    <w:name w:val="TOC Heading"/>
    <w:basedOn w:val="Heading1"/>
    <w:next w:val="Normal"/>
    <w:uiPriority w:val="39"/>
    <w:unhideWhenUsed/>
    <w:qFormat/>
    <w:rsid w:val="00C768BB"/>
    <w:pPr>
      <w:keepNext/>
      <w:keepLines/>
      <w:spacing w:before="240" w:after="0" w:line="259" w:lineRule="auto"/>
      <w:jc w:val="left"/>
      <w:outlineLvl w:val="9"/>
    </w:pPr>
    <w:rPr>
      <w:rFonts w:asciiTheme="majorHAnsi" w:eastAsiaTheme="majorEastAsia" w:hAnsiTheme="majorHAnsi"/>
      <w:b w:val="0"/>
      <w:bCs w:val="0"/>
      <w:color w:val="365F91" w:themeColor="accent1" w:themeShade="BF"/>
      <w:sz w:val="32"/>
      <w:szCs w:val="32"/>
    </w:rPr>
  </w:style>
  <w:style w:type="paragraph" w:styleId="TOC1">
    <w:name w:val="toc 1"/>
    <w:basedOn w:val="Normal"/>
    <w:next w:val="Normal"/>
    <w:autoRedefine/>
    <w:uiPriority w:val="39"/>
    <w:unhideWhenUsed/>
    <w:rsid w:val="00C768BB"/>
    <w:pPr>
      <w:tabs>
        <w:tab w:val="right" w:leader="dot" w:pos="7927"/>
      </w:tabs>
      <w:spacing w:after="100" w:line="480" w:lineRule="auto"/>
    </w:pPr>
    <w:rPr>
      <w:rFonts w:asciiTheme="majorBidi" w:hAnsiTheme="majorBidi" w:cstheme="majorBidi"/>
      <w:b/>
      <w:bCs/>
      <w:sz w:val="24"/>
      <w:szCs w:val="24"/>
    </w:rPr>
  </w:style>
  <w:style w:type="paragraph" w:styleId="TOC2">
    <w:name w:val="toc 2"/>
    <w:basedOn w:val="Normal"/>
    <w:next w:val="Normal"/>
    <w:autoRedefine/>
    <w:uiPriority w:val="39"/>
    <w:unhideWhenUsed/>
    <w:rsid w:val="00C768BB"/>
    <w:pPr>
      <w:tabs>
        <w:tab w:val="right" w:leader="dot" w:pos="7927"/>
      </w:tabs>
      <w:spacing w:after="0" w:line="480" w:lineRule="auto"/>
      <w:ind w:left="709" w:hanging="283"/>
      <w:jc w:val="both"/>
    </w:pPr>
    <w:rPr>
      <w:rFonts w:ascii="Times New Roman" w:hAnsi="Times New Roman" w:cs="Times New Roman"/>
      <w:bCs/>
      <w:sz w:val="24"/>
      <w:szCs w:val="24"/>
    </w:rPr>
  </w:style>
  <w:style w:type="paragraph" w:styleId="TOC3">
    <w:name w:val="toc 3"/>
    <w:basedOn w:val="Normal"/>
    <w:next w:val="Normal"/>
    <w:autoRedefine/>
    <w:uiPriority w:val="39"/>
    <w:unhideWhenUsed/>
    <w:rsid w:val="00C768BB"/>
    <w:pPr>
      <w:tabs>
        <w:tab w:val="right" w:leader="dot" w:pos="7927"/>
      </w:tabs>
      <w:spacing w:after="100" w:line="480" w:lineRule="auto"/>
      <w:ind w:left="709"/>
    </w:pPr>
    <w:rPr>
      <w:b/>
      <w:bCs/>
    </w:rPr>
  </w:style>
  <w:style w:type="character" w:styleId="Strong">
    <w:name w:val="Strong"/>
    <w:basedOn w:val="DefaultParagraphFont"/>
    <w:uiPriority w:val="22"/>
    <w:qFormat/>
    <w:rsid w:val="00BA55BA"/>
    <w:rPr>
      <w:b/>
      <w:bCs/>
    </w:rPr>
  </w:style>
  <w:style w:type="character" w:customStyle="1" w:styleId="Heading2Char">
    <w:name w:val="Heading 2 Char"/>
    <w:basedOn w:val="DefaultParagraphFont"/>
    <w:link w:val="Heading2"/>
    <w:uiPriority w:val="9"/>
    <w:semiHidden/>
    <w:rsid w:val="004D067C"/>
    <w:rPr>
      <w:rFonts w:asciiTheme="majorHAnsi" w:eastAsiaTheme="majorEastAsia" w:hAnsiTheme="majorHAnsi" w:cstheme="majorBidi"/>
      <w:b/>
      <w:bCs/>
      <w:noProof/>
      <w:color w:val="4F81BD" w:themeColor="accent1"/>
      <w:sz w:val="26"/>
      <w:szCs w:val="26"/>
    </w:rPr>
  </w:style>
  <w:style w:type="paragraph" w:styleId="ListParagraph">
    <w:name w:val="List Paragraph"/>
    <w:basedOn w:val="Normal"/>
    <w:uiPriority w:val="34"/>
    <w:qFormat/>
    <w:rsid w:val="004D067C"/>
    <w:pPr>
      <w:ind w:left="720"/>
      <w:contextualSpacing/>
    </w:pPr>
  </w:style>
  <w:style w:type="paragraph" w:styleId="FootnoteText">
    <w:name w:val="footnote text"/>
    <w:basedOn w:val="Normal"/>
    <w:link w:val="FootnoteTextChar"/>
    <w:uiPriority w:val="99"/>
    <w:unhideWhenUsed/>
    <w:rsid w:val="004D067C"/>
    <w:pPr>
      <w:spacing w:after="0" w:line="240" w:lineRule="auto"/>
    </w:pPr>
    <w:rPr>
      <w:sz w:val="20"/>
      <w:szCs w:val="20"/>
    </w:rPr>
  </w:style>
  <w:style w:type="character" w:customStyle="1" w:styleId="FootnoteTextChar">
    <w:name w:val="Footnote Text Char"/>
    <w:basedOn w:val="DefaultParagraphFont"/>
    <w:link w:val="FootnoteText"/>
    <w:uiPriority w:val="99"/>
    <w:rsid w:val="004D067C"/>
    <w:rPr>
      <w:noProof/>
      <w:sz w:val="20"/>
      <w:szCs w:val="20"/>
    </w:rPr>
  </w:style>
  <w:style w:type="character" w:styleId="FootnoteReference">
    <w:name w:val="footnote reference"/>
    <w:basedOn w:val="DefaultParagraphFont"/>
    <w:uiPriority w:val="99"/>
    <w:semiHidden/>
    <w:unhideWhenUsed/>
    <w:rsid w:val="004D067C"/>
    <w:rPr>
      <w:vertAlign w:val="superscript"/>
    </w:rPr>
  </w:style>
  <w:style w:type="character" w:customStyle="1" w:styleId="Heading3Char">
    <w:name w:val="Heading 3 Char"/>
    <w:basedOn w:val="DefaultParagraphFont"/>
    <w:link w:val="Heading3"/>
    <w:uiPriority w:val="9"/>
    <w:semiHidden/>
    <w:rsid w:val="00EB2707"/>
    <w:rPr>
      <w:rFonts w:asciiTheme="majorHAnsi" w:eastAsiaTheme="majorEastAsia" w:hAnsiTheme="majorHAnsi" w:cstheme="majorBidi"/>
      <w:b/>
      <w:bCs/>
      <w:noProof/>
      <w:color w:val="4F81BD" w:themeColor="accent1"/>
    </w:rPr>
  </w:style>
  <w:style w:type="character" w:styleId="Emphasis">
    <w:name w:val="Emphasis"/>
    <w:basedOn w:val="DefaultParagraphFont"/>
    <w:uiPriority w:val="20"/>
    <w:qFormat/>
    <w:rsid w:val="00EB2707"/>
    <w:rPr>
      <w:i/>
      <w:iCs/>
    </w:rPr>
  </w:style>
  <w:style w:type="character" w:customStyle="1" w:styleId="citation-0">
    <w:name w:val="citation-0"/>
    <w:basedOn w:val="DefaultParagraphFont"/>
    <w:rsid w:val="00EB2707"/>
  </w:style>
  <w:style w:type="character" w:customStyle="1" w:styleId="relative">
    <w:name w:val="relative"/>
    <w:basedOn w:val="DefaultParagraphFont"/>
    <w:rsid w:val="00BA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4751</Words>
  <Characters>27086</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2026-03-02T02:54:00Z</dcterms:created>
  <dcterms:modified xsi:type="dcterms:W3CDTF">2026-03-02T02:54:00Z</dcterms:modified>
</cp:coreProperties>
</file>