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0B8" w:rsidRPr="00CE5DB8" w:rsidRDefault="00CD40B8" w:rsidP="00CD40B8">
      <w:pPr>
        <w:pStyle w:val="TOC1"/>
        <w:ind w:left="0" w:firstLine="0"/>
        <w:jc w:val="center"/>
      </w:pPr>
      <w:bookmarkStart w:id="0" w:name="_Toc195258137"/>
      <w:bookmarkStart w:id="1" w:name="_GoBack"/>
      <w:bookmarkEnd w:id="1"/>
      <w:r w:rsidRPr="00CE5DB8">
        <w:t>BAB I</w:t>
      </w:r>
      <w:bookmarkEnd w:id="0"/>
    </w:p>
    <w:p w:rsidR="00CD40B8" w:rsidRPr="00CE5DB8" w:rsidRDefault="00CD40B8" w:rsidP="00CD40B8">
      <w:pPr>
        <w:pStyle w:val="Heading1"/>
        <w:spacing w:before="0" w:line="480" w:lineRule="auto"/>
        <w:jc w:val="center"/>
        <w:rPr>
          <w:rFonts w:ascii="Times New Roman" w:hAnsi="Times New Roman"/>
          <w:color w:val="0D0D0D" w:themeColor="text1" w:themeTint="F2"/>
          <w:sz w:val="24"/>
          <w:szCs w:val="24"/>
        </w:rPr>
      </w:pPr>
      <w:bookmarkStart w:id="2" w:name="_Toc193443047"/>
      <w:bookmarkStart w:id="3" w:name="_Toc195258138"/>
      <w:r w:rsidRPr="00CE5DB8">
        <w:rPr>
          <w:rFonts w:ascii="Times New Roman" w:hAnsi="Times New Roman"/>
          <w:color w:val="0D0D0D" w:themeColor="text1" w:themeTint="F2"/>
          <w:sz w:val="24"/>
          <w:szCs w:val="24"/>
        </w:rPr>
        <w:t>PENDAHULUAN</w:t>
      </w:r>
      <w:bookmarkEnd w:id="2"/>
      <w:bookmarkEnd w:id="3"/>
    </w:p>
    <w:p w:rsidR="00CD40B8" w:rsidRPr="004E3485" w:rsidRDefault="00CD40B8" w:rsidP="00CD40B8">
      <w:pPr>
        <w:jc w:val="both"/>
        <w:rPr>
          <w:b/>
        </w:rPr>
      </w:pPr>
    </w:p>
    <w:p w:rsidR="00CD40B8" w:rsidRPr="004E3485" w:rsidRDefault="00CD40B8" w:rsidP="00CD40B8">
      <w:pPr>
        <w:pStyle w:val="Heading2"/>
        <w:spacing w:before="0" w:line="480" w:lineRule="auto"/>
        <w:jc w:val="both"/>
        <w:rPr>
          <w:rFonts w:ascii="Times New Roman" w:hAnsi="Times New Roman"/>
          <w:color w:val="0D0D0D"/>
          <w:sz w:val="24"/>
          <w:szCs w:val="24"/>
        </w:rPr>
      </w:pPr>
      <w:bookmarkStart w:id="4" w:name="_Toc193443048"/>
      <w:bookmarkStart w:id="5" w:name="_Toc195258139"/>
      <w:r w:rsidRPr="004E3485">
        <w:rPr>
          <w:rFonts w:ascii="Times New Roman" w:hAnsi="Times New Roman"/>
          <w:color w:val="0D0D0D"/>
          <w:sz w:val="24"/>
          <w:szCs w:val="24"/>
          <w:lang w:val="en-US"/>
        </w:rPr>
        <w:t xml:space="preserve">A. </w:t>
      </w:r>
      <w:r w:rsidRPr="004E3485">
        <w:rPr>
          <w:rFonts w:ascii="Times New Roman" w:hAnsi="Times New Roman"/>
          <w:color w:val="0D0D0D"/>
          <w:sz w:val="24"/>
          <w:szCs w:val="24"/>
        </w:rPr>
        <w:t> </w:t>
      </w:r>
      <w:r w:rsidRPr="004E3485">
        <w:rPr>
          <w:rFonts w:ascii="Times New Roman" w:hAnsi="Times New Roman"/>
          <w:color w:val="0D0D0D"/>
          <w:sz w:val="24"/>
          <w:szCs w:val="24"/>
          <w:lang w:val="en-US"/>
        </w:rPr>
        <w:tab/>
      </w:r>
      <w:r w:rsidRPr="004E3485">
        <w:rPr>
          <w:rFonts w:ascii="Times New Roman" w:hAnsi="Times New Roman"/>
          <w:color w:val="0D0D0D"/>
          <w:sz w:val="24"/>
          <w:szCs w:val="24"/>
        </w:rPr>
        <w:t>Latar Belakang Masalah</w:t>
      </w:r>
      <w:bookmarkEnd w:id="4"/>
      <w:bookmarkEnd w:id="5"/>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 xml:space="preserve">Dalam perkembangan ekonomi modern, transaksi hutang piutang menjadi salah satu elemen fundamental yang mendukung aktivitas bisnis dan perekonomian secara keseluruhan. Di berbagai kota besar, termasuk Kota Medan, aktivitas ekonomi yang tinggi membuat hubungan kreditur dan debitur semakin kompleks dan dinamis. Hubungan ini tidak selalu berjalan mulus, sering kali terjadi ketidak sepakatan yang dapat menimbulkan sengketa antara pihak yang memberikan debitur (debitur) dan pihak yang menerima kredit (Kreditur). Sengketa tersebut bisa terjadi akibat berbagai alasan, seperti ketidakmampuan Kreditur untuk membayar utang, perbedaan penafsiran terhadap perjanjian utang piutang, hingga faktor eksternal yang mempengaruhi kemampuan finansial debitur.  Berbalgali jenis peralngkat hukum, balik di tingkat internasional malupun nasional, telah mencoba merumuskaln tindakan perlindungan atas merek merupakan bagian dari HAKI. </w:t>
      </w:r>
      <w:r w:rsidRPr="00A308AE">
        <w:rPr>
          <w:color w:val="000000"/>
          <w:lang w:val="x-none" w:eastAsia="id-ID" w:bidi="id-ID"/>
        </w:rPr>
        <w:lastRenderedPageBreak/>
        <w:t>Perlindungan ini berkalitan dengan hak eksklusif yalng dapat dimiliki oleh pemilik merek daln perlindungan yang dapat dinikmati oleh</w:t>
      </w:r>
      <w:r>
        <w:rPr>
          <w:color w:val="000000"/>
          <w:lang w:val="x-none" w:eastAsia="id-ID" w:bidi="id-ID"/>
        </w:rPr>
        <w:t xml:space="preserve"> konsumen.</w:t>
      </w:r>
      <w:r>
        <w:rPr>
          <w:rStyle w:val="FootnoteReference"/>
          <w:color w:val="000000"/>
          <w:lang w:val="x-none" w:eastAsia="id-ID" w:bidi="id-ID"/>
        </w:rPr>
        <w:footnoteReference w:id="1"/>
      </w:r>
    </w:p>
    <w:p w:rsidR="00CD40B8" w:rsidRDefault="00CD40B8" w:rsidP="00CD40B8">
      <w:pPr>
        <w:spacing w:line="480" w:lineRule="auto"/>
        <w:ind w:firstLine="760"/>
        <w:jc w:val="both"/>
        <w:rPr>
          <w:color w:val="000000"/>
          <w:lang w:val="x-none" w:eastAsia="id-ID" w:bidi="id-ID"/>
        </w:rPr>
        <w:sectPr w:rsidR="00CD40B8" w:rsidSect="00097D10">
          <w:pgSz w:w="11907" w:h="16840" w:code="9"/>
          <w:pgMar w:top="2268" w:right="1701" w:bottom="1701" w:left="2268" w:header="720" w:footer="720" w:gutter="0"/>
          <w:pgNumType w:start="1"/>
          <w:cols w:space="720"/>
        </w:sectPr>
      </w:pPr>
      <w:r w:rsidRPr="00A308AE">
        <w:rPr>
          <w:color w:val="000000"/>
          <w:lang w:val="x-none" w:eastAsia="id-ID" w:bidi="id-ID"/>
        </w:rPr>
        <w:t xml:space="preserve">Masyarakat  terus  mengalami  perubahan  di  dalam  gaya  hidup  yang  modern  ini.  Ketentuan akan gaya hidup yang semakin meningkat dengan berbagai gaya tren masa kini  yang  banyak  diikuti  oleh  masyarakat  yang  mendapati gaya modern, kebutuhan dan aspirasi masyarakat menempati  </w:t>
      </w:r>
    </w:p>
    <w:p w:rsidR="00CD40B8" w:rsidRPr="00A83C96" w:rsidRDefault="00CD40B8" w:rsidP="00CD40B8">
      <w:pPr>
        <w:spacing w:line="480" w:lineRule="auto"/>
        <w:jc w:val="both"/>
        <w:rPr>
          <w:color w:val="000000"/>
          <w:lang w:val="en-US" w:eastAsia="id-ID" w:bidi="id-ID"/>
        </w:rPr>
      </w:pPr>
      <w:r w:rsidRPr="00A308AE">
        <w:rPr>
          <w:color w:val="000000"/>
          <w:lang w:val="x-none" w:eastAsia="id-ID" w:bidi="id-ID"/>
        </w:rPr>
        <w:lastRenderedPageBreak/>
        <w:t>kedudukan  tertinggi dalam seluruh kehidupan dan seiring perkembangan  zaman yang cukup pesat</w:t>
      </w:r>
      <w:r>
        <w:rPr>
          <w:rStyle w:val="FootnoteReference"/>
          <w:color w:val="000000"/>
          <w:lang w:val="x-none" w:eastAsia="id-ID" w:bidi="id-ID"/>
        </w:rPr>
        <w:footnoteReference w:id="2"/>
      </w:r>
    </w:p>
    <w:p w:rsidR="00CD40B8" w:rsidRPr="00A83C96" w:rsidRDefault="00CD40B8" w:rsidP="00CD40B8">
      <w:pPr>
        <w:spacing w:line="480" w:lineRule="auto"/>
        <w:ind w:firstLine="760"/>
        <w:jc w:val="both"/>
        <w:rPr>
          <w:color w:val="000000"/>
          <w:lang w:val="en-US" w:eastAsia="id-ID" w:bidi="id-ID"/>
        </w:rPr>
      </w:pPr>
      <w:r w:rsidRPr="00A308AE">
        <w:rPr>
          <w:color w:val="000000"/>
          <w:lang w:val="x-none" w:eastAsia="id-ID" w:bidi="id-ID"/>
        </w:rPr>
        <w:t>Peran kreditur dalam perekonomian sangat vital. debitur tidak hanya memberikan modal yang dibutuhkan oleh Kreditur untuk menjalankan usahanya, tetapi juga mengambil risiko finansial yang tidak kecil.</w:t>
      </w:r>
      <w:r>
        <w:rPr>
          <w:rStyle w:val="FootnoteReference"/>
          <w:color w:val="000000"/>
          <w:lang w:val="x-none" w:eastAsia="id-ID" w:bidi="id-ID"/>
        </w:rPr>
        <w:footnoteReference w:id="3"/>
      </w:r>
      <w:r w:rsidRPr="00A308AE">
        <w:rPr>
          <w:color w:val="000000"/>
          <w:lang w:val="x-none" w:eastAsia="id-ID" w:bidi="id-ID"/>
        </w:rPr>
        <w:t xml:space="preserve"> Oleh karena itu, perlindungan hukum terhadap kreditur menjadi isu yang sangat penting. Tanpa adanya perlindungan yang memadai, kepercayaan debitur dalam memberikan pinjaman dapat menurun, yang pada gilirannya dapat berdampak negatif pada perekonomian secara keseluruhan. debitur, baik perorangan maupun institusi keuangan, memainkan peran penting dalam menjaga likuiditas dan dinamika ekonomi. Mereka menyediakan dana yang memungkinkan perusahaan untuk beroperasi, berkembang, dan menciptakan lapangan kerja. Dalam skala yang lebih luas, aktivitas debitur mendukung pertumbuhan ekonomi yang berkelanjutan.</w:t>
      </w:r>
      <w:r>
        <w:rPr>
          <w:rStyle w:val="FootnoteReference"/>
          <w:color w:val="000000"/>
          <w:lang w:val="x-none" w:eastAsia="id-ID" w:bidi="id-ID"/>
        </w:rPr>
        <w:footnoteReference w:id="4"/>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lastRenderedPageBreak/>
        <w:t>Tingkat kesehatan suatu bank merupakan kepentingan semua pihak yang terkait, baik pemilik dan pengelola bank, masyarakat pengguna jasa bank maupun pihak yang berwenang sebagai pembina dan pengawas bank. Pada hakikatnya pengaturan dan pengawasan bank dimaksudkan untuk meningkatkan keyakinan dari setiap orang yang mempunyai kepentingan dengan bank, bahwa bank dari segi finansial tergolong sehat, bahwa bank dikelola dengan baik dan profesional, serta di dalam bank tidak terkandung segi-segi yang merupakan ancaman terhadap kepentingan masyarakat yang menyimpan dananya di bank.</w:t>
      </w:r>
      <w:r>
        <w:rPr>
          <w:rStyle w:val="FootnoteReference"/>
          <w:color w:val="000000"/>
          <w:lang w:val="x-none" w:eastAsia="id-ID" w:bidi="id-ID"/>
        </w:rPr>
        <w:footnoteReference w:id="5"/>
      </w:r>
      <w:r w:rsidRPr="00A308AE">
        <w:rPr>
          <w:color w:val="000000"/>
          <w:lang w:val="x-none" w:eastAsia="id-ID" w:bidi="id-ID"/>
        </w:rPr>
        <w:t xml:space="preserve"> Perbankan mempunyai peranan penting dalam perkembangan perekonomian suatu negara. Perbankan secara umum mampu menggerakkan roda perekonomian. Perbankan adalah suatu badan usaha yang memberikan pembiayaan dan jasa dalam lalu lintas pembayaran dan peredaran uang </w:t>
      </w:r>
      <w:r>
        <w:rPr>
          <w:color w:val="000000"/>
          <w:lang w:val="x-none" w:eastAsia="id-ID" w:bidi="id-ID"/>
        </w:rPr>
        <w:t>di dalam negeri dunia.</w:t>
      </w:r>
      <w:r>
        <w:rPr>
          <w:rStyle w:val="FootnoteReference"/>
          <w:color w:val="000000"/>
          <w:lang w:val="x-none" w:eastAsia="id-ID" w:bidi="id-ID"/>
        </w:rPr>
        <w:footnoteReference w:id="6"/>
      </w:r>
      <w:r>
        <w:rPr>
          <w:color w:val="000000"/>
          <w:lang w:val="en-US" w:eastAsia="id-ID" w:bidi="id-ID"/>
        </w:rPr>
        <w:t xml:space="preserve"> </w:t>
      </w:r>
      <w:r w:rsidRPr="00A308AE">
        <w:rPr>
          <w:color w:val="000000"/>
          <w:lang w:val="x-none" w:eastAsia="id-ID" w:bidi="id-ID"/>
        </w:rPr>
        <w:t xml:space="preserve">Perekonomian itu sangat ditopang oleh perdagangan, Jika perdagangan lancar maka perekonomian juga lancar dan sebaliknya. </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lastRenderedPageBreak/>
        <w:t xml:space="preserve">Namun, peran strategis kreditur ini tidak lepas dari risiko. Ketidakmampuan Kreditur untuk memenuhi kewajibannya dapat mengakibatkan kerugian finansial yang signifikan bagi debitur. Dalam kondisi ekstrem, debitur dapat menghadapi kerugian total jika Kreditur dinyatakan pailit dan tidak memiliki aset yang cukup untuk menutupi hutangnya.  Oleh karena itu, sistem hukum yang efektif dan adil sangat diperlukan untuk memastikan bahwa hak-hak kreditur dilindungi secara memadai. Kepercayaan itu, sangat didambakan kalangan investor terutama investor asing. Di samping memulihkan kepercayaan tersebut, pemerintah juga harus melengkapi infrastruktur.  </w:t>
      </w:r>
    </w:p>
    <w:p w:rsidR="00CD40B8" w:rsidRPr="00A83C96" w:rsidRDefault="00CD40B8" w:rsidP="00CD40B8">
      <w:pPr>
        <w:spacing w:line="480" w:lineRule="auto"/>
        <w:ind w:firstLine="760"/>
        <w:jc w:val="both"/>
        <w:rPr>
          <w:color w:val="000000"/>
          <w:lang w:val="en-US" w:eastAsia="id-ID" w:bidi="id-ID"/>
        </w:rPr>
      </w:pPr>
      <w:r w:rsidRPr="00A308AE">
        <w:rPr>
          <w:color w:val="000000"/>
          <w:lang w:val="x-none" w:eastAsia="id-ID" w:bidi="id-ID"/>
        </w:rPr>
        <w:t xml:space="preserve">Dalam konteks hukum di Indonesia, hubungan antara debitur dan Kreditur serta mekanisme penyelesaian sengketa mereka diatur oleh berbagai peraturan perundang-undangan. Salah satu instrumen hukum yang sangat penting adalah Undang-Undang Nomor 37 Tahun 2004 tentang Kepailitan dan Penundaan Kewajiban Pembayaran Utang (Undang-undang-PKPU). Undang-Undang ini memberikan kerangka hukum bagi penyelesaian sengketa hutang piutang yang berujung pada kepailitan.  Namun, sebelum </w:t>
      </w:r>
      <w:r w:rsidRPr="00A308AE">
        <w:rPr>
          <w:color w:val="000000"/>
          <w:lang w:val="x-none" w:eastAsia="id-ID" w:bidi="id-ID"/>
        </w:rPr>
        <w:lastRenderedPageBreak/>
        <w:t>sampai pada tahap kepailitan, ada banyak aspek lain yang perlu diperhatikan terkait dengan perlindungan hukum bagi kreditur.</w:t>
      </w:r>
      <w:r>
        <w:rPr>
          <w:rStyle w:val="FootnoteReference"/>
          <w:color w:val="000000"/>
          <w:lang w:val="x-none" w:eastAsia="id-ID" w:bidi="id-ID"/>
        </w:rPr>
        <w:footnoteReference w:id="7"/>
      </w:r>
    </w:p>
    <w:p w:rsidR="00CD40B8" w:rsidRPr="00A83C96" w:rsidRDefault="00CD40B8" w:rsidP="00CD40B8">
      <w:pPr>
        <w:spacing w:line="480" w:lineRule="auto"/>
        <w:ind w:firstLine="760"/>
        <w:jc w:val="both"/>
        <w:rPr>
          <w:color w:val="000000"/>
          <w:lang w:val="en-US" w:eastAsia="id-ID" w:bidi="id-ID"/>
        </w:rPr>
      </w:pPr>
      <w:r w:rsidRPr="00A308AE">
        <w:rPr>
          <w:color w:val="000000"/>
          <w:lang w:val="x-none" w:eastAsia="id-ID" w:bidi="id-ID"/>
        </w:rPr>
        <w:t xml:space="preserve">Undang-Undang Kepailitan ini dirancang untuk memberikan kepastian hukum dan mekanisme yang adil dalam penyelesaian sengketa hutang piutang. Salah satu tujuan utama dari Undang-Undang ini adalah untuk melindungi hak-hak kreditur dengan cara memastikan bahwa proses kepailitan berjalan transparan dan akuntabel. Selain itu, Undang-Undang ini juga memberikan peluang bagi Kreditur untuk melakukan restrukturisasi utang mereka melalui proses Penundaan Kewajiban Pembayaran Utang (PKPU), yang dapat memberikan solusi yang lebih baik dibandingkan dengan kepailitan. Pasal modal didefinisikan sebagai kegiatan yang berkaitan dengan penawaran umum dan perdagangan efek. Pasal modal melakukan penghubung antara pihak investor dengan perusahaan melalui perdagangan atau memperjualbelikan berbagai instrumen keuangan (sekuritas) jangka panjang seperti obligasi, saham dan lainnya. </w:t>
      </w:r>
      <w:r>
        <w:rPr>
          <w:rStyle w:val="FootnoteReference"/>
          <w:color w:val="000000"/>
          <w:lang w:val="x-none" w:eastAsia="id-ID" w:bidi="id-ID"/>
        </w:rPr>
        <w:footnoteReference w:id="8"/>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lastRenderedPageBreak/>
        <w:t>Di Kota Medan, isu perlindungan hukum bagi kreditur dalam sengketa hutang piutang menjadi semakin relevan seiring dengan tingginya aktivitas ekonomi dan bisnis di kota tersebut.  Banyak perusahaan dan individu yang beroperasi di Medan terlibat dalam transaksi hutang piutang yang besar, sehingga potensi sengketa pun meningkat. Oleh karena itu, penting untuk meninjau bagaimana sistem hukum yang ada saat ini melindungi kreditur di Kota Medan, serta apakah mekanisme yang ada sudah efektif dalam menyelesaikan sengketa hutang piutang.</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Sebagai salah satu kota terbesar di Indonesia, Medan memiliki sektor ekonomi yang beragam, mulai dari perdagangan, industri, hingga jasa. Aktivitas ekonomi yang tinggi ini tentu saja memerlukan dukungan dari sektor keuangan, termasuk kreditur yang siap menyediakan dana untuk berbagai proyek dan kebutuhan bisnis.</w:t>
      </w:r>
      <w:r>
        <w:rPr>
          <w:rStyle w:val="FootnoteReference"/>
          <w:color w:val="000000"/>
          <w:lang w:val="x-none" w:eastAsia="id-ID" w:bidi="id-ID"/>
        </w:rPr>
        <w:footnoteReference w:id="9"/>
      </w:r>
      <w:r w:rsidRPr="00A308AE">
        <w:rPr>
          <w:color w:val="000000"/>
          <w:lang w:val="x-none" w:eastAsia="id-ID" w:bidi="id-ID"/>
        </w:rPr>
        <w:t xml:space="preserve">  Namun, dengan tingginya jumlah transaksi hutang piutang, risiko terjadinya sengketa juga meningkat. Dalam banyak kasus, sengketa hutang piutang yang tidak terselesaikan dapat berujung pada kepailitan, yang memerlukan intervensi hukum untuk menyelesaikannya. Selain itu, </w:t>
      </w:r>
      <w:r w:rsidRPr="00A308AE">
        <w:rPr>
          <w:color w:val="000000"/>
          <w:lang w:val="x-none" w:eastAsia="id-ID" w:bidi="id-ID"/>
        </w:rPr>
        <w:lastRenderedPageBreak/>
        <w:t>dikarenakan valuasi mereka yang sedemikian besar membuat pihak startup unicorn dan decacorn memiliki bargaining position yang berpotensi menciptakan hubungan kemitraan yang tidak sebanding.</w:t>
      </w:r>
      <w:r>
        <w:rPr>
          <w:rStyle w:val="FootnoteReference"/>
          <w:color w:val="000000"/>
          <w:lang w:val="x-none" w:eastAsia="id-ID" w:bidi="id-ID"/>
        </w:rPr>
        <w:footnoteReference w:id="10"/>
      </w:r>
      <w:r w:rsidRPr="00A308AE">
        <w:rPr>
          <w:color w:val="000000"/>
          <w:lang w:val="x-none" w:eastAsia="id-ID" w:bidi="id-ID"/>
        </w:rPr>
        <w:t xml:space="preserve"> </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Perlindungan hukum bagi kreditur merupakan salah satu pilar penting dalam sistem keuangan. Tanpa adanya perlindungan yang memadai, risiko kredit menjadi terlalu besar dan dapat menghambat pertumbuhan ekonomi. Perlindungan ini meliputi berbagai aspek, mulai dari hak kreditur untuk memperoleh informasi yang akurat tentang kondisi keuangan debitur, hak untuk menuntut pembayaran utang melalui pengadilan, hingga hak untuk memperoleh bagian dari aset debitur dalam proses kepailitan.</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Dalam konteks Undang-undang PKPU, perlindungan bagi kreditur diwujudkan melalui berbagai mekanisme. Salah satunya adalah dengan adanya kurator yang bertugas untuk mengelola aset debitur yang pailit dan memastikan bahwa aset tersebut didistribusikan kepada kreditur sesuai dengan urutan prioritas yang telah ditetapkan.</w:t>
      </w:r>
      <w:r>
        <w:rPr>
          <w:rStyle w:val="FootnoteReference"/>
          <w:color w:val="000000"/>
          <w:lang w:val="x-none" w:eastAsia="id-ID" w:bidi="id-ID"/>
        </w:rPr>
        <w:footnoteReference w:id="11"/>
      </w:r>
      <w:r w:rsidRPr="00A308AE">
        <w:rPr>
          <w:color w:val="000000"/>
          <w:lang w:val="x-none" w:eastAsia="id-ID" w:bidi="id-ID"/>
        </w:rPr>
        <w:t xml:space="preserve"> </w:t>
      </w:r>
      <w:r w:rsidRPr="00A308AE">
        <w:rPr>
          <w:color w:val="000000"/>
          <w:lang w:val="x-none" w:eastAsia="id-ID" w:bidi="id-ID"/>
        </w:rPr>
        <w:lastRenderedPageBreak/>
        <w:t>Selain itu, kreditur juga memiliki hak untuk ikut serta dalam rapat kreditur dan memberikan suara dalam keputusan-keputusan penting terkait dengan proses kepailitan.</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Meskipun sudah ada kerangka hukum yang jelas, dalam praktiknya masih terdapat berbagai tantangan dalam perlindungan hukum bagi kreditur. Salah satu tantangan utama adalah eksekusi aset debitur yang sering kali mengalami hambatan.</w:t>
      </w:r>
      <w:r>
        <w:rPr>
          <w:rStyle w:val="FootnoteReference"/>
          <w:color w:val="000000"/>
          <w:lang w:val="x-none" w:eastAsia="id-ID" w:bidi="id-ID"/>
        </w:rPr>
        <w:footnoteReference w:id="12"/>
      </w:r>
      <w:r w:rsidRPr="00A308AE">
        <w:rPr>
          <w:color w:val="000000"/>
          <w:lang w:val="x-none" w:eastAsia="id-ID" w:bidi="id-ID"/>
        </w:rPr>
        <w:t xml:space="preserve"> Proses pengadilan yang panjang dan birokrasi yang rumit dapat menghambat upaya kreditur untuk memperoleh hak mereka. Selain itu, perbedaan penafsiran hukum di antara para pihak yang terlibat juga sering kali menimbulkan sengketa yang berkepanjangan.</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 xml:space="preserve">Selain itu, kurangnya pemahaman dan kesadaran tentang hak-hak kreditur di kalangan masyarakat dan pelaku usaha juga menjadi kendala. Banyak kreditur yang tidak mengetahui prosedur hukum yang harus ditempuh untuk melindungi hak mereka, sehingga sering kali mereka berada dalam posisi yang lemah dalam sengketa hutang piutang . Oleh karena itu, diperlukan upaya untuk meningkatkan pemahaman dan kesadaran hukum di </w:t>
      </w:r>
      <w:r w:rsidRPr="00A308AE">
        <w:rPr>
          <w:color w:val="000000"/>
          <w:lang w:val="x-none" w:eastAsia="id-ID" w:bidi="id-ID"/>
        </w:rPr>
        <w:lastRenderedPageBreak/>
        <w:t>kalangan kreditur, serta peningkatan kapasitas institusi hukum dalam menangani kasus-kasus kepailitan.</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 xml:space="preserve">Perlindungan hukum merupakan hak semua anggota masyarakat  yang  menjadi  tujuan  Konstitusi  Negara  Kesatuan  Republik  Indonesia  (NKRI). Tujuan   dari   Konstitusi   menjadi   bentuk   perjanjian   yang   harus   ditaati,   dipatuhi,   dan dilaksanakan. Hal ini merupakan gambaran dari bangsa Indonesia yang selalu mengedepankan prinsip  demokrasi  dalam  mengambil  keputusan  Bersama  demi  kepentingan  bangsa. </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Untuk memahami lebih jauh tentang perlindungan hukum bagi kreditur dalam sengketa hutang piutang yang berakhir dengan kepailitan di Kota Medan, penting untuk melihat beberapa studi kasus yang relevan. Studi kasus ini dapat memberikan gambaran yang lebih konkret tentang bagaimana proses kepailitan berjalan dan bagaimana hak-hak kreditur dilindungi dalam praktik.</w:t>
      </w:r>
      <w:r>
        <w:rPr>
          <w:rStyle w:val="FootnoteReference"/>
          <w:color w:val="000000"/>
          <w:lang w:val="x-none" w:eastAsia="id-ID" w:bidi="id-ID"/>
        </w:rPr>
        <w:footnoteReference w:id="13"/>
      </w:r>
      <w:r w:rsidRPr="00A308AE">
        <w:rPr>
          <w:color w:val="000000"/>
          <w:lang w:val="x-none" w:eastAsia="id-ID" w:bidi="id-ID"/>
        </w:rPr>
        <w:t xml:space="preserve"> Melalui analisis studi kasus, dapat diidentifikasi </w:t>
      </w:r>
      <w:r w:rsidRPr="00A308AE">
        <w:rPr>
          <w:color w:val="000000"/>
          <w:lang w:val="x-none" w:eastAsia="id-ID" w:bidi="id-ID"/>
        </w:rPr>
        <w:lastRenderedPageBreak/>
        <w:t>berbagai faktor yang mempengaruhi efektivitas perlindungan hukum bagi kreditur, serta kendala-kendala yang dihadapi dalam proses tersebut.</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Sebagai salah satu kasus yang dapat dijadikan bahan studi adalah kepailitan sebuah perusahaan besar di Medan yang mengalami kesulitan finansial akibat kondisi pasar yang tidak stabil. Dalam kasus ini, kreditur menghadapi tantangan dalam mengeksekusi aset perusahaan yang tersebar di berbagai lokasi dan dalam bentuk yang berbeda-beda.  Selain itu, adanya sengketa internal di antara para pemegang saham juga memperumit proses kepailitan. Melalui studi kasus ini, dapat dilihat bagaimana peran kurator, pengadilan, dan pihak-pihak terkait dalam menyelesaikan sengketa dan melindungi hak-hak kreditur. Kredit        didefinisikan sebagai peminjaman  uang  atau tagihan  yang  dapat dipersamakan    dengan itu berdasarkan perjanjian atau perjanjian pinjam meminjam  antara  bank  dengan  pihak  lain yang mewajibkan peminjam untuk melunasi  utangnya  setelah  jangka waktu tertentu dengan bunga.</w:t>
      </w:r>
      <w:r>
        <w:rPr>
          <w:rStyle w:val="FootnoteReference"/>
          <w:color w:val="000000"/>
          <w:lang w:val="x-none" w:eastAsia="id-ID" w:bidi="id-ID"/>
        </w:rPr>
        <w:footnoteReference w:id="14"/>
      </w:r>
      <w:r w:rsidRPr="00A308AE">
        <w:rPr>
          <w:color w:val="000000"/>
          <w:lang w:val="x-none" w:eastAsia="id-ID" w:bidi="id-ID"/>
        </w:rPr>
        <w:t xml:space="preserve"> </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lastRenderedPageBreak/>
        <w:t>Penelitian ini bertujuan untuk mengeksplorasi dan menganalisis perlindungan hukum yang diberikan kepada kreditur dalam sengketa hutang piutang yang berakhir dengan kepailitan di Kota Medan. Fokus utama akan diberikan pada efektivitas Undang-Undang-PKPU dalam melindungi hak-hak kreditur, serta peran pengadilan dan lembaga terkait dalam proses tersebut. Dengan demikian, diharapkan penelitian ini dapat memberikan kontribusi yang signifikan dalam memperbaiki dan memperkuat sistem hukum kepailitan di Indonesia, khususnya di Kota Medan.</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 xml:space="preserve">Teori hukum yang mendasari perlindungan kreditur mencakup berbagai aspek hukum perdata dan komersial. Perlindungan kreditur adalah bagian dari hak asasi manusia dalam kerangka ekonomi, di mana setiap individu atau institusi memiliki hak untuk menuntut pembayaran utang yang sah. Teori hukum perdata menjelaskan bahwa setiap perjanjian yang dibuat secara sah antara dua pihak harus dipatuhi. Dalam hal ini, kreditur memiliki hak legal untuk menuntut pembayaran utang dari kreditur sesuai dengan kesepakatan yang telah dibuat. </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 xml:space="preserve">Konsep perlindungan debitur juga berkaitan dengan prinsip keadilan dan kepastian hukum. Prinsip keadilan menuntut agar setiap pihak yang terlibat dalam </w:t>
      </w:r>
      <w:r w:rsidRPr="00A308AE">
        <w:rPr>
          <w:color w:val="000000"/>
          <w:lang w:val="x-none" w:eastAsia="id-ID" w:bidi="id-ID"/>
        </w:rPr>
        <w:lastRenderedPageBreak/>
        <w:t>perjanjian utang piutang mendapatkan perlakuan yang adil dan setara. Debitur yang telah memberikan pinjaman berdasarkan kepercayaan harus dilindungi hak-haknya agar tidak dirugikan oleh tindakan debitur yang tidak bertanggung jawab.  Kepastian hukum, di sisi lain, memastikan bahwa ada aturan yang jelas dan dapat diandalkan yang mengatur hubungan antara kreditur dan debitur. Hal ini penting agar setiap sengketa dapat diselesaikan berdasarkan hukum yang berlaku dan tidak berdasarkan interpretasi yang sewenang-wenang.</w:t>
      </w:r>
      <w:r>
        <w:rPr>
          <w:rStyle w:val="FootnoteReference"/>
          <w:color w:val="000000"/>
          <w:lang w:val="x-none" w:eastAsia="id-ID" w:bidi="id-ID"/>
        </w:rPr>
        <w:footnoteReference w:id="15"/>
      </w:r>
      <w:r w:rsidRPr="00A308AE">
        <w:rPr>
          <w:color w:val="000000"/>
          <w:lang w:val="x-none" w:eastAsia="id-ID" w:bidi="id-ID"/>
        </w:rPr>
        <w:t xml:space="preserve"> </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 xml:space="preserve">Di Indonesia, berbagai peraturan hukum mengatur hubungan antara kreditur dan Kreditur serta mekanisme penyelesaian sengketa hutang piutang. Selain Undang-Undang-PKPU, terdapat juga Kitab Undang-undang Hukum Perdata (KUHPerdata) yang mengatur tentang perjanjian utang piutang secara umum. Pasal 1131 KUHPerdata menyatakan bahwa segala barang-barang yang bergerak dan tidak bergerak milik debitur menjadi jaminan untuk segala perikatannya, baik perikatan perorangan maupun perikatan </w:t>
      </w:r>
      <w:r w:rsidRPr="00A308AE">
        <w:rPr>
          <w:color w:val="000000"/>
          <w:lang w:val="x-none" w:eastAsia="id-ID" w:bidi="id-ID"/>
        </w:rPr>
        <w:lastRenderedPageBreak/>
        <w:t>umum.</w:t>
      </w:r>
      <w:r>
        <w:rPr>
          <w:rStyle w:val="FootnoteReference"/>
          <w:color w:val="000000"/>
          <w:lang w:val="x-none" w:eastAsia="id-ID" w:bidi="id-ID"/>
        </w:rPr>
        <w:footnoteReference w:id="16"/>
      </w:r>
      <w:r w:rsidRPr="00A308AE">
        <w:rPr>
          <w:color w:val="000000"/>
          <w:lang w:val="x-none" w:eastAsia="id-ID" w:bidi="id-ID"/>
        </w:rPr>
        <w:t xml:space="preserve"> Pasal ini memberikan dasar hukum bagi kreditur untuk menuntut pembayaran utang dari seluruh aset yang dimiliki debitur.</w:t>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t>Selain itu, terdapat juga peraturan mengenai jaminan fidusia, hipotek, dan gadai yang memberikan perlindungan tambahan bagi kreditur. Jaminan fidusia, misalnya, memungkinkan kreditur untuk memperoleh hak atas benda bergerak yang dijadikan jaminan oleh debitur tanpa harus menguasai benda tersebut secara fisik.</w:t>
      </w:r>
      <w:r>
        <w:rPr>
          <w:rStyle w:val="FootnoteReference"/>
          <w:color w:val="000000"/>
          <w:lang w:val="x-none" w:eastAsia="id-ID" w:bidi="id-ID"/>
        </w:rPr>
        <w:footnoteReference w:id="17"/>
      </w:r>
      <w:r w:rsidRPr="00A308AE">
        <w:rPr>
          <w:color w:val="000000"/>
          <w:lang w:val="x-none" w:eastAsia="id-ID" w:bidi="id-ID"/>
        </w:rPr>
        <w:t xml:space="preserve"> Hal ini memberikan fleksibilitas bagi kreditur dan debitur dalam mengelola aset yang dijadikan jaminan.</w:t>
      </w:r>
    </w:p>
    <w:p w:rsidR="00CD40B8" w:rsidRPr="00A83C96" w:rsidRDefault="00CD40B8" w:rsidP="00CD40B8">
      <w:pPr>
        <w:spacing w:line="480" w:lineRule="auto"/>
        <w:ind w:firstLine="760"/>
        <w:jc w:val="both"/>
        <w:rPr>
          <w:color w:val="000000"/>
          <w:lang w:val="en-US" w:eastAsia="id-ID" w:bidi="id-ID"/>
        </w:rPr>
      </w:pPr>
      <w:r w:rsidRPr="00A308AE">
        <w:rPr>
          <w:color w:val="000000"/>
          <w:lang w:val="x-none" w:eastAsia="id-ID" w:bidi="id-ID"/>
        </w:rPr>
        <w:t>Prosedur penyelesaian sengketa hutang piutang di Indonesia dapat ditempuh melalui jalur litigasi maupun non-litigasi. Jalur litigasi mencakup pengajuan gugatan ke pengadilan negeri, di mana kreditur dapat menuntut pembayaran utang dari debitur. Proses ini biasanya melibatkan beberapa tahap, termasuk pengajuan gugatan, persidangan, putusan pengadilan, dan eksekusi putusan.</w:t>
      </w:r>
      <w:r>
        <w:rPr>
          <w:rStyle w:val="FootnoteReference"/>
          <w:color w:val="000000"/>
          <w:lang w:val="x-none" w:eastAsia="id-ID" w:bidi="id-ID"/>
        </w:rPr>
        <w:footnoteReference w:id="18"/>
      </w:r>
    </w:p>
    <w:p w:rsidR="00CD40B8" w:rsidRPr="00A308AE" w:rsidRDefault="00CD40B8" w:rsidP="00CD40B8">
      <w:pPr>
        <w:spacing w:line="480" w:lineRule="auto"/>
        <w:ind w:firstLine="760"/>
        <w:jc w:val="both"/>
        <w:rPr>
          <w:color w:val="000000"/>
          <w:lang w:val="x-none" w:eastAsia="id-ID" w:bidi="id-ID"/>
        </w:rPr>
      </w:pPr>
      <w:r w:rsidRPr="00A308AE">
        <w:rPr>
          <w:color w:val="000000"/>
          <w:lang w:val="x-none" w:eastAsia="id-ID" w:bidi="id-ID"/>
        </w:rPr>
        <w:lastRenderedPageBreak/>
        <w:t>Prosedur non-litigasi mencakup mediasi, arbitrase, dan negosiasi. Mediasi adalah proses di mana pihak ketiga yang netral membantu kreditur dan debitur untuk mencapai kesepakatan secara damai. Arbitrase, di sisi lain, adalah proses di mana sengketa diselesaikan oleh arbiter yang dipilih oleh kedua belah pihak. Negosiasi adalah proses di mana kreditur dan debitur berusaha mencapai kesepakatan secara langsung tanpa melibatkan pihak ketiga. Proses-proses non-litigasi ini sering kali lebih cepat dan efisien dibandingkan dengan jalur litigasi.</w:t>
      </w:r>
    </w:p>
    <w:p w:rsidR="00CD40B8" w:rsidRPr="00C5253F" w:rsidRDefault="00CD40B8" w:rsidP="00CD40B8">
      <w:pPr>
        <w:spacing w:line="480" w:lineRule="auto"/>
        <w:ind w:firstLine="760"/>
        <w:jc w:val="both"/>
        <w:rPr>
          <w:color w:val="000000"/>
          <w:lang w:val="x-none" w:eastAsia="id-ID" w:bidi="id-ID"/>
        </w:rPr>
      </w:pPr>
      <w:r w:rsidRPr="00A308AE">
        <w:rPr>
          <w:color w:val="000000"/>
          <w:lang w:val="x-none" w:eastAsia="id-ID" w:bidi="id-ID"/>
        </w:rPr>
        <w:t>Melalui penelitian ini, diharapkan dapat ditemukan berbagai rekomendasi yang bermanfaat untuk meningkatkan perlindungan hukum bagi kreditur. Beberapa rekomendasi yang dapat dipertimbangkan antara lain adalah penyederhanaan proses hukum, peningkatan kapasitas kurator dan pengadilan, serta peningkatan pemahaman dan kesadaran hukum di kalangan kreditur dan pelaku usaha. Dengan demikian, diharapkan sistem hukum yang ada dapat memberikan perlindungan yang lebih baik bagi kreditur dan mendukung pertumbuhan ekonomi yang berkelanjutan.</w:t>
      </w:r>
      <w:r>
        <w:rPr>
          <w:rStyle w:val="FootnoteReference"/>
          <w:color w:val="000000"/>
          <w:lang w:val="x-none" w:eastAsia="id-ID" w:bidi="id-ID"/>
        </w:rPr>
        <w:footnoteReference w:id="19"/>
      </w:r>
      <w:r w:rsidRPr="00C5253F">
        <w:rPr>
          <w:color w:val="000000"/>
          <w:lang w:val="x-none" w:eastAsia="id-ID" w:bidi="id-ID"/>
        </w:rPr>
        <w:t xml:space="preserve"> </w:t>
      </w:r>
    </w:p>
    <w:p w:rsidR="00CD40B8" w:rsidRPr="004E3485" w:rsidRDefault="00CD40B8" w:rsidP="00CD40B8">
      <w:pPr>
        <w:spacing w:line="480" w:lineRule="auto"/>
        <w:ind w:firstLine="760"/>
        <w:jc w:val="both"/>
      </w:pPr>
      <w:r w:rsidRPr="00C5253F">
        <w:rPr>
          <w:color w:val="000000"/>
          <w:lang w:val="x-none" w:eastAsia="id-ID" w:bidi="id-ID"/>
        </w:rPr>
        <w:lastRenderedPageBreak/>
        <w:t>Dari hasil penjabaran latar belakang diatas, penulis berkeinginan untuk melakukan penelitian dengan Judul : “</w:t>
      </w:r>
      <w:r w:rsidRPr="00C5253F">
        <w:rPr>
          <w:b/>
          <w:color w:val="000000"/>
          <w:lang w:val="x-none" w:eastAsia="id-ID" w:bidi="id-ID"/>
        </w:rPr>
        <w:t>Perlindungan Hukum Bagi Kreditur Dalam Sengketa Hutang Piutang Yang Berakhir Dengan Kepailitan Di Kota Medan</w:t>
      </w:r>
      <w:r w:rsidRPr="00C5253F">
        <w:rPr>
          <w:color w:val="000000"/>
          <w:lang w:val="x-none" w:eastAsia="id-ID" w:bidi="id-ID"/>
        </w:rPr>
        <w:t>“.</w:t>
      </w:r>
    </w:p>
    <w:p w:rsidR="00CD40B8" w:rsidRPr="004E3485" w:rsidRDefault="00CD40B8" w:rsidP="00CD40B8">
      <w:pPr>
        <w:pStyle w:val="Heading2"/>
        <w:spacing w:before="0" w:line="480" w:lineRule="auto"/>
        <w:jc w:val="both"/>
        <w:rPr>
          <w:rFonts w:ascii="Times New Roman" w:hAnsi="Times New Roman"/>
          <w:color w:val="0D0D0D"/>
          <w:sz w:val="24"/>
          <w:szCs w:val="24"/>
        </w:rPr>
      </w:pPr>
      <w:bookmarkStart w:id="6" w:name="_Toc193443049"/>
      <w:bookmarkStart w:id="7" w:name="_Toc195258140"/>
      <w:r w:rsidRPr="004E3485">
        <w:rPr>
          <w:rFonts w:ascii="Times New Roman" w:hAnsi="Times New Roman"/>
          <w:color w:val="0D0D0D"/>
          <w:sz w:val="24"/>
          <w:szCs w:val="24"/>
          <w:lang w:val="en-US"/>
        </w:rPr>
        <w:t xml:space="preserve">B. </w:t>
      </w:r>
      <w:r w:rsidRPr="004E3485">
        <w:rPr>
          <w:rFonts w:ascii="Times New Roman" w:hAnsi="Times New Roman"/>
          <w:color w:val="0D0D0D"/>
          <w:sz w:val="24"/>
          <w:szCs w:val="24"/>
          <w:lang w:val="en-US"/>
        </w:rPr>
        <w:tab/>
      </w:r>
      <w:r w:rsidRPr="004E3485">
        <w:rPr>
          <w:rFonts w:ascii="Times New Roman" w:hAnsi="Times New Roman"/>
          <w:color w:val="0D0D0D"/>
          <w:sz w:val="24"/>
          <w:szCs w:val="24"/>
        </w:rPr>
        <w:t>Rumusan Masalah</w:t>
      </w:r>
      <w:bookmarkEnd w:id="6"/>
      <w:bookmarkEnd w:id="7"/>
    </w:p>
    <w:p w:rsidR="00CD40B8" w:rsidRPr="004E3485" w:rsidRDefault="00CD40B8" w:rsidP="00CD40B8">
      <w:pPr>
        <w:spacing w:line="480" w:lineRule="auto"/>
        <w:jc w:val="both"/>
        <w:rPr>
          <w:b/>
        </w:rPr>
      </w:pPr>
      <w:r w:rsidRPr="004E3485">
        <w:t xml:space="preserve"> </w:t>
      </w:r>
      <w:r w:rsidRPr="004E3485">
        <w:tab/>
        <w:t>Dari penjelasan serta uraian-uraian yang telah penulis kemukakan pada latar belakang di atas, maka penulis me</w:t>
      </w:r>
      <w:r w:rsidRPr="004E3485">
        <w:rPr>
          <w:lang w:val="en-US"/>
        </w:rPr>
        <w:t>n</w:t>
      </w:r>
      <w:r w:rsidRPr="004E3485">
        <w:t>etapkan permasalahan pokok dalam penelitian ini sebagai berikut</w:t>
      </w:r>
      <w:r w:rsidRPr="004E3485">
        <w:rPr>
          <w:lang w:val="en-US"/>
        </w:rPr>
        <w:t xml:space="preserve"> </w:t>
      </w:r>
      <w:r w:rsidRPr="004E3485">
        <w:t>:</w:t>
      </w:r>
    </w:p>
    <w:p w:rsidR="00CD40B8" w:rsidRPr="003B448B" w:rsidRDefault="00CD40B8" w:rsidP="00CD40B8">
      <w:pPr>
        <w:pStyle w:val="ListParagraph"/>
        <w:numPr>
          <w:ilvl w:val="0"/>
          <w:numId w:val="1"/>
        </w:numPr>
        <w:spacing w:line="480" w:lineRule="auto"/>
        <w:jc w:val="both"/>
        <w:rPr>
          <w:sz w:val="24"/>
          <w:szCs w:val="24"/>
        </w:rPr>
      </w:pPr>
      <w:r w:rsidRPr="00FB5E02">
        <w:rPr>
          <w:sz w:val="24"/>
          <w:szCs w:val="24"/>
        </w:rPr>
        <w:t xml:space="preserve">Bagaimana Kreditur </w:t>
      </w:r>
      <w:r>
        <w:rPr>
          <w:sz w:val="24"/>
          <w:szCs w:val="24"/>
          <w:lang w:val="en-US"/>
        </w:rPr>
        <w:t xml:space="preserve">Dan Debitur </w:t>
      </w:r>
      <w:r w:rsidRPr="00FB5E02">
        <w:rPr>
          <w:sz w:val="24"/>
          <w:szCs w:val="24"/>
        </w:rPr>
        <w:t>Dalam Sengketa Hutang Piutang Yang Berakhir Dengan Kepailitan?</w:t>
      </w:r>
    </w:p>
    <w:p w:rsidR="00CD40B8" w:rsidRPr="00FB5E02" w:rsidRDefault="00CD40B8" w:rsidP="00CD40B8">
      <w:pPr>
        <w:pStyle w:val="ListParagraph"/>
        <w:numPr>
          <w:ilvl w:val="0"/>
          <w:numId w:val="1"/>
        </w:numPr>
        <w:spacing w:line="480" w:lineRule="auto"/>
        <w:jc w:val="both"/>
        <w:rPr>
          <w:sz w:val="24"/>
          <w:szCs w:val="24"/>
        </w:rPr>
      </w:pPr>
      <w:r>
        <w:rPr>
          <w:sz w:val="24"/>
          <w:szCs w:val="24"/>
          <w:lang w:val="en-US"/>
        </w:rPr>
        <w:t xml:space="preserve">Bagaimana Sanksi Hukum </w:t>
      </w:r>
      <w:r w:rsidRPr="009A2395">
        <w:rPr>
          <w:sz w:val="24"/>
          <w:szCs w:val="24"/>
          <w:lang w:val="en-US"/>
        </w:rPr>
        <w:t xml:space="preserve">Bagi </w:t>
      </w:r>
      <w:r>
        <w:rPr>
          <w:sz w:val="24"/>
          <w:szCs w:val="24"/>
          <w:lang w:val="en-US"/>
        </w:rPr>
        <w:t>Debitur</w:t>
      </w:r>
      <w:r w:rsidRPr="009A2395">
        <w:rPr>
          <w:sz w:val="24"/>
          <w:szCs w:val="24"/>
          <w:lang w:val="en-US"/>
        </w:rPr>
        <w:t xml:space="preserve"> Dalam Sengketa Hutang Piutang Yang Berakhir Dengan Kepailitan</w:t>
      </w:r>
      <w:r>
        <w:rPr>
          <w:sz w:val="24"/>
          <w:szCs w:val="24"/>
          <w:lang w:val="en-US"/>
        </w:rPr>
        <w:t xml:space="preserve"> Di Kota Medan?</w:t>
      </w:r>
    </w:p>
    <w:p w:rsidR="00CD40B8" w:rsidRPr="004E3485" w:rsidRDefault="00CD40B8" w:rsidP="00CD40B8">
      <w:pPr>
        <w:pStyle w:val="ListParagraph"/>
        <w:numPr>
          <w:ilvl w:val="0"/>
          <w:numId w:val="1"/>
        </w:numPr>
        <w:spacing w:line="480" w:lineRule="auto"/>
        <w:jc w:val="both"/>
        <w:rPr>
          <w:sz w:val="24"/>
          <w:szCs w:val="24"/>
        </w:rPr>
      </w:pPr>
      <w:r w:rsidRPr="00FB5E02">
        <w:rPr>
          <w:sz w:val="24"/>
          <w:szCs w:val="24"/>
        </w:rPr>
        <w:t>Bagaimana Perlindungan Hukum Bagi Kreditur Dalam Sengketa Hutang Piutang Yang Berakhir Dengan Kepailitan</w:t>
      </w:r>
      <w:r w:rsidRPr="00FB5E02">
        <w:rPr>
          <w:sz w:val="24"/>
          <w:szCs w:val="24"/>
          <w:lang w:val="en-US"/>
        </w:rPr>
        <w:t xml:space="preserve"> Menurut </w:t>
      </w:r>
      <w:r w:rsidRPr="00FB5E02">
        <w:rPr>
          <w:sz w:val="24"/>
          <w:szCs w:val="24"/>
        </w:rPr>
        <w:t>Undang-Undang No. 37 Tahun 2004 tentang Kepailitan dan Penundaan Kewajiban Pembayaran Utang?</w:t>
      </w:r>
    </w:p>
    <w:p w:rsidR="00CD40B8" w:rsidRPr="004E3485" w:rsidRDefault="00CD40B8" w:rsidP="00CD40B8">
      <w:pPr>
        <w:pStyle w:val="Heading2"/>
        <w:spacing w:before="0" w:line="480" w:lineRule="auto"/>
        <w:jc w:val="both"/>
        <w:rPr>
          <w:rFonts w:ascii="Times New Roman" w:hAnsi="Times New Roman"/>
          <w:color w:val="0D0D0D"/>
          <w:sz w:val="24"/>
          <w:szCs w:val="24"/>
        </w:rPr>
      </w:pPr>
      <w:bookmarkStart w:id="8" w:name="_Toc193443050"/>
      <w:bookmarkStart w:id="9" w:name="_Toc195258141"/>
      <w:r w:rsidRPr="004E3485">
        <w:rPr>
          <w:rFonts w:ascii="Times New Roman" w:hAnsi="Times New Roman"/>
          <w:color w:val="0D0D0D"/>
          <w:sz w:val="24"/>
          <w:szCs w:val="24"/>
          <w:lang w:val="en-US"/>
        </w:rPr>
        <w:lastRenderedPageBreak/>
        <w:t xml:space="preserve">C. </w:t>
      </w:r>
      <w:r w:rsidRPr="004E3485">
        <w:rPr>
          <w:rFonts w:ascii="Times New Roman" w:hAnsi="Times New Roman"/>
          <w:color w:val="0D0D0D"/>
          <w:sz w:val="24"/>
          <w:szCs w:val="24"/>
          <w:lang w:val="en-US"/>
        </w:rPr>
        <w:tab/>
      </w:r>
      <w:r w:rsidRPr="004E3485">
        <w:rPr>
          <w:rFonts w:ascii="Times New Roman" w:hAnsi="Times New Roman"/>
          <w:color w:val="0D0D0D"/>
          <w:sz w:val="24"/>
          <w:szCs w:val="24"/>
        </w:rPr>
        <w:t>Tujuan Penelitian</w:t>
      </w:r>
      <w:bookmarkEnd w:id="8"/>
      <w:bookmarkEnd w:id="9"/>
    </w:p>
    <w:p w:rsidR="00CD40B8" w:rsidRPr="004E3485" w:rsidRDefault="00CD40B8" w:rsidP="00CD40B8">
      <w:pPr>
        <w:spacing w:line="480" w:lineRule="auto"/>
        <w:jc w:val="both"/>
      </w:pPr>
      <w:r w:rsidRPr="004E3485">
        <w:rPr>
          <w:lang w:val="en-US"/>
        </w:rPr>
        <w:t xml:space="preserve">   </w:t>
      </w:r>
      <w:r w:rsidRPr="004E3485">
        <w:rPr>
          <w:lang w:val="en-US"/>
        </w:rPr>
        <w:tab/>
      </w:r>
      <w:r w:rsidRPr="004E3485">
        <w:t>Berdasarkan dari rumusan masalah, maka tujuan penelitian ini adalah sebagai berikut :</w:t>
      </w:r>
    </w:p>
    <w:p w:rsidR="00CD40B8" w:rsidRPr="003B448B" w:rsidRDefault="00CD40B8" w:rsidP="00CD40B8">
      <w:pPr>
        <w:pStyle w:val="ListParagraph"/>
        <w:numPr>
          <w:ilvl w:val="0"/>
          <w:numId w:val="2"/>
        </w:numPr>
        <w:spacing w:line="480" w:lineRule="auto"/>
        <w:jc w:val="both"/>
        <w:rPr>
          <w:sz w:val="24"/>
          <w:szCs w:val="24"/>
        </w:rPr>
      </w:pPr>
      <w:r>
        <w:rPr>
          <w:sz w:val="24"/>
          <w:szCs w:val="24"/>
          <w:lang w:val="en-US"/>
        </w:rPr>
        <w:t>Guna Mengetahui</w:t>
      </w:r>
      <w:r w:rsidRPr="00FB5E02">
        <w:rPr>
          <w:sz w:val="24"/>
          <w:szCs w:val="24"/>
        </w:rPr>
        <w:t xml:space="preserve"> Kreditur </w:t>
      </w:r>
      <w:r>
        <w:rPr>
          <w:sz w:val="24"/>
          <w:szCs w:val="24"/>
          <w:lang w:val="en-US"/>
        </w:rPr>
        <w:t xml:space="preserve">Dan Debitur </w:t>
      </w:r>
      <w:r w:rsidRPr="00FB5E02">
        <w:rPr>
          <w:sz w:val="24"/>
          <w:szCs w:val="24"/>
        </w:rPr>
        <w:t>Dalam Sengketa Hutang Piutang Yang Berakhir Dengan Kepailitan Di Kota Medan</w:t>
      </w:r>
      <w:r>
        <w:rPr>
          <w:sz w:val="24"/>
          <w:szCs w:val="24"/>
          <w:lang w:val="en-US"/>
        </w:rPr>
        <w:t>.</w:t>
      </w:r>
    </w:p>
    <w:p w:rsidR="00CD40B8" w:rsidRPr="004B27A8" w:rsidRDefault="00CD40B8" w:rsidP="00CD40B8">
      <w:pPr>
        <w:pStyle w:val="ListParagraph"/>
        <w:numPr>
          <w:ilvl w:val="0"/>
          <w:numId w:val="2"/>
        </w:numPr>
        <w:spacing w:line="480" w:lineRule="auto"/>
        <w:jc w:val="both"/>
        <w:rPr>
          <w:sz w:val="24"/>
          <w:szCs w:val="24"/>
        </w:rPr>
      </w:pPr>
      <w:r>
        <w:rPr>
          <w:sz w:val="24"/>
          <w:szCs w:val="24"/>
          <w:lang w:val="en-US"/>
        </w:rPr>
        <w:t xml:space="preserve">Guna Mengetahui Sanksi Hukum </w:t>
      </w:r>
      <w:r w:rsidRPr="009A2395">
        <w:rPr>
          <w:sz w:val="24"/>
          <w:szCs w:val="24"/>
          <w:lang w:val="en-US"/>
        </w:rPr>
        <w:t xml:space="preserve">Bagi </w:t>
      </w:r>
      <w:r>
        <w:rPr>
          <w:sz w:val="24"/>
          <w:szCs w:val="24"/>
          <w:lang w:val="en-US"/>
        </w:rPr>
        <w:t>Debitur</w:t>
      </w:r>
      <w:r w:rsidRPr="009A2395">
        <w:rPr>
          <w:sz w:val="24"/>
          <w:szCs w:val="24"/>
          <w:lang w:val="en-US"/>
        </w:rPr>
        <w:t xml:space="preserve"> Dalam Sengketa Hutang Piutang Yang Berakhir Dengan Kepailitan Di Kota Medan</w:t>
      </w:r>
      <w:r>
        <w:rPr>
          <w:sz w:val="24"/>
          <w:szCs w:val="24"/>
          <w:lang w:val="en-US"/>
        </w:rPr>
        <w:t>.</w:t>
      </w:r>
    </w:p>
    <w:p w:rsidR="00CD40B8" w:rsidRPr="004E3485" w:rsidRDefault="00CD40B8" w:rsidP="00CD40B8">
      <w:pPr>
        <w:pStyle w:val="ListParagraph"/>
        <w:numPr>
          <w:ilvl w:val="0"/>
          <w:numId w:val="2"/>
        </w:numPr>
        <w:spacing w:line="480" w:lineRule="auto"/>
        <w:jc w:val="both"/>
        <w:rPr>
          <w:sz w:val="24"/>
          <w:szCs w:val="24"/>
        </w:rPr>
      </w:pPr>
      <w:r w:rsidRPr="004B27A8">
        <w:rPr>
          <w:sz w:val="24"/>
          <w:szCs w:val="24"/>
          <w:lang w:val="en-US"/>
        </w:rPr>
        <w:t>Guna Mengetahui</w:t>
      </w:r>
      <w:r w:rsidRPr="004B27A8">
        <w:rPr>
          <w:sz w:val="24"/>
          <w:szCs w:val="24"/>
        </w:rPr>
        <w:t xml:space="preserve"> Perlindungan Hukum Bagi Kreditur Dalam Sengketa Hutang Piutang Yang Berakhir Dengan Kepailitan</w:t>
      </w:r>
      <w:r w:rsidRPr="004B27A8">
        <w:rPr>
          <w:sz w:val="24"/>
          <w:szCs w:val="24"/>
          <w:lang w:val="en-US"/>
        </w:rPr>
        <w:t xml:space="preserve"> Menurut </w:t>
      </w:r>
      <w:r w:rsidRPr="004B27A8">
        <w:rPr>
          <w:sz w:val="24"/>
          <w:szCs w:val="24"/>
        </w:rPr>
        <w:t>Undang-Undang No. 37 Tahun 2004 tentang Kepailitan dan Penundaan Kewajiban Pembayaran Utang</w:t>
      </w:r>
      <w:r w:rsidRPr="004B27A8">
        <w:rPr>
          <w:sz w:val="24"/>
          <w:szCs w:val="24"/>
          <w:lang w:val="en-US"/>
        </w:rPr>
        <w:t>.</w:t>
      </w:r>
    </w:p>
    <w:p w:rsidR="00CD40B8" w:rsidRPr="004E3485" w:rsidRDefault="00CD40B8" w:rsidP="00CD40B8">
      <w:pPr>
        <w:pStyle w:val="Heading2"/>
        <w:spacing w:before="0" w:line="480" w:lineRule="auto"/>
        <w:jc w:val="both"/>
        <w:rPr>
          <w:rFonts w:ascii="Times New Roman" w:hAnsi="Times New Roman"/>
          <w:color w:val="0D0D0D"/>
          <w:sz w:val="24"/>
          <w:szCs w:val="24"/>
        </w:rPr>
      </w:pPr>
      <w:bookmarkStart w:id="10" w:name="_Toc193443051"/>
      <w:bookmarkStart w:id="11" w:name="_Toc195258142"/>
      <w:r w:rsidRPr="004E3485">
        <w:rPr>
          <w:rFonts w:ascii="Times New Roman" w:hAnsi="Times New Roman"/>
          <w:color w:val="0D0D0D"/>
          <w:sz w:val="24"/>
          <w:szCs w:val="24"/>
          <w:lang w:val="en-US"/>
        </w:rPr>
        <w:t xml:space="preserve">D. </w:t>
      </w:r>
      <w:r w:rsidRPr="004E3485">
        <w:rPr>
          <w:rFonts w:ascii="Times New Roman" w:hAnsi="Times New Roman"/>
          <w:color w:val="0D0D0D"/>
          <w:sz w:val="24"/>
          <w:szCs w:val="24"/>
          <w:lang w:val="en-US"/>
        </w:rPr>
        <w:tab/>
      </w:r>
      <w:r w:rsidRPr="004E3485">
        <w:rPr>
          <w:rFonts w:ascii="Times New Roman" w:hAnsi="Times New Roman"/>
          <w:color w:val="0D0D0D"/>
          <w:sz w:val="24"/>
          <w:szCs w:val="24"/>
        </w:rPr>
        <w:t>Manfaat Penelitian</w:t>
      </w:r>
      <w:bookmarkEnd w:id="10"/>
      <w:bookmarkEnd w:id="11"/>
    </w:p>
    <w:p w:rsidR="00CD40B8" w:rsidRPr="004E3485" w:rsidRDefault="00CD40B8" w:rsidP="00CD40B8">
      <w:pPr>
        <w:pStyle w:val="BodyText1"/>
        <w:ind w:firstLine="720"/>
        <w:jc w:val="both"/>
        <w:rPr>
          <w:sz w:val="24"/>
          <w:szCs w:val="24"/>
        </w:rPr>
      </w:pPr>
      <w:r w:rsidRPr="004E3485">
        <w:rPr>
          <w:color w:val="000000"/>
          <w:sz w:val="24"/>
          <w:szCs w:val="24"/>
          <w:lang w:val="id-ID" w:eastAsia="id-ID" w:bidi="id-ID"/>
        </w:rPr>
        <w:t>Adapun yang menjadi manfaat dalam penelitian ini adalah sebagai berikut:</w:t>
      </w:r>
    </w:p>
    <w:p w:rsidR="00CD40B8" w:rsidRPr="00FB5E02" w:rsidRDefault="00CD40B8" w:rsidP="00CD40B8">
      <w:pPr>
        <w:pStyle w:val="ListParagraph"/>
        <w:numPr>
          <w:ilvl w:val="0"/>
          <w:numId w:val="3"/>
        </w:numPr>
        <w:spacing w:line="480" w:lineRule="auto"/>
        <w:ind w:left="567" w:hanging="425"/>
        <w:jc w:val="both"/>
        <w:rPr>
          <w:sz w:val="24"/>
          <w:szCs w:val="24"/>
        </w:rPr>
      </w:pPr>
      <w:r w:rsidRPr="00FB5E02">
        <w:rPr>
          <w:sz w:val="24"/>
          <w:szCs w:val="24"/>
        </w:rPr>
        <w:t>Manfaat akademis</w:t>
      </w:r>
    </w:p>
    <w:p w:rsidR="00CD40B8" w:rsidRPr="00FB5E02" w:rsidRDefault="00CD40B8" w:rsidP="00CD40B8">
      <w:pPr>
        <w:pStyle w:val="ListParagraph"/>
        <w:spacing w:line="480" w:lineRule="auto"/>
        <w:ind w:left="567"/>
        <w:jc w:val="both"/>
        <w:rPr>
          <w:sz w:val="24"/>
          <w:szCs w:val="24"/>
        </w:rPr>
      </w:pPr>
      <w:r w:rsidRPr="00FB5E02">
        <w:rPr>
          <w:sz w:val="24"/>
          <w:szCs w:val="24"/>
        </w:rPr>
        <w:t>Secara akademis, hasil penelitian ini diharapkan juga mampu dijadikan</w:t>
      </w:r>
      <w:r w:rsidRPr="00FB5E02">
        <w:rPr>
          <w:sz w:val="24"/>
          <w:szCs w:val="24"/>
          <w:lang w:val="en-US"/>
        </w:rPr>
        <w:t xml:space="preserve"> </w:t>
      </w:r>
      <w:r w:rsidRPr="00FB5E02">
        <w:rPr>
          <w:sz w:val="24"/>
          <w:szCs w:val="24"/>
        </w:rPr>
        <w:t>sebagai</w:t>
      </w:r>
      <w:r w:rsidRPr="00FB5E02">
        <w:rPr>
          <w:sz w:val="24"/>
          <w:szCs w:val="24"/>
          <w:lang w:val="en-US"/>
        </w:rPr>
        <w:t xml:space="preserve"> </w:t>
      </w:r>
      <w:r w:rsidRPr="00FB5E02">
        <w:rPr>
          <w:sz w:val="24"/>
          <w:szCs w:val="24"/>
        </w:rPr>
        <w:t>referensi bagi para pihak yang membutuhkan serta berminat untuk</w:t>
      </w:r>
    </w:p>
    <w:p w:rsidR="00CD40B8" w:rsidRDefault="00CD40B8" w:rsidP="00CD40B8">
      <w:pPr>
        <w:pStyle w:val="ListParagraph"/>
        <w:spacing w:line="480" w:lineRule="auto"/>
        <w:ind w:left="0" w:firstLine="567"/>
        <w:jc w:val="both"/>
        <w:rPr>
          <w:sz w:val="24"/>
          <w:szCs w:val="24"/>
          <w:lang w:val="en-US"/>
        </w:rPr>
      </w:pPr>
      <w:r w:rsidRPr="00FB5E02">
        <w:rPr>
          <w:sz w:val="24"/>
          <w:szCs w:val="24"/>
        </w:rPr>
        <w:t>mengembangkanya dalam tahap lebih lanjut.</w:t>
      </w:r>
    </w:p>
    <w:p w:rsidR="00CD40B8" w:rsidRPr="00FB5E02" w:rsidRDefault="00CD40B8" w:rsidP="00CD40B8">
      <w:pPr>
        <w:pStyle w:val="ListParagraph"/>
        <w:numPr>
          <w:ilvl w:val="0"/>
          <w:numId w:val="3"/>
        </w:numPr>
        <w:spacing w:line="480" w:lineRule="auto"/>
        <w:ind w:left="567" w:hanging="425"/>
        <w:jc w:val="both"/>
        <w:rPr>
          <w:sz w:val="24"/>
          <w:szCs w:val="24"/>
        </w:rPr>
      </w:pPr>
      <w:r w:rsidRPr="00FB5E02">
        <w:rPr>
          <w:sz w:val="24"/>
          <w:szCs w:val="24"/>
        </w:rPr>
        <w:lastRenderedPageBreak/>
        <w:t>Manfaat teoritis</w:t>
      </w:r>
    </w:p>
    <w:p w:rsidR="00CD40B8" w:rsidRPr="00FB5E02" w:rsidRDefault="00CD40B8" w:rsidP="00CD40B8">
      <w:pPr>
        <w:pStyle w:val="ListParagraph"/>
        <w:spacing w:line="480" w:lineRule="auto"/>
        <w:ind w:left="567"/>
        <w:jc w:val="both"/>
        <w:rPr>
          <w:sz w:val="24"/>
          <w:szCs w:val="24"/>
        </w:rPr>
      </w:pPr>
      <w:r w:rsidRPr="00FB5E02">
        <w:rPr>
          <w:sz w:val="24"/>
          <w:szCs w:val="24"/>
        </w:rPr>
        <w:t>Secara teoritis, penelitian ini diharapkan dapat memberikan kontribusi atau</w:t>
      </w:r>
      <w:r w:rsidRPr="00FB5E02">
        <w:rPr>
          <w:sz w:val="24"/>
          <w:szCs w:val="24"/>
          <w:lang w:val="en-US"/>
        </w:rPr>
        <w:t xml:space="preserve"> </w:t>
      </w:r>
      <w:r w:rsidRPr="00FB5E02">
        <w:rPr>
          <w:sz w:val="24"/>
          <w:szCs w:val="24"/>
        </w:rPr>
        <w:t>sumbangan pemikiran dalam pengembangan ilmu</w:t>
      </w:r>
      <w:r w:rsidRPr="00FB5E02">
        <w:rPr>
          <w:sz w:val="24"/>
          <w:szCs w:val="24"/>
          <w:lang w:val="en-US"/>
        </w:rPr>
        <w:t xml:space="preserve"> </w:t>
      </w:r>
      <w:r w:rsidRPr="00FB5E02">
        <w:rPr>
          <w:sz w:val="24"/>
          <w:szCs w:val="24"/>
        </w:rPr>
        <w:t>hukum pada umumnya, khususnya hukum perdata. </w:t>
      </w:r>
    </w:p>
    <w:p w:rsidR="00CD40B8" w:rsidRPr="00FB5E02" w:rsidRDefault="00CD40B8" w:rsidP="00CD40B8">
      <w:pPr>
        <w:pStyle w:val="ListParagraph"/>
        <w:numPr>
          <w:ilvl w:val="0"/>
          <w:numId w:val="3"/>
        </w:numPr>
        <w:spacing w:line="480" w:lineRule="auto"/>
        <w:jc w:val="both"/>
        <w:rPr>
          <w:sz w:val="24"/>
          <w:szCs w:val="24"/>
        </w:rPr>
      </w:pPr>
      <w:r w:rsidRPr="00FB5E02">
        <w:rPr>
          <w:sz w:val="24"/>
          <w:szCs w:val="24"/>
        </w:rPr>
        <w:t>Manfaat Praktis</w:t>
      </w:r>
    </w:p>
    <w:p w:rsidR="00CD40B8" w:rsidRPr="004E3485" w:rsidRDefault="00CD40B8" w:rsidP="00CD40B8">
      <w:pPr>
        <w:pStyle w:val="BodyText1"/>
        <w:tabs>
          <w:tab w:val="left" w:pos="353"/>
        </w:tabs>
        <w:ind w:left="567" w:firstLine="0"/>
        <w:jc w:val="both"/>
        <w:rPr>
          <w:color w:val="000000"/>
          <w:sz w:val="24"/>
          <w:szCs w:val="24"/>
          <w:lang w:eastAsia="id-ID" w:bidi="id-ID"/>
        </w:rPr>
      </w:pPr>
      <w:r w:rsidRPr="00FB5E02">
        <w:rPr>
          <w:sz w:val="24"/>
          <w:szCs w:val="24"/>
        </w:rPr>
        <w:t>Penelitian ini diharapkan dapat memberikan masukan bagi masyarakat, pemerintah, legislatif, praktisi hukum dan aparat penegak hukum dalam memecahkan masalah-masalah hukum yang berkaitan dengan perjanjian kredit dengan jaminan hak tanggungan.</w:t>
      </w:r>
    </w:p>
    <w:p w:rsidR="002F1DF6" w:rsidRPr="00CD40B8" w:rsidRDefault="006E47A0" w:rsidP="00CD40B8"/>
    <w:sectPr w:rsidR="002F1DF6" w:rsidRPr="00CD40B8" w:rsidSect="00BF4666">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E65" w:rsidRDefault="00491E65" w:rsidP="00CD40B8">
      <w:r>
        <w:separator/>
      </w:r>
    </w:p>
  </w:endnote>
  <w:endnote w:type="continuationSeparator" w:id="0">
    <w:p w:rsidR="00491E65" w:rsidRDefault="00491E65" w:rsidP="00CD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12273472"/>
      <w:docPartObj>
        <w:docPartGallery w:val="Page Numbers (Bottom of Page)"/>
        <w:docPartUnique/>
      </w:docPartObj>
    </w:sdtPr>
    <w:sdtEndPr>
      <w:rPr>
        <w:noProof/>
      </w:rPr>
    </w:sdtEndPr>
    <w:sdtContent>
      <w:p w:rsidR="00097D10" w:rsidRDefault="00491E65">
        <w:pPr>
          <w:pStyle w:val="Footer"/>
          <w:jc w:val="center"/>
        </w:pPr>
        <w:r>
          <w:rPr>
            <w:noProof w:val="0"/>
          </w:rPr>
          <w:fldChar w:fldCharType="begin"/>
        </w:r>
        <w:r>
          <w:instrText xml:space="preserve"> PAGE   \* MERGEFORMAT </w:instrText>
        </w:r>
        <w:r>
          <w:rPr>
            <w:noProof w:val="0"/>
          </w:rPr>
          <w:fldChar w:fldCharType="separate"/>
        </w:r>
        <w:r w:rsidR="006E47A0">
          <w:t>2</w:t>
        </w:r>
        <w:r>
          <w:fldChar w:fldCharType="end"/>
        </w:r>
      </w:p>
    </w:sdtContent>
  </w:sdt>
  <w:p w:rsidR="00CE5DB8" w:rsidRDefault="006E47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B8" w:rsidRDefault="00491E65">
    <w:pPr>
      <w:pStyle w:val="Footer"/>
      <w:jc w:val="center"/>
    </w:pPr>
    <w:r>
      <w:t xml:space="preserve"> PAGE   \* MERGEFORMAT i</w:t>
    </w:r>
  </w:p>
  <w:p w:rsidR="00CE5DB8" w:rsidRDefault="006E47A0">
    <w:pPr>
      <w:pStyle w:val="Footer"/>
    </w:pPr>
  </w:p>
  <w:p w:rsidR="00CE5DB8" w:rsidRDefault="006E47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E65" w:rsidRDefault="00491E65" w:rsidP="00CD40B8">
      <w:r>
        <w:separator/>
      </w:r>
    </w:p>
  </w:footnote>
  <w:footnote w:type="continuationSeparator" w:id="0">
    <w:p w:rsidR="00491E65" w:rsidRDefault="00491E65" w:rsidP="00CD40B8">
      <w:r>
        <w:continuationSeparator/>
      </w:r>
    </w:p>
  </w:footnote>
  <w:footnote w:id="1">
    <w:p w:rsidR="00CD40B8" w:rsidRPr="00A83C96" w:rsidRDefault="00CD40B8" w:rsidP="00CD40B8">
      <w:pPr>
        <w:pStyle w:val="FootnoteText"/>
        <w:rPr>
          <w:b/>
          <w:lang w:val="en-US"/>
        </w:rPr>
      </w:pPr>
      <w:r>
        <w:rPr>
          <w:rStyle w:val="FootnoteReference"/>
        </w:rPr>
        <w:footnoteRef/>
      </w:r>
      <w:r>
        <w:t xml:space="preserve"> </w:t>
      </w:r>
      <w:r w:rsidRPr="004C5686">
        <w:t xml:space="preserve">Yustina Septiana, </w:t>
      </w:r>
      <w:r w:rsidRPr="004C5686">
        <w:rPr>
          <w:i/>
        </w:rPr>
        <w:t>Hukum Perdata dalam Teori dan Praktik</w:t>
      </w:r>
      <w:r>
        <w:rPr>
          <w:i/>
          <w:lang w:val="en-US"/>
        </w:rPr>
        <w:t>,</w:t>
      </w:r>
      <w:r>
        <w:t xml:space="preserve"> Jakarta</w:t>
      </w:r>
      <w:r>
        <w:rPr>
          <w:lang w:val="en-US"/>
        </w:rPr>
        <w:t>,</w:t>
      </w:r>
      <w:r w:rsidRPr="004C5686">
        <w:t xml:space="preserve">Gramedia, 2019, </w:t>
      </w:r>
      <w:r w:rsidRPr="004C5686">
        <w:rPr>
          <w:lang w:val="en-US"/>
        </w:rPr>
        <w:t>h</w:t>
      </w:r>
      <w:r>
        <w:rPr>
          <w:lang w:val="en-US"/>
        </w:rPr>
        <w:t>a</w:t>
      </w:r>
      <w:r w:rsidRPr="004C5686">
        <w:rPr>
          <w:lang w:val="en-US"/>
        </w:rPr>
        <w:t>l</w:t>
      </w:r>
      <w:r>
        <w:rPr>
          <w:lang w:val="en-US"/>
        </w:rPr>
        <w:t>.</w:t>
      </w:r>
      <w:r w:rsidRPr="004C5686">
        <w:rPr>
          <w:lang w:val="en-US"/>
        </w:rPr>
        <w:t xml:space="preserve"> </w:t>
      </w:r>
      <w:r w:rsidRPr="00CE3C09">
        <w:t>45.</w:t>
      </w:r>
    </w:p>
  </w:footnote>
  <w:footnote w:id="2">
    <w:p w:rsidR="00CD40B8" w:rsidRPr="00A83C96" w:rsidRDefault="00CD40B8" w:rsidP="00CD40B8">
      <w:pPr>
        <w:pStyle w:val="FootnoteText"/>
        <w:ind w:left="142" w:hanging="142"/>
        <w:jc w:val="both"/>
        <w:rPr>
          <w:lang w:val="en-US"/>
        </w:rPr>
      </w:pPr>
      <w:r>
        <w:rPr>
          <w:rStyle w:val="FootnoteReference"/>
        </w:rPr>
        <w:footnoteRef/>
      </w:r>
      <w:r>
        <w:t xml:space="preserve"> </w:t>
      </w:r>
      <w:r>
        <w:rPr>
          <w:lang w:val="en-US"/>
        </w:rPr>
        <w:t>T</w:t>
      </w:r>
      <w:r w:rsidRPr="00D433FA">
        <w:t>ika Sunarto &amp; Muhammad Ali Adnan, Implementasi Hukum Terhadap Merek Sebagai Konsep Hak Kekayaan Intelektual, Jurnal Preferensi Hukum, Vol. 4, No. 3 – Nov 2023, hal 390</w:t>
      </w:r>
    </w:p>
  </w:footnote>
  <w:footnote w:id="3">
    <w:p w:rsidR="00CD40B8" w:rsidRPr="00A83C96" w:rsidRDefault="00CD40B8" w:rsidP="00CD40B8">
      <w:pPr>
        <w:pStyle w:val="FootnoteText"/>
        <w:ind w:left="142" w:hanging="142"/>
        <w:jc w:val="both"/>
        <w:rPr>
          <w:lang w:val="en-US"/>
        </w:rPr>
      </w:pPr>
      <w:r>
        <w:rPr>
          <w:rStyle w:val="FootnoteReference"/>
        </w:rPr>
        <w:footnoteRef/>
      </w:r>
      <w:r>
        <w:t xml:space="preserve"> </w:t>
      </w:r>
      <w:r w:rsidRPr="00CC5352">
        <w:t xml:space="preserve">Bambang S. Riyanto, </w:t>
      </w:r>
      <w:r w:rsidRPr="00CC5352">
        <w:rPr>
          <w:i/>
        </w:rPr>
        <w:t>Dasar-dasar Pembiayaan Perusahaan</w:t>
      </w:r>
      <w:r w:rsidRPr="00CC5352">
        <w:rPr>
          <w:i/>
          <w:lang w:val="en-US"/>
        </w:rPr>
        <w:t>,</w:t>
      </w:r>
      <w:r w:rsidRPr="00CC5352">
        <w:t xml:space="preserve"> Yogyakarta: BPFE, 2001, </w:t>
      </w:r>
      <w:r w:rsidRPr="00CC5352">
        <w:rPr>
          <w:lang w:val="en-US"/>
        </w:rPr>
        <w:t xml:space="preserve">hal </w:t>
      </w:r>
      <w:r w:rsidRPr="00CC5352">
        <w:t>32</w:t>
      </w:r>
    </w:p>
  </w:footnote>
  <w:footnote w:id="4">
    <w:p w:rsidR="00CD40B8" w:rsidRPr="00A83C96" w:rsidRDefault="00CD40B8" w:rsidP="00CD40B8">
      <w:pPr>
        <w:pStyle w:val="FootnoteText"/>
        <w:ind w:left="142" w:hanging="142"/>
        <w:jc w:val="both"/>
        <w:rPr>
          <w:lang w:val="en-US"/>
        </w:rPr>
      </w:pPr>
      <w:r>
        <w:rPr>
          <w:rStyle w:val="FootnoteReference"/>
        </w:rPr>
        <w:footnoteRef/>
      </w:r>
      <w:r>
        <w:t xml:space="preserve"> </w:t>
      </w:r>
      <w:r w:rsidRPr="00A83C96">
        <w:t>Kartina Pakpahan, Perbandingan Perlindungan Hukum Pasien Korban Malpraktek Bedah Plastik Di Indonesia Dan Korea Selatan, Jurnal IUS Kajian Hukum dan Keadilan, Volume 9, Issue 1, April 2021, E-ISSN 2477-815X, P-ISSN 2303-3827</w:t>
      </w:r>
    </w:p>
  </w:footnote>
  <w:footnote w:id="5">
    <w:p w:rsidR="00CD40B8" w:rsidRPr="00A83C96" w:rsidRDefault="00CD40B8" w:rsidP="00CD40B8">
      <w:pPr>
        <w:pStyle w:val="FootnoteText"/>
        <w:ind w:left="142" w:hanging="142"/>
        <w:jc w:val="both"/>
        <w:rPr>
          <w:lang w:val="en-US"/>
        </w:rPr>
      </w:pPr>
      <w:r>
        <w:rPr>
          <w:rStyle w:val="FootnoteReference"/>
        </w:rPr>
        <w:footnoteRef/>
      </w:r>
      <w:r>
        <w:t xml:space="preserve"> </w:t>
      </w:r>
      <w:r w:rsidRPr="00A83C96">
        <w:t>Widodo Ramadhana, Analisis Yuridis Terhadap Wewenang Otoritas Jasa Keuangan Dalam Mengawasi Tingkat Kesehatan Bank,  USU Law Journal, Vol.6.No.2 April, 2018, hal. 113</w:t>
      </w:r>
    </w:p>
  </w:footnote>
  <w:footnote w:id="6">
    <w:p w:rsidR="00CD40B8" w:rsidRPr="00A83C96" w:rsidRDefault="00CD40B8" w:rsidP="00CD40B8">
      <w:pPr>
        <w:pStyle w:val="FootnoteText"/>
        <w:ind w:left="142" w:hanging="142"/>
        <w:rPr>
          <w:lang w:val="en-US"/>
        </w:rPr>
      </w:pPr>
      <w:r>
        <w:rPr>
          <w:rStyle w:val="FootnoteReference"/>
        </w:rPr>
        <w:footnoteRef/>
      </w:r>
      <w:r>
        <w:t xml:space="preserve"> </w:t>
      </w:r>
      <w:r>
        <w:rPr>
          <w:lang w:val="en-US"/>
        </w:rPr>
        <w:t xml:space="preserve"> </w:t>
      </w:r>
      <w:r w:rsidRPr="00A83C96">
        <w:rPr>
          <w:lang w:val="en-US"/>
        </w:rPr>
        <w:t>Muhammad Ali Adnan &amp; Atika Sunarto,The Urgency of the Existence of Islamic Banking (Comparative Study with Conventional Banking), LEGAL BRIEF, Volume 10, Issue2, May, 2021, hal 59</w:t>
      </w:r>
    </w:p>
  </w:footnote>
  <w:footnote w:id="7">
    <w:p w:rsidR="00CD40B8" w:rsidRPr="00A83C96" w:rsidRDefault="00CD40B8" w:rsidP="00CD40B8">
      <w:pPr>
        <w:pStyle w:val="FootnoteText"/>
        <w:rPr>
          <w:lang w:val="en-US"/>
        </w:rPr>
      </w:pPr>
      <w:r>
        <w:rPr>
          <w:rStyle w:val="FootnoteReference"/>
        </w:rPr>
        <w:footnoteRef/>
      </w:r>
      <w:r>
        <w:t xml:space="preserve"> </w:t>
      </w:r>
      <w:r w:rsidRPr="00A83C96">
        <w:t>Undang-Undang Nomor 37 Tahun 2004 tentang Kepailitan dan Penundaan Kewajiban Pembayaran Utang.</w:t>
      </w:r>
    </w:p>
  </w:footnote>
  <w:footnote w:id="8">
    <w:p w:rsidR="00CD40B8" w:rsidRPr="00A83C96" w:rsidRDefault="00CD40B8" w:rsidP="00CD40B8">
      <w:pPr>
        <w:pStyle w:val="FootnoteText"/>
        <w:rPr>
          <w:lang w:val="en-US"/>
        </w:rPr>
      </w:pPr>
      <w:r>
        <w:rPr>
          <w:rStyle w:val="FootnoteReference"/>
        </w:rPr>
        <w:footnoteRef/>
      </w:r>
      <w:r>
        <w:t xml:space="preserve"> </w:t>
      </w:r>
      <w:r w:rsidRPr="00822A7F">
        <w:t>Elvira Fitriyani Pakpahan</w:t>
      </w:r>
      <w:r>
        <w:rPr>
          <w:lang w:val="en-US"/>
        </w:rPr>
        <w:t xml:space="preserve">, </w:t>
      </w:r>
      <w:r w:rsidRPr="00822A7F">
        <w:rPr>
          <w:i/>
        </w:rPr>
        <w:t>Konsep Perlindungan Hukum Terhadap Wali Amanat Di Pasar Modal</w:t>
      </w:r>
      <w:r>
        <w:rPr>
          <w:i/>
          <w:lang w:val="en-US"/>
        </w:rPr>
        <w:t xml:space="preserve">, </w:t>
      </w:r>
      <w:r w:rsidRPr="00822A7F">
        <w:rPr>
          <w:lang w:val="en-US"/>
        </w:rPr>
        <w:t>Jurnal Hukum</w:t>
      </w:r>
      <w:r>
        <w:rPr>
          <w:lang w:val="en-US"/>
        </w:rPr>
        <w:t xml:space="preserve">, </w:t>
      </w:r>
      <w:r w:rsidRPr="00822A7F">
        <w:rPr>
          <w:lang w:val="en-US"/>
        </w:rPr>
        <w:t>Volume 14, Nomor 2, Juli – Desember 2019</w:t>
      </w:r>
      <w:r>
        <w:rPr>
          <w:lang w:val="en-US"/>
        </w:rPr>
        <w:t>, hal, 303</w:t>
      </w:r>
    </w:p>
  </w:footnote>
  <w:footnote w:id="9">
    <w:p w:rsidR="00CD40B8" w:rsidRPr="00A83C96" w:rsidRDefault="00CD40B8" w:rsidP="00CD40B8">
      <w:pPr>
        <w:pStyle w:val="FootnoteText"/>
        <w:rPr>
          <w:lang w:val="en-US"/>
        </w:rPr>
      </w:pPr>
      <w:r>
        <w:rPr>
          <w:rStyle w:val="FootnoteReference"/>
        </w:rPr>
        <w:footnoteRef/>
      </w:r>
      <w:r>
        <w:t xml:space="preserve"> </w:t>
      </w:r>
      <w:r w:rsidRPr="00EE1E79">
        <w:rPr>
          <w:i/>
        </w:rPr>
        <w:t xml:space="preserve">Ibid, </w:t>
      </w:r>
      <w:r w:rsidRPr="00D24C79">
        <w:rPr>
          <w:lang w:val="en-US"/>
        </w:rPr>
        <w:t>hal</w:t>
      </w:r>
      <w:r w:rsidRPr="00EE1E79">
        <w:rPr>
          <w:i/>
          <w:lang w:val="en-US"/>
        </w:rPr>
        <w:t xml:space="preserve">. </w:t>
      </w:r>
      <w:r w:rsidRPr="00EE1E79">
        <w:rPr>
          <w:i/>
        </w:rPr>
        <w:t>90</w:t>
      </w:r>
    </w:p>
  </w:footnote>
  <w:footnote w:id="10">
    <w:p w:rsidR="00CD40B8" w:rsidRPr="00A83C96" w:rsidRDefault="00CD40B8" w:rsidP="00CD40B8">
      <w:pPr>
        <w:pStyle w:val="FootnoteText"/>
        <w:rPr>
          <w:lang w:val="en-US"/>
        </w:rPr>
      </w:pPr>
      <w:r>
        <w:rPr>
          <w:rStyle w:val="FootnoteReference"/>
        </w:rPr>
        <w:footnoteRef/>
      </w:r>
      <w:r>
        <w:t xml:space="preserve"> </w:t>
      </w:r>
      <w:r w:rsidRPr="00A83C96">
        <w:t>Rodiatun Adawiyah, Analisis Tantangan E-Commerce Dalam Mengimplementasikan Hukum Persaingan Usaha Di Indonesia, Jurnal Ilmu Hukum Prima (IHP), 2021</w:t>
      </w:r>
    </w:p>
  </w:footnote>
  <w:footnote w:id="11">
    <w:p w:rsidR="00CD40B8" w:rsidRPr="00A83C96" w:rsidRDefault="00CD40B8" w:rsidP="00CD40B8">
      <w:pPr>
        <w:pStyle w:val="FootnoteText"/>
        <w:rPr>
          <w:lang w:val="en-US"/>
        </w:rPr>
      </w:pPr>
      <w:r>
        <w:rPr>
          <w:rStyle w:val="FootnoteReference"/>
        </w:rPr>
        <w:footnoteRef/>
      </w:r>
      <w:r>
        <w:t xml:space="preserve"> </w:t>
      </w:r>
      <w:r>
        <w:rPr>
          <w:i/>
          <w:lang w:val="en-US"/>
        </w:rPr>
        <w:t>Op Chit</w:t>
      </w:r>
      <w:r w:rsidRPr="00E72E4A">
        <w:rPr>
          <w:i/>
        </w:rPr>
        <w:t>,</w:t>
      </w:r>
      <w:r w:rsidRPr="008A7E87">
        <w:t xml:space="preserve"> </w:t>
      </w:r>
      <w:r w:rsidRPr="00EE1E79">
        <w:t>Eko Supriyanto</w:t>
      </w:r>
      <w:r w:rsidRPr="00E72E4A">
        <w:rPr>
          <w:i/>
        </w:rPr>
        <w:t xml:space="preserve"> </w:t>
      </w:r>
      <w:r w:rsidRPr="00D24C79">
        <w:rPr>
          <w:lang w:val="en-US"/>
        </w:rPr>
        <w:t>hal</w:t>
      </w:r>
      <w:r w:rsidRPr="00E72E4A">
        <w:rPr>
          <w:i/>
          <w:lang w:val="en-US"/>
        </w:rPr>
        <w:t xml:space="preserve">. </w:t>
      </w:r>
      <w:r w:rsidRPr="00E72E4A">
        <w:rPr>
          <w:i/>
        </w:rPr>
        <w:t>90.</w:t>
      </w:r>
    </w:p>
  </w:footnote>
  <w:footnote w:id="12">
    <w:p w:rsidR="00CD40B8" w:rsidRPr="00A83C96" w:rsidRDefault="00CD40B8" w:rsidP="00CD40B8">
      <w:pPr>
        <w:pStyle w:val="FootnoteText"/>
        <w:rPr>
          <w:lang w:val="en-US"/>
        </w:rPr>
      </w:pPr>
      <w:r>
        <w:rPr>
          <w:rStyle w:val="FootnoteReference"/>
        </w:rPr>
        <w:footnoteRef/>
      </w:r>
      <w:r>
        <w:t xml:space="preserve"> </w:t>
      </w:r>
      <w:r w:rsidRPr="00A83C96">
        <w:t>John H. Farrar, Corporate Governance, Theories, Principles, and Practice, Melbourne, Oxford University Press, 2005, hal.118.</w:t>
      </w:r>
    </w:p>
  </w:footnote>
  <w:footnote w:id="13">
    <w:p w:rsidR="00CD40B8" w:rsidRPr="00A83C96" w:rsidRDefault="00CD40B8" w:rsidP="00CD40B8">
      <w:pPr>
        <w:pStyle w:val="FootnoteText"/>
        <w:rPr>
          <w:lang w:val="en-US"/>
        </w:rPr>
      </w:pPr>
      <w:r>
        <w:rPr>
          <w:rStyle w:val="FootnoteReference"/>
        </w:rPr>
        <w:footnoteRef/>
      </w:r>
      <w:r>
        <w:t xml:space="preserve"> </w:t>
      </w:r>
      <w:r w:rsidRPr="00E72E4A">
        <w:rPr>
          <w:i/>
        </w:rPr>
        <w:t xml:space="preserve">Ibid, </w:t>
      </w:r>
      <w:r w:rsidRPr="00D24C79">
        <w:rPr>
          <w:lang w:val="en-US"/>
        </w:rPr>
        <w:t>hal</w:t>
      </w:r>
      <w:r w:rsidRPr="00E72E4A">
        <w:rPr>
          <w:i/>
          <w:lang w:val="en-US"/>
        </w:rPr>
        <w:t xml:space="preserve">. </w:t>
      </w:r>
      <w:r w:rsidRPr="00E72E4A">
        <w:rPr>
          <w:i/>
        </w:rPr>
        <w:t>120</w:t>
      </w:r>
    </w:p>
  </w:footnote>
  <w:footnote w:id="14">
    <w:p w:rsidR="00CD40B8" w:rsidRPr="00A83C96" w:rsidRDefault="00CD40B8" w:rsidP="00CD40B8">
      <w:pPr>
        <w:pStyle w:val="FootnoteText"/>
        <w:rPr>
          <w:lang w:val="en-US"/>
        </w:rPr>
      </w:pPr>
      <w:r>
        <w:rPr>
          <w:rStyle w:val="FootnoteReference"/>
        </w:rPr>
        <w:footnoteRef/>
      </w:r>
      <w:r>
        <w:t xml:space="preserve"> </w:t>
      </w:r>
      <w:r w:rsidRPr="00A83C96">
        <w:t>Marlina Elisabeth Pakpahan, Perlindungan Hukum Pemberian Kredit Secara Digitalisasi Kepada Debitur Masa Perkembangan Financial Technology (Fintech), Universitas Prima Indonesia, hal. 120</w:t>
      </w:r>
    </w:p>
  </w:footnote>
  <w:footnote w:id="15">
    <w:p w:rsidR="00CD40B8" w:rsidRPr="00A83C96" w:rsidRDefault="00CD40B8" w:rsidP="00CD40B8">
      <w:pPr>
        <w:pStyle w:val="FootnoteText"/>
        <w:rPr>
          <w:lang w:val="en-US"/>
        </w:rPr>
      </w:pPr>
      <w:r>
        <w:rPr>
          <w:rStyle w:val="FootnoteReference"/>
        </w:rPr>
        <w:footnoteRef/>
      </w:r>
      <w:r>
        <w:t xml:space="preserve"> </w:t>
      </w:r>
      <w:r w:rsidRPr="00E72E4A">
        <w:t xml:space="preserve">Yustina Septiana, </w:t>
      </w:r>
      <w:r w:rsidRPr="00E72E4A">
        <w:rPr>
          <w:i/>
        </w:rPr>
        <w:t>Hukum Perdata dalam Teori dan Praktik</w:t>
      </w:r>
      <w:r>
        <w:rPr>
          <w:lang w:val="en-US"/>
        </w:rPr>
        <w:t xml:space="preserve">, </w:t>
      </w:r>
      <w:r>
        <w:t>Jakarta</w:t>
      </w:r>
      <w:r>
        <w:rPr>
          <w:lang w:val="en-US"/>
        </w:rPr>
        <w:t xml:space="preserve">, </w:t>
      </w:r>
      <w:r w:rsidRPr="00E72E4A">
        <w:t xml:space="preserve">Gramedia, 2019, </w:t>
      </w:r>
      <w:r>
        <w:rPr>
          <w:lang w:val="en-US"/>
        </w:rPr>
        <w:t xml:space="preserve">hal. </w:t>
      </w:r>
      <w:r w:rsidRPr="00E72E4A">
        <w:t>45.</w:t>
      </w:r>
    </w:p>
  </w:footnote>
  <w:footnote w:id="16">
    <w:p w:rsidR="00CD40B8" w:rsidRPr="00A83C96" w:rsidRDefault="00CD40B8" w:rsidP="00CD40B8">
      <w:pPr>
        <w:pStyle w:val="FootnoteText"/>
        <w:rPr>
          <w:lang w:val="en-US"/>
        </w:rPr>
      </w:pPr>
      <w:r>
        <w:rPr>
          <w:rStyle w:val="FootnoteReference"/>
        </w:rPr>
        <w:footnoteRef/>
      </w:r>
      <w:r>
        <w:t xml:space="preserve"> </w:t>
      </w:r>
      <w:r w:rsidRPr="004576DF">
        <w:t>Kitab Undang-Undang Hukum Perdata (KUHPerdata), Pasal 1131.</w:t>
      </w:r>
    </w:p>
  </w:footnote>
  <w:footnote w:id="17">
    <w:p w:rsidR="00CD40B8" w:rsidRPr="00A83C96" w:rsidRDefault="00CD40B8" w:rsidP="00CD40B8">
      <w:pPr>
        <w:pStyle w:val="FootnoteText"/>
        <w:rPr>
          <w:lang w:val="en-US"/>
        </w:rPr>
      </w:pPr>
      <w:r>
        <w:rPr>
          <w:rStyle w:val="FootnoteReference"/>
        </w:rPr>
        <w:footnoteRef/>
      </w:r>
      <w:r>
        <w:t xml:space="preserve"> </w:t>
      </w:r>
      <w:r w:rsidRPr="004576DF">
        <w:t xml:space="preserve">Amiruddin dan Zainal Asikin, </w:t>
      </w:r>
      <w:r w:rsidRPr="004576DF">
        <w:rPr>
          <w:i/>
        </w:rPr>
        <w:t>Pengantar Metode Penelitian Hukum</w:t>
      </w:r>
      <w:r>
        <w:t>, Jakarta</w:t>
      </w:r>
      <w:r>
        <w:rPr>
          <w:lang w:val="en-US"/>
        </w:rPr>
        <w:t xml:space="preserve">, </w:t>
      </w:r>
      <w:r w:rsidRPr="004576DF">
        <w:t>Raja</w:t>
      </w:r>
      <w:r>
        <w:rPr>
          <w:lang w:val="en-US"/>
        </w:rPr>
        <w:t xml:space="preserve"> </w:t>
      </w:r>
      <w:r>
        <w:t>Grafindo Persada, 2016</w:t>
      </w:r>
      <w:r w:rsidRPr="004576DF">
        <w:t xml:space="preserve">, </w:t>
      </w:r>
      <w:r>
        <w:rPr>
          <w:lang w:val="en-US"/>
        </w:rPr>
        <w:t xml:space="preserve">hal. </w:t>
      </w:r>
      <w:r w:rsidRPr="004576DF">
        <w:t>27</w:t>
      </w:r>
    </w:p>
  </w:footnote>
  <w:footnote w:id="18">
    <w:p w:rsidR="00CD40B8" w:rsidRPr="00A83C96" w:rsidRDefault="00CD40B8" w:rsidP="00CD40B8">
      <w:pPr>
        <w:pStyle w:val="FootnoteText"/>
        <w:rPr>
          <w:lang w:val="en-US"/>
        </w:rPr>
      </w:pPr>
      <w:r>
        <w:rPr>
          <w:rStyle w:val="FootnoteReference"/>
        </w:rPr>
        <w:footnoteRef/>
      </w:r>
      <w:r>
        <w:t xml:space="preserve"> </w:t>
      </w:r>
      <w:r w:rsidRPr="00992557">
        <w:t>Undang-Undang Nomor 37 Tahun 2004 tentang Kepailitan dan Penundaan Kewajiban Pembayaran Utang</w:t>
      </w:r>
    </w:p>
  </w:footnote>
  <w:footnote w:id="19">
    <w:p w:rsidR="00CD40B8" w:rsidRPr="00A83C96" w:rsidRDefault="00CD40B8" w:rsidP="00CD40B8">
      <w:pPr>
        <w:pStyle w:val="FootnoteText"/>
        <w:rPr>
          <w:lang w:val="en-US"/>
        </w:rPr>
      </w:pPr>
      <w:r>
        <w:rPr>
          <w:rStyle w:val="FootnoteReference"/>
        </w:rPr>
        <w:footnoteRef/>
      </w:r>
      <w:r>
        <w:t xml:space="preserve"> </w:t>
      </w:r>
      <w:r w:rsidRPr="00992557">
        <w:t>Ibid, hal. 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6E47A0">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2"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6E47A0">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3"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6E47A0">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1"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C6BA7"/>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346F4885"/>
    <w:multiLevelType w:val="hybridMultilevel"/>
    <w:tmpl w:val="70225FC8"/>
    <w:lvl w:ilvl="0" w:tplc="E2068B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1">
      <w:start w:val="1"/>
      <w:numFmt w:val="decimal"/>
      <w:lvlText w:val="%3)"/>
      <w:lvlJc w:val="left"/>
      <w:pPr>
        <w:ind w:left="32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1+fDC4DPAPWrMuspHeKSpiCnS1Djw+onntT6tEbJd5uugbi3kt6mBxLF7sTceWoCABl1a6cw0OMwoDf1gC/2gw==" w:salt="V0oTKhlbORWlaLs8g3ySx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35"/>
    <w:rsid w:val="00410035"/>
    <w:rsid w:val="00491E65"/>
    <w:rsid w:val="006E47A0"/>
    <w:rsid w:val="00BF4666"/>
    <w:rsid w:val="00C81AC8"/>
    <w:rsid w:val="00CD40B8"/>
    <w:rsid w:val="00E0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BCB2A46-1581-4417-A713-EAED9D8A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035"/>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BF4666"/>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CD40B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0035"/>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410035"/>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410035"/>
    <w:rPr>
      <w:rFonts w:cs="Times New Roman"/>
    </w:rPr>
  </w:style>
  <w:style w:type="paragraph" w:styleId="Header">
    <w:name w:val="header"/>
    <w:basedOn w:val="Normal"/>
    <w:link w:val="HeaderChar"/>
    <w:uiPriority w:val="99"/>
    <w:unhideWhenUsed/>
    <w:rsid w:val="00410035"/>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410035"/>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BF4666"/>
    <w:rPr>
      <w:rFonts w:ascii="Calibri Light" w:eastAsia="Times New Roman" w:hAnsi="Calibri Light" w:cs="Times New Roman"/>
      <w:b/>
      <w:bCs/>
      <w:color w:val="2E74B5"/>
      <w:sz w:val="28"/>
      <w:szCs w:val="28"/>
      <w:lang w:val="x-none" w:eastAsia="x-none"/>
    </w:rPr>
  </w:style>
  <w:style w:type="character" w:styleId="Hyperlink">
    <w:name w:val="Hyperlink"/>
    <w:uiPriority w:val="99"/>
    <w:unhideWhenUsed/>
    <w:rsid w:val="00C81AC8"/>
    <w:rPr>
      <w:rFonts w:cs="Times New Roman"/>
      <w:color w:val="0000FF"/>
      <w:u w:val="single"/>
    </w:rPr>
  </w:style>
  <w:style w:type="paragraph" w:styleId="TOCHeading">
    <w:name w:val="TOC Heading"/>
    <w:basedOn w:val="Heading1"/>
    <w:next w:val="Normal"/>
    <w:uiPriority w:val="39"/>
    <w:semiHidden/>
    <w:unhideWhenUsed/>
    <w:qFormat/>
    <w:rsid w:val="00C81AC8"/>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C81AC8"/>
    <w:pPr>
      <w:tabs>
        <w:tab w:val="right" w:leader="dot" w:pos="7927"/>
      </w:tabs>
      <w:spacing w:line="360" w:lineRule="auto"/>
      <w:ind w:left="1134" w:hanging="1134"/>
      <w:jc w:val="both"/>
    </w:pPr>
    <w:rPr>
      <w:b/>
      <w:color w:val="0D0D0D" w:themeColor="text1" w:themeTint="F2"/>
      <w:lang w:val="en-US"/>
    </w:rPr>
  </w:style>
  <w:style w:type="paragraph" w:styleId="TOC2">
    <w:name w:val="toc 2"/>
    <w:basedOn w:val="Normal"/>
    <w:next w:val="Normal"/>
    <w:autoRedefine/>
    <w:uiPriority w:val="39"/>
    <w:unhideWhenUsed/>
    <w:qFormat/>
    <w:rsid w:val="00C81AC8"/>
    <w:pPr>
      <w:tabs>
        <w:tab w:val="left" w:pos="880"/>
        <w:tab w:val="left" w:pos="1760"/>
        <w:tab w:val="right" w:leader="dot" w:pos="7927"/>
      </w:tabs>
      <w:spacing w:after="100"/>
      <w:ind w:left="1560" w:hanging="426"/>
    </w:pPr>
    <w:rPr>
      <w:bCs/>
      <w:lang w:val="en-US" w:eastAsia="id-ID"/>
    </w:rPr>
  </w:style>
  <w:style w:type="paragraph" w:styleId="BalloonText">
    <w:name w:val="Balloon Text"/>
    <w:basedOn w:val="Normal"/>
    <w:link w:val="BalloonTextChar"/>
    <w:uiPriority w:val="99"/>
    <w:semiHidden/>
    <w:unhideWhenUsed/>
    <w:rsid w:val="00C81AC8"/>
    <w:rPr>
      <w:rFonts w:ascii="Tahoma" w:hAnsi="Tahoma" w:cs="Tahoma"/>
      <w:sz w:val="16"/>
      <w:szCs w:val="16"/>
    </w:rPr>
  </w:style>
  <w:style w:type="character" w:customStyle="1" w:styleId="BalloonTextChar">
    <w:name w:val="Balloon Text Char"/>
    <w:basedOn w:val="DefaultParagraphFont"/>
    <w:link w:val="BalloonText"/>
    <w:uiPriority w:val="99"/>
    <w:semiHidden/>
    <w:rsid w:val="00C81AC8"/>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CD40B8"/>
    <w:rPr>
      <w:rFonts w:asciiTheme="majorHAnsi" w:eastAsiaTheme="majorEastAsia" w:hAnsiTheme="majorHAnsi" w:cstheme="majorBidi"/>
      <w:b/>
      <w:bCs/>
      <w:noProof/>
      <w:color w:val="4F81BD" w:themeColor="accent1"/>
      <w:sz w:val="26"/>
      <w:szCs w:val="26"/>
      <w:lang w:val="id-ID"/>
    </w:rPr>
  </w:style>
  <w:style w:type="paragraph" w:styleId="ListParagraph">
    <w:name w:val="List Paragraph"/>
    <w:aliases w:val="Body of text"/>
    <w:basedOn w:val="Normal"/>
    <w:link w:val="ListParagraphChar"/>
    <w:uiPriority w:val="1"/>
    <w:qFormat/>
    <w:rsid w:val="00CD40B8"/>
    <w:pPr>
      <w:ind w:left="720"/>
      <w:contextualSpacing/>
    </w:pPr>
    <w:rPr>
      <w:sz w:val="20"/>
      <w:szCs w:val="20"/>
      <w:lang w:val="x-none" w:eastAsia="x-none"/>
    </w:rPr>
  </w:style>
  <w:style w:type="paragraph" w:styleId="FootnoteText">
    <w:name w:val="footnote text"/>
    <w:basedOn w:val="Normal"/>
    <w:link w:val="FootnoteTextChar"/>
    <w:uiPriority w:val="99"/>
    <w:unhideWhenUsed/>
    <w:rsid w:val="00CD40B8"/>
    <w:rPr>
      <w:sz w:val="20"/>
      <w:szCs w:val="20"/>
      <w:lang w:val="x-none" w:eastAsia="x-none"/>
    </w:rPr>
  </w:style>
  <w:style w:type="character" w:customStyle="1" w:styleId="FootnoteTextChar">
    <w:name w:val="Footnote Text Char"/>
    <w:basedOn w:val="DefaultParagraphFont"/>
    <w:link w:val="FootnoteText"/>
    <w:uiPriority w:val="99"/>
    <w:rsid w:val="00CD40B8"/>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CD40B8"/>
    <w:rPr>
      <w:rFonts w:cs="Times New Roman"/>
      <w:vertAlign w:val="superscript"/>
    </w:rPr>
  </w:style>
  <w:style w:type="character" w:customStyle="1" w:styleId="ListParagraphChar">
    <w:name w:val="List Paragraph Char"/>
    <w:aliases w:val="Body of text Char"/>
    <w:link w:val="ListParagraph"/>
    <w:uiPriority w:val="1"/>
    <w:locked/>
    <w:rsid w:val="00CD40B8"/>
    <w:rPr>
      <w:rFonts w:ascii="Times New Roman" w:eastAsia="Times New Roman" w:hAnsi="Times New Roman" w:cs="Times New Roman"/>
      <w:noProof/>
      <w:sz w:val="20"/>
      <w:szCs w:val="20"/>
      <w:lang w:val="x-none" w:eastAsia="x-none"/>
    </w:rPr>
  </w:style>
  <w:style w:type="character" w:customStyle="1" w:styleId="Bodytext">
    <w:name w:val="Body text_"/>
    <w:link w:val="BodyText1"/>
    <w:locked/>
    <w:rsid w:val="00CD40B8"/>
  </w:style>
  <w:style w:type="paragraph" w:customStyle="1" w:styleId="BodyText1">
    <w:name w:val="Body Text1"/>
    <w:basedOn w:val="Normal"/>
    <w:link w:val="Bodytext"/>
    <w:qFormat/>
    <w:rsid w:val="00CD40B8"/>
    <w:pPr>
      <w:widowControl w:val="0"/>
      <w:spacing w:line="480" w:lineRule="auto"/>
      <w:ind w:firstLine="400"/>
    </w:pPr>
    <w:rPr>
      <w:rFonts w:asciiTheme="minorHAnsi" w:eastAsiaTheme="minorHAnsi" w:hAnsiTheme="minorHAnsi" w:cstheme="minorBidi"/>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2521</Words>
  <Characters>14375</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2026-03-02T03:12:00Z</dcterms:created>
  <dcterms:modified xsi:type="dcterms:W3CDTF">2026-03-02T03:12:00Z</dcterms:modified>
</cp:coreProperties>
</file>