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01" w:rsidRDefault="00CC1301" w:rsidP="00CC1301">
      <w:pPr>
        <w:pStyle w:val="Heading1"/>
      </w:pPr>
      <w:bookmarkStart w:id="0" w:name="_Toc201563359"/>
      <w:bookmarkStart w:id="1" w:name="_GoBack"/>
      <w:bookmarkEnd w:id="1"/>
      <w:r w:rsidRPr="0081450E">
        <w:t>BAB I</w:t>
      </w:r>
      <w:bookmarkStart w:id="2" w:name="_Toc185182053"/>
      <w:bookmarkEnd w:id="0"/>
    </w:p>
    <w:p w:rsidR="00CC1301" w:rsidRPr="0081450E" w:rsidRDefault="00CC1301" w:rsidP="00CC1301">
      <w:pPr>
        <w:pStyle w:val="Heading1"/>
      </w:pPr>
      <w:bookmarkStart w:id="3" w:name="_Toc201563360"/>
      <w:r w:rsidRPr="0081450E">
        <w:t>PENDAHULUAN</w:t>
      </w:r>
      <w:bookmarkEnd w:id="2"/>
      <w:bookmarkEnd w:id="3"/>
    </w:p>
    <w:p w:rsidR="00CC1301" w:rsidRPr="0081450E" w:rsidRDefault="00CC1301" w:rsidP="00CC1301">
      <w:pPr>
        <w:spacing w:after="0"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301" w:rsidRPr="0081450E" w:rsidRDefault="00CC1301" w:rsidP="00CC1301">
      <w:pPr>
        <w:pStyle w:val="Heading2"/>
      </w:pPr>
      <w:bookmarkStart w:id="4" w:name="_Toc201563361"/>
      <w:r>
        <w:t xml:space="preserve">A. </w:t>
      </w:r>
      <w:proofErr w:type="spellStart"/>
      <w:r w:rsidRPr="0081450E">
        <w:t>Latar</w:t>
      </w:r>
      <w:proofErr w:type="spellEnd"/>
      <w:r w:rsidRPr="0081450E">
        <w:t xml:space="preserve"> </w:t>
      </w:r>
      <w:proofErr w:type="spellStart"/>
      <w:r w:rsidRPr="0081450E">
        <w:t>Belakang</w:t>
      </w:r>
      <w:bookmarkEnd w:id="4"/>
      <w:proofErr w:type="spellEnd"/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Amplas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jumpai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dimana-mana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digemari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terkhususnya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Amplas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kemanapun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perjanajian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patuhi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tetaplah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1450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mula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perikatan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Verbintenis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dipadankan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perikatan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r w:rsidRPr="0081450E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Verbintenis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verbiden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1450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Verbintenis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verbintenis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Perikatan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1233 KUH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perikatan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perikatan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undang-undangan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1338 KUH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kewajibannya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melaksanakannya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mengemuka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menggariskan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layaknya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intervensi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1338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KUHPerdata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”.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Herlien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Budiono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dipaksakan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penataanya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kontraktual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terberi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dipertanyakan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timbal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membayarkan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nikmatnya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diawal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tetapkan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1338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KUHPerdata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yng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itikad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cakap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r w:rsidRPr="0081450E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Masih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meremehkan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beranggapan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memeiliki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terlanggarnya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dipastikannya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  <w:t xml:space="preserve">Hal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amatlah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dikarena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dikajinya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Amplas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sulusi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 w:rsidRPr="0081450E">
        <w:rPr>
          <w:rFonts w:ascii="Times New Roman" w:hAnsi="Times New Roman" w:cs="Times New Roman"/>
          <w:sz w:val="24"/>
          <w:szCs w:val="24"/>
        </w:rPr>
        <w:tab/>
      </w:r>
    </w:p>
    <w:p w:rsidR="00CC1301" w:rsidRPr="0081450E" w:rsidRDefault="00CC1301" w:rsidP="00CC13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301" w:rsidRPr="00CA1DC2" w:rsidRDefault="00CC1301" w:rsidP="00CC1301">
      <w:pPr>
        <w:pStyle w:val="Heading2"/>
      </w:pPr>
      <w:bookmarkStart w:id="5" w:name="_Toc201563362"/>
      <w:r>
        <w:t xml:space="preserve">B. </w:t>
      </w:r>
      <w:proofErr w:type="spellStart"/>
      <w:r w:rsidRPr="00582878">
        <w:t>Rumusan</w:t>
      </w:r>
      <w:proofErr w:type="spellEnd"/>
      <w:r w:rsidRPr="00582878">
        <w:t xml:space="preserve"> </w:t>
      </w:r>
      <w:proofErr w:type="spellStart"/>
      <w:r w:rsidRPr="00582878">
        <w:t>Masalah</w:t>
      </w:r>
      <w:bookmarkEnd w:id="5"/>
      <w:proofErr w:type="spellEnd"/>
    </w:p>
    <w:p w:rsidR="00CC1301" w:rsidRPr="0081450E" w:rsidRDefault="00CC1301" w:rsidP="00CC130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Amplas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?</w:t>
      </w:r>
    </w:p>
    <w:p w:rsidR="00CC1301" w:rsidRPr="0081450E" w:rsidRDefault="00CC1301" w:rsidP="00CC130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KUHPerdata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?</w:t>
      </w:r>
    </w:p>
    <w:p w:rsidR="00CC1301" w:rsidRPr="0081450E" w:rsidRDefault="00CC1301" w:rsidP="00CC130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tejadi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wanprestasi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tinjau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?</w:t>
      </w:r>
    </w:p>
    <w:p w:rsidR="00CC1301" w:rsidRPr="0081450E" w:rsidRDefault="00CC1301" w:rsidP="00CC1301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C1301" w:rsidRPr="0081450E" w:rsidRDefault="00CC1301" w:rsidP="00CC1301">
      <w:pPr>
        <w:pStyle w:val="Heading2"/>
      </w:pPr>
      <w:bookmarkStart w:id="6" w:name="_Toc201563363"/>
      <w:r>
        <w:t xml:space="preserve">C. </w:t>
      </w:r>
      <w:proofErr w:type="spellStart"/>
      <w:r w:rsidRPr="0081450E">
        <w:t>Tujuan</w:t>
      </w:r>
      <w:proofErr w:type="spellEnd"/>
      <w:r w:rsidRPr="0081450E">
        <w:t xml:space="preserve"> </w:t>
      </w:r>
      <w:proofErr w:type="spellStart"/>
      <w:r w:rsidRPr="0081450E">
        <w:t>Penelitian</w:t>
      </w:r>
      <w:bookmarkEnd w:id="6"/>
      <w:proofErr w:type="spellEnd"/>
    </w:p>
    <w:p w:rsidR="00CC1301" w:rsidRPr="003712CA" w:rsidRDefault="00CC1301" w:rsidP="00CC1301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3712CA">
        <w:rPr>
          <w:rFonts w:ascii="Times New Roman" w:hAnsi="Times New Roman" w:cs="Times New Roman"/>
          <w:sz w:val="24"/>
          <w:szCs w:val="24"/>
        </w:rPr>
        <w:t>.</w:t>
      </w:r>
    </w:p>
    <w:p w:rsidR="00CC1301" w:rsidRPr="0081450E" w:rsidRDefault="00CC1301" w:rsidP="00CC1301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Motor</w:t>
      </w:r>
    </w:p>
    <w:p w:rsidR="00CC1301" w:rsidRDefault="00CC1301" w:rsidP="00CC1301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servanda</w:t>
      </w:r>
      <w:proofErr w:type="spellEnd"/>
    </w:p>
    <w:p w:rsidR="00CC1301" w:rsidRDefault="00CC1301" w:rsidP="00CC1301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C1301" w:rsidRPr="0081450E" w:rsidRDefault="00CC1301" w:rsidP="00CC1301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C1301" w:rsidRPr="0081450E" w:rsidRDefault="00CC1301" w:rsidP="00CC1301">
      <w:pPr>
        <w:pStyle w:val="Heading2"/>
      </w:pPr>
      <w:bookmarkStart w:id="7" w:name="_Toc201563364"/>
      <w:r>
        <w:t xml:space="preserve">D. </w:t>
      </w:r>
      <w:proofErr w:type="spellStart"/>
      <w:r w:rsidRPr="0081450E">
        <w:t>Manfaat</w:t>
      </w:r>
      <w:proofErr w:type="spellEnd"/>
      <w:r w:rsidRPr="0081450E">
        <w:t xml:space="preserve"> </w:t>
      </w:r>
      <w:proofErr w:type="spellStart"/>
      <w:r w:rsidRPr="0081450E">
        <w:t>Penelitian</w:t>
      </w:r>
      <w:bookmarkEnd w:id="7"/>
      <w:proofErr w:type="spellEnd"/>
    </w:p>
    <w:p w:rsidR="00CC1301" w:rsidRPr="003712CA" w:rsidRDefault="00CC1301" w:rsidP="00CC1301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CC1301" w:rsidRDefault="00CC1301" w:rsidP="00CC1301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CC1301" w:rsidRPr="0081450E" w:rsidRDefault="00CC1301" w:rsidP="00CC1301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E058D2" w:rsidRPr="00CC1301" w:rsidRDefault="00873A27" w:rsidP="00CC1301"/>
    <w:sectPr w:rsidR="00E058D2" w:rsidRPr="00CC1301" w:rsidSect="00561299">
      <w:headerReference w:type="even" r:id="rId7"/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5A9" w:rsidRDefault="009C25A9" w:rsidP="00CC1301">
      <w:pPr>
        <w:spacing w:after="0" w:line="240" w:lineRule="auto"/>
      </w:pPr>
      <w:r>
        <w:separator/>
      </w:r>
    </w:p>
  </w:endnote>
  <w:endnote w:type="continuationSeparator" w:id="0">
    <w:p w:rsidR="009C25A9" w:rsidRDefault="009C25A9" w:rsidP="00C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5A9" w:rsidRDefault="009C25A9" w:rsidP="00CC1301">
      <w:pPr>
        <w:spacing w:after="0" w:line="240" w:lineRule="auto"/>
      </w:pPr>
      <w:r>
        <w:separator/>
      </w:r>
    </w:p>
  </w:footnote>
  <w:footnote w:type="continuationSeparator" w:id="0">
    <w:p w:rsidR="009C25A9" w:rsidRDefault="009C25A9" w:rsidP="00CC1301">
      <w:pPr>
        <w:spacing w:after="0" w:line="240" w:lineRule="auto"/>
      </w:pPr>
      <w:r>
        <w:continuationSeparator/>
      </w:r>
    </w:p>
  </w:footnote>
  <w:footnote w:id="1">
    <w:p w:rsidR="00CC1301" w:rsidRPr="004A114C" w:rsidRDefault="00CC1301" w:rsidP="00CC1301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Desi</w:t>
      </w:r>
      <w:proofErr w:type="spellEnd"/>
      <w:r>
        <w:t xml:space="preserve"> </w:t>
      </w:r>
      <w:proofErr w:type="spellStart"/>
      <w:r>
        <w:t>Syamsiah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dkk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Penerapan</w:t>
      </w:r>
      <w:proofErr w:type="spellEnd"/>
      <w:r>
        <w:rPr>
          <w:lang w:val="en-US"/>
        </w:rPr>
        <w:t xml:space="preserve"> </w:t>
      </w:r>
      <w:proofErr w:type="spellStart"/>
      <w:r w:rsidRPr="00B65810">
        <w:rPr>
          <w:i/>
          <w:iCs/>
          <w:lang w:val="en-US"/>
        </w:rPr>
        <w:t>Pacta</w:t>
      </w:r>
      <w:proofErr w:type="spellEnd"/>
      <w:r w:rsidRPr="00B65810">
        <w:rPr>
          <w:i/>
          <w:iCs/>
          <w:lang w:val="en-US"/>
        </w:rPr>
        <w:t xml:space="preserve"> </w:t>
      </w:r>
      <w:proofErr w:type="spellStart"/>
      <w:r w:rsidRPr="00B65810">
        <w:rPr>
          <w:i/>
          <w:iCs/>
          <w:lang w:val="en-US"/>
        </w:rPr>
        <w:t>Sunt</w:t>
      </w:r>
      <w:proofErr w:type="spellEnd"/>
      <w:r w:rsidRPr="00B65810">
        <w:rPr>
          <w:i/>
          <w:iCs/>
          <w:lang w:val="en-US"/>
        </w:rPr>
        <w:t xml:space="preserve"> </w:t>
      </w:r>
      <w:proofErr w:type="spellStart"/>
      <w:r w:rsidRPr="00B65810">
        <w:rPr>
          <w:i/>
          <w:iCs/>
          <w:lang w:val="en-US"/>
        </w:rPr>
        <w:t>Servanda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Perjanjian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Volume 9,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2, </w:t>
      </w:r>
      <w:proofErr w:type="spellStart"/>
      <w:r>
        <w:rPr>
          <w:lang w:val="en-US"/>
        </w:rPr>
        <w:t>Bulan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Terbit</w:t>
      </w:r>
      <w:proofErr w:type="spellEnd"/>
      <w:r>
        <w:rPr>
          <w:lang w:val="en-US"/>
        </w:rPr>
        <w:t>- 2023.</w:t>
      </w:r>
    </w:p>
  </w:footnote>
  <w:footnote w:id="2">
    <w:p w:rsidR="00CC1301" w:rsidRPr="00EB32A4" w:rsidRDefault="00CC1301" w:rsidP="00CC1301">
      <w:pPr>
        <w:pStyle w:val="FootnoteText"/>
        <w:ind w:firstLine="72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B32A4">
        <w:rPr>
          <w:i/>
          <w:iCs/>
          <w:lang w:val="en-US"/>
        </w:rPr>
        <w:t>Ibid</w:t>
      </w:r>
      <w:r>
        <w:rPr>
          <w:lang w:val="en-US"/>
        </w:rPr>
        <w:t>.</w:t>
      </w:r>
    </w:p>
  </w:footnote>
  <w:footnote w:id="3">
    <w:p w:rsidR="00CC1301" w:rsidRPr="00090F1A" w:rsidRDefault="00CC1301" w:rsidP="00CC1301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Jabalnur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,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Dari </w:t>
      </w:r>
      <w:proofErr w:type="spellStart"/>
      <w:r>
        <w:t>Asas</w:t>
      </w:r>
      <w:proofErr w:type="spellEnd"/>
      <w:r>
        <w:t xml:space="preserve"> </w:t>
      </w:r>
      <w:proofErr w:type="spellStart"/>
      <w:r w:rsidRPr="00B65810">
        <w:rPr>
          <w:i/>
          <w:iCs/>
        </w:rPr>
        <w:t>Pacta</w:t>
      </w:r>
      <w:proofErr w:type="spellEnd"/>
      <w:r w:rsidRPr="00B65810">
        <w:rPr>
          <w:i/>
          <w:iCs/>
        </w:rPr>
        <w:t xml:space="preserve"> </w:t>
      </w:r>
      <w:proofErr w:type="spellStart"/>
      <w:r w:rsidRPr="00B65810">
        <w:rPr>
          <w:i/>
          <w:iCs/>
        </w:rPr>
        <w:t>Sunt</w:t>
      </w:r>
      <w:proofErr w:type="spellEnd"/>
      <w:r w:rsidRPr="00B65810">
        <w:rPr>
          <w:i/>
          <w:iCs/>
        </w:rPr>
        <w:t xml:space="preserve"> </w:t>
      </w:r>
      <w:proofErr w:type="spellStart"/>
      <w:r w:rsidRPr="00B65810">
        <w:rPr>
          <w:i/>
          <w:iCs/>
        </w:rPr>
        <w:t>Servanda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Halu</w:t>
      </w:r>
      <w:proofErr w:type="spellEnd"/>
      <w:r>
        <w:t xml:space="preserve"> Oleo Legal Research, volume 6, Issue, 2 </w:t>
      </w:r>
      <w:proofErr w:type="spellStart"/>
      <w:r>
        <w:t>Agustus</w:t>
      </w:r>
      <w:proofErr w:type="spellEnd"/>
      <w:r>
        <w:t xml:space="preserve"> 2024, </w:t>
      </w:r>
      <w:proofErr w:type="spellStart"/>
      <w:r>
        <w:t>pp</w:t>
      </w:r>
      <w:proofErr w:type="spellEnd"/>
      <w:r>
        <w:t xml:space="preserve"> 247-257.</w:t>
      </w:r>
    </w:p>
  </w:footnote>
  <w:footnote w:id="4">
    <w:p w:rsidR="00CC1301" w:rsidRPr="009D6EA3" w:rsidRDefault="00CC1301" w:rsidP="00CC1301">
      <w:pPr>
        <w:pStyle w:val="FootnoteText"/>
        <w:ind w:firstLine="720"/>
        <w:rPr>
          <w:i/>
          <w:iCs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D6EA3">
        <w:rPr>
          <w:i/>
          <w:iCs/>
          <w:lang w:val="en-US"/>
        </w:rPr>
        <w:t>Ibid</w:t>
      </w:r>
    </w:p>
  </w:footnote>
  <w:footnote w:id="5">
    <w:p w:rsidR="00CC1301" w:rsidRPr="00A9699B" w:rsidRDefault="00CC1301" w:rsidP="00CC1301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Muhammad </w:t>
      </w:r>
      <w:proofErr w:type="spellStart"/>
      <w:r>
        <w:rPr>
          <w:lang w:val="en-US"/>
        </w:rPr>
        <w:t>Farhan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Gayo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dkk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Penerapan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Asas</w:t>
      </w:r>
      <w:proofErr w:type="spellEnd"/>
      <w:r>
        <w:rPr>
          <w:lang w:val="en-US"/>
        </w:rPr>
        <w:t xml:space="preserve"> </w:t>
      </w:r>
      <w:proofErr w:type="spellStart"/>
      <w:r w:rsidRPr="00B65810">
        <w:rPr>
          <w:i/>
          <w:iCs/>
          <w:lang w:val="en-US"/>
        </w:rPr>
        <w:t>Pacta</w:t>
      </w:r>
      <w:proofErr w:type="spellEnd"/>
      <w:r w:rsidRPr="00B65810">
        <w:rPr>
          <w:i/>
          <w:iCs/>
          <w:lang w:val="en-US"/>
        </w:rPr>
        <w:t xml:space="preserve"> </w:t>
      </w:r>
      <w:proofErr w:type="spellStart"/>
      <w:r w:rsidRPr="00B65810">
        <w:rPr>
          <w:i/>
          <w:iCs/>
          <w:lang w:val="en-US"/>
        </w:rPr>
        <w:t>Sunt</w:t>
      </w:r>
      <w:proofErr w:type="spellEnd"/>
      <w:r w:rsidRPr="00B65810">
        <w:rPr>
          <w:i/>
          <w:iCs/>
          <w:lang w:val="en-US"/>
        </w:rPr>
        <w:t xml:space="preserve"> </w:t>
      </w:r>
      <w:proofErr w:type="spellStart"/>
      <w:r w:rsidRPr="00B65810">
        <w:rPr>
          <w:i/>
          <w:iCs/>
          <w:lang w:val="en-US"/>
        </w:rPr>
        <w:t>Servanda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Perjanjian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Usaha, Vol. 8 No. 3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2021.</w:t>
      </w:r>
    </w:p>
  </w:footnote>
  <w:footnote w:id="6">
    <w:p w:rsidR="00CC1301" w:rsidRPr="006A2B63" w:rsidRDefault="00CC1301" w:rsidP="00CC1301">
      <w:pPr>
        <w:pStyle w:val="FootnoteText"/>
        <w:ind w:firstLine="720"/>
        <w:rPr>
          <w:lang w:val="en-US"/>
        </w:rPr>
      </w:pPr>
      <w:r>
        <w:rPr>
          <w:rStyle w:val="FootnoteReference"/>
        </w:rPr>
        <w:footnoteRef/>
      </w:r>
      <w:r w:rsidRPr="00FE7BBB">
        <w:rPr>
          <w:i/>
          <w:iCs/>
        </w:rPr>
        <w:t xml:space="preserve"> </w:t>
      </w:r>
      <w:r w:rsidRPr="00FE7BBB">
        <w:rPr>
          <w:i/>
          <w:iCs/>
          <w:lang w:val="en-US"/>
        </w:rPr>
        <w:t>Ibid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873A2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9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873A2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40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873A2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8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4D1F"/>
    <w:multiLevelType w:val="hybridMultilevel"/>
    <w:tmpl w:val="97C0138E"/>
    <w:lvl w:ilvl="0" w:tplc="1160D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2303C"/>
    <w:multiLevelType w:val="hybridMultilevel"/>
    <w:tmpl w:val="5E6E3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52C57"/>
    <w:multiLevelType w:val="hybridMultilevel"/>
    <w:tmpl w:val="AD34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C0CC6"/>
    <w:multiLevelType w:val="hybridMultilevel"/>
    <w:tmpl w:val="A84AB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Y96lvfrQEUg8EcQv5WNfSNdF43XdvLBvONnx9UDEKrnZWBDadMjcQIbTUpt8EDUFB85FviSqzlFPfCRRTIgeQ==" w:salt="COX3cJGMA6bkGrb19ZUnC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9"/>
    <w:rsid w:val="00482E0F"/>
    <w:rsid w:val="00543120"/>
    <w:rsid w:val="00561299"/>
    <w:rsid w:val="00621AFD"/>
    <w:rsid w:val="00873A27"/>
    <w:rsid w:val="009C25A9"/>
    <w:rsid w:val="00C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88655E0-6B7C-4C5D-B390-250D267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299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299"/>
    <w:pPr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3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299"/>
    <w:rPr>
      <w:rFonts w:ascii="Times New Roman" w:hAnsi="Times New Roman" w:cs="Times New Roman"/>
      <w:b/>
      <w:bCs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9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9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99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543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12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43120"/>
    <w:pPr>
      <w:tabs>
        <w:tab w:val="right" w:leader="dot" w:pos="7927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43120"/>
    <w:pPr>
      <w:tabs>
        <w:tab w:val="right" w:leader="dot" w:pos="7927"/>
      </w:tabs>
      <w:spacing w:after="0" w:line="360" w:lineRule="auto"/>
      <w:ind w:left="567" w:hanging="347"/>
    </w:pPr>
  </w:style>
  <w:style w:type="paragraph" w:styleId="TOC3">
    <w:name w:val="toc 3"/>
    <w:basedOn w:val="Normal"/>
    <w:next w:val="Normal"/>
    <w:autoRedefine/>
    <w:uiPriority w:val="39"/>
    <w:unhideWhenUsed/>
    <w:rsid w:val="00543120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C1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3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301"/>
    <w:rPr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CC1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6347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2026-03-02T08:11:00Z</dcterms:created>
  <dcterms:modified xsi:type="dcterms:W3CDTF">2026-03-02T08:11:00Z</dcterms:modified>
</cp:coreProperties>
</file>