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28" w:rsidRDefault="00473328">
      <w:pPr>
        <w:pStyle w:val="BodyText"/>
      </w:pPr>
    </w:p>
    <w:p w:rsidR="00473328" w:rsidRDefault="00473328">
      <w:pPr>
        <w:pStyle w:val="BodyText"/>
      </w:pPr>
    </w:p>
    <w:p w:rsidR="00473328" w:rsidRDefault="00473328">
      <w:pPr>
        <w:pStyle w:val="BodyText"/>
      </w:pPr>
    </w:p>
    <w:p w:rsidR="00473328" w:rsidRDefault="00473328">
      <w:pPr>
        <w:pStyle w:val="BodyText"/>
      </w:pPr>
    </w:p>
    <w:p w:rsidR="00473328" w:rsidRDefault="00473328">
      <w:pPr>
        <w:pStyle w:val="BodyText"/>
        <w:spacing w:before="81"/>
      </w:pPr>
    </w:p>
    <w:p w:rsidR="00473328" w:rsidRDefault="008C4018">
      <w:pPr>
        <w:pStyle w:val="Heading1"/>
        <w:numPr>
          <w:ilvl w:val="0"/>
          <w:numId w:val="1"/>
        </w:numPr>
        <w:tabs>
          <w:tab w:val="left" w:pos="843"/>
        </w:tabs>
        <w:spacing w:before="0"/>
        <w:ind w:left="843" w:hanging="278"/>
      </w:pPr>
      <w:r>
        <w:t>Latar</w:t>
      </w:r>
      <w:r>
        <w:rPr>
          <w:spacing w:val="-2"/>
        </w:rPr>
        <w:t>Belakang</w:t>
      </w:r>
    </w:p>
    <w:p w:rsidR="00473328" w:rsidRDefault="008C4018">
      <w:pPr>
        <w:spacing w:before="69"/>
        <w:ind w:right="136"/>
        <w:jc w:val="right"/>
        <w:rPr>
          <w:sz w:val="24"/>
        </w:rPr>
      </w:pPr>
      <w:r>
        <w:br w:type="column"/>
      </w:r>
      <w:r>
        <w:rPr>
          <w:spacing w:val="-10"/>
          <w:sz w:val="24"/>
        </w:rPr>
        <w:lastRenderedPageBreak/>
        <w:t>1</w:t>
      </w:r>
    </w:p>
    <w:p w:rsidR="00473328" w:rsidRDefault="008C4018">
      <w:pPr>
        <w:pStyle w:val="Heading1"/>
        <w:spacing w:before="52" w:line="465" w:lineRule="auto"/>
        <w:ind w:left="565" w:right="3181" w:firstLine="600"/>
        <w:jc w:val="left"/>
      </w:pPr>
      <w:r>
        <w:t xml:space="preserve">BAB I </w:t>
      </w:r>
      <w:r>
        <w:rPr>
          <w:spacing w:val="-2"/>
        </w:rPr>
        <w:t>PENDAHULUAN</w:t>
      </w:r>
    </w:p>
    <w:p w:rsidR="00473328" w:rsidRDefault="00473328">
      <w:pPr>
        <w:pStyle w:val="Heading1"/>
        <w:spacing w:line="465" w:lineRule="auto"/>
        <w:jc w:val="left"/>
        <w:sectPr w:rsidR="00473328">
          <w:type w:val="continuous"/>
          <w:pgSz w:w="11920" w:h="16850"/>
          <w:pgMar w:top="1300" w:right="1559" w:bottom="280" w:left="1700" w:header="720" w:footer="720" w:gutter="0"/>
          <w:cols w:num="2" w:space="720" w:equalWidth="0">
            <w:col w:w="2478" w:space="572"/>
            <w:col w:w="5611"/>
          </w:cols>
        </w:sectPr>
      </w:pPr>
    </w:p>
    <w:p w:rsidR="00473328" w:rsidRDefault="00473328">
      <w:pPr>
        <w:pStyle w:val="BodyText"/>
        <w:spacing w:before="16"/>
        <w:rPr>
          <w:b/>
        </w:rPr>
      </w:pPr>
    </w:p>
    <w:p w:rsidR="00473328" w:rsidRDefault="008C4018">
      <w:pPr>
        <w:pStyle w:val="BodyText"/>
        <w:spacing w:line="480" w:lineRule="auto"/>
        <w:ind w:left="565" w:right="143" w:firstLine="568"/>
        <w:jc w:val="both"/>
      </w:pPr>
      <w:r>
        <w:t>Dalam perlindungan Hak Asasi Manusia telah banyak perlindungan yang telah dengan jelas dan tegas diatur dalam sebuah peraturan perundang-undangan. Dalam hukum pidana Indonesia selama ini, hak-hak pelaku tindak pidana dalam proses peradilan pidana memperole</w:t>
      </w:r>
      <w:r>
        <w:t>h pengaturan secara memadai. Pada dasarnya hak-hak korban dalam KUHAP meliputi tiga dimensi, yaitu: Pertama, hak untuk mengajukan keberatan terhadap tindakan penyidikan dan/atau penghentian penuntutan dalam kapasitasnya sebagai pihak ketiga yang berkepenti</w:t>
      </w:r>
      <w:r>
        <w:t>ngan (Pasal</w:t>
      </w:r>
    </w:p>
    <w:p w:rsidR="00473328" w:rsidRDefault="008C4018">
      <w:pPr>
        <w:pStyle w:val="BodyText"/>
        <w:spacing w:before="3" w:line="480" w:lineRule="auto"/>
        <w:ind w:left="565" w:right="140"/>
        <w:jc w:val="both"/>
      </w:pPr>
      <w:r>
        <w:t>109 dan 140 ayat (2) KUHAP), kedua, hak korban yang berkaitan dengan kedudukannya sebagai saksi berupa mengundurkan diri berdasarkan Pasal 168 KUHAP danhak bagi keluarga korban, dalam hal korban meninggal dunia, untuk mengijinkanatautidakmengij</w:t>
      </w:r>
      <w:r>
        <w:t>inkantindakanpolisiuntukmelakukanbedah mayat atau penggalian kubur untuk otopsi (Pasal 134-136 KUHAP). Ketiga, hak untuk menuntut ganti kerugian terhadap akibat kejahatan dalam kapasitasnya sebagai pihak ketiga yang dirugikan (Pasal 98-101 KUHAP).</w:t>
      </w:r>
    </w:p>
    <w:p w:rsidR="00473328" w:rsidRDefault="008C4018">
      <w:pPr>
        <w:pStyle w:val="BodyText"/>
        <w:spacing w:before="2" w:line="480" w:lineRule="auto"/>
        <w:ind w:left="565" w:right="137" w:firstLine="568"/>
        <w:jc w:val="both"/>
      </w:pPr>
      <w:r>
        <w:t>Kekerasa</w:t>
      </w:r>
      <w:r>
        <w:t>n seksual selalu terjadi di setiap tahun yang korbannya rata-rata adalah anak-anakdanperempuan.WHO</w:t>
      </w:r>
      <w:r>
        <w:rPr>
          <w:i/>
        </w:rPr>
        <w:t xml:space="preserve">(WorldHealthOrganization) </w:t>
      </w:r>
      <w:r>
        <w:t>mengatakan bahwakasuskekerasandanperundungan mencapai sekitar 1miliardengan korban yaitu anak-anak, salah satunya kekerasan seksual.</w:t>
      </w:r>
      <w:r>
        <w:rPr>
          <w:vertAlign w:val="superscript"/>
        </w:rPr>
        <w:t>1</w:t>
      </w:r>
    </w:p>
    <w:p w:rsidR="00473328" w:rsidRDefault="00473328">
      <w:pPr>
        <w:pStyle w:val="BodyText"/>
        <w:rPr>
          <w:sz w:val="20"/>
        </w:rPr>
      </w:pPr>
    </w:p>
    <w:p w:rsidR="00473328" w:rsidRDefault="00473328">
      <w:pPr>
        <w:pStyle w:val="BodyText"/>
        <w:spacing w:before="104"/>
        <w:rPr>
          <w:sz w:val="20"/>
        </w:rPr>
      </w:pPr>
      <w:r w:rsidRPr="00473328">
        <w:rPr>
          <w:sz w:val="20"/>
        </w:rPr>
        <w:pict>
          <v:rect id="docshape1" o:spid="_x0000_s1030" style="position:absolute;margin-left:113.4pt;margin-top:17.9pt;width:2in;height:.7pt;z-index:-15728640;mso-wrap-distance-left:0;mso-wrap-distance-right:0;mso-position-horizontal-relative:page" fillcolor="black" stroked="f">
            <w10:wrap type="topAndBottom" anchorx="page"/>
          </v:rect>
        </w:pict>
      </w:r>
    </w:p>
    <w:p w:rsidR="00473328" w:rsidRDefault="008C4018">
      <w:pPr>
        <w:spacing w:before="108" w:line="242" w:lineRule="auto"/>
        <w:ind w:left="1133" w:right="829"/>
        <w:rPr>
          <w:sz w:val="20"/>
        </w:rPr>
      </w:pPr>
      <w:r>
        <w:rPr>
          <w:sz w:val="20"/>
          <w:vertAlign w:val="superscript"/>
        </w:rPr>
        <w:t>1</w:t>
      </w:r>
      <w:r>
        <w:rPr>
          <w:sz w:val="20"/>
        </w:rPr>
        <w:t>Finkelhor,D.(2017).</w:t>
      </w:r>
      <w:r>
        <w:rPr>
          <w:i/>
          <w:sz w:val="20"/>
        </w:rPr>
        <w:t>TrendsinChildMaltreatmentintheUnitedStates.Child Abuse &amp; Neglect</w:t>
      </w:r>
      <w:r>
        <w:rPr>
          <w:sz w:val="20"/>
        </w:rPr>
        <w:t>,Halaman: 112</w:t>
      </w:r>
    </w:p>
    <w:p w:rsidR="00473328" w:rsidRDefault="00473328">
      <w:pPr>
        <w:spacing w:line="242" w:lineRule="auto"/>
        <w:rPr>
          <w:sz w:val="20"/>
        </w:rPr>
        <w:sectPr w:rsidR="00473328">
          <w:type w:val="continuous"/>
          <w:pgSz w:w="11920" w:h="16850"/>
          <w:pgMar w:top="1300" w:right="1559" w:bottom="280" w:left="1700" w:header="720" w:footer="720" w:gutter="0"/>
          <w:cols w:space="720"/>
        </w:sectPr>
      </w:pPr>
    </w:p>
    <w:p w:rsidR="00473328" w:rsidRDefault="008C4018">
      <w:pPr>
        <w:pStyle w:val="BodyText"/>
        <w:spacing w:before="61" w:line="480" w:lineRule="auto"/>
        <w:ind w:left="565" w:right="147" w:firstLine="568"/>
        <w:jc w:val="both"/>
      </w:pPr>
      <w:r>
        <w:lastRenderedPageBreak/>
        <w:t>Menurut Brodwin dan Orange dalam kejahatan seksual merupakan tindakan kriminal dalam aktivitas seksual dengan cara pelaku mengancam dan menghasut sehingga korban tidak berdaya agar melakukan hal seksualitas. Kejahatan seksual didasariunsurpaksaan,mengancam</w:t>
      </w:r>
      <w:r>
        <w:t>,tidakdikehendakikorban,dandiiming-imingi agar korban mengikuti perkataan pelaku. Bentuk dari pelecehan seksual yaitu non verbal dan verbal. Tindakan pelecehan seksual tidak hanya pemerkosaan dan pencabulan, akan tetapi dapat berupa memandangi, melihat, me</w:t>
      </w:r>
      <w:r>
        <w:t>raba dengan unsur paksaan sehingga anak tidak berdaya.</w:t>
      </w:r>
      <w:r>
        <w:rPr>
          <w:vertAlign w:val="superscript"/>
        </w:rPr>
        <w:t>2</w:t>
      </w:r>
    </w:p>
    <w:p w:rsidR="00473328" w:rsidRDefault="008C4018">
      <w:pPr>
        <w:pStyle w:val="BodyText"/>
        <w:spacing w:before="58" w:line="487" w:lineRule="auto"/>
        <w:ind w:left="565" w:right="160" w:firstLine="568"/>
        <w:jc w:val="both"/>
      </w:pPr>
      <w:r>
        <w:t>Menurut Komnas Perempuan Tahun 2023 Secara umum, jumlah pengaduan kasusmenurunpadatahun2022daritahunsebelumnya,yaitumenjadi457.895</w:t>
      </w:r>
      <w:r>
        <w:rPr>
          <w:spacing w:val="-4"/>
        </w:rPr>
        <w:t>dari</w:t>
      </w:r>
    </w:p>
    <w:p w:rsidR="00473328" w:rsidRDefault="008C4018">
      <w:pPr>
        <w:pStyle w:val="BodyText"/>
        <w:spacing w:line="480" w:lineRule="auto"/>
        <w:ind w:left="565" w:right="150"/>
        <w:jc w:val="both"/>
      </w:pPr>
      <w:r>
        <w:t>459.094. Penurunan pelaporan dihimpun dari data lembaga layanan d</w:t>
      </w:r>
      <w:r>
        <w:t>an Badilag.Sementara pengaduan ke Komnas Perempuan meningkat menjadi 4371 dari4322kasus.Denganjumlahiniberartirata-rataKomnasPerempuanmenerima pengaduan sebanyak 17 kasus /hari.</w:t>
      </w:r>
      <w:r>
        <w:rPr>
          <w:vertAlign w:val="superscript"/>
        </w:rPr>
        <w:t>3</w:t>
      </w:r>
    </w:p>
    <w:p w:rsidR="00473328" w:rsidRDefault="008C4018">
      <w:pPr>
        <w:pStyle w:val="BodyText"/>
        <w:spacing w:line="480" w:lineRule="auto"/>
        <w:ind w:left="565" w:right="145" w:firstLine="568"/>
        <w:jc w:val="both"/>
      </w:pPr>
      <w:r>
        <w:t>KomnasPerempuanjugamelaporkansebanyak339.782daritotalpengaduan tersebutadalah</w:t>
      </w:r>
      <w:r>
        <w:t>kekerasanberbasisgender(KBG),yang3442diantaranyadiadukan keKomnasPerempuan.Kekerasandiranahpersonalmasihmendominasipelaporan kasusKBG,yaitu99%atau336.804kasus.PadapengaduandiKomnasPerempuan, kasus di ranah personal mencapai 61% atau 2.098 kasus.Untuk kasus</w:t>
      </w:r>
      <w:r>
        <w:t xml:space="preserve"> di ranah publik, tercatat total 2978 kasus dimana 1.276 di antaranya dilaporkan kepada KomnasPerempuan.Sementaraitu,kasuskekerasandiranahnegara</w:t>
      </w:r>
      <w:r>
        <w:rPr>
          <w:spacing w:val="-2"/>
        </w:rPr>
        <w:t>hanya</w:t>
      </w:r>
    </w:p>
    <w:p w:rsidR="00473328" w:rsidRDefault="00473328">
      <w:pPr>
        <w:pStyle w:val="BodyText"/>
        <w:rPr>
          <w:sz w:val="20"/>
        </w:rPr>
      </w:pPr>
    </w:p>
    <w:p w:rsidR="00473328" w:rsidRDefault="00473328">
      <w:pPr>
        <w:pStyle w:val="BodyText"/>
        <w:rPr>
          <w:sz w:val="20"/>
        </w:rPr>
      </w:pPr>
    </w:p>
    <w:p w:rsidR="00473328" w:rsidRDefault="00473328">
      <w:pPr>
        <w:pStyle w:val="BodyText"/>
        <w:spacing w:before="53"/>
        <w:rPr>
          <w:sz w:val="20"/>
        </w:rPr>
      </w:pPr>
      <w:r w:rsidRPr="00473328">
        <w:rPr>
          <w:sz w:val="20"/>
        </w:rPr>
        <w:pict>
          <v:rect id="docshape3" o:spid="_x0000_s1029" style="position:absolute;margin-left:113.4pt;margin-top:15.35pt;width:2in;height:.7pt;z-index:-15728128;mso-wrap-distance-left:0;mso-wrap-distance-right:0;mso-position-horizontal-relative:page" fillcolor="black" stroked="f">
            <w10:wrap type="topAndBottom" anchorx="page"/>
          </v:rect>
        </w:pict>
      </w:r>
    </w:p>
    <w:p w:rsidR="00473328" w:rsidRDefault="008C4018">
      <w:pPr>
        <w:spacing w:before="124"/>
        <w:ind w:left="1133"/>
        <w:rPr>
          <w:sz w:val="20"/>
        </w:rPr>
      </w:pPr>
      <w:r>
        <w:rPr>
          <w:sz w:val="20"/>
          <w:vertAlign w:val="superscript"/>
        </w:rPr>
        <w:t>2</w:t>
      </w:r>
      <w:r>
        <w:rPr>
          <w:sz w:val="20"/>
        </w:rPr>
        <w:t>Sari,A.,Brodwin,M.,&amp;Orange,R.</w:t>
      </w:r>
      <w:r>
        <w:rPr>
          <w:spacing w:val="-2"/>
          <w:sz w:val="20"/>
        </w:rPr>
        <w:t>(2015).</w:t>
      </w:r>
    </w:p>
    <w:p w:rsidR="00473328" w:rsidRDefault="008C4018">
      <w:pPr>
        <w:spacing w:before="10" w:line="242" w:lineRule="auto"/>
        <w:ind w:left="1133" w:right="829"/>
        <w:rPr>
          <w:sz w:val="20"/>
        </w:rPr>
      </w:pPr>
      <w:r>
        <w:rPr>
          <w:sz w:val="20"/>
          <w:vertAlign w:val="superscript"/>
        </w:rPr>
        <w:t>3</w:t>
      </w:r>
      <w:r>
        <w:rPr>
          <w:sz w:val="20"/>
        </w:rPr>
        <w:t>KomnasPerempuan.(2023).LaporanTahunan2022:PengaduanKasusdan Ana</w:t>
      </w:r>
      <w:r>
        <w:rPr>
          <w:sz w:val="20"/>
        </w:rPr>
        <w:t>lisis Data. Jakarta: Komnas Perempua</w:t>
      </w:r>
    </w:p>
    <w:p w:rsidR="00473328" w:rsidRDefault="00473328">
      <w:pPr>
        <w:spacing w:line="242" w:lineRule="auto"/>
        <w:rPr>
          <w:sz w:val="20"/>
        </w:rPr>
        <w:sectPr w:rsidR="00473328">
          <w:footerReference w:type="default" r:id="rId7"/>
          <w:pgSz w:w="11920" w:h="16850"/>
          <w:pgMar w:top="1700" w:right="1559" w:bottom="580" w:left="1700" w:header="0" w:footer="398" w:gutter="0"/>
          <w:pgNumType w:start="2"/>
          <w:cols w:space="720"/>
        </w:sectPr>
      </w:pPr>
    </w:p>
    <w:p w:rsidR="00473328" w:rsidRDefault="008C4018">
      <w:pPr>
        <w:pStyle w:val="BodyText"/>
        <w:spacing w:before="77" w:line="487" w:lineRule="auto"/>
        <w:ind w:left="565" w:right="144"/>
        <w:jc w:val="both"/>
      </w:pPr>
      <w:r>
        <w:lastRenderedPageBreak/>
        <w:t>ditemukandiKomnasPerempuan, denganpeningkatan hampir2kalilipat, dari38 kasus di 2021 menjadi 68 kasus di 2022.</w:t>
      </w:r>
    </w:p>
    <w:p w:rsidR="00473328" w:rsidRDefault="008C4018">
      <w:pPr>
        <w:pStyle w:val="BodyText"/>
        <w:spacing w:line="480" w:lineRule="auto"/>
        <w:ind w:left="565" w:right="145" w:firstLine="568"/>
        <w:jc w:val="both"/>
      </w:pPr>
      <w:r>
        <w:t>PerlindungananakmerupakansebuahbidangpembangunanNasionaldengan fokus utamanya adalah untuk melindungi anak.Melindungi anak memilikitujuan agar dapat membangun generasi muda sebaik mungkin.Perlindungan anak berhubunganeratdengan5pilaryaituorangtua,keluarga,</w:t>
      </w:r>
      <w:r>
        <w:t>masyarakat,pemerintah, pemerintahdaerahdannegaradimanakelimanyamemilikihubungansatusamalain sebagai penyelenggara perlindungan terhadap anak.</w:t>
      </w:r>
    </w:p>
    <w:p w:rsidR="00473328" w:rsidRDefault="008C4018">
      <w:pPr>
        <w:pStyle w:val="BodyText"/>
        <w:spacing w:line="480" w:lineRule="auto"/>
        <w:ind w:left="565" w:right="137" w:firstLine="568"/>
        <w:jc w:val="both"/>
      </w:pPr>
      <w:r>
        <w:t xml:space="preserve">Dalam melakukan perlindungan terhadap anak diperlukan peran negara, keluarga maupun masyarakat sebagaimana diatur </w:t>
      </w:r>
      <w:r>
        <w:t>dalam Undang-Undang Nomor 35 Tahun 2014 perubahan atas Undang-undang Nomor 23 Tahun 2002 tentang perlindungan anak pada pasal 59 ayat 1 menyatakan bahwa “pemerintah, pemerintah daerah dan lembaga negara lainnya berkewajiban dan bertanggungjawab untuk membe</w:t>
      </w:r>
      <w:r>
        <w:t>rikan perlindungan khususkepadaanak”. Melalui Undang-undangNomor35Tahun2014,bertujuanuntukmemberikanperlindungan terhadap anak-anak Indonesia dari segala bentuk diskriminasi dan kekerasan dipertegas.TujuandibentuknyaUndang-undang tentangperlindungan anak a</w:t>
      </w:r>
      <w:r>
        <w:t>dalah untuk melindungi anak dari segala bentuk kekerasan fisik, emosional, sosial dan seksual, penelantaran, tindakanmembahayakan, eksploitasi:ekonomi, seksualdan diskriminasi karena latar belakang ekonomi, politis, agama, sosial budaya dan orang tuanya se</w:t>
      </w:r>
      <w:r>
        <w:t>hingga hak-hak anak agar dapat hidup, tumbuh, berkembang dan berpartisipasi secara optimal.</w:t>
      </w:r>
      <w:r>
        <w:rPr>
          <w:vertAlign w:val="superscript"/>
        </w:rPr>
        <w:t>4</w:t>
      </w:r>
    </w:p>
    <w:p w:rsidR="00473328" w:rsidRDefault="00473328">
      <w:pPr>
        <w:pStyle w:val="BodyText"/>
        <w:rPr>
          <w:sz w:val="20"/>
        </w:rPr>
      </w:pPr>
    </w:p>
    <w:p w:rsidR="00473328" w:rsidRDefault="00473328">
      <w:pPr>
        <w:pStyle w:val="BodyText"/>
        <w:rPr>
          <w:sz w:val="20"/>
        </w:rPr>
      </w:pPr>
    </w:p>
    <w:p w:rsidR="00473328" w:rsidRDefault="00473328">
      <w:pPr>
        <w:pStyle w:val="BodyText"/>
        <w:spacing w:before="217"/>
        <w:rPr>
          <w:sz w:val="20"/>
        </w:rPr>
      </w:pPr>
      <w:r w:rsidRPr="00473328">
        <w:rPr>
          <w:sz w:val="20"/>
        </w:rPr>
        <w:pict>
          <v:rect id="docshape4" o:spid="_x0000_s1028" style="position:absolute;margin-left:113.4pt;margin-top:23.6pt;width:2in;height:.7pt;z-index:-15727616;mso-wrap-distance-left:0;mso-wrap-distance-right:0;mso-position-horizontal-relative:page" fillcolor="black" stroked="f">
            <w10:wrap type="topAndBottom" anchorx="page"/>
          </v:rect>
        </w:pict>
      </w:r>
    </w:p>
    <w:p w:rsidR="00473328" w:rsidRDefault="008C4018">
      <w:pPr>
        <w:spacing w:before="106"/>
        <w:ind w:left="565"/>
        <w:jc w:val="both"/>
        <w:rPr>
          <w:sz w:val="20"/>
        </w:rPr>
      </w:pPr>
      <w:r>
        <w:rPr>
          <w:sz w:val="20"/>
          <w:vertAlign w:val="superscript"/>
        </w:rPr>
        <w:t>4</w:t>
      </w:r>
      <w:r>
        <w:rPr>
          <w:sz w:val="20"/>
        </w:rPr>
        <w:t>LembaranNegaraRepublikIndonesiaTahun2014Nomor</w:t>
      </w:r>
      <w:r>
        <w:rPr>
          <w:spacing w:val="-5"/>
          <w:sz w:val="20"/>
        </w:rPr>
        <w:t>297</w:t>
      </w:r>
    </w:p>
    <w:p w:rsidR="00473328" w:rsidRDefault="00473328">
      <w:pPr>
        <w:jc w:val="both"/>
        <w:rPr>
          <w:sz w:val="20"/>
        </w:rPr>
        <w:sectPr w:rsidR="00473328">
          <w:pgSz w:w="11920" w:h="16850"/>
          <w:pgMar w:top="1620" w:right="1559" w:bottom="580" w:left="1700" w:header="0" w:footer="398" w:gutter="0"/>
          <w:cols w:space="720"/>
        </w:sectPr>
      </w:pPr>
    </w:p>
    <w:p w:rsidR="00473328" w:rsidRDefault="008C4018">
      <w:pPr>
        <w:pStyle w:val="BodyText"/>
        <w:spacing w:before="77" w:line="484" w:lineRule="auto"/>
        <w:ind w:left="565" w:right="150" w:firstLine="568"/>
        <w:jc w:val="both"/>
      </w:pPr>
      <w:r>
        <w:lastRenderedPageBreak/>
        <w:t>Namun pada hakikatnya kejahatan diluar kendali kendali kita, seperti yang terjadidi</w:t>
      </w:r>
      <w:r>
        <w:t>desa-desayangminimpengetahuanyangmengakibatkankejahatanterjadi dengan begitu mudah.</w:t>
      </w:r>
    </w:p>
    <w:p w:rsidR="00473328" w:rsidRDefault="008C4018">
      <w:pPr>
        <w:pStyle w:val="BodyText"/>
        <w:spacing w:before="48" w:line="480" w:lineRule="auto"/>
        <w:ind w:left="565" w:right="149" w:firstLine="568"/>
        <w:jc w:val="both"/>
      </w:pPr>
      <w:r>
        <w:t xml:space="preserve">Di Labuhanbatu sendiri kekerasan seksual dapat terjadi karena berbagai faktor, dari data di bawah terlihat bahwa kabupaten labuhanbatu mengalami peneingkatan kasus seksual </w:t>
      </w:r>
      <w:r>
        <w:t>dari tahun 2023-2024.Data tersebut dapat dilihat pada gambar di bawah ini.</w:t>
      </w:r>
    </w:p>
    <w:p w:rsidR="00473328" w:rsidRDefault="008C4018">
      <w:pPr>
        <w:pStyle w:val="BodyText"/>
        <w:ind w:left="567"/>
        <w:rPr>
          <w:sz w:val="20"/>
        </w:rPr>
      </w:pPr>
      <w:r>
        <w:rPr>
          <w:noProof/>
          <w:sz w:val="20"/>
          <w:lang w:val="id-ID" w:eastAsia="id-ID"/>
        </w:rPr>
        <w:drawing>
          <wp:inline distT="0" distB="0" distL="0" distR="0">
            <wp:extent cx="5014190" cy="249516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014190" cy="2495169"/>
                    </a:xfrm>
                    <a:prstGeom prst="rect">
                      <a:avLst/>
                    </a:prstGeom>
                  </pic:spPr>
                </pic:pic>
              </a:graphicData>
            </a:graphic>
          </wp:inline>
        </w:drawing>
      </w:r>
    </w:p>
    <w:p w:rsidR="00473328" w:rsidRDefault="00473328">
      <w:pPr>
        <w:pStyle w:val="BodyText"/>
        <w:spacing w:before="205"/>
      </w:pPr>
    </w:p>
    <w:p w:rsidR="00473328" w:rsidRDefault="008C4018">
      <w:pPr>
        <w:pStyle w:val="BodyText"/>
        <w:ind w:left="423" w:right="12"/>
        <w:jc w:val="center"/>
      </w:pPr>
      <w:r>
        <w:rPr>
          <w:b/>
        </w:rPr>
        <w:t>Gambar1.</w:t>
      </w:r>
      <w:r>
        <w:t xml:space="preserve">DataPelecehan SeaksualKabupatenLabuhanbatu </w:t>
      </w:r>
      <w:r>
        <w:rPr>
          <w:spacing w:val="-4"/>
        </w:rPr>
        <w:t>2023</w:t>
      </w:r>
    </w:p>
    <w:p w:rsidR="00473328" w:rsidRDefault="008C4018">
      <w:pPr>
        <w:pStyle w:val="BodyText"/>
        <w:spacing w:before="34"/>
        <w:rPr>
          <w:sz w:val="20"/>
        </w:rPr>
      </w:pPr>
      <w:r>
        <w:rPr>
          <w:noProof/>
          <w:sz w:val="20"/>
          <w:lang w:val="id-ID" w:eastAsia="id-ID"/>
        </w:rPr>
        <w:drawing>
          <wp:anchor distT="0" distB="0" distL="0" distR="0" simplePos="0" relativeHeight="487589376" behindDoc="1" locked="0" layoutInCell="1" allowOverlap="1">
            <wp:simplePos x="0" y="0"/>
            <wp:positionH relativeFrom="page">
              <wp:posOffset>1419225</wp:posOffset>
            </wp:positionH>
            <wp:positionV relativeFrom="paragraph">
              <wp:posOffset>183157</wp:posOffset>
            </wp:positionV>
            <wp:extent cx="4896595" cy="268109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896595" cy="2681097"/>
                    </a:xfrm>
                    <a:prstGeom prst="rect">
                      <a:avLst/>
                    </a:prstGeom>
                  </pic:spPr>
                </pic:pic>
              </a:graphicData>
            </a:graphic>
          </wp:anchor>
        </w:drawing>
      </w:r>
    </w:p>
    <w:p w:rsidR="00473328" w:rsidRDefault="00473328">
      <w:pPr>
        <w:pStyle w:val="BodyText"/>
        <w:rPr>
          <w:sz w:val="20"/>
        </w:rPr>
        <w:sectPr w:rsidR="00473328">
          <w:pgSz w:w="11920" w:h="16850"/>
          <w:pgMar w:top="1620" w:right="1559" w:bottom="580" w:left="1700" w:header="0" w:footer="398" w:gutter="0"/>
          <w:cols w:space="720"/>
        </w:sectPr>
      </w:pPr>
    </w:p>
    <w:p w:rsidR="00473328" w:rsidRDefault="008C4018">
      <w:pPr>
        <w:pStyle w:val="BodyText"/>
        <w:spacing w:before="69"/>
        <w:ind w:left="423" w:right="12"/>
        <w:jc w:val="center"/>
      </w:pPr>
      <w:r>
        <w:rPr>
          <w:b/>
        </w:rPr>
        <w:lastRenderedPageBreak/>
        <w:t>Gambar1.</w:t>
      </w:r>
      <w:r>
        <w:t xml:space="preserve">DataPelecehan SeaksualKabupatenLabuhanbatu </w:t>
      </w:r>
      <w:r>
        <w:rPr>
          <w:spacing w:val="-4"/>
        </w:rPr>
        <w:t>2024</w:t>
      </w:r>
    </w:p>
    <w:p w:rsidR="00473328" w:rsidRDefault="00473328">
      <w:pPr>
        <w:pStyle w:val="BodyText"/>
        <w:spacing w:before="160"/>
      </w:pPr>
    </w:p>
    <w:p w:rsidR="00473328" w:rsidRDefault="008C4018">
      <w:pPr>
        <w:pStyle w:val="BodyText"/>
        <w:spacing w:line="480" w:lineRule="auto"/>
        <w:ind w:left="565" w:right="144" w:firstLine="568"/>
        <w:jc w:val="both"/>
      </w:pPr>
      <w:r>
        <w:t>Pada tahun 2023 pelecehan seksual di Kabupate</w:t>
      </w:r>
      <w:r>
        <w:t>n Labuhanbatu terdapat 73 kasusterjaditerhadap pelecehan seksualsecaraumumdan merupakan tingkatke9 terbanyak dari seluruh Kabupaten di Sumatera Utara. Sementara pada tahun 2024 mengalami peningkatan yang sangat signifikan hingga mencapai 89 kasus dan berad</w:t>
      </w:r>
      <w:r>
        <w:t>a pringkat ke-7 dari seluruh Kabupaten di Sumatera Utara.Data ini diproleh langsung dari SIMFONI PPA (Sistem Informasi Online Perlindungan Perempuan dan Anak).Hal ini menunjukan bahwa kabupaten labuhanbatu adalah Kabupaten yang tidak aman dalam hal kasus p</w:t>
      </w:r>
      <w:r>
        <w:t>elecehan seksual baik secara harafahnya.</w:t>
      </w:r>
      <w:r>
        <w:rPr>
          <w:vertAlign w:val="superscript"/>
        </w:rPr>
        <w:t>5</w:t>
      </w:r>
    </w:p>
    <w:p w:rsidR="00473328" w:rsidRDefault="008C4018">
      <w:pPr>
        <w:pStyle w:val="BodyText"/>
        <w:spacing w:before="2" w:line="480" w:lineRule="auto"/>
        <w:ind w:left="565" w:right="141" w:firstLine="568"/>
        <w:jc w:val="both"/>
      </w:pPr>
      <w:r>
        <w:t>Desateluk sentosamerupakandesakecilyang terletak padabagianpesisir di provinsi Sumatera Utara.Desa teluk sentosa merupakan desa tertinggal di bidang pendidikan, hal ini bisa di lihat pada data di bawah ini.</w:t>
      </w:r>
    </w:p>
    <w:p w:rsidR="00473328" w:rsidRDefault="008C4018">
      <w:pPr>
        <w:pStyle w:val="BodyText"/>
        <w:spacing w:before="130"/>
        <w:rPr>
          <w:sz w:val="20"/>
        </w:rPr>
      </w:pPr>
      <w:r>
        <w:rPr>
          <w:noProof/>
          <w:sz w:val="20"/>
          <w:lang w:val="id-ID" w:eastAsia="id-ID"/>
        </w:rPr>
        <w:drawing>
          <wp:anchor distT="0" distB="0" distL="0" distR="0" simplePos="0" relativeHeight="487589888" behindDoc="1" locked="0" layoutInCell="1" allowOverlap="1">
            <wp:simplePos x="0" y="0"/>
            <wp:positionH relativeFrom="page">
              <wp:posOffset>1393825</wp:posOffset>
            </wp:positionH>
            <wp:positionV relativeFrom="paragraph">
              <wp:posOffset>244451</wp:posOffset>
            </wp:positionV>
            <wp:extent cx="4852927" cy="238887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852927" cy="2388870"/>
                    </a:xfrm>
                    <a:prstGeom prst="rect">
                      <a:avLst/>
                    </a:prstGeom>
                  </pic:spPr>
                </pic:pic>
              </a:graphicData>
            </a:graphic>
          </wp:anchor>
        </w:drawing>
      </w:r>
    </w:p>
    <w:p w:rsidR="00473328" w:rsidRDefault="008C4018">
      <w:pPr>
        <w:pStyle w:val="BodyText"/>
        <w:spacing w:before="273" w:line="274" w:lineRule="exact"/>
        <w:ind w:left="423"/>
        <w:jc w:val="center"/>
      </w:pPr>
      <w:r>
        <w:rPr>
          <w:b/>
        </w:rPr>
        <w:t>Gambar3.</w:t>
      </w:r>
      <w:r>
        <w:t>DataPendidikanDesaTeluk Sentosa,</w:t>
      </w:r>
      <w:r>
        <w:rPr>
          <w:spacing w:val="-2"/>
        </w:rPr>
        <w:t>2024.</w:t>
      </w:r>
    </w:p>
    <w:p w:rsidR="00473328" w:rsidRDefault="008C4018">
      <w:pPr>
        <w:spacing w:line="274" w:lineRule="exact"/>
        <w:ind w:left="423" w:right="4"/>
        <w:jc w:val="center"/>
        <w:rPr>
          <w:sz w:val="24"/>
        </w:rPr>
      </w:pPr>
      <w:r>
        <w:rPr>
          <w:b/>
          <w:sz w:val="24"/>
        </w:rPr>
        <w:t>(Sumber:</w:t>
      </w:r>
      <w:r>
        <w:rPr>
          <w:sz w:val="24"/>
        </w:rPr>
        <w:t>DataDigitalDesaTelukSentosa,</w:t>
      </w:r>
      <w:r>
        <w:rPr>
          <w:spacing w:val="-2"/>
          <w:sz w:val="24"/>
        </w:rPr>
        <w:t>2024)</w:t>
      </w:r>
      <w:r>
        <w:rPr>
          <w:spacing w:val="-2"/>
          <w:sz w:val="24"/>
          <w:vertAlign w:val="superscript"/>
        </w:rPr>
        <w:t>6</w:t>
      </w:r>
    </w:p>
    <w:p w:rsidR="00473328" w:rsidRDefault="00473328">
      <w:pPr>
        <w:pStyle w:val="BodyText"/>
        <w:rPr>
          <w:sz w:val="20"/>
        </w:rPr>
      </w:pPr>
    </w:p>
    <w:p w:rsidR="00473328" w:rsidRDefault="00473328">
      <w:pPr>
        <w:pStyle w:val="BodyText"/>
        <w:spacing w:before="24"/>
        <w:rPr>
          <w:sz w:val="20"/>
        </w:rPr>
      </w:pPr>
      <w:r w:rsidRPr="00473328">
        <w:rPr>
          <w:sz w:val="20"/>
        </w:rPr>
        <w:pict>
          <v:rect id="docshape5" o:spid="_x0000_s1027" style="position:absolute;margin-left:113.4pt;margin-top:13.9pt;width:2in;height:.7pt;z-index:-15726080;mso-wrap-distance-left:0;mso-wrap-distance-right:0;mso-position-horizontal-relative:page" fillcolor="black" stroked="f">
            <w10:wrap type="topAndBottom" anchorx="page"/>
          </v:rect>
        </w:pict>
      </w:r>
    </w:p>
    <w:p w:rsidR="00473328" w:rsidRDefault="008C4018">
      <w:pPr>
        <w:spacing w:before="103"/>
        <w:ind w:left="565"/>
        <w:rPr>
          <w:b/>
          <w:sz w:val="20"/>
        </w:rPr>
      </w:pPr>
      <w:r>
        <w:rPr>
          <w:sz w:val="20"/>
          <w:vertAlign w:val="superscript"/>
        </w:rPr>
        <w:t>5</w:t>
      </w:r>
      <w:r>
        <w:rPr>
          <w:b/>
          <w:sz w:val="20"/>
        </w:rPr>
        <w:t>SIMFONIPPA(SistemInformasiOnlinePerlindunganPerempuandanAnak)2023-</w:t>
      </w:r>
      <w:r>
        <w:rPr>
          <w:b/>
          <w:spacing w:val="-4"/>
          <w:sz w:val="20"/>
        </w:rPr>
        <w:t>2024</w:t>
      </w:r>
    </w:p>
    <w:p w:rsidR="00473328" w:rsidRDefault="008C4018">
      <w:pPr>
        <w:pStyle w:val="BodyText"/>
        <w:spacing w:before="5"/>
        <w:ind w:left="565"/>
      </w:pPr>
      <w:r>
        <w:rPr>
          <w:position w:val="7"/>
          <w:sz w:val="13"/>
        </w:rPr>
        <w:t>6</w:t>
      </w:r>
      <w:r>
        <w:t>DataDigitalDesaTeluk Sentosa,</w:t>
      </w:r>
      <w:r>
        <w:rPr>
          <w:spacing w:val="-4"/>
        </w:rPr>
        <w:t xml:space="preserve"> 2024</w:t>
      </w:r>
    </w:p>
    <w:p w:rsidR="00473328" w:rsidRDefault="00473328">
      <w:pPr>
        <w:pStyle w:val="BodyText"/>
        <w:sectPr w:rsidR="00473328">
          <w:pgSz w:w="11920" w:h="16850"/>
          <w:pgMar w:top="1940" w:right="1559" w:bottom="580" w:left="1700" w:header="0" w:footer="398" w:gutter="0"/>
          <w:cols w:space="720"/>
        </w:sectPr>
      </w:pPr>
    </w:p>
    <w:p w:rsidR="00473328" w:rsidRDefault="008C4018">
      <w:pPr>
        <w:pStyle w:val="BodyText"/>
        <w:spacing w:before="61" w:line="480" w:lineRule="auto"/>
        <w:ind w:left="565" w:right="143" w:firstLine="720"/>
        <w:jc w:val="both"/>
      </w:pPr>
      <w:r>
        <w:lastRenderedPageBreak/>
        <w:t>Dari data gambar 1 diatas terlihat bahwa persentase pendidikan paling tingggi yaitu tidak/belum sekolah mencapai 3.831jiwa disusulyang dengan tamat SD/Sederajat. Hal ini menunjukkan bahwa masyarakat DesaTelukSentosa minim pengetahuan sehingga masyarakat De</w:t>
      </w:r>
      <w:r>
        <w:t>sa Teluk Sentosa selalu tutup mata apa yang terjadi kepada anak mereka.</w:t>
      </w:r>
    </w:p>
    <w:p w:rsidR="00473328" w:rsidRDefault="008C4018">
      <w:pPr>
        <w:pStyle w:val="BodyText"/>
        <w:spacing w:before="1" w:line="480" w:lineRule="auto"/>
        <w:ind w:left="565" w:right="145" w:firstLine="720"/>
        <w:jc w:val="both"/>
      </w:pPr>
      <w:r>
        <w:t xml:space="preserve">Peran hukum dalam kehidupan masyarakat sangatlah vital. Hukum tidak hanya berfungsi untuk menjaga ketertiban dan keamanan, tetapi juga memastikan bahwa setiap individu mendapatkan hak </w:t>
      </w:r>
      <w:r>
        <w:t>dan keadilan sosial. Melalui lembaga- lembagahukum,prosespenegakanhukumberjalansecaraefektifdanadil. Dengan demikian,hukummenjadifondasiyangkuatbagimasyarakatyangberkeadilandan sejahtera.Penegakan hukum yang baik tidak hanya berfokus pada penghukuman pelan</w:t>
      </w:r>
      <w:r>
        <w:t xml:space="preserve">ggar, tetapi jugapadaupayauntukmencapaikeseimbangan sosialyang lebih </w:t>
      </w:r>
      <w:r>
        <w:rPr>
          <w:spacing w:val="-2"/>
        </w:rPr>
        <w:t>adil.</w:t>
      </w:r>
      <w:r>
        <w:rPr>
          <w:spacing w:val="-2"/>
          <w:vertAlign w:val="superscript"/>
        </w:rPr>
        <w:t>7</w:t>
      </w:r>
    </w:p>
    <w:p w:rsidR="00473328" w:rsidRDefault="008C4018">
      <w:pPr>
        <w:pStyle w:val="BodyText"/>
        <w:spacing w:before="3" w:line="480" w:lineRule="auto"/>
        <w:ind w:left="565" w:right="135" w:firstLine="720"/>
        <w:jc w:val="both"/>
      </w:pPr>
      <w:r>
        <w:t xml:space="preserve">Selanjutnya langkah kongrit negara dalam melindungi HAM ialah dengan memberikan fasilitas pengaduan kepada siapa saja untuk bisa mengadu apabila ia melihat adanya pelanggaran HAM. </w:t>
      </w:r>
      <w:r>
        <w:t>UUNomor 39 Tahun 1999 karena lahir pada masa Reformasi dan adanya pengaruh Internasional dan isu-isu HAM yang pada saat itu sedang memuncakmembuat pembentuk Undang-undang sangat berhatihati dan teliti dalam mencantumkan jenis atau macam-macam hak asasi yan</w:t>
      </w:r>
      <w:r>
        <w:t>g wajib dilindungi.Ada nilai positif dan ada nilai negatif apabila lahir sebuah produk peratiran perundang-undangan, hal ini disebabkan adanya benturan-benturan kepentingan dan paham didalam sebuah masyarakat.</w:t>
      </w:r>
    </w:p>
    <w:p w:rsidR="00473328" w:rsidRDefault="00473328">
      <w:pPr>
        <w:pStyle w:val="BodyText"/>
        <w:rPr>
          <w:sz w:val="20"/>
        </w:rPr>
      </w:pPr>
    </w:p>
    <w:p w:rsidR="00473328" w:rsidRDefault="00473328">
      <w:pPr>
        <w:pStyle w:val="BodyText"/>
        <w:spacing w:before="43"/>
        <w:rPr>
          <w:sz w:val="20"/>
        </w:rPr>
      </w:pPr>
      <w:r w:rsidRPr="00473328">
        <w:rPr>
          <w:sz w:val="20"/>
        </w:rPr>
        <w:pict>
          <v:rect id="docshape6" o:spid="_x0000_s1026" style="position:absolute;margin-left:113.4pt;margin-top:14.85pt;width:2in;height:.7pt;z-index:-15725568;mso-wrap-distance-left:0;mso-wrap-distance-right:0;mso-position-horizontal-relative:page" fillcolor="black" stroked="f">
            <w10:wrap type="topAndBottom" anchorx="page"/>
          </v:rect>
        </w:pict>
      </w:r>
    </w:p>
    <w:p w:rsidR="00473328" w:rsidRDefault="008C4018">
      <w:pPr>
        <w:spacing w:before="131" w:line="242" w:lineRule="auto"/>
        <w:ind w:left="565"/>
        <w:rPr>
          <w:sz w:val="20"/>
        </w:rPr>
      </w:pPr>
      <w:r>
        <w:rPr>
          <w:sz w:val="20"/>
          <w:vertAlign w:val="superscript"/>
        </w:rPr>
        <w:t>7</w:t>
      </w:r>
      <w:r>
        <w:rPr>
          <w:sz w:val="20"/>
        </w:rPr>
        <w:t>Mufid,A.(2009).PeranHukumdalamKehidupanMas</w:t>
      </w:r>
      <w:r>
        <w:rPr>
          <w:sz w:val="20"/>
        </w:rPr>
        <w:t>yarakat.Jakarta:PenerbitHukumSejahtera. Halaman 45-47.</w:t>
      </w:r>
    </w:p>
    <w:p w:rsidR="00473328" w:rsidRDefault="00473328">
      <w:pPr>
        <w:spacing w:line="242" w:lineRule="auto"/>
        <w:rPr>
          <w:sz w:val="20"/>
        </w:rPr>
        <w:sectPr w:rsidR="00473328">
          <w:pgSz w:w="11920" w:h="16850"/>
          <w:pgMar w:top="1700" w:right="1559" w:bottom="580" w:left="1700" w:header="0" w:footer="398" w:gutter="0"/>
          <w:cols w:space="720"/>
        </w:sectPr>
      </w:pPr>
    </w:p>
    <w:p w:rsidR="00473328" w:rsidRDefault="008C4018">
      <w:pPr>
        <w:pStyle w:val="BodyText"/>
        <w:spacing w:before="61" w:line="480" w:lineRule="auto"/>
        <w:ind w:left="565" w:right="138" w:firstLine="720"/>
        <w:jc w:val="both"/>
      </w:pPr>
      <w:r>
        <w:rPr>
          <w:spacing w:val="-2"/>
        </w:rPr>
        <w:lastRenderedPageBreak/>
        <w:t xml:space="preserve">Makadariitupenulistertarikuntukmenelititentang“HakKorbanKekerasan </w:t>
      </w:r>
      <w:r>
        <w:t>Seksual Terhadap Anak Di Bawah Umur Di Tinjau Dari Undang-Undang Nomor 35 Tahun 2014 Tentang Perlindungan Anak Di Desa Teluk Sentosa Dusun VII Kecamatan Panai Hulu Kabupaten Labuhanbatu”.</w:t>
      </w:r>
    </w:p>
    <w:p w:rsidR="00473328" w:rsidRDefault="008C4018">
      <w:pPr>
        <w:pStyle w:val="Heading1"/>
        <w:numPr>
          <w:ilvl w:val="0"/>
          <w:numId w:val="1"/>
        </w:numPr>
        <w:tabs>
          <w:tab w:val="left" w:pos="988"/>
        </w:tabs>
        <w:spacing w:before="153"/>
        <w:ind w:left="988" w:hanging="423"/>
        <w:jc w:val="both"/>
      </w:pPr>
      <w:r>
        <w:t>RumusanMasalah</w:t>
      </w:r>
      <w:r>
        <w:rPr>
          <w:spacing w:val="-2"/>
        </w:rPr>
        <w:t>Penelitian</w:t>
      </w:r>
    </w:p>
    <w:p w:rsidR="00473328" w:rsidRDefault="008C4018">
      <w:pPr>
        <w:pStyle w:val="ListParagraph"/>
        <w:numPr>
          <w:ilvl w:val="1"/>
          <w:numId w:val="1"/>
        </w:numPr>
        <w:tabs>
          <w:tab w:val="left" w:pos="990"/>
        </w:tabs>
        <w:spacing w:before="4" w:line="480" w:lineRule="auto"/>
        <w:ind w:left="990" w:right="137" w:hanging="425"/>
        <w:jc w:val="both"/>
        <w:rPr>
          <w:sz w:val="24"/>
        </w:rPr>
      </w:pPr>
      <w:r>
        <w:rPr>
          <w:sz w:val="24"/>
        </w:rPr>
        <w:t>Bagaimana bentuk perlindungan hukum terhada</w:t>
      </w:r>
      <w:r>
        <w:rPr>
          <w:sz w:val="24"/>
        </w:rPr>
        <w:t>p korban kekerasan seksual yang terjadi kepada anak dibawah umur yang di tinjau dari Undang-Undang Nomor 35 tahun 2014 tentang perlindungan anak di desa teluk sentosa kecamatan panai hulu kabupaten labuhanbatu ?</w:t>
      </w:r>
    </w:p>
    <w:p w:rsidR="00473328" w:rsidRDefault="008C4018">
      <w:pPr>
        <w:pStyle w:val="ListParagraph"/>
        <w:numPr>
          <w:ilvl w:val="1"/>
          <w:numId w:val="1"/>
        </w:numPr>
        <w:tabs>
          <w:tab w:val="left" w:pos="990"/>
        </w:tabs>
        <w:spacing w:line="480" w:lineRule="auto"/>
        <w:ind w:left="990" w:right="152" w:hanging="425"/>
        <w:jc w:val="both"/>
        <w:rPr>
          <w:sz w:val="24"/>
        </w:rPr>
      </w:pPr>
      <w:r>
        <w:rPr>
          <w:sz w:val="24"/>
        </w:rPr>
        <w:t>Faktor apa yang mempengaruhi dalam pemenuhan</w:t>
      </w:r>
      <w:r>
        <w:rPr>
          <w:sz w:val="24"/>
        </w:rPr>
        <w:t xml:space="preserve"> perlindungan hukum </w:t>
      </w:r>
      <w:r>
        <w:rPr>
          <w:spacing w:val="-2"/>
          <w:sz w:val="24"/>
        </w:rPr>
        <w:t xml:space="preserve">terhadapkorbankekerasanseksualyangterjadikepadaanakdibawahumuryang ditinjaudariUndang-UndangNomor35tahun2014tentangperlindungananak </w:t>
      </w:r>
      <w:r>
        <w:rPr>
          <w:sz w:val="24"/>
        </w:rPr>
        <w:t>di desa teluk sentosa kecamatan panai hulu kabupaten labuhanbatu ?</w:t>
      </w:r>
    </w:p>
    <w:p w:rsidR="00473328" w:rsidRDefault="008C4018">
      <w:pPr>
        <w:pStyle w:val="ListParagraph"/>
        <w:numPr>
          <w:ilvl w:val="1"/>
          <w:numId w:val="1"/>
        </w:numPr>
        <w:tabs>
          <w:tab w:val="left" w:pos="990"/>
        </w:tabs>
        <w:spacing w:before="2" w:line="480" w:lineRule="auto"/>
        <w:ind w:left="990" w:right="139" w:hanging="425"/>
        <w:jc w:val="both"/>
        <w:rPr>
          <w:sz w:val="24"/>
        </w:rPr>
      </w:pPr>
      <w:r>
        <w:rPr>
          <w:sz w:val="24"/>
        </w:rPr>
        <w:t>Bagaimanapolapenangankasuskorbankeker</w:t>
      </w:r>
      <w:r>
        <w:rPr>
          <w:sz w:val="24"/>
        </w:rPr>
        <w:t>asanseksualyangterjadikepada anakdibawahumuryangditinjaudariUndang-UndangNomor35tahun2014 tentang perlindungan anak di desa teluk sentosa kecamatan panai hulu kabupaten labuhanbatu ?</w:t>
      </w:r>
    </w:p>
    <w:p w:rsidR="00473328" w:rsidRDefault="008C4018">
      <w:pPr>
        <w:pStyle w:val="Heading1"/>
        <w:numPr>
          <w:ilvl w:val="0"/>
          <w:numId w:val="1"/>
        </w:numPr>
        <w:tabs>
          <w:tab w:val="left" w:pos="988"/>
        </w:tabs>
        <w:spacing w:before="161"/>
        <w:ind w:left="988" w:hanging="423"/>
        <w:jc w:val="both"/>
      </w:pPr>
      <w:r>
        <w:t>Tujuan</w:t>
      </w:r>
      <w:r>
        <w:rPr>
          <w:spacing w:val="-2"/>
        </w:rPr>
        <w:t>Penelitian</w:t>
      </w:r>
    </w:p>
    <w:p w:rsidR="00473328" w:rsidRDefault="00473328">
      <w:pPr>
        <w:pStyle w:val="BodyText"/>
        <w:spacing w:before="8"/>
        <w:rPr>
          <w:b/>
        </w:rPr>
      </w:pPr>
    </w:p>
    <w:p w:rsidR="00473328" w:rsidRDefault="008C4018">
      <w:pPr>
        <w:pStyle w:val="ListParagraph"/>
        <w:numPr>
          <w:ilvl w:val="1"/>
          <w:numId w:val="1"/>
        </w:numPr>
        <w:tabs>
          <w:tab w:val="left" w:pos="990"/>
        </w:tabs>
        <w:spacing w:before="0" w:line="480" w:lineRule="auto"/>
        <w:ind w:left="990" w:right="142" w:hanging="425"/>
        <w:jc w:val="both"/>
        <w:rPr>
          <w:sz w:val="24"/>
        </w:rPr>
      </w:pPr>
      <w:r>
        <w:rPr>
          <w:sz w:val="24"/>
        </w:rPr>
        <w:t>Untuk mengetahui bentuk perlindungan hukum terhadap korban kekerasan seksual yang terjadi kepada anak dibawah umur yang di tinjau dari Undang- UndangNomor35tahun2014tentangperlindungananakdidesateluksentosa kecamatan panai hulu kabupaten labuhanbatu,</w:t>
      </w:r>
    </w:p>
    <w:p w:rsidR="00473328" w:rsidRDefault="008C4018">
      <w:pPr>
        <w:pStyle w:val="ListParagraph"/>
        <w:numPr>
          <w:ilvl w:val="1"/>
          <w:numId w:val="1"/>
        </w:numPr>
        <w:tabs>
          <w:tab w:val="left" w:pos="990"/>
        </w:tabs>
        <w:spacing w:line="480" w:lineRule="auto"/>
        <w:ind w:left="990" w:right="136" w:hanging="425"/>
        <w:jc w:val="both"/>
        <w:rPr>
          <w:sz w:val="24"/>
        </w:rPr>
      </w:pPr>
      <w:r>
        <w:rPr>
          <w:sz w:val="24"/>
        </w:rPr>
        <w:t>Untuk</w:t>
      </w:r>
      <w:r>
        <w:rPr>
          <w:sz w:val="24"/>
        </w:rPr>
        <w:t xml:space="preserve"> mengetahun dan menjelaskan faktor apa yang mempengaruhi dalam pemenuhanperlindunganhukumterhadapkorbankekerasanseksualyang</w:t>
      </w:r>
    </w:p>
    <w:p w:rsidR="00473328" w:rsidRDefault="00473328">
      <w:pPr>
        <w:pStyle w:val="ListParagraph"/>
        <w:spacing w:line="480" w:lineRule="auto"/>
        <w:rPr>
          <w:sz w:val="24"/>
        </w:rPr>
        <w:sectPr w:rsidR="00473328">
          <w:pgSz w:w="11920" w:h="16850"/>
          <w:pgMar w:top="1700" w:right="1559" w:bottom="580" w:left="1700" w:header="0" w:footer="398" w:gutter="0"/>
          <w:cols w:space="720"/>
        </w:sectPr>
      </w:pPr>
    </w:p>
    <w:p w:rsidR="00473328" w:rsidRDefault="008C4018">
      <w:pPr>
        <w:spacing w:before="79" w:line="477" w:lineRule="auto"/>
        <w:ind w:left="990" w:right="137"/>
        <w:jc w:val="both"/>
      </w:pPr>
      <w:r>
        <w:lastRenderedPageBreak/>
        <w:t>terjadi kepada anak dibawah umur yang di tinjau dari Undang-Undang Nomor 35 tahun 2014 tentang perlindungan anak d</w:t>
      </w:r>
      <w:r>
        <w:t>i desa teluk sentosa kecamatan panai hulu kabupaten labuhanbatu.</w:t>
      </w:r>
    </w:p>
    <w:p w:rsidR="00473328" w:rsidRDefault="008C4018">
      <w:pPr>
        <w:pStyle w:val="ListParagraph"/>
        <w:numPr>
          <w:ilvl w:val="1"/>
          <w:numId w:val="1"/>
        </w:numPr>
        <w:tabs>
          <w:tab w:val="left" w:pos="990"/>
        </w:tabs>
        <w:spacing w:before="8" w:line="480" w:lineRule="auto"/>
        <w:ind w:left="990" w:right="152" w:hanging="425"/>
        <w:jc w:val="both"/>
        <w:rPr>
          <w:sz w:val="24"/>
        </w:rPr>
      </w:pPr>
      <w:r>
        <w:rPr>
          <w:sz w:val="24"/>
        </w:rPr>
        <w:t xml:space="preserve">Untukmengetahuipolapenangankasuskorbankekerasanseksualyangterjadi </w:t>
      </w:r>
      <w:r>
        <w:rPr>
          <w:spacing w:val="-2"/>
          <w:sz w:val="24"/>
        </w:rPr>
        <w:t xml:space="preserve">kepadaanakdibawahumuryangditinjaudariUndang-UndangNomor35tahun </w:t>
      </w:r>
      <w:r>
        <w:rPr>
          <w:sz w:val="24"/>
        </w:rPr>
        <w:t>2014 tentang perlindungan anak di desa teluk sentosa kecamatan</w:t>
      </w:r>
      <w:r>
        <w:rPr>
          <w:sz w:val="24"/>
        </w:rPr>
        <w:t xml:space="preserve"> panai hulu kabupaten labuhanbatu ?</w:t>
      </w:r>
    </w:p>
    <w:p w:rsidR="00473328" w:rsidRDefault="008C4018">
      <w:pPr>
        <w:pStyle w:val="Heading1"/>
        <w:numPr>
          <w:ilvl w:val="0"/>
          <w:numId w:val="1"/>
        </w:numPr>
        <w:tabs>
          <w:tab w:val="left" w:pos="988"/>
        </w:tabs>
        <w:spacing w:before="154"/>
        <w:ind w:left="988" w:hanging="423"/>
        <w:jc w:val="both"/>
      </w:pPr>
      <w:r>
        <w:t>Manfaat</w:t>
      </w:r>
      <w:r>
        <w:rPr>
          <w:spacing w:val="-2"/>
        </w:rPr>
        <w:t>Penelitian</w:t>
      </w:r>
    </w:p>
    <w:p w:rsidR="00473328" w:rsidRDefault="00473328">
      <w:pPr>
        <w:pStyle w:val="BodyText"/>
        <w:spacing w:before="7"/>
        <w:rPr>
          <w:b/>
        </w:rPr>
      </w:pPr>
    </w:p>
    <w:p w:rsidR="00473328" w:rsidRDefault="008C4018">
      <w:pPr>
        <w:pStyle w:val="BodyText"/>
        <w:spacing w:before="1" w:line="480" w:lineRule="auto"/>
        <w:ind w:left="565" w:right="142" w:firstLine="568"/>
        <w:jc w:val="both"/>
      </w:pPr>
      <w:r>
        <w:t>Penelitimemilikiharapandaripenelitianiniagardapatmemberikanmanfaat yang nyata nantinya di masa depan jika terdapat anak yang berkonflik dengan hukummelakukantindakpidana.Berikutmanfaatyangakandiberikan</w:t>
      </w:r>
      <w:r>
        <w:t>olehpeneliti yaitu :</w:t>
      </w:r>
    </w:p>
    <w:p w:rsidR="00473328" w:rsidRDefault="008C4018">
      <w:pPr>
        <w:pStyle w:val="Heading1"/>
        <w:numPr>
          <w:ilvl w:val="1"/>
          <w:numId w:val="1"/>
        </w:numPr>
        <w:tabs>
          <w:tab w:val="left" w:pos="845"/>
        </w:tabs>
        <w:jc w:val="both"/>
      </w:pPr>
      <w:r>
        <w:t>Manfaat</w:t>
      </w:r>
      <w:r>
        <w:rPr>
          <w:spacing w:val="-2"/>
        </w:rPr>
        <w:t>Teoritis</w:t>
      </w:r>
    </w:p>
    <w:p w:rsidR="00473328" w:rsidRDefault="00473328">
      <w:pPr>
        <w:pStyle w:val="BodyText"/>
        <w:rPr>
          <w:b/>
        </w:rPr>
      </w:pPr>
    </w:p>
    <w:p w:rsidR="00473328" w:rsidRDefault="008C4018">
      <w:pPr>
        <w:pStyle w:val="BodyText"/>
        <w:spacing w:line="480" w:lineRule="auto"/>
        <w:ind w:left="845" w:right="145"/>
        <w:jc w:val="both"/>
      </w:pPr>
      <w:r>
        <w:t>Hasil dari penelitian ini di harapkan dapat dijadikan sebagai tambahan dokumentasidarisegihukumdalamrangkaperlindunganhukumterhadap anak sebagai pelaku tindak pidana.</w:t>
      </w:r>
    </w:p>
    <w:p w:rsidR="00473328" w:rsidRDefault="008C4018">
      <w:pPr>
        <w:pStyle w:val="Heading1"/>
        <w:numPr>
          <w:ilvl w:val="1"/>
          <w:numId w:val="1"/>
        </w:numPr>
        <w:tabs>
          <w:tab w:val="left" w:pos="845"/>
        </w:tabs>
        <w:jc w:val="both"/>
      </w:pPr>
      <w:r>
        <w:t>Manfaat</w:t>
      </w:r>
      <w:r>
        <w:rPr>
          <w:spacing w:val="-2"/>
        </w:rPr>
        <w:t>Praktis</w:t>
      </w:r>
    </w:p>
    <w:p w:rsidR="00473328" w:rsidRDefault="00473328">
      <w:pPr>
        <w:pStyle w:val="BodyText"/>
        <w:rPr>
          <w:b/>
        </w:rPr>
      </w:pPr>
    </w:p>
    <w:p w:rsidR="00473328" w:rsidRDefault="008C4018">
      <w:pPr>
        <w:pStyle w:val="BodyText"/>
        <w:spacing w:line="480" w:lineRule="auto"/>
        <w:ind w:left="845" w:right="150"/>
        <w:jc w:val="both"/>
      </w:pPr>
      <w:r>
        <w:t>Hasil dari penelitian ini di harapkan dapat dijadikan sebagai referensi bagi PengadilanNegeri, khususnyadalambidangSistemPeradilanPidanaAnakdan diharapkandapatmemberikanperlindunganhukumuntukanakyangberkonflik dengan hukum.</w:t>
      </w:r>
    </w:p>
    <w:sectPr w:rsidR="00473328" w:rsidSect="00473328">
      <w:pgSz w:w="11920" w:h="16850"/>
      <w:pgMar w:top="1620" w:right="1559" w:bottom="580" w:left="1700" w:header="0" w:footer="3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018" w:rsidRDefault="008C4018" w:rsidP="00473328">
      <w:r>
        <w:separator/>
      </w:r>
    </w:p>
  </w:endnote>
  <w:endnote w:type="continuationSeparator" w:id="1">
    <w:p w:rsidR="008C4018" w:rsidRDefault="008C4018" w:rsidP="00473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328" w:rsidRDefault="00473328">
    <w:pPr>
      <w:pStyle w:val="BodyText"/>
      <w:spacing w:line="14" w:lineRule="auto"/>
      <w:rPr>
        <w:sz w:val="20"/>
      </w:rPr>
    </w:pPr>
    <w:r w:rsidRPr="00473328">
      <w:rPr>
        <w:sz w:val="20"/>
      </w:rPr>
      <w:pict>
        <v:shapetype id="_x0000_t202" coordsize="21600,21600" o:spt="202" path="m,l,21600r21600,l21600,xe">
          <v:stroke joinstyle="miter"/>
          <v:path gradientshapeok="t" o:connecttype="rect"/>
        </v:shapetype>
        <v:shape id="docshape2" o:spid="_x0000_s2049" type="#_x0000_t202" style="position:absolute;margin-left:306pt;margin-top:811.5pt;width:13pt;height:15.3pt;z-index:-251658752;mso-position-horizontal-relative:page;mso-position-vertical-relative:page" filled="f" stroked="f">
          <v:textbox inset="0,0,0,0">
            <w:txbxContent>
              <w:p w:rsidR="00473328" w:rsidRDefault="00473328">
                <w:pPr>
                  <w:pStyle w:val="BodyText"/>
                  <w:spacing w:before="10"/>
                  <w:ind w:left="60"/>
                </w:pPr>
                <w:r>
                  <w:rPr>
                    <w:spacing w:val="-10"/>
                  </w:rPr>
                  <w:fldChar w:fldCharType="begin"/>
                </w:r>
                <w:r w:rsidR="008C4018">
                  <w:rPr>
                    <w:spacing w:val="-10"/>
                  </w:rPr>
                  <w:instrText xml:space="preserve"> PAGE </w:instrText>
                </w:r>
                <w:r>
                  <w:rPr>
                    <w:spacing w:val="-10"/>
                  </w:rPr>
                  <w:fldChar w:fldCharType="separate"/>
                </w:r>
                <w:r w:rsidR="007044A5">
                  <w:rPr>
                    <w:noProof/>
                    <w:spacing w:val="-10"/>
                  </w:rPr>
                  <w:t>8</w:t>
                </w:r>
                <w:r>
                  <w:rPr>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018" w:rsidRDefault="008C4018" w:rsidP="00473328">
      <w:r>
        <w:separator/>
      </w:r>
    </w:p>
  </w:footnote>
  <w:footnote w:type="continuationSeparator" w:id="1">
    <w:p w:rsidR="008C4018" w:rsidRDefault="008C4018" w:rsidP="00473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43CB"/>
    <w:multiLevelType w:val="hybridMultilevel"/>
    <w:tmpl w:val="07A0E5BA"/>
    <w:lvl w:ilvl="0" w:tplc="C4E4D6D2">
      <w:start w:val="1"/>
      <w:numFmt w:val="upperLetter"/>
      <w:lvlText w:val="%1."/>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1" w:tplc="BEEAD06E">
      <w:start w:val="1"/>
      <w:numFmt w:val="decimal"/>
      <w:lvlText w:val="%2."/>
      <w:lvlJc w:val="left"/>
      <w:pPr>
        <w:ind w:left="845" w:hanging="280"/>
        <w:jc w:val="left"/>
      </w:pPr>
      <w:rPr>
        <w:rFonts w:hint="default"/>
        <w:spacing w:val="0"/>
        <w:w w:val="100"/>
        <w:lang w:eastAsia="en-US" w:bidi="ar-SA"/>
      </w:rPr>
    </w:lvl>
    <w:lvl w:ilvl="2" w:tplc="BC7A1F1A">
      <w:numFmt w:val="bullet"/>
      <w:lvlText w:val="•"/>
      <w:lvlJc w:val="left"/>
      <w:pPr>
        <w:ind w:left="1164" w:hanging="280"/>
      </w:pPr>
      <w:rPr>
        <w:rFonts w:hint="default"/>
        <w:lang w:eastAsia="en-US" w:bidi="ar-SA"/>
      </w:rPr>
    </w:lvl>
    <w:lvl w:ilvl="3" w:tplc="6ED65F12">
      <w:numFmt w:val="bullet"/>
      <w:lvlText w:val="•"/>
      <w:lvlJc w:val="left"/>
      <w:pPr>
        <w:ind w:left="1328" w:hanging="280"/>
      </w:pPr>
      <w:rPr>
        <w:rFonts w:hint="default"/>
        <w:lang w:eastAsia="en-US" w:bidi="ar-SA"/>
      </w:rPr>
    </w:lvl>
    <w:lvl w:ilvl="4" w:tplc="BB6EFA08">
      <w:numFmt w:val="bullet"/>
      <w:lvlText w:val="•"/>
      <w:lvlJc w:val="left"/>
      <w:pPr>
        <w:ind w:left="1492" w:hanging="280"/>
      </w:pPr>
      <w:rPr>
        <w:rFonts w:hint="default"/>
        <w:lang w:eastAsia="en-US" w:bidi="ar-SA"/>
      </w:rPr>
    </w:lvl>
    <w:lvl w:ilvl="5" w:tplc="B94C12C6">
      <w:numFmt w:val="bullet"/>
      <w:lvlText w:val="•"/>
      <w:lvlJc w:val="left"/>
      <w:pPr>
        <w:ind w:left="1656" w:hanging="280"/>
      </w:pPr>
      <w:rPr>
        <w:rFonts w:hint="default"/>
        <w:lang w:eastAsia="en-US" w:bidi="ar-SA"/>
      </w:rPr>
    </w:lvl>
    <w:lvl w:ilvl="6" w:tplc="A4FCD752">
      <w:numFmt w:val="bullet"/>
      <w:lvlText w:val="•"/>
      <w:lvlJc w:val="left"/>
      <w:pPr>
        <w:ind w:left="1821" w:hanging="280"/>
      </w:pPr>
      <w:rPr>
        <w:rFonts w:hint="default"/>
        <w:lang w:eastAsia="en-US" w:bidi="ar-SA"/>
      </w:rPr>
    </w:lvl>
    <w:lvl w:ilvl="7" w:tplc="13B0CA7C">
      <w:numFmt w:val="bullet"/>
      <w:lvlText w:val="•"/>
      <w:lvlJc w:val="left"/>
      <w:pPr>
        <w:ind w:left="1985" w:hanging="280"/>
      </w:pPr>
      <w:rPr>
        <w:rFonts w:hint="default"/>
        <w:lang w:eastAsia="en-US" w:bidi="ar-SA"/>
      </w:rPr>
    </w:lvl>
    <w:lvl w:ilvl="8" w:tplc="990282D6">
      <w:numFmt w:val="bullet"/>
      <w:lvlText w:val="•"/>
      <w:lvlJc w:val="left"/>
      <w:pPr>
        <w:ind w:left="2149" w:hanging="28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tZ6nV1+/m12i/vxgaaAWCcUKfkM=" w:salt="LA5Bp4q0xYzcVFe4tajV0Q=="/>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73328"/>
    <w:rsid w:val="00473328"/>
    <w:rsid w:val="007044A5"/>
    <w:rsid w:val="008C40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3328"/>
    <w:rPr>
      <w:rFonts w:ascii="Times New Roman" w:eastAsia="Times New Roman" w:hAnsi="Times New Roman" w:cs="Times New Roman"/>
      <w:lang/>
    </w:rPr>
  </w:style>
  <w:style w:type="paragraph" w:styleId="Heading1">
    <w:name w:val="heading 1"/>
    <w:basedOn w:val="Normal"/>
    <w:uiPriority w:val="1"/>
    <w:qFormat/>
    <w:rsid w:val="00473328"/>
    <w:pPr>
      <w:spacing w:before="1"/>
      <w:ind w:left="988" w:hanging="4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73328"/>
    <w:rPr>
      <w:sz w:val="24"/>
      <w:szCs w:val="24"/>
    </w:rPr>
  </w:style>
  <w:style w:type="paragraph" w:styleId="ListParagraph">
    <w:name w:val="List Paragraph"/>
    <w:basedOn w:val="Normal"/>
    <w:uiPriority w:val="1"/>
    <w:qFormat/>
    <w:rsid w:val="00473328"/>
    <w:pPr>
      <w:spacing w:before="1"/>
      <w:ind w:left="990" w:hanging="425"/>
      <w:jc w:val="both"/>
    </w:pPr>
  </w:style>
  <w:style w:type="paragraph" w:customStyle="1" w:styleId="TableParagraph">
    <w:name w:val="Table Paragraph"/>
    <w:basedOn w:val="Normal"/>
    <w:uiPriority w:val="1"/>
    <w:qFormat/>
    <w:rsid w:val="004733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2026-03-04T03:27:00Z</dcterms:created>
  <dcterms:modified xsi:type="dcterms:W3CDTF">2026-03-04T03:27:00Z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2026-02-09T00:00:00Z</vt:filetime>
  </property>
</Properties>
</file>