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4EB3" w:rsidRDefault="00A54EB3">
      <w:pPr>
        <w:pStyle w:val="BodyText"/>
        <w:spacing w:before="53"/>
      </w:pPr>
    </w:p>
    <w:p w:rsidR="00A54EB3" w:rsidRDefault="00BA1E8C">
      <w:pPr>
        <w:pStyle w:val="Heading1"/>
        <w:spacing w:line="480" w:lineRule="auto"/>
        <w:ind w:left="3602" w:right="3177" w:firstLine="1"/>
        <w:jc w:val="center"/>
      </w:pPr>
      <w:r>
        <w:t xml:space="preserve">BAB I </w:t>
      </w:r>
      <w:r>
        <w:rPr>
          <w:spacing w:val="-2"/>
        </w:rPr>
        <w:t>PENDAHULUAN</w:t>
      </w:r>
    </w:p>
    <w:p w:rsidR="00A54EB3" w:rsidRDefault="00A54EB3">
      <w:pPr>
        <w:pStyle w:val="BodyText"/>
        <w:rPr>
          <w:b/>
        </w:rPr>
      </w:pPr>
    </w:p>
    <w:p w:rsidR="00A54EB3" w:rsidRDefault="00A54EB3">
      <w:pPr>
        <w:pStyle w:val="BodyText"/>
        <w:rPr>
          <w:b/>
        </w:rPr>
      </w:pPr>
    </w:p>
    <w:p w:rsidR="00A54EB3" w:rsidRDefault="00BA1E8C">
      <w:pPr>
        <w:pStyle w:val="ListParagraph"/>
        <w:numPr>
          <w:ilvl w:val="1"/>
          <w:numId w:val="4"/>
        </w:numPr>
        <w:tabs>
          <w:tab w:val="left" w:pos="928"/>
        </w:tabs>
        <w:rPr>
          <w:b/>
          <w:sz w:val="24"/>
        </w:rPr>
      </w:pPr>
      <w:r>
        <w:rPr>
          <w:b/>
          <w:sz w:val="24"/>
        </w:rPr>
        <w:t>LatarBelakang</w:t>
      </w:r>
      <w:r>
        <w:rPr>
          <w:b/>
          <w:spacing w:val="-2"/>
          <w:sz w:val="24"/>
        </w:rPr>
        <w:t>Masalah</w:t>
      </w:r>
    </w:p>
    <w:p w:rsidR="00A54EB3" w:rsidRDefault="00A54EB3">
      <w:pPr>
        <w:pStyle w:val="BodyText"/>
        <w:rPr>
          <w:b/>
        </w:rPr>
      </w:pPr>
    </w:p>
    <w:p w:rsidR="00A54EB3" w:rsidRDefault="00BA1E8C">
      <w:pPr>
        <w:pStyle w:val="BodyText"/>
        <w:spacing w:line="480" w:lineRule="auto"/>
        <w:ind w:left="568" w:right="132" w:firstLine="679"/>
        <w:jc w:val="both"/>
      </w:pPr>
      <w:r>
        <w:t xml:space="preserve">Pada era industrialisasi dan globalisasi yang semakin kompetitif saat ini, kebutuhan masyarakat dapat dipenuhi melalui proses produksi dan distribusi yang </w:t>
      </w:r>
      <w:r>
        <w:rPr>
          <w:spacing w:val="-4"/>
        </w:rPr>
        <w:t>secaramasifdancepat.Sebaliknya,kemajuaninijugamendorong</w:t>
      </w:r>
      <w:r>
        <w:rPr>
          <w:spacing w:val="-4"/>
        </w:rPr>
        <w:t xml:space="preserve">timbulnyaberbagai </w:t>
      </w:r>
      <w:r>
        <w:t xml:space="preserve">dampaklingkunganyangharusdikeloladengantepatsesuaidenganperaturanyang berlaku. Perusahaan yang siap menyediakan berbagai kebutuhan masyarakat </w:t>
      </w:r>
      <w:r>
        <w:rPr>
          <w:spacing w:val="-2"/>
        </w:rPr>
        <w:t xml:space="preserve">mendorongterjadinyapersainganusahayangterus-menerus.Mempertahankanserta </w:t>
      </w:r>
      <w:r>
        <w:t>meningkatkanprofitabilit</w:t>
      </w:r>
      <w:r>
        <w:t>asnya adalahtujuanutamaperusahaan.Seringkali,bisnis lebih fokus pada keuntungan di atas segalanya. Akibatnya, mereka lalai dalam memperhatikan dampak lingkungan yang dihasilkan dari setiap tindakan yang dilakukan(Rosalineetal.,2020).Perusahaansaatinidihara</w:t>
      </w:r>
      <w:r>
        <w:t xml:space="preserve">pkanuntuktidakhanya memprioritaskan pada keuntungan, tetapi juga komponen dalam konsep </w:t>
      </w:r>
      <w:r>
        <w:rPr>
          <w:i/>
        </w:rPr>
        <w:t xml:space="preserve">Triple Bottom Line (Profit, People, </w:t>
      </w:r>
      <w:r>
        <w:t>dan</w:t>
      </w:r>
      <w:r>
        <w:rPr>
          <w:i/>
        </w:rPr>
        <w:t xml:space="preserve">Planet). </w:t>
      </w:r>
      <w:r>
        <w:t>Selain menghasilkan keuntungan, keberlanjutan perusahaan bergantung pada kapasitasnya untuk mengatasi masalah sosialdanli</w:t>
      </w:r>
      <w:r>
        <w:t>ngkungan(Sari&amp;Wahyuningtyas,2020).</w:t>
      </w:r>
    </w:p>
    <w:p w:rsidR="00A54EB3" w:rsidRDefault="00BA1E8C">
      <w:pPr>
        <w:pStyle w:val="BodyText"/>
        <w:spacing w:before="2" w:line="480" w:lineRule="auto"/>
        <w:ind w:left="568" w:right="138" w:firstLine="679"/>
        <w:jc w:val="both"/>
      </w:pPr>
      <w:r>
        <w:t>Di Indonesia, isu sosial dan lingkungan menjadi salah satu topik yang menarik perhatian publik. Karena masih banyak perusahaan yang kurang peduli terhadap lingkungan, sejumlah masalah lingkungan timbul. Isu kerusakan ling</w:t>
      </w:r>
      <w:r>
        <w:t>kungan menjadi perhatian khusus di masyarakat. Kerusakan lingkungan dapat dihasilkan dari limbah produksi perusahaan. Limbah merupakan sisa suatu usaha</w:t>
      </w:r>
    </w:p>
    <w:p w:rsidR="00A54EB3" w:rsidRDefault="00A54EB3">
      <w:pPr>
        <w:pStyle w:val="BodyText"/>
        <w:spacing w:before="202"/>
      </w:pPr>
    </w:p>
    <w:p w:rsidR="00A54EB3" w:rsidRDefault="00BA1E8C">
      <w:pPr>
        <w:pStyle w:val="BodyText"/>
        <w:spacing w:before="1"/>
        <w:ind w:left="432" w:right="8"/>
        <w:jc w:val="center"/>
      </w:pPr>
      <w:r>
        <w:rPr>
          <w:spacing w:val="-10"/>
        </w:rPr>
        <w:t>1</w:t>
      </w:r>
    </w:p>
    <w:p w:rsidR="00A54EB3" w:rsidRDefault="00A54EB3">
      <w:pPr>
        <w:pStyle w:val="BodyText"/>
        <w:jc w:val="center"/>
        <w:sectPr w:rsidR="00A54EB3">
          <w:type w:val="continuous"/>
          <w:pgSz w:w="11910" w:h="16840"/>
          <w:pgMar w:top="1920" w:right="1559" w:bottom="280" w:left="1700" w:header="720" w:footer="720" w:gutter="0"/>
          <w:cols w:space="720"/>
        </w:sectPr>
      </w:pPr>
    </w:p>
    <w:p w:rsidR="00A54EB3" w:rsidRDefault="00A54EB3">
      <w:pPr>
        <w:pStyle w:val="BodyText"/>
        <w:spacing w:before="53"/>
      </w:pPr>
    </w:p>
    <w:p w:rsidR="00A54EB3" w:rsidRDefault="00BA1E8C">
      <w:pPr>
        <w:pStyle w:val="BodyText"/>
        <w:spacing w:line="480" w:lineRule="auto"/>
        <w:ind w:left="568" w:right="136"/>
        <w:jc w:val="both"/>
      </w:pPr>
      <w:r>
        <w:t>atau kegiatan produksi. Limbah yang dihasilkan dari operasional perusahaan berpotens</w:t>
      </w:r>
      <w:r>
        <w:t>i membahayakan lingkungan, sehingga perlu dikelola dan ditangani agar tidak menimbulkan dampak negatif yang lebih besar terhadap lingkungan perusahaan beroperasi. Terdapat 38 kasus kedaruratan limbah B3 setiap tahun,danbanyak lahanyangtercemarlimbahB3 (Som</w:t>
      </w:r>
      <w:r>
        <w:t>antri&amp;Sudrajat,2023).Limbah B3 adalah limbah yang mengandung bahan yang dapat membahayakan kesehatan manusia, makhluk hidup lain, dan merusak lingkungan. Limbah ini dapat berupa cair, padat, atau gas, yang dihasilkan dari proses industri, rumah tangga, ata</w:t>
      </w:r>
      <w:r>
        <w:t>u kegiatan lainnya yang mengandung bahan kimia berbahaya. Data KLHK menunjukkan bahwa kejadian kedaruratan pengelolaan Limbah B3 di Indonesia rata-rata terjadi 38 kali per tahun dari tahun 2014-2021. Selain itu, jumlah lahan yang terkontaminasi Limbah B3 a</w:t>
      </w:r>
      <w:r>
        <w:t>dalah seluas ± 5.700.000 m2 dengan volume tanah yang terkontaminasi sebesar ± 7.600.000 ton. Pada tahun 2021, pemulihan dan pengelolaan Limbah B3 dan tanah yang terkontaminasi sebesar ± 5.900.000 ton telah dilakukan (</w:t>
      </w:r>
      <w:hyperlink r:id="rId7">
        <w:r>
          <w:t>https://pslb3.menlhk.go.id/</w:t>
        </w:r>
      </w:hyperlink>
      <w:r>
        <w:t>).</w:t>
      </w:r>
    </w:p>
    <w:p w:rsidR="00A54EB3" w:rsidRDefault="00BA1E8C">
      <w:pPr>
        <w:pStyle w:val="BodyText"/>
        <w:spacing w:before="2" w:line="480" w:lineRule="auto"/>
        <w:ind w:left="568" w:right="136" w:firstLine="679"/>
        <w:jc w:val="both"/>
      </w:pPr>
      <w:r>
        <w:t xml:space="preserve">Di Indonesia, sektor energi merupakan salah satu industri yang memiliki dampak lingkungan yang cukup besar. Sebagai industri yang bergantung pada </w:t>
      </w:r>
      <w:r>
        <w:rPr>
          <w:spacing w:val="-4"/>
        </w:rPr>
        <w:t xml:space="preserve">eksploitasisumberdayaalamdanpenggunaanenergidalamjumlahbesar,perusahaan </w:t>
      </w:r>
      <w:r>
        <w:t>energimenghadapitekananyanglebihbesardalammenerapkanpraktikbisnisyang berkelanjutan. Salah satu permasalahan yang dihadapi perusahaan energi adalah ketergantungan yang tinggi terhadap sumber daya alam. Ketergantungan ini tidak hanya berpotensi mengancam ke</w:t>
      </w:r>
      <w:r>
        <w:t>berlanjutan pasokan energi di masa depan, tetapi jugaberkontribusiterhadapmasalahlingkungan.Perusahaanenergi</w:t>
      </w:r>
      <w:r>
        <w:rPr>
          <w:spacing w:val="-2"/>
        </w:rPr>
        <w:t>memberikan</w:t>
      </w:r>
    </w:p>
    <w:p w:rsidR="00A54EB3" w:rsidRDefault="00A54EB3">
      <w:pPr>
        <w:pStyle w:val="BodyText"/>
        <w:spacing w:line="480" w:lineRule="auto"/>
        <w:jc w:val="both"/>
        <w:sectPr w:rsidR="00A54EB3">
          <w:headerReference w:type="default" r:id="rId8"/>
          <w:pgSz w:w="11910" w:h="16840"/>
          <w:pgMar w:top="1920" w:right="1559" w:bottom="280" w:left="1700" w:header="1236" w:footer="0" w:gutter="0"/>
          <w:pgNumType w:start="2"/>
          <w:cols w:space="720"/>
        </w:sectPr>
      </w:pPr>
    </w:p>
    <w:p w:rsidR="00A54EB3" w:rsidRDefault="00A54EB3">
      <w:pPr>
        <w:pStyle w:val="BodyText"/>
        <w:spacing w:before="53"/>
      </w:pPr>
    </w:p>
    <w:p w:rsidR="00A54EB3" w:rsidRDefault="00BA1E8C">
      <w:pPr>
        <w:pStyle w:val="BodyText"/>
        <w:spacing w:line="480" w:lineRule="auto"/>
        <w:ind w:left="407" w:right="133"/>
        <w:jc w:val="right"/>
      </w:pPr>
      <w:r>
        <w:t>kontribusiyangsignifikanterh</w:t>
      </w:r>
      <w:r>
        <w:t xml:space="preserve">adap kerusakanlingkunganakibatefekpengeboran, </w:t>
      </w:r>
      <w:r>
        <w:rPr>
          <w:spacing w:val="-2"/>
        </w:rPr>
        <w:t xml:space="preserve">penggalian,maupunaktivitaslainnyayangmenyebabkantanahlongsor,pencemaran </w:t>
      </w:r>
      <w:r>
        <w:t xml:space="preserve">udara,perubahaniklimyangdapatmengganggumasyarakat.Ketidakpuasan </w:t>
      </w:r>
      <w:r>
        <w:rPr>
          <w:spacing w:val="-4"/>
        </w:rPr>
        <w:t>masyarakat terhadap dampak dari kegiatan perusahaan memicu konflik sosial.</w:t>
      </w:r>
      <w:r>
        <w:rPr>
          <w:spacing w:val="-4"/>
        </w:rPr>
        <w:t xml:space="preserve"> Hal ini </w:t>
      </w:r>
      <w:r>
        <w:t xml:space="preserve">berdampakpadareputasiperusahaandandapatmengganggukelangsunganoperasi </w:t>
      </w:r>
      <w:r>
        <w:rPr>
          <w:spacing w:val="-2"/>
        </w:rPr>
        <w:t xml:space="preserve">perusahaan.Olehkarenaitu,perusahaanperlumenjalinhubunganyangbaikdengan </w:t>
      </w:r>
      <w:r>
        <w:t xml:space="preserve">masyarakatdanmempertimbangkankepentinganmerekadalamsetiapkeputusan </w:t>
      </w:r>
      <w:r>
        <w:rPr>
          <w:spacing w:val="-4"/>
        </w:rPr>
        <w:t>yangdiambil sertamampuberoperasi secarab</w:t>
      </w:r>
      <w:r>
        <w:rPr>
          <w:spacing w:val="-4"/>
        </w:rPr>
        <w:t xml:space="preserve">ertanggungjawabterhadaplingkungan. </w:t>
      </w:r>
      <w:r>
        <w:t xml:space="preserve">Seluruhperusahaanpastiinginmencapaitargetatautujuanyangtelah ditetapkan.Olehkarenaitu,dierayangsemakinkompetitifdanpersainganyang semakinketat,pentingbagisetiapperusahaanuntukmeningkatkankinerja </w:t>
      </w:r>
      <w:r>
        <w:rPr>
          <w:spacing w:val="-2"/>
        </w:rPr>
        <w:t>keuangannya.Halinibertujua</w:t>
      </w:r>
      <w:r>
        <w:rPr>
          <w:spacing w:val="-2"/>
        </w:rPr>
        <w:t xml:space="preserve">ntidakhanyamempertahankanproduktivitasdandaya </w:t>
      </w:r>
      <w:r>
        <w:t xml:space="preserve">saingnya,tetapijugameraihkeuntunganyangoptimal.Profitabilitasmerupakan kemampuanperusahaanmenghasilkanlaba dalamwaktutertentu.Halinimenjadi perhatianutamabagiinvestordanpemangkukepentingankarenamencerminkan </w:t>
      </w:r>
      <w:r>
        <w:rPr>
          <w:spacing w:val="-4"/>
        </w:rPr>
        <w:t>seb</w:t>
      </w:r>
      <w:r>
        <w:rPr>
          <w:spacing w:val="-4"/>
        </w:rPr>
        <w:t xml:space="preserve">erapa efektif perusahaan dalam memanfaatkan aset dan ekuitas untuk meraih laba. </w:t>
      </w:r>
      <w:r>
        <w:t>Salahsatuindikatoryangdigunakandalammenilaiprofitabilitasadalah</w:t>
      </w:r>
      <w:r>
        <w:rPr>
          <w:i/>
        </w:rPr>
        <w:t>ReturnOn Equity</w:t>
      </w:r>
      <w:r>
        <w:t>(ROE).</w:t>
      </w:r>
      <w:r>
        <w:rPr>
          <w:i/>
        </w:rPr>
        <w:t>ReturnOnEquity</w:t>
      </w:r>
      <w:r>
        <w:t xml:space="preserve">adalahukuranefisiensiyangmenggambarkan </w:t>
      </w:r>
      <w:r>
        <w:rPr>
          <w:spacing w:val="-4"/>
        </w:rPr>
        <w:t>kemampuansuatuperusahaandalammenghasilk</w:t>
      </w:r>
      <w:r>
        <w:rPr>
          <w:spacing w:val="-4"/>
        </w:rPr>
        <w:t xml:space="preserve">anlababersihdariekuitaspemegang </w:t>
      </w:r>
      <w:r>
        <w:rPr>
          <w:spacing w:val="-2"/>
        </w:rPr>
        <w:t xml:space="preserve">sahamnya.Rasioinidinyatakandalampersentaseyangmenunjukkanberapabanyak </w:t>
      </w:r>
      <w:r>
        <w:rPr>
          <w:spacing w:val="-4"/>
        </w:rPr>
        <w:t>lababersihyangdihasilkanuntuksetiapekuitasyangdimiliki.</w:t>
      </w:r>
      <w:r>
        <w:rPr>
          <w:i/>
          <w:spacing w:val="-4"/>
        </w:rPr>
        <w:t>ReturnOnEquity</w:t>
      </w:r>
      <w:r>
        <w:rPr>
          <w:spacing w:val="-4"/>
        </w:rPr>
        <w:t>yang</w:t>
      </w:r>
    </w:p>
    <w:p w:rsidR="00A54EB3" w:rsidRDefault="00BA1E8C">
      <w:pPr>
        <w:pStyle w:val="BodyText"/>
        <w:spacing w:before="2"/>
        <w:ind w:left="568"/>
      </w:pPr>
      <w:r>
        <w:rPr>
          <w:spacing w:val="-4"/>
        </w:rPr>
        <w:t>semakintinggimenunjukkanefisiensiperusahaandalammemanfaatkanekuitasnya.</w:t>
      </w:r>
    </w:p>
    <w:p w:rsidR="00A54EB3" w:rsidRDefault="00A54EB3">
      <w:pPr>
        <w:pStyle w:val="BodyText"/>
        <w:sectPr w:rsidR="00A54EB3">
          <w:pgSz w:w="11910" w:h="16840"/>
          <w:pgMar w:top="1920" w:right="1559" w:bottom="280" w:left="1700" w:header="1236" w:footer="0" w:gutter="0"/>
          <w:cols w:space="720"/>
        </w:sectPr>
      </w:pPr>
    </w:p>
    <w:p w:rsidR="00A54EB3" w:rsidRDefault="00A54EB3">
      <w:pPr>
        <w:pStyle w:val="BodyText"/>
        <w:spacing w:before="53"/>
      </w:pPr>
    </w:p>
    <w:p w:rsidR="00A54EB3" w:rsidRDefault="00BA1E8C">
      <w:pPr>
        <w:pStyle w:val="Heading1"/>
        <w:ind w:left="432" w:firstLine="0"/>
        <w:jc w:val="center"/>
      </w:pPr>
      <w:r>
        <w:rPr>
          <w:spacing w:val="-4"/>
        </w:rPr>
        <w:t>Tabel</w:t>
      </w:r>
      <w:r>
        <w:rPr>
          <w:spacing w:val="-5"/>
        </w:rPr>
        <w:t>1.1</w:t>
      </w:r>
    </w:p>
    <w:p w:rsidR="00A54EB3" w:rsidRDefault="00A54EB3">
      <w:pPr>
        <w:pStyle w:val="BodyText"/>
        <w:rPr>
          <w:b/>
        </w:rPr>
      </w:pPr>
    </w:p>
    <w:p w:rsidR="00A54EB3" w:rsidRDefault="00BA1E8C">
      <w:pPr>
        <w:ind w:left="432"/>
        <w:jc w:val="center"/>
        <w:rPr>
          <w:b/>
          <w:i/>
          <w:sz w:val="24"/>
        </w:rPr>
      </w:pPr>
      <w:r>
        <w:rPr>
          <w:b/>
          <w:spacing w:val="-4"/>
          <w:sz w:val="24"/>
        </w:rPr>
        <w:t>Data</w:t>
      </w:r>
      <w:r>
        <w:rPr>
          <w:b/>
          <w:i/>
          <w:spacing w:val="-4"/>
          <w:sz w:val="24"/>
        </w:rPr>
        <w:t>ReturnonEquiy</w:t>
      </w:r>
      <w:r>
        <w:rPr>
          <w:b/>
          <w:spacing w:val="-4"/>
          <w:sz w:val="24"/>
        </w:rPr>
        <w:t>,</w:t>
      </w:r>
      <w:r>
        <w:rPr>
          <w:b/>
          <w:i/>
          <w:spacing w:val="-4"/>
          <w:sz w:val="24"/>
        </w:rPr>
        <w:t>GreenAccounting</w:t>
      </w:r>
      <w:r>
        <w:rPr>
          <w:b/>
          <w:spacing w:val="-4"/>
          <w:sz w:val="24"/>
        </w:rPr>
        <w:t xml:space="preserve">,dan </w:t>
      </w:r>
      <w:r>
        <w:rPr>
          <w:b/>
          <w:i/>
          <w:spacing w:val="-4"/>
          <w:sz w:val="24"/>
        </w:rPr>
        <w:t>CorporateSocial Responsibilty</w:t>
      </w:r>
    </w:p>
    <w:p w:rsidR="00A54EB3" w:rsidRDefault="00A54EB3">
      <w:pPr>
        <w:pStyle w:val="BodyText"/>
        <w:rPr>
          <w:b/>
          <w:i/>
        </w:rPr>
      </w:pPr>
    </w:p>
    <w:p w:rsidR="00A54EB3" w:rsidRDefault="00BA1E8C">
      <w:pPr>
        <w:pStyle w:val="Heading1"/>
        <w:ind w:left="432" w:right="5" w:firstLine="0"/>
        <w:jc w:val="center"/>
      </w:pPr>
      <w:r>
        <w:rPr>
          <w:spacing w:val="-4"/>
        </w:rPr>
        <w:t>PadaPerusahaanEnergiTahun2019-2023</w:t>
      </w:r>
    </w:p>
    <w:p w:rsidR="00A54EB3" w:rsidRDefault="00A54EB3">
      <w:pPr>
        <w:pStyle w:val="BodyText"/>
        <w:spacing w:before="47"/>
        <w:rPr>
          <w:b/>
          <w:sz w:val="20"/>
        </w:rPr>
      </w:pPr>
    </w:p>
    <w:tbl>
      <w:tblPr>
        <w:tblW w:w="0" w:type="auto"/>
        <w:tblInd w:w="14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885"/>
        <w:gridCol w:w="948"/>
        <w:gridCol w:w="850"/>
        <w:gridCol w:w="850"/>
        <w:gridCol w:w="852"/>
        <w:gridCol w:w="850"/>
      </w:tblGrid>
      <w:tr w:rsidR="00A54EB3">
        <w:trPr>
          <w:trHeight w:val="551"/>
        </w:trPr>
        <w:tc>
          <w:tcPr>
            <w:tcW w:w="1885" w:type="dxa"/>
            <w:vMerge w:val="restart"/>
          </w:tcPr>
          <w:p w:rsidR="00A54EB3" w:rsidRDefault="00BA1E8C">
            <w:pPr>
              <w:pStyle w:val="TableParagraph"/>
              <w:spacing w:before="3" w:line="240" w:lineRule="auto"/>
              <w:ind w:left="7" w:right="1"/>
              <w:rPr>
                <w:b/>
                <w:sz w:val="24"/>
              </w:rPr>
            </w:pPr>
            <w:r>
              <w:rPr>
                <w:b/>
                <w:spacing w:val="-2"/>
                <w:sz w:val="24"/>
              </w:rPr>
              <w:t>PERUSAHAAN</w:t>
            </w:r>
          </w:p>
          <w:p w:rsidR="00A54EB3" w:rsidRDefault="00A54EB3">
            <w:pPr>
              <w:pStyle w:val="TableParagraph"/>
              <w:spacing w:line="240" w:lineRule="auto"/>
              <w:ind w:left="0"/>
              <w:jc w:val="left"/>
              <w:rPr>
                <w:b/>
                <w:sz w:val="24"/>
              </w:rPr>
            </w:pPr>
          </w:p>
          <w:p w:rsidR="00A54EB3" w:rsidRDefault="00BA1E8C">
            <w:pPr>
              <w:pStyle w:val="TableParagraph"/>
              <w:spacing w:line="240" w:lineRule="auto"/>
              <w:ind w:left="7"/>
              <w:rPr>
                <w:b/>
                <w:sz w:val="24"/>
              </w:rPr>
            </w:pPr>
            <w:r>
              <w:rPr>
                <w:b/>
                <w:spacing w:val="-2"/>
                <w:sz w:val="24"/>
              </w:rPr>
              <w:t>ENERGI</w:t>
            </w:r>
          </w:p>
        </w:tc>
        <w:tc>
          <w:tcPr>
            <w:tcW w:w="4350" w:type="dxa"/>
            <w:gridSpan w:val="5"/>
          </w:tcPr>
          <w:p w:rsidR="00A54EB3" w:rsidRDefault="00BA1E8C">
            <w:pPr>
              <w:pStyle w:val="TableParagraph"/>
              <w:ind w:left="6"/>
              <w:rPr>
                <w:b/>
                <w:sz w:val="24"/>
              </w:rPr>
            </w:pPr>
            <w:r>
              <w:rPr>
                <w:b/>
                <w:spacing w:val="-2"/>
                <w:sz w:val="24"/>
              </w:rPr>
              <w:t>TAHUN</w:t>
            </w:r>
          </w:p>
        </w:tc>
      </w:tr>
      <w:tr w:rsidR="00A54EB3">
        <w:trPr>
          <w:trHeight w:val="551"/>
        </w:trPr>
        <w:tc>
          <w:tcPr>
            <w:tcW w:w="1885" w:type="dxa"/>
            <w:vMerge/>
            <w:tcBorders>
              <w:top w:val="nil"/>
            </w:tcBorders>
          </w:tcPr>
          <w:p w:rsidR="00A54EB3" w:rsidRDefault="00A54EB3">
            <w:pPr>
              <w:rPr>
                <w:sz w:val="2"/>
                <w:szCs w:val="2"/>
              </w:rPr>
            </w:pPr>
          </w:p>
        </w:tc>
        <w:tc>
          <w:tcPr>
            <w:tcW w:w="948" w:type="dxa"/>
          </w:tcPr>
          <w:p w:rsidR="00A54EB3" w:rsidRDefault="00BA1E8C">
            <w:pPr>
              <w:pStyle w:val="TableParagraph"/>
              <w:ind w:left="7" w:right="1"/>
              <w:rPr>
                <w:b/>
                <w:sz w:val="24"/>
              </w:rPr>
            </w:pPr>
            <w:r>
              <w:rPr>
                <w:b/>
                <w:spacing w:val="-4"/>
                <w:sz w:val="24"/>
              </w:rPr>
              <w:t>2019</w:t>
            </w:r>
          </w:p>
        </w:tc>
        <w:tc>
          <w:tcPr>
            <w:tcW w:w="850" w:type="dxa"/>
          </w:tcPr>
          <w:p w:rsidR="00A54EB3" w:rsidRDefault="00BA1E8C">
            <w:pPr>
              <w:pStyle w:val="TableParagraph"/>
              <w:ind w:right="3"/>
              <w:rPr>
                <w:b/>
                <w:sz w:val="24"/>
              </w:rPr>
            </w:pPr>
            <w:r>
              <w:rPr>
                <w:b/>
                <w:spacing w:val="-4"/>
                <w:sz w:val="24"/>
              </w:rPr>
              <w:t>2020</w:t>
            </w:r>
          </w:p>
        </w:tc>
        <w:tc>
          <w:tcPr>
            <w:tcW w:w="850" w:type="dxa"/>
          </w:tcPr>
          <w:p w:rsidR="00A54EB3" w:rsidRDefault="00BA1E8C">
            <w:pPr>
              <w:pStyle w:val="TableParagraph"/>
              <w:ind w:right="3"/>
              <w:rPr>
                <w:b/>
                <w:sz w:val="24"/>
              </w:rPr>
            </w:pPr>
            <w:r>
              <w:rPr>
                <w:b/>
                <w:spacing w:val="-4"/>
                <w:sz w:val="24"/>
              </w:rPr>
              <w:t>2021</w:t>
            </w:r>
          </w:p>
        </w:tc>
        <w:tc>
          <w:tcPr>
            <w:tcW w:w="852" w:type="dxa"/>
          </w:tcPr>
          <w:p w:rsidR="00A54EB3" w:rsidRDefault="00BA1E8C">
            <w:pPr>
              <w:pStyle w:val="TableParagraph"/>
              <w:ind w:left="6" w:right="1"/>
              <w:rPr>
                <w:b/>
                <w:sz w:val="24"/>
              </w:rPr>
            </w:pPr>
            <w:r>
              <w:rPr>
                <w:b/>
                <w:spacing w:val="-4"/>
                <w:sz w:val="24"/>
              </w:rPr>
              <w:t>2022</w:t>
            </w:r>
          </w:p>
        </w:tc>
        <w:tc>
          <w:tcPr>
            <w:tcW w:w="850" w:type="dxa"/>
          </w:tcPr>
          <w:p w:rsidR="00A54EB3" w:rsidRDefault="00BA1E8C">
            <w:pPr>
              <w:pStyle w:val="TableParagraph"/>
              <w:ind w:right="4"/>
              <w:rPr>
                <w:b/>
                <w:sz w:val="24"/>
              </w:rPr>
            </w:pPr>
            <w:r>
              <w:rPr>
                <w:b/>
                <w:spacing w:val="-4"/>
                <w:sz w:val="24"/>
              </w:rPr>
              <w:t>2023</w:t>
            </w:r>
          </w:p>
        </w:tc>
      </w:tr>
      <w:tr w:rsidR="00A54EB3">
        <w:trPr>
          <w:trHeight w:val="552"/>
        </w:trPr>
        <w:tc>
          <w:tcPr>
            <w:tcW w:w="1885" w:type="dxa"/>
          </w:tcPr>
          <w:p w:rsidR="00A54EB3" w:rsidRDefault="00BA1E8C">
            <w:pPr>
              <w:pStyle w:val="TableParagraph"/>
              <w:spacing w:line="276" w:lineRule="exact"/>
              <w:ind w:left="7"/>
              <w:rPr>
                <w:b/>
                <w:sz w:val="24"/>
              </w:rPr>
            </w:pPr>
            <w:r>
              <w:rPr>
                <w:b/>
                <w:spacing w:val="-5"/>
                <w:sz w:val="24"/>
              </w:rPr>
              <w:t>ROE</w:t>
            </w:r>
          </w:p>
        </w:tc>
        <w:tc>
          <w:tcPr>
            <w:tcW w:w="948" w:type="dxa"/>
          </w:tcPr>
          <w:p w:rsidR="00A54EB3" w:rsidRDefault="00BA1E8C">
            <w:pPr>
              <w:pStyle w:val="TableParagraph"/>
              <w:spacing w:line="276" w:lineRule="exact"/>
              <w:ind w:left="7"/>
              <w:rPr>
                <w:sz w:val="24"/>
              </w:rPr>
            </w:pPr>
            <w:r>
              <w:rPr>
                <w:spacing w:val="-2"/>
                <w:sz w:val="24"/>
              </w:rPr>
              <w:t>14,7%</w:t>
            </w:r>
          </w:p>
        </w:tc>
        <w:tc>
          <w:tcPr>
            <w:tcW w:w="850" w:type="dxa"/>
          </w:tcPr>
          <w:p w:rsidR="00A54EB3" w:rsidRDefault="00BA1E8C">
            <w:pPr>
              <w:pStyle w:val="TableParagraph"/>
              <w:spacing w:line="276" w:lineRule="exact"/>
              <w:rPr>
                <w:sz w:val="24"/>
              </w:rPr>
            </w:pPr>
            <w:r>
              <w:rPr>
                <w:spacing w:val="-5"/>
                <w:sz w:val="24"/>
              </w:rPr>
              <w:t>14%</w:t>
            </w:r>
          </w:p>
        </w:tc>
        <w:tc>
          <w:tcPr>
            <w:tcW w:w="850" w:type="dxa"/>
          </w:tcPr>
          <w:p w:rsidR="00A54EB3" w:rsidRDefault="00BA1E8C">
            <w:pPr>
              <w:pStyle w:val="TableParagraph"/>
              <w:spacing w:line="276" w:lineRule="exact"/>
              <w:ind w:right="2"/>
              <w:rPr>
                <w:sz w:val="24"/>
              </w:rPr>
            </w:pPr>
            <w:r>
              <w:rPr>
                <w:spacing w:val="-2"/>
                <w:sz w:val="24"/>
              </w:rPr>
              <w:t>14,2%</w:t>
            </w:r>
          </w:p>
        </w:tc>
        <w:tc>
          <w:tcPr>
            <w:tcW w:w="852" w:type="dxa"/>
          </w:tcPr>
          <w:p w:rsidR="00A54EB3" w:rsidRDefault="00BA1E8C">
            <w:pPr>
              <w:pStyle w:val="TableParagraph"/>
              <w:spacing w:line="276" w:lineRule="exact"/>
              <w:ind w:left="6"/>
              <w:rPr>
                <w:sz w:val="24"/>
              </w:rPr>
            </w:pPr>
            <w:r>
              <w:rPr>
                <w:spacing w:val="-2"/>
                <w:sz w:val="24"/>
              </w:rPr>
              <w:t>12,7%</w:t>
            </w:r>
          </w:p>
        </w:tc>
        <w:tc>
          <w:tcPr>
            <w:tcW w:w="850" w:type="dxa"/>
          </w:tcPr>
          <w:p w:rsidR="00A54EB3" w:rsidRDefault="00BA1E8C">
            <w:pPr>
              <w:pStyle w:val="TableParagraph"/>
              <w:spacing w:line="276" w:lineRule="exact"/>
              <w:ind w:right="3"/>
              <w:rPr>
                <w:sz w:val="24"/>
              </w:rPr>
            </w:pPr>
            <w:r>
              <w:rPr>
                <w:spacing w:val="-4"/>
                <w:sz w:val="24"/>
              </w:rPr>
              <w:t>5,9%</w:t>
            </w:r>
          </w:p>
        </w:tc>
      </w:tr>
      <w:tr w:rsidR="00A54EB3">
        <w:trPr>
          <w:trHeight w:val="554"/>
        </w:trPr>
        <w:tc>
          <w:tcPr>
            <w:tcW w:w="1885" w:type="dxa"/>
          </w:tcPr>
          <w:p w:rsidR="00A54EB3" w:rsidRDefault="00BA1E8C">
            <w:pPr>
              <w:pStyle w:val="TableParagraph"/>
              <w:spacing w:before="1" w:line="240" w:lineRule="auto"/>
              <w:ind w:left="7"/>
              <w:rPr>
                <w:b/>
                <w:sz w:val="24"/>
              </w:rPr>
            </w:pPr>
            <w:r>
              <w:rPr>
                <w:b/>
                <w:spacing w:val="-5"/>
                <w:sz w:val="24"/>
              </w:rPr>
              <w:t>GA</w:t>
            </w:r>
          </w:p>
        </w:tc>
        <w:tc>
          <w:tcPr>
            <w:tcW w:w="948" w:type="dxa"/>
          </w:tcPr>
          <w:p w:rsidR="00A54EB3" w:rsidRDefault="00BA1E8C">
            <w:pPr>
              <w:pStyle w:val="TableParagraph"/>
              <w:spacing w:before="1" w:line="240" w:lineRule="auto"/>
              <w:ind w:left="7"/>
              <w:rPr>
                <w:sz w:val="24"/>
              </w:rPr>
            </w:pPr>
            <w:r>
              <w:rPr>
                <w:spacing w:val="-2"/>
                <w:sz w:val="24"/>
              </w:rPr>
              <w:t>18,1%</w:t>
            </w:r>
          </w:p>
        </w:tc>
        <w:tc>
          <w:tcPr>
            <w:tcW w:w="850" w:type="dxa"/>
          </w:tcPr>
          <w:p w:rsidR="00A54EB3" w:rsidRDefault="00BA1E8C">
            <w:pPr>
              <w:pStyle w:val="TableParagraph"/>
              <w:spacing w:before="1" w:line="240" w:lineRule="auto"/>
              <w:ind w:right="2"/>
              <w:rPr>
                <w:sz w:val="24"/>
              </w:rPr>
            </w:pPr>
            <w:r>
              <w:rPr>
                <w:spacing w:val="-2"/>
                <w:sz w:val="24"/>
              </w:rPr>
              <w:t>24,1%</w:t>
            </w:r>
          </w:p>
        </w:tc>
        <w:tc>
          <w:tcPr>
            <w:tcW w:w="850" w:type="dxa"/>
          </w:tcPr>
          <w:p w:rsidR="00A54EB3" w:rsidRDefault="00BA1E8C">
            <w:pPr>
              <w:pStyle w:val="TableParagraph"/>
              <w:spacing w:before="1" w:line="240" w:lineRule="auto"/>
              <w:ind w:right="2"/>
              <w:rPr>
                <w:sz w:val="24"/>
              </w:rPr>
            </w:pPr>
            <w:r>
              <w:rPr>
                <w:spacing w:val="-2"/>
                <w:sz w:val="24"/>
              </w:rPr>
              <w:t>21,7%</w:t>
            </w:r>
          </w:p>
        </w:tc>
        <w:tc>
          <w:tcPr>
            <w:tcW w:w="852" w:type="dxa"/>
          </w:tcPr>
          <w:p w:rsidR="00A54EB3" w:rsidRDefault="00BA1E8C">
            <w:pPr>
              <w:pStyle w:val="TableParagraph"/>
              <w:spacing w:before="1" w:line="240" w:lineRule="auto"/>
              <w:ind w:left="6"/>
              <w:rPr>
                <w:sz w:val="24"/>
              </w:rPr>
            </w:pPr>
            <w:r>
              <w:rPr>
                <w:spacing w:val="-2"/>
                <w:sz w:val="24"/>
              </w:rPr>
              <w:t>25,3%</w:t>
            </w:r>
          </w:p>
        </w:tc>
        <w:tc>
          <w:tcPr>
            <w:tcW w:w="850" w:type="dxa"/>
          </w:tcPr>
          <w:p w:rsidR="00A54EB3" w:rsidRDefault="00BA1E8C">
            <w:pPr>
              <w:pStyle w:val="TableParagraph"/>
              <w:spacing w:before="1" w:line="240" w:lineRule="auto"/>
              <w:ind w:right="3"/>
              <w:rPr>
                <w:sz w:val="24"/>
              </w:rPr>
            </w:pPr>
            <w:r>
              <w:rPr>
                <w:spacing w:val="-2"/>
                <w:sz w:val="24"/>
              </w:rPr>
              <w:t>30,1%</w:t>
            </w:r>
          </w:p>
        </w:tc>
      </w:tr>
      <w:tr w:rsidR="00A54EB3">
        <w:trPr>
          <w:trHeight w:val="551"/>
        </w:trPr>
        <w:tc>
          <w:tcPr>
            <w:tcW w:w="1885" w:type="dxa"/>
          </w:tcPr>
          <w:p w:rsidR="00A54EB3" w:rsidRDefault="00BA1E8C">
            <w:pPr>
              <w:pStyle w:val="TableParagraph"/>
              <w:ind w:left="7" w:right="1"/>
              <w:rPr>
                <w:b/>
                <w:sz w:val="24"/>
              </w:rPr>
            </w:pPr>
            <w:r>
              <w:rPr>
                <w:b/>
                <w:spacing w:val="-5"/>
                <w:sz w:val="24"/>
              </w:rPr>
              <w:t>CSR</w:t>
            </w:r>
          </w:p>
        </w:tc>
        <w:tc>
          <w:tcPr>
            <w:tcW w:w="948" w:type="dxa"/>
          </w:tcPr>
          <w:p w:rsidR="00A54EB3" w:rsidRDefault="00BA1E8C">
            <w:pPr>
              <w:pStyle w:val="TableParagraph"/>
              <w:ind w:left="7"/>
              <w:rPr>
                <w:sz w:val="24"/>
              </w:rPr>
            </w:pPr>
            <w:r>
              <w:rPr>
                <w:spacing w:val="-2"/>
                <w:sz w:val="24"/>
              </w:rPr>
              <w:t>26,4%</w:t>
            </w:r>
          </w:p>
        </w:tc>
        <w:tc>
          <w:tcPr>
            <w:tcW w:w="850" w:type="dxa"/>
          </w:tcPr>
          <w:p w:rsidR="00A54EB3" w:rsidRDefault="00BA1E8C">
            <w:pPr>
              <w:pStyle w:val="TableParagraph"/>
              <w:ind w:right="2"/>
              <w:rPr>
                <w:sz w:val="24"/>
              </w:rPr>
            </w:pPr>
            <w:r>
              <w:rPr>
                <w:spacing w:val="-2"/>
                <w:sz w:val="24"/>
              </w:rPr>
              <w:t>28,6%</w:t>
            </w:r>
          </w:p>
        </w:tc>
        <w:tc>
          <w:tcPr>
            <w:tcW w:w="850" w:type="dxa"/>
          </w:tcPr>
          <w:p w:rsidR="00A54EB3" w:rsidRDefault="00BA1E8C">
            <w:pPr>
              <w:pStyle w:val="TableParagraph"/>
              <w:ind w:right="2"/>
              <w:rPr>
                <w:sz w:val="24"/>
              </w:rPr>
            </w:pPr>
            <w:r>
              <w:rPr>
                <w:spacing w:val="-2"/>
                <w:sz w:val="24"/>
              </w:rPr>
              <w:t>57,1%</w:t>
            </w:r>
          </w:p>
        </w:tc>
        <w:tc>
          <w:tcPr>
            <w:tcW w:w="852" w:type="dxa"/>
          </w:tcPr>
          <w:p w:rsidR="00A54EB3" w:rsidRDefault="00BA1E8C">
            <w:pPr>
              <w:pStyle w:val="TableParagraph"/>
              <w:ind w:left="6"/>
              <w:rPr>
                <w:sz w:val="24"/>
              </w:rPr>
            </w:pPr>
            <w:r>
              <w:rPr>
                <w:spacing w:val="-2"/>
                <w:sz w:val="24"/>
              </w:rPr>
              <w:t>52,7%</w:t>
            </w:r>
          </w:p>
        </w:tc>
        <w:tc>
          <w:tcPr>
            <w:tcW w:w="850" w:type="dxa"/>
          </w:tcPr>
          <w:p w:rsidR="00A54EB3" w:rsidRDefault="00BA1E8C">
            <w:pPr>
              <w:pStyle w:val="TableParagraph"/>
              <w:ind w:right="3"/>
              <w:rPr>
                <w:sz w:val="24"/>
              </w:rPr>
            </w:pPr>
            <w:r>
              <w:rPr>
                <w:spacing w:val="-2"/>
                <w:sz w:val="24"/>
              </w:rPr>
              <w:t>47,3%</w:t>
            </w:r>
          </w:p>
        </w:tc>
      </w:tr>
    </w:tbl>
    <w:p w:rsidR="00A54EB3" w:rsidRDefault="00BA1E8C">
      <w:pPr>
        <w:pStyle w:val="BodyText"/>
        <w:ind w:left="1408"/>
      </w:pPr>
      <w:r>
        <w:t>Sumber:DataSekunder Diolah,</w:t>
      </w:r>
      <w:r>
        <w:rPr>
          <w:spacing w:val="-4"/>
        </w:rPr>
        <w:t>2025</w:t>
      </w:r>
    </w:p>
    <w:p w:rsidR="00A54EB3" w:rsidRDefault="00A54EB3">
      <w:pPr>
        <w:pStyle w:val="BodyText"/>
      </w:pPr>
    </w:p>
    <w:p w:rsidR="00A54EB3" w:rsidRDefault="00BA1E8C">
      <w:pPr>
        <w:pStyle w:val="BodyText"/>
        <w:spacing w:line="480" w:lineRule="auto"/>
        <w:ind w:left="568" w:right="132" w:firstLine="679"/>
        <w:jc w:val="both"/>
      </w:pPr>
      <w:r>
        <w:t xml:space="preserve">Berdasarkan data </w:t>
      </w:r>
      <w:r>
        <w:rPr>
          <w:i/>
        </w:rPr>
        <w:t xml:space="preserve">Return On Equity </w:t>
      </w:r>
      <w:r>
        <w:t xml:space="preserve">(ROE) perusahaan energi pada tahun </w:t>
      </w:r>
      <w:r>
        <w:rPr>
          <w:spacing w:val="-4"/>
        </w:rPr>
        <w:t xml:space="preserve">2019-2023, terlihat adanya fluktuasi profitabilitas yang cukup signifikan. Tahun 2019 </w:t>
      </w:r>
      <w:r>
        <w:t xml:space="preserve">ROE tercatat sebesar 14,7%, kemudian turun menjadi 14% pada tahun 2020, dan </w:t>
      </w:r>
      <w:r>
        <w:rPr>
          <w:spacing w:val="-2"/>
        </w:rPr>
        <w:t xml:space="preserve">mengalamisedikitpeningkatanmenjadi14,2%padatahun2021.Namun,padatahun </w:t>
      </w:r>
      <w:r>
        <w:t>berikutnya kembali menurun sampai mencapai angka terendah sebesar 5,9% pada tahun 2023. Menurut Bisnis.com (202</w:t>
      </w:r>
      <w:r>
        <w:t xml:space="preserve">4) PT Mitrabara Adiperdana Tbk (MBAP) </w:t>
      </w:r>
      <w:r>
        <w:rPr>
          <w:spacing w:val="-4"/>
        </w:rPr>
        <w:t xml:space="preserve">membukukan laba bersih sebesar US$21,69 juta atau Rp351,3 miliar sepanjang 2023. </w:t>
      </w:r>
      <w:r>
        <w:t>Perolehan tersebut anjlok sebesar 87,9% dibandingkan tahun 2022 yang mencapai US$179,39juta.</w:t>
      </w:r>
    </w:p>
    <w:p w:rsidR="00A54EB3" w:rsidRDefault="00BA1E8C">
      <w:pPr>
        <w:pStyle w:val="BodyText"/>
        <w:spacing w:before="2" w:line="480" w:lineRule="auto"/>
        <w:ind w:left="568" w:right="136" w:firstLine="679"/>
        <w:jc w:val="both"/>
      </w:pPr>
      <w:r>
        <w:t xml:space="preserve">Kontan.co.id (2024) menyebutkan bahwa tahun </w:t>
      </w:r>
      <w:r>
        <w:t xml:space="preserve">2023 menjadi masa yang menantang bagi sejumlah emiten di sektor pertambangan dan energi di Indonesia karena profitabilitas yang mengalami penurunan. PT Timah Tbk (TINS), harus </w:t>
      </w:r>
      <w:r>
        <w:rPr>
          <w:spacing w:val="-4"/>
        </w:rPr>
        <w:t xml:space="preserve">mencatatkankerugiansebesarRp 487miliar,sedangkanPTBukitAsamTbk (PTBA) </w:t>
      </w:r>
      <w:r>
        <w:t>melaporkan</w:t>
      </w:r>
      <w:r>
        <w:t>penurunanlababersihhingga51,7%menjadiRp6,3triliun</w:t>
      </w:r>
      <w:r>
        <w:rPr>
          <w:spacing w:val="-4"/>
        </w:rPr>
        <w:t>dari</w:t>
      </w:r>
    </w:p>
    <w:p w:rsidR="00A54EB3" w:rsidRDefault="00A54EB3">
      <w:pPr>
        <w:pStyle w:val="BodyText"/>
        <w:spacing w:line="480" w:lineRule="auto"/>
        <w:jc w:val="both"/>
        <w:sectPr w:rsidR="00A54EB3">
          <w:pgSz w:w="11910" w:h="16840"/>
          <w:pgMar w:top="1920" w:right="1559" w:bottom="280" w:left="1700" w:header="1236" w:footer="0" w:gutter="0"/>
          <w:cols w:space="720"/>
        </w:sectPr>
      </w:pPr>
    </w:p>
    <w:p w:rsidR="00A54EB3" w:rsidRDefault="00A54EB3">
      <w:pPr>
        <w:pStyle w:val="BodyText"/>
        <w:spacing w:before="53"/>
      </w:pPr>
    </w:p>
    <w:p w:rsidR="00A54EB3" w:rsidRDefault="00BA1E8C">
      <w:pPr>
        <w:pStyle w:val="BodyText"/>
        <w:spacing w:line="480" w:lineRule="auto"/>
        <w:ind w:left="568" w:right="135"/>
        <w:jc w:val="both"/>
      </w:pPr>
      <w:r>
        <w:t>sebelumnya 12,78 triliun. Penurunan laba bersih yang drastis ini mencerminkan tantangan yang dihadapi perusahaan energi, khususnya dalam mengelola berbagai perubahanprofitabilitas</w:t>
      </w:r>
      <w:r>
        <w:t>perusahaandanregulasidiindustri.</w:t>
      </w:r>
    </w:p>
    <w:p w:rsidR="00A54EB3" w:rsidRDefault="00BA1E8C">
      <w:pPr>
        <w:pStyle w:val="BodyText"/>
        <w:spacing w:line="480" w:lineRule="auto"/>
        <w:ind w:left="568" w:right="134" w:firstLine="679"/>
        <w:jc w:val="both"/>
      </w:pPr>
      <w:r>
        <w:t>Rendahnya profitabilitas sektor energi di Indonesia berkaitan erat dengan sejumlahperistiwaterkiniyangmenyentuhisukeberlanjutandan</w:t>
      </w:r>
      <w:r>
        <w:rPr>
          <w:i/>
        </w:rPr>
        <w:t xml:space="preserve">greenaccounting </w:t>
      </w:r>
      <w:r>
        <w:t xml:space="preserve">(Reza,2024).Penurunanprofitabilitasjugasalahsatunyadisebabkan olehperusahaan </w:t>
      </w:r>
      <w:r>
        <w:t xml:space="preserve">kurang mampu mengoptimalkan sumber daya yang dimiliki oleh perusahaan (Ass, 2020). Oleh karena itu, memiliki kondisi keuangan yang baik </w:t>
      </w:r>
      <w:r>
        <w:rPr>
          <w:spacing w:val="-2"/>
        </w:rPr>
        <w:t xml:space="preserve">merupakantujuandantanggungjawabmanajemenperusahaandalammelaksanakan </w:t>
      </w:r>
      <w:r>
        <w:t>kegiatan usahanya.</w:t>
      </w:r>
    </w:p>
    <w:p w:rsidR="00A54EB3" w:rsidRDefault="00BA1E8C">
      <w:pPr>
        <w:pStyle w:val="BodyText"/>
        <w:spacing w:before="1" w:line="480" w:lineRule="auto"/>
        <w:ind w:left="568" w:right="136" w:firstLine="679"/>
        <w:jc w:val="both"/>
      </w:pPr>
      <w:r>
        <w:t>Kompas.id (2021) menyebutkan terj</w:t>
      </w:r>
      <w:r>
        <w:t>adi pencemaran air karena retaknya tanggul limbah pertambangan batu bara pada 7 Februari 2021. Pencemaran ini menyebabkanratusanikanmati,airsungaimenjadikeruhdan14desakesulitanair bersih. Warga terpaksa menggunakan air hujan untuk kebutuhan sehari-hari. Pe</w:t>
      </w:r>
      <w:r>
        <w:t>ncemaran diduga akibat kelalaian tambang di sepanjang 131 kilometer Sungai Malinau. Jatam Kaltara mencatat lima perusahaan terlibat, yaitu PT MBAP, PT AMNK, PT ATI, PTBRMS,dan PT KPUC.</w:t>
      </w:r>
    </w:p>
    <w:p w:rsidR="00A54EB3" w:rsidRDefault="00BA1E8C">
      <w:pPr>
        <w:pStyle w:val="BodyText"/>
        <w:spacing w:before="1" w:line="480" w:lineRule="auto"/>
        <w:ind w:left="568" w:right="134" w:firstLine="679"/>
        <w:jc w:val="both"/>
      </w:pPr>
      <w:r>
        <w:t xml:space="preserve">Metronewstv.com(2024)melaporkanadanyapencemaranlingkunganyang </w:t>
      </w:r>
      <w:r>
        <w:rPr>
          <w:spacing w:val="-2"/>
        </w:rPr>
        <w:t>dilakukan</w:t>
      </w:r>
      <w:r>
        <w:rPr>
          <w:spacing w:val="-2"/>
        </w:rPr>
        <w:t xml:space="preserve">olehPTBukitAsamtbkdidesasirahpulau.MasyarakatDesaSirahPulau </w:t>
      </w:r>
      <w:r>
        <w:t>terdampak oleh limbah lumpur dari aktivitas pertambangan sehingga lahan perkebunan milik warga mengalami kerusakan. Hal ini akibat pemindahan/pengalihansungainelungkesungaitabuyangberdampak</w:t>
      </w:r>
      <w:r>
        <w:rPr>
          <w:spacing w:val="-2"/>
        </w:rPr>
        <w:t>meluapn</w:t>
      </w:r>
      <w:r>
        <w:rPr>
          <w:spacing w:val="-2"/>
        </w:rPr>
        <w:t>ya</w:t>
      </w:r>
    </w:p>
    <w:p w:rsidR="00A54EB3" w:rsidRDefault="00A54EB3">
      <w:pPr>
        <w:pStyle w:val="BodyText"/>
        <w:spacing w:line="480" w:lineRule="auto"/>
        <w:jc w:val="both"/>
        <w:sectPr w:rsidR="00A54EB3">
          <w:pgSz w:w="11910" w:h="16840"/>
          <w:pgMar w:top="1920" w:right="1559" w:bottom="280" w:left="1700" w:header="1236" w:footer="0" w:gutter="0"/>
          <w:cols w:space="720"/>
        </w:sectPr>
      </w:pPr>
    </w:p>
    <w:p w:rsidR="00A54EB3" w:rsidRDefault="00A54EB3">
      <w:pPr>
        <w:pStyle w:val="BodyText"/>
        <w:spacing w:before="53"/>
      </w:pPr>
    </w:p>
    <w:p w:rsidR="00A54EB3" w:rsidRDefault="00BA1E8C">
      <w:pPr>
        <w:pStyle w:val="BodyText"/>
        <w:spacing w:line="480" w:lineRule="auto"/>
        <w:ind w:left="568" w:right="139"/>
        <w:jc w:val="both"/>
      </w:pPr>
      <w:r>
        <w:t xml:space="preserve">sungai nelung dan menyebabkan tanah lumpur menutupi tanah perkebunan </w:t>
      </w:r>
      <w:r>
        <w:rPr>
          <w:spacing w:val="-2"/>
        </w:rPr>
        <w:t>masyarakat.</w:t>
      </w:r>
    </w:p>
    <w:p w:rsidR="00A54EB3" w:rsidRDefault="00BA1E8C">
      <w:pPr>
        <w:pStyle w:val="BodyText"/>
        <w:spacing w:line="480" w:lineRule="auto"/>
        <w:ind w:left="568" w:right="136" w:firstLine="679"/>
        <w:jc w:val="both"/>
      </w:pPr>
      <w:r>
        <w:t>Detik.com (2023) melaporkan bahwa sebanyak 30 warga Aceh Timur mengalami keracunan akibat bau busuk yang diduga berasal dari PT Medco E&amp;P Malaka. Warga m</w:t>
      </w:r>
      <w:r>
        <w:t>engalami sesak dan muntah sehingga dilarikan ke rumah sakit akibat diduga keracunan gas. Kasus keracunan gas sekitar kawasan eksploitasi PT Medcosudahberulangkaliterjadi.DPRAmemintaagarsumurminyakyangdiduga mengalami kebocoran segera ditutup sementara wakt</w:t>
      </w:r>
      <w:r>
        <w:t>u dan pihak Medco diminta memberikankompensasikepadawargayangterdampak.</w:t>
      </w:r>
    </w:p>
    <w:p w:rsidR="00A54EB3" w:rsidRDefault="00BA1E8C">
      <w:pPr>
        <w:pStyle w:val="BodyText"/>
        <w:spacing w:before="1" w:line="480" w:lineRule="auto"/>
        <w:ind w:left="568" w:right="133" w:firstLine="679"/>
        <w:jc w:val="both"/>
      </w:pPr>
      <w:r>
        <w:t>Permasalahan yang terjadi pada sektor energi diatas menunjukkan bahwa perhatian perusahaan terhadaplingkungan masih tergolong rendah.Perusahaan yangberkontribusipadapencemaranlingkunga</w:t>
      </w:r>
      <w:r>
        <w:t>nsecaratidaklangsungmenghadapi penurunannilaiperusahaanakibatkerusakanreputasidanhilangnyadukungandari para investor (Oktiara &amp; Effriyanti, 2024). Oleh karena itu, penekanan pada keberlanjutansertakepatuhanregulasilingkungansangatpentinguntukperusahaan dal</w:t>
      </w:r>
      <w:r>
        <w:t>am jangka panjang.</w:t>
      </w:r>
    </w:p>
    <w:p w:rsidR="00A54EB3" w:rsidRDefault="00BA1E8C">
      <w:pPr>
        <w:pStyle w:val="BodyText"/>
        <w:spacing w:before="1" w:line="480" w:lineRule="auto"/>
        <w:ind w:left="568" w:right="131" w:firstLine="679"/>
        <w:jc w:val="both"/>
      </w:pPr>
      <w:r>
        <w:t xml:space="preserve">Dalam mempertanggungjawabkan dampak lingkungan dari tindakan yang </w:t>
      </w:r>
      <w:r>
        <w:rPr>
          <w:spacing w:val="-2"/>
        </w:rPr>
        <w:t>dilakukan,perusahaandapatmempraktikankonsep</w:t>
      </w:r>
      <w:r>
        <w:rPr>
          <w:i/>
          <w:spacing w:val="-2"/>
        </w:rPr>
        <w:t>GreenAccounting.</w:t>
      </w:r>
      <w:r>
        <w:rPr>
          <w:spacing w:val="-2"/>
        </w:rPr>
        <w:t xml:space="preserve">MenurutSari </w:t>
      </w:r>
      <w:r>
        <w:t xml:space="preserve">&amp; Wahyuningtyas (2020) Akuntansi lingkungan </w:t>
      </w:r>
      <w:r>
        <w:rPr>
          <w:i/>
        </w:rPr>
        <w:t xml:space="preserve">(Green Acoounting) </w:t>
      </w:r>
      <w:r>
        <w:t xml:space="preserve">merupakan adalah sistem baru dalam bidang akuntansi yang menekankan pada pendeteksian, </w:t>
      </w:r>
      <w:r>
        <w:rPr>
          <w:spacing w:val="-4"/>
        </w:rPr>
        <w:t xml:space="preserve">pengenalan,pengukuran, dan penyajianinformasi yang berkaitan dengan aspeksosial </w:t>
      </w:r>
      <w:r>
        <w:t>danlingkungan,disampingtransaksikeuangandanobjeklainnya.Regulasi</w:t>
      </w:r>
      <w:r>
        <w:rPr>
          <w:i/>
        </w:rPr>
        <w:t>Green Accounting</w:t>
      </w:r>
      <w:r>
        <w:t>diIndones</w:t>
      </w:r>
      <w:r>
        <w:t>ia diaturdalamUUNo32Tahun2009tentang</w:t>
      </w:r>
      <w:r>
        <w:rPr>
          <w:spacing w:val="-2"/>
        </w:rPr>
        <w:t>Perlindungan</w:t>
      </w:r>
    </w:p>
    <w:p w:rsidR="00A54EB3" w:rsidRDefault="00A54EB3">
      <w:pPr>
        <w:pStyle w:val="BodyText"/>
        <w:spacing w:line="480" w:lineRule="auto"/>
        <w:jc w:val="both"/>
        <w:sectPr w:rsidR="00A54EB3">
          <w:pgSz w:w="11910" w:h="16840"/>
          <w:pgMar w:top="1920" w:right="1559" w:bottom="280" w:left="1700" w:header="1236" w:footer="0" w:gutter="0"/>
          <w:cols w:space="720"/>
        </w:sectPr>
      </w:pPr>
    </w:p>
    <w:p w:rsidR="00A54EB3" w:rsidRDefault="00A54EB3">
      <w:pPr>
        <w:pStyle w:val="BodyText"/>
        <w:spacing w:before="53"/>
      </w:pPr>
    </w:p>
    <w:p w:rsidR="00A54EB3" w:rsidRDefault="00BA1E8C">
      <w:pPr>
        <w:pStyle w:val="BodyText"/>
        <w:spacing w:line="480" w:lineRule="auto"/>
        <w:ind w:left="568" w:right="137"/>
        <w:jc w:val="both"/>
      </w:pPr>
      <w:r>
        <w:t>danPengelolaanLingkunganHidup.Olehkarenaitu,perlindungandanpengelolaan lingkungan harus dilakukan dengan serius dan konsisten oleh semua pihak yang mempunyaikepentingan(Kumalaetal.,2023).</w:t>
      </w:r>
    </w:p>
    <w:p w:rsidR="00A54EB3" w:rsidRDefault="00BA1E8C">
      <w:pPr>
        <w:pStyle w:val="BodyText"/>
        <w:spacing w:line="480" w:lineRule="auto"/>
        <w:ind w:left="568" w:right="132" w:firstLine="679"/>
        <w:jc w:val="both"/>
      </w:pPr>
      <w:r>
        <w:rPr>
          <w:spacing w:val="-4"/>
        </w:rPr>
        <w:t xml:space="preserve">Berdasarkan tabel 1.1 menunjukkan bahwapenerapan </w:t>
      </w:r>
      <w:r>
        <w:rPr>
          <w:i/>
          <w:spacing w:val="-4"/>
        </w:rPr>
        <w:t xml:space="preserve">GreenAccounting </w:t>
      </w:r>
      <w:r>
        <w:rPr>
          <w:spacing w:val="-4"/>
        </w:rPr>
        <w:t xml:space="preserve">pada </w:t>
      </w:r>
      <w:r>
        <w:t>perusahaanenergicenderungmeningkat,meskipunterdapatpenurunanpadatahun 2021. Peningkatan ini mencerminkan adanya kesadaran perusahaan energi pentingnya praktik keberlanjutan dalam operasi</w:t>
      </w:r>
      <w:r>
        <w:t xml:space="preserve">onal bisnis. Penerapan </w:t>
      </w:r>
      <w:r>
        <w:rPr>
          <w:i/>
        </w:rPr>
        <w:t xml:space="preserve">green </w:t>
      </w:r>
      <w:r>
        <w:rPr>
          <w:i/>
          <w:spacing w:val="-2"/>
        </w:rPr>
        <w:t>accounting</w:t>
      </w:r>
      <w:r>
        <w:rPr>
          <w:spacing w:val="-2"/>
        </w:rPr>
        <w:t xml:space="preserve">merupakansalahsatubentukperusahaanuntukmemenuhikeinginandari </w:t>
      </w:r>
      <w:r>
        <w:t xml:space="preserve">masyarakat. </w:t>
      </w:r>
      <w:r>
        <w:rPr>
          <w:i/>
        </w:rPr>
        <w:t xml:space="preserve">Green accounting </w:t>
      </w:r>
      <w:r>
        <w:t xml:space="preserve">menjadi solusi atas konflik operasional perusahaan </w:t>
      </w:r>
      <w:r>
        <w:rPr>
          <w:spacing w:val="-2"/>
        </w:rPr>
        <w:t xml:space="preserve">dandampaknyaterhadaplingkungandanmasyarakat.Perusahaanyangabaiterhadap </w:t>
      </w:r>
      <w:r>
        <w:t>keberlanjutancenderungmengeksploitasisumberdayademikeuntunganmaksimal (Meiyana &amp; Aisyah, 2019). Berlebihnya eksploitasi sumber daya merusak lingkungan sehingga pengelolaan dibutuhkan untuk mengurangi kerusakan. Oleh karena itu, perusahaan mengalokasikan bi</w:t>
      </w:r>
      <w:r>
        <w:t xml:space="preserve">aya untuk lingkungan, yang umumnya </w:t>
      </w:r>
      <w:r>
        <w:rPr>
          <w:spacing w:val="-2"/>
        </w:rPr>
        <w:t>diungkapkandalamsustainabilityreportdanannualreport(Riyadhetal.,2020).</w:t>
      </w:r>
    </w:p>
    <w:p w:rsidR="00A54EB3" w:rsidRDefault="00BA1E8C">
      <w:pPr>
        <w:pStyle w:val="BodyText"/>
        <w:spacing w:before="2" w:line="480" w:lineRule="auto"/>
        <w:ind w:left="568" w:right="134" w:firstLine="679"/>
        <w:jc w:val="both"/>
      </w:pPr>
      <w:r>
        <w:t>Penggunaan</w:t>
      </w:r>
      <w:r>
        <w:rPr>
          <w:i/>
        </w:rPr>
        <w:t>greenaccounting</w:t>
      </w:r>
      <w:r>
        <w:t>memperlihatkanberapabesarnyabiayayang dihabiskan dan dialokasikan oleh entitas bisnis dalam mengelola lingkungan (Endianaetal</w:t>
      </w:r>
      <w:r>
        <w:t xml:space="preserve">.,2020).Akuntansilingkunganberperanpentinguntukmeningkatkan </w:t>
      </w:r>
      <w:r>
        <w:rPr>
          <w:i/>
        </w:rPr>
        <w:t xml:space="preserve">environmental performance </w:t>
      </w:r>
      <w:r>
        <w:t xml:space="preserve">perusahaan serta mengontrol pengelolaan lingkungan yangdilakukanperusahaan(Kholmi&amp;Nafiza,2022).Halinimenjadilangkahawal </w:t>
      </w:r>
      <w:r>
        <w:rPr>
          <w:spacing w:val="-4"/>
        </w:rPr>
        <w:t>dalam mengurangi kerusakan lingkungan serta mening</w:t>
      </w:r>
      <w:r>
        <w:rPr>
          <w:spacing w:val="-4"/>
        </w:rPr>
        <w:t xml:space="preserve">katkan efektivitas pengelolaan </w:t>
      </w:r>
      <w:r>
        <w:t>biayalingkungan.Selainitu,</w:t>
      </w:r>
      <w:r>
        <w:rPr>
          <w:i/>
        </w:rPr>
        <w:t>greenaccounting</w:t>
      </w:r>
      <w:r>
        <w:t>jugamembericitrapositifdi</w:t>
      </w:r>
      <w:r>
        <w:rPr>
          <w:spacing w:val="-4"/>
        </w:rPr>
        <w:t>mata</w:t>
      </w:r>
    </w:p>
    <w:p w:rsidR="00A54EB3" w:rsidRDefault="00A54EB3">
      <w:pPr>
        <w:pStyle w:val="BodyText"/>
        <w:spacing w:line="480" w:lineRule="auto"/>
        <w:jc w:val="both"/>
        <w:sectPr w:rsidR="00A54EB3">
          <w:pgSz w:w="11910" w:h="16840"/>
          <w:pgMar w:top="1920" w:right="1559" w:bottom="280" w:left="1700" w:header="1236" w:footer="0" w:gutter="0"/>
          <w:cols w:space="720"/>
        </w:sectPr>
      </w:pPr>
    </w:p>
    <w:p w:rsidR="00A54EB3" w:rsidRDefault="00A54EB3">
      <w:pPr>
        <w:pStyle w:val="BodyText"/>
        <w:spacing w:before="53"/>
      </w:pPr>
    </w:p>
    <w:p w:rsidR="00A54EB3" w:rsidRDefault="00BA1E8C">
      <w:pPr>
        <w:pStyle w:val="BodyText"/>
        <w:spacing w:line="480" w:lineRule="auto"/>
        <w:ind w:left="568" w:right="139"/>
        <w:jc w:val="both"/>
      </w:pPr>
      <w:r>
        <w:t>investorkarenamenunjukkankomitmenperusahaanterhadapkeberlanjutan,bukan hanya pada keuntungan.</w:t>
      </w:r>
    </w:p>
    <w:p w:rsidR="00A54EB3" w:rsidRDefault="00BA1E8C">
      <w:pPr>
        <w:pStyle w:val="BodyText"/>
        <w:spacing w:line="480" w:lineRule="auto"/>
        <w:ind w:left="568" w:right="136" w:firstLine="679"/>
        <w:jc w:val="both"/>
      </w:pPr>
      <w:r>
        <w:t>Kementerian Lingkungan Hidup (KLH) membua</w:t>
      </w:r>
      <w:r>
        <w:t>t Program Penilaian Peringkat Kinerja Perusahaan (PROPER) yang digunakan untuk mengevaluasi pengelolaan lingkungan agar perusahaan meningkatkan kinerja dalam upaya pelestarian lingkungan hidup. Penerapan PROPER berimplikasi positif pada perlindunganmasyara</w:t>
      </w:r>
      <w:r>
        <w:t xml:space="preserve">katdanlingkungankarenadituntutmemenuhikewajibannya terhadap kelestarian lingkungan, agar terhindar dari pencemaran limbah industri (Kusumaetal.,2023).Kinerjalingkungansuatuperusahaandinilaiolehpemerintah </w:t>
      </w:r>
      <w:r>
        <w:rPr>
          <w:spacing w:val="-2"/>
        </w:rPr>
        <w:t>danhasilpenilaiandiumumkansecararutinagarmasyarakatm</w:t>
      </w:r>
      <w:r>
        <w:rPr>
          <w:spacing w:val="-2"/>
        </w:rPr>
        <w:t>engetahuibagaimana tingkat pengelolaanlingkunganyangtelahdilakukanolehsuatuperusahaan.</w:t>
      </w:r>
    </w:p>
    <w:p w:rsidR="00A54EB3" w:rsidRDefault="00BA1E8C">
      <w:pPr>
        <w:pStyle w:val="BodyText"/>
        <w:spacing w:before="1" w:line="480" w:lineRule="auto"/>
        <w:ind w:left="568" w:right="133" w:firstLine="679"/>
        <w:jc w:val="both"/>
      </w:pPr>
      <w:r>
        <w:rPr>
          <w:spacing w:val="-2"/>
        </w:rPr>
        <w:t xml:space="preserve">Selanjutnya,bentuktanggungjawabyangdapatditunjukkanolehperusahaan </w:t>
      </w:r>
      <w:r>
        <w:t xml:space="preserve">terhadap lingkungan ialah dengan melakukan pengungkapan </w:t>
      </w:r>
      <w:r>
        <w:rPr>
          <w:i/>
        </w:rPr>
        <w:t>Corporate Social Responsibility.CorporateSocial</w:t>
      </w:r>
      <w:r>
        <w:rPr>
          <w:i/>
        </w:rPr>
        <w:t>Responsibility</w:t>
      </w:r>
      <w:r>
        <w:t xml:space="preserve">adalahsuatucarabagibisnisuntuk memberikan kontribusi kepada masyarakat dan ekosistem yang terdampak oleh aktivitas mereka. </w:t>
      </w:r>
      <w:r>
        <w:rPr>
          <w:i/>
        </w:rPr>
        <w:t xml:space="preserve">Corporate Social Responsibility </w:t>
      </w:r>
      <w:r>
        <w:t xml:space="preserve">sebagai solusi dalam menyikapi </w:t>
      </w:r>
      <w:r>
        <w:rPr>
          <w:spacing w:val="-4"/>
        </w:rPr>
        <w:t>permasalahanlingkungan sertamenetapkanstandar perilaku y</w:t>
      </w:r>
      <w:r>
        <w:rPr>
          <w:spacing w:val="-4"/>
        </w:rPr>
        <w:t xml:space="preserve">angharusdiaplikasikan </w:t>
      </w:r>
      <w:r>
        <w:rPr>
          <w:spacing w:val="-2"/>
        </w:rPr>
        <w:t xml:space="preserve">olehperusahaan.DiIndonesia,tanggungjawabsosialperusahaan(CSR)merupakan </w:t>
      </w:r>
      <w:r>
        <w:rPr>
          <w:spacing w:val="-4"/>
        </w:rPr>
        <w:t xml:space="preserve">halyangwajibdantelahdiaturdalamUndang-UndangRepublikIndonesiaNomor47 </w:t>
      </w:r>
      <w:r>
        <w:t xml:space="preserve">Tahun 2012 tentang Tanggung Jawab Sosial dan Lingkungan Perseroan Terbatas. </w:t>
      </w:r>
      <w:r>
        <w:rPr>
          <w:spacing w:val="-4"/>
        </w:rPr>
        <w:t>Perusahaan yang me</w:t>
      </w:r>
      <w:r>
        <w:rPr>
          <w:spacing w:val="-4"/>
        </w:rPr>
        <w:t xml:space="preserve">ngungkapkan tanggung jawab sosial dalam laporan keuangannya </w:t>
      </w:r>
      <w:r>
        <w:t xml:space="preserve">akan mendapat respon yang baik dengan meningkatnya kepercayaan masyarakat </w:t>
      </w:r>
      <w:r>
        <w:rPr>
          <w:spacing w:val="-2"/>
        </w:rPr>
        <w:t>sehinggatingkatpenjualanperusahaanakanmeningkat(Erlanggaetal.,2021).</w:t>
      </w:r>
    </w:p>
    <w:p w:rsidR="00A54EB3" w:rsidRDefault="00A54EB3">
      <w:pPr>
        <w:pStyle w:val="BodyText"/>
        <w:spacing w:line="480" w:lineRule="auto"/>
        <w:jc w:val="both"/>
        <w:sectPr w:rsidR="00A54EB3">
          <w:pgSz w:w="11910" w:h="16840"/>
          <w:pgMar w:top="1920" w:right="1559" w:bottom="280" w:left="1700" w:header="1236" w:footer="0" w:gutter="0"/>
          <w:cols w:space="720"/>
        </w:sectPr>
      </w:pPr>
    </w:p>
    <w:p w:rsidR="00A54EB3" w:rsidRDefault="00A54EB3">
      <w:pPr>
        <w:pStyle w:val="BodyText"/>
        <w:spacing w:before="53"/>
      </w:pPr>
    </w:p>
    <w:p w:rsidR="00A54EB3" w:rsidRDefault="00BA1E8C">
      <w:pPr>
        <w:pStyle w:val="BodyText"/>
        <w:spacing w:line="480" w:lineRule="auto"/>
        <w:ind w:left="568" w:right="133" w:firstLine="679"/>
        <w:jc w:val="both"/>
      </w:pPr>
      <w:r>
        <w:t>Berdasarkantabel1.1menunjukkan</w:t>
      </w:r>
      <w:r>
        <w:t>bahwapengungkapan</w:t>
      </w:r>
      <w:r>
        <w:rPr>
          <w:i/>
        </w:rPr>
        <w:t xml:space="preserve">CorporateSocial </w:t>
      </w:r>
      <w:r>
        <w:rPr>
          <w:i/>
          <w:spacing w:val="-2"/>
        </w:rPr>
        <w:t>Responsibility</w:t>
      </w:r>
      <w:r>
        <w:rPr>
          <w:spacing w:val="-2"/>
        </w:rPr>
        <w:t xml:space="preserve">padaperusahaanenergimengalamifluktuasipadaperiode2019-2023. </w:t>
      </w:r>
      <w:r>
        <w:t>PersentasepengungkapanCSRtercatatsebesar26,4%padatahun2019,meningkat menjadi 28,6% pada tahun 2020, kemudian naik menjadi 57,1% pada tahun 2021. Namu</w:t>
      </w:r>
      <w:r>
        <w:t>n,pengungkapanCSRmenurunmenjadi52,7%padatahun2022dankembali turun menjadi 47,3% pada tahun 2023. Fluktuasi ini menunjukkan bahwa pengungkapanCSRperusahaanenergibelumstabildanmasihbersifatdinamisdari tahun ke tahun.</w:t>
      </w:r>
    </w:p>
    <w:p w:rsidR="00A54EB3" w:rsidRDefault="00BA1E8C">
      <w:pPr>
        <w:pStyle w:val="BodyText"/>
        <w:spacing w:before="1" w:line="480" w:lineRule="auto"/>
        <w:ind w:left="568" w:right="134" w:firstLine="679"/>
        <w:jc w:val="both"/>
      </w:pPr>
      <w:r>
        <w:t>Tanggung jawab sosial perusahaan digambar</w:t>
      </w:r>
      <w:r>
        <w:t xml:space="preserve">kan sebagai ketersediaan informasi pada aspek keuangan maupun non-keuangan. Bentuk </w:t>
      </w:r>
      <w:r>
        <w:rPr>
          <w:i/>
        </w:rPr>
        <w:t>Corporate Social Responsibility</w:t>
      </w:r>
      <w:r>
        <w:t>ialahdenganmelakukankegiatan-kegiatanyangdapatmeningkatkan kesejahteraan masyarakat dan perbaikan lingkungan, pemberian dana untuk pemeliharaa</w:t>
      </w:r>
      <w:r>
        <w:t>nfasilitasumum,sumbanganuntukfasilitasumumyangbersifatsosial dan berguna untuk masyarakat banyak, khususnya masyakarat yang berada di lingkungansekitarperusahaantersebut(Pratiwietal.,2020).</w:t>
      </w:r>
    </w:p>
    <w:p w:rsidR="00A54EB3" w:rsidRDefault="00BA1E8C">
      <w:pPr>
        <w:pStyle w:val="BodyText"/>
        <w:spacing w:before="1" w:line="480" w:lineRule="auto"/>
        <w:ind w:left="568" w:right="133" w:firstLine="679"/>
        <w:jc w:val="both"/>
      </w:pPr>
      <w:r>
        <w:t xml:space="preserve">MenurutGlobalReportingInitiative(GRI),kegiatantanggungjawabsosial </w:t>
      </w:r>
      <w:r>
        <w:rPr>
          <w:spacing w:val="-2"/>
        </w:rPr>
        <w:t xml:space="preserve">(CSR)terdiridarikegiatanekonomi,lingkungan,dansosial.Perusahaanmelaporkan </w:t>
      </w:r>
      <w:r>
        <w:t xml:space="preserve">program CSR dalam Laporan Berkelanjutan </w:t>
      </w:r>
      <w:r>
        <w:rPr>
          <w:i/>
        </w:rPr>
        <w:t xml:space="preserve">(Sustainability Report) </w:t>
      </w:r>
      <w:r>
        <w:t>dengan mengungkapkan dampak aktivitas perusahaan baik positif atau negatif terhadap lingkungan, masyarakat, dan ekonom</w:t>
      </w:r>
      <w:r>
        <w:t xml:space="preserve">i. Pengungkapan </w:t>
      </w:r>
      <w:r>
        <w:rPr>
          <w:i/>
        </w:rPr>
        <w:t>Corporate Social Responsibility</w:t>
      </w:r>
      <w:r>
        <w:t xml:space="preserve">olehperusahaandiharapkanmampumemenuhikepatuhaninformasi </w:t>
      </w:r>
      <w:r>
        <w:rPr>
          <w:spacing w:val="-4"/>
        </w:rPr>
        <w:t xml:space="preserve">bagi stakeholder dan publik sehinggaperusahaan akan mendapatkan dukungan dalam </w:t>
      </w:r>
      <w:r>
        <w:t>usahanyamencapaitujuanperusahaan(Sari&amp;Putri,2022).</w:t>
      </w:r>
    </w:p>
    <w:p w:rsidR="00A54EB3" w:rsidRDefault="00A54EB3">
      <w:pPr>
        <w:pStyle w:val="BodyText"/>
        <w:spacing w:line="480" w:lineRule="auto"/>
        <w:jc w:val="both"/>
        <w:sectPr w:rsidR="00A54EB3">
          <w:pgSz w:w="11910" w:h="16840"/>
          <w:pgMar w:top="1920" w:right="1559" w:bottom="280" w:left="1700" w:header="1236" w:footer="0" w:gutter="0"/>
          <w:cols w:space="720"/>
        </w:sectPr>
      </w:pPr>
    </w:p>
    <w:p w:rsidR="00A54EB3" w:rsidRDefault="00A54EB3">
      <w:pPr>
        <w:pStyle w:val="BodyText"/>
        <w:spacing w:before="53"/>
      </w:pPr>
    </w:p>
    <w:p w:rsidR="00A54EB3" w:rsidRDefault="00BA1E8C">
      <w:pPr>
        <w:pStyle w:val="BodyText"/>
        <w:spacing w:line="480" w:lineRule="auto"/>
        <w:ind w:left="568" w:right="132" w:firstLine="679"/>
        <w:jc w:val="both"/>
      </w:pPr>
      <w:r>
        <w:t>Mela</w:t>
      </w:r>
      <w:r>
        <w:t xml:space="preserve">lui penerapan </w:t>
      </w:r>
      <w:r>
        <w:rPr>
          <w:i/>
        </w:rPr>
        <w:t xml:space="preserve">green accounting </w:t>
      </w:r>
      <w:r>
        <w:t xml:space="preserve">dan </w:t>
      </w:r>
      <w:r>
        <w:rPr>
          <w:i/>
        </w:rPr>
        <w:t xml:space="preserve">pengungkapan corporate social responsibility, </w:t>
      </w:r>
      <w:r>
        <w:t>setiap perusahaan akan berusaha dalam meminimalisir dan menghindari kerugian atas kerusakan lingkungan di masa yang akan datang. Implementasi keduanya secara tidak langsung ak</w:t>
      </w:r>
      <w:r>
        <w:t xml:space="preserve">an meningkatkan profitabilitas perusahaan.Investorakanmemilihuntukberinvestasijikaprofitabilitasperusahaan </w:t>
      </w:r>
      <w:r>
        <w:rPr>
          <w:spacing w:val="-2"/>
        </w:rPr>
        <w:t xml:space="preserve">meningkat.Selainitu,reputasipositifdapatmenariklebihbanyakinvestorkebisnis. Peningkatanpartisipasiinvestorakanmeningkatkanpeluangperusahaanuntukmaju </w:t>
      </w:r>
      <w:r>
        <w:rPr>
          <w:spacing w:val="-4"/>
        </w:rPr>
        <w:t xml:space="preserve">yang akanmeningkatkan nilai perusahaan. Hal inipentinguntukmenggali bagaimana </w:t>
      </w:r>
      <w:r>
        <w:t xml:space="preserve">kedua faktor </w:t>
      </w:r>
      <w:r>
        <w:rPr>
          <w:i/>
        </w:rPr>
        <w:t xml:space="preserve">Green Accounting </w:t>
      </w:r>
      <w:r>
        <w:t xml:space="preserve">dan </w:t>
      </w:r>
      <w:r>
        <w:rPr>
          <w:i/>
        </w:rPr>
        <w:t xml:space="preserve">Corporate Social Responsibility </w:t>
      </w:r>
      <w:r>
        <w:t>dapat berkontribusi pada profitabilitas perusahaan energi, serta mengoptimalkan kinerja dalammenghadapitantangan</w:t>
      </w:r>
      <w:r>
        <w:t>lingkungandansosialyangsemakinkompleks.</w:t>
      </w:r>
    </w:p>
    <w:p w:rsidR="00A54EB3" w:rsidRDefault="00BA1E8C">
      <w:pPr>
        <w:pStyle w:val="BodyText"/>
        <w:spacing w:before="1" w:line="480" w:lineRule="auto"/>
        <w:ind w:left="568" w:right="130" w:firstLine="679"/>
        <w:jc w:val="both"/>
      </w:pPr>
      <w:r>
        <w:t>Hasil penelitian Niandra &amp; Handayani (2023) menunjukan hasil penelitian bahwa</w:t>
      </w:r>
      <w:r>
        <w:rPr>
          <w:i/>
        </w:rPr>
        <w:t>GreenAccounting</w:t>
      </w:r>
      <w:r>
        <w:t>memilikipengaruhpositifterhadapprofitabilitas.Halini sejalandenganpenelitianyangdilakukanolehRahmanetal(2023)danBudiono&amp; Dur</w:t>
      </w:r>
      <w:r>
        <w:t xml:space="preserve">a (2021) menunjukkan hasil bahwa </w:t>
      </w:r>
      <w:r>
        <w:rPr>
          <w:i/>
        </w:rPr>
        <w:t xml:space="preserve">green accounting </w:t>
      </w:r>
      <w:r>
        <w:t xml:space="preserve">memiliki pengaruh signifikan terhadap profitabilitas. Sedangkan, hasil yang berbeda ditemukan oleh </w:t>
      </w:r>
      <w:r>
        <w:rPr>
          <w:spacing w:val="-2"/>
        </w:rPr>
        <w:t>penelitianSa’adah&amp;Martini(2024)menunjukkanbahwavariabel</w:t>
      </w:r>
      <w:r>
        <w:rPr>
          <w:i/>
          <w:spacing w:val="-2"/>
        </w:rPr>
        <w:t xml:space="preserve">greenaccounting </w:t>
      </w:r>
      <w:r>
        <w:t>tidak memiliki pengaruh terhadap pro</w:t>
      </w:r>
      <w:r>
        <w:t xml:space="preserve">fitabilitas. Hasil penelitian Indrawati et al (2020) dan Musfirati et al (2021) menunjukkan hasil penelitian bahwa </w:t>
      </w:r>
      <w:r>
        <w:rPr>
          <w:i/>
        </w:rPr>
        <w:t xml:space="preserve">corporate social responsibility </w:t>
      </w:r>
      <w:r>
        <w:t xml:space="preserve">berpengaruh positif dan signifikan terhadap profitabilitas. </w:t>
      </w:r>
      <w:r>
        <w:rPr>
          <w:spacing w:val="-2"/>
        </w:rPr>
        <w:t>Sedangkan,hasilyangberbedaditemukanolehpenelitian</w:t>
      </w:r>
      <w:r>
        <w:rPr>
          <w:spacing w:val="-2"/>
        </w:rPr>
        <w:t xml:space="preserve">Ramdiani&amp;Nurleli(2023) </w:t>
      </w:r>
      <w:r>
        <w:t>menunjukkanbahwa</w:t>
      </w:r>
      <w:r>
        <w:rPr>
          <w:i/>
        </w:rPr>
        <w:t>CorporateSocialResponsibility</w:t>
      </w:r>
      <w:r>
        <w:t>tidakberpengaruhsignifikan terhadap profitabilitas perusahaan.</w:t>
      </w:r>
    </w:p>
    <w:p w:rsidR="00A54EB3" w:rsidRDefault="00A54EB3">
      <w:pPr>
        <w:pStyle w:val="BodyText"/>
        <w:spacing w:line="480" w:lineRule="auto"/>
        <w:jc w:val="both"/>
        <w:sectPr w:rsidR="00A54EB3">
          <w:pgSz w:w="11910" w:h="16840"/>
          <w:pgMar w:top="1920" w:right="1559" w:bottom="280" w:left="1700" w:header="1236" w:footer="0" w:gutter="0"/>
          <w:cols w:space="720"/>
        </w:sectPr>
      </w:pPr>
    </w:p>
    <w:p w:rsidR="00A54EB3" w:rsidRDefault="00A54EB3">
      <w:pPr>
        <w:pStyle w:val="BodyText"/>
        <w:spacing w:before="53"/>
      </w:pPr>
    </w:p>
    <w:p w:rsidR="00A54EB3" w:rsidRDefault="00BA1E8C">
      <w:pPr>
        <w:spacing w:line="480" w:lineRule="auto"/>
        <w:ind w:left="568" w:right="135" w:firstLine="679"/>
        <w:jc w:val="both"/>
        <w:rPr>
          <w:sz w:val="24"/>
        </w:rPr>
      </w:pPr>
      <w:r>
        <w:rPr>
          <w:spacing w:val="-2"/>
          <w:sz w:val="24"/>
        </w:rPr>
        <w:t xml:space="preserve">Berdasarkanlatarbelakangyangtelahdiuraikandiatas,makapenelititertarik </w:t>
      </w:r>
      <w:r>
        <w:rPr>
          <w:sz w:val="24"/>
        </w:rPr>
        <w:t>untuk melakukan penelitian lebih lan</w:t>
      </w:r>
      <w:r>
        <w:rPr>
          <w:sz w:val="24"/>
        </w:rPr>
        <w:t xml:space="preserve">jut untuk mengisi celah tersebut dengan mengevaluasi mengenai </w:t>
      </w:r>
      <w:r>
        <w:rPr>
          <w:b/>
          <w:sz w:val="24"/>
        </w:rPr>
        <w:t xml:space="preserve">“Pengaruh </w:t>
      </w:r>
      <w:r>
        <w:rPr>
          <w:b/>
          <w:i/>
          <w:sz w:val="24"/>
        </w:rPr>
        <w:t>Green Accounting</w:t>
      </w:r>
      <w:r>
        <w:rPr>
          <w:b/>
          <w:sz w:val="24"/>
        </w:rPr>
        <w:t xml:space="preserve">Dan </w:t>
      </w:r>
      <w:r>
        <w:rPr>
          <w:b/>
          <w:i/>
          <w:sz w:val="24"/>
        </w:rPr>
        <w:t xml:space="preserve">Corporate Social Responsibility </w:t>
      </w:r>
      <w:r>
        <w:rPr>
          <w:b/>
          <w:sz w:val="24"/>
        </w:rPr>
        <w:t>Terhadap Profitabilitas Perusahaan Energi Yang Terdaftar Di BursaEfek IndonesiaTahun2021-2023”</w:t>
      </w:r>
      <w:r>
        <w:rPr>
          <w:sz w:val="24"/>
        </w:rPr>
        <w:t>.</w:t>
      </w:r>
    </w:p>
    <w:p w:rsidR="00A54EB3" w:rsidRDefault="00A54EB3">
      <w:pPr>
        <w:pStyle w:val="BodyText"/>
      </w:pPr>
    </w:p>
    <w:p w:rsidR="00A54EB3" w:rsidRDefault="00A54EB3">
      <w:pPr>
        <w:pStyle w:val="BodyText"/>
        <w:spacing w:before="1"/>
      </w:pPr>
    </w:p>
    <w:p w:rsidR="00A54EB3" w:rsidRDefault="00BA1E8C">
      <w:pPr>
        <w:pStyle w:val="Heading1"/>
        <w:numPr>
          <w:ilvl w:val="1"/>
          <w:numId w:val="4"/>
        </w:numPr>
        <w:tabs>
          <w:tab w:val="left" w:pos="928"/>
        </w:tabs>
        <w:jc w:val="both"/>
      </w:pPr>
      <w:r>
        <w:t>Identifikasi</w:t>
      </w:r>
      <w:r>
        <w:rPr>
          <w:spacing w:val="-2"/>
        </w:rPr>
        <w:t xml:space="preserve"> Masalah</w:t>
      </w:r>
    </w:p>
    <w:p w:rsidR="00A54EB3" w:rsidRDefault="00A54EB3">
      <w:pPr>
        <w:pStyle w:val="BodyText"/>
        <w:rPr>
          <w:b/>
        </w:rPr>
      </w:pPr>
    </w:p>
    <w:p w:rsidR="00A54EB3" w:rsidRDefault="00BA1E8C">
      <w:pPr>
        <w:pStyle w:val="ListParagraph"/>
        <w:numPr>
          <w:ilvl w:val="0"/>
          <w:numId w:val="1"/>
        </w:numPr>
        <w:tabs>
          <w:tab w:val="left" w:pos="1276"/>
        </w:tabs>
        <w:spacing w:line="480" w:lineRule="auto"/>
        <w:ind w:right="137"/>
        <w:jc w:val="both"/>
        <w:rPr>
          <w:sz w:val="24"/>
        </w:rPr>
      </w:pPr>
      <w:r>
        <w:rPr>
          <w:sz w:val="24"/>
        </w:rPr>
        <w:t>Profitabilitas perusahaan pada sektor energi tahun 2019-2023 mengalami ketidakstabilan dan penurunan yang signifikan.</w:t>
      </w:r>
    </w:p>
    <w:p w:rsidR="00A54EB3" w:rsidRDefault="00BA1E8C">
      <w:pPr>
        <w:pStyle w:val="ListParagraph"/>
        <w:numPr>
          <w:ilvl w:val="0"/>
          <w:numId w:val="1"/>
        </w:numPr>
        <w:tabs>
          <w:tab w:val="left" w:pos="1276"/>
        </w:tabs>
        <w:spacing w:line="480" w:lineRule="auto"/>
        <w:ind w:right="138"/>
        <w:jc w:val="both"/>
        <w:rPr>
          <w:sz w:val="24"/>
        </w:rPr>
      </w:pPr>
      <w:r>
        <w:rPr>
          <w:i/>
          <w:sz w:val="24"/>
        </w:rPr>
        <w:t xml:space="preserve">Corporate Social Responsibility </w:t>
      </w:r>
      <w:r>
        <w:rPr>
          <w:sz w:val="24"/>
        </w:rPr>
        <w:t>perusahaan energi tahun 2019-2023 mengalami ketidakstabilan dan penurunan yang signifikan.</w:t>
      </w:r>
    </w:p>
    <w:p w:rsidR="00A54EB3" w:rsidRDefault="00BA1E8C">
      <w:pPr>
        <w:pStyle w:val="ListParagraph"/>
        <w:numPr>
          <w:ilvl w:val="0"/>
          <w:numId w:val="1"/>
        </w:numPr>
        <w:tabs>
          <w:tab w:val="left" w:pos="1276"/>
        </w:tabs>
        <w:spacing w:line="480" w:lineRule="auto"/>
        <w:ind w:right="138"/>
        <w:jc w:val="both"/>
        <w:rPr>
          <w:sz w:val="24"/>
        </w:rPr>
      </w:pPr>
      <w:r>
        <w:rPr>
          <w:sz w:val="24"/>
        </w:rPr>
        <w:t>Masih banyak pe</w:t>
      </w:r>
      <w:r>
        <w:rPr>
          <w:sz w:val="24"/>
        </w:rPr>
        <w:t>rusahaan sektor energi yang belum sepenuhnyamenyadari pentingnya menjaga kelestarian lingkungan dan belum mengimplementasikan tanggung jawab dalam kegiatan operasional.</w:t>
      </w:r>
    </w:p>
    <w:p w:rsidR="00A54EB3" w:rsidRDefault="00BA1E8C">
      <w:pPr>
        <w:pStyle w:val="ListParagraph"/>
        <w:numPr>
          <w:ilvl w:val="0"/>
          <w:numId w:val="1"/>
        </w:numPr>
        <w:tabs>
          <w:tab w:val="left" w:pos="1276"/>
        </w:tabs>
        <w:spacing w:before="1" w:line="480" w:lineRule="auto"/>
        <w:ind w:right="138"/>
        <w:jc w:val="both"/>
        <w:rPr>
          <w:sz w:val="24"/>
        </w:rPr>
      </w:pPr>
      <w:r>
        <w:rPr>
          <w:sz w:val="24"/>
        </w:rPr>
        <w:t xml:space="preserve">Terdapat </w:t>
      </w:r>
      <w:r>
        <w:rPr>
          <w:i/>
          <w:sz w:val="24"/>
        </w:rPr>
        <w:t xml:space="preserve">empirical gap </w:t>
      </w:r>
      <w:r>
        <w:rPr>
          <w:sz w:val="24"/>
        </w:rPr>
        <w:t>dalam penelitian terdahulu, beberapa penelitian menunjukkan adan</w:t>
      </w:r>
      <w:r>
        <w:rPr>
          <w:sz w:val="24"/>
        </w:rPr>
        <w:t xml:space="preserve">ya pengaruh antara </w:t>
      </w:r>
      <w:r>
        <w:rPr>
          <w:i/>
          <w:sz w:val="24"/>
        </w:rPr>
        <w:t xml:space="preserve">Green Accounting </w:t>
      </w:r>
      <w:r>
        <w:rPr>
          <w:sz w:val="24"/>
        </w:rPr>
        <w:t xml:space="preserve">dan </w:t>
      </w:r>
      <w:r>
        <w:rPr>
          <w:i/>
          <w:sz w:val="24"/>
        </w:rPr>
        <w:t xml:space="preserve">Corporate Social Responsibility </w:t>
      </w:r>
      <w:r>
        <w:rPr>
          <w:sz w:val="24"/>
        </w:rPr>
        <w:t>terhadap profitabilitas perusahaan, sementara penelitian lainnya tidak menemukan hubungan.</w:t>
      </w:r>
    </w:p>
    <w:p w:rsidR="00A54EB3" w:rsidRDefault="00BA1E8C">
      <w:pPr>
        <w:pStyle w:val="Heading1"/>
        <w:numPr>
          <w:ilvl w:val="1"/>
          <w:numId w:val="4"/>
        </w:numPr>
        <w:tabs>
          <w:tab w:val="left" w:pos="928"/>
        </w:tabs>
        <w:spacing w:before="200"/>
        <w:jc w:val="both"/>
      </w:pPr>
      <w:r>
        <w:t>Batasan</w:t>
      </w:r>
      <w:r>
        <w:rPr>
          <w:spacing w:val="-2"/>
        </w:rPr>
        <w:t>Masalah</w:t>
      </w:r>
    </w:p>
    <w:p w:rsidR="00A54EB3" w:rsidRDefault="00BA1E8C">
      <w:pPr>
        <w:pStyle w:val="BodyText"/>
        <w:spacing w:before="276" w:line="480" w:lineRule="auto"/>
        <w:ind w:left="568" w:right="136" w:firstLine="720"/>
        <w:jc w:val="both"/>
      </w:pPr>
      <w:r>
        <w:t>Berdasarkan Indentifikasi masalah diatas, maka batasan masalah dalam penelitia</w:t>
      </w:r>
      <w:r>
        <w:t xml:space="preserve">n ini adalah membahas mengenai </w:t>
      </w:r>
      <w:r>
        <w:rPr>
          <w:i/>
        </w:rPr>
        <w:t xml:space="preserve">Green Accounting </w:t>
      </w:r>
      <w:r>
        <w:t xml:space="preserve">dan </w:t>
      </w:r>
      <w:r>
        <w:rPr>
          <w:i/>
        </w:rPr>
        <w:t>CorporateSocialResponsibility</w:t>
      </w:r>
      <w:r>
        <w:t>terhadapProfitabilitaspadaperusahaanenergiyangterdaftar di Bursa Efek Indonesia tahun 2021-2023.</w:t>
      </w:r>
    </w:p>
    <w:p w:rsidR="00A54EB3" w:rsidRDefault="00A54EB3">
      <w:pPr>
        <w:pStyle w:val="BodyText"/>
        <w:spacing w:line="480" w:lineRule="auto"/>
        <w:jc w:val="both"/>
        <w:sectPr w:rsidR="00A54EB3">
          <w:pgSz w:w="11910" w:h="16840"/>
          <w:pgMar w:top="1920" w:right="1559" w:bottom="280" w:left="1700" w:header="1236" w:footer="0" w:gutter="0"/>
          <w:cols w:space="720"/>
        </w:sectPr>
      </w:pPr>
    </w:p>
    <w:p w:rsidR="00A54EB3" w:rsidRDefault="00A54EB3">
      <w:pPr>
        <w:pStyle w:val="BodyText"/>
        <w:spacing w:before="53"/>
      </w:pPr>
    </w:p>
    <w:p w:rsidR="00A54EB3" w:rsidRDefault="00BA1E8C">
      <w:pPr>
        <w:pStyle w:val="Heading1"/>
        <w:numPr>
          <w:ilvl w:val="1"/>
          <w:numId w:val="4"/>
        </w:numPr>
        <w:tabs>
          <w:tab w:val="left" w:pos="928"/>
        </w:tabs>
      </w:pPr>
      <w:r>
        <w:t>Rumusan</w:t>
      </w:r>
      <w:r>
        <w:rPr>
          <w:spacing w:val="-2"/>
        </w:rPr>
        <w:t xml:space="preserve"> Masalah</w:t>
      </w:r>
    </w:p>
    <w:p w:rsidR="00A54EB3" w:rsidRDefault="00A54EB3">
      <w:pPr>
        <w:pStyle w:val="BodyText"/>
        <w:rPr>
          <w:b/>
        </w:rPr>
      </w:pPr>
    </w:p>
    <w:p w:rsidR="00A54EB3" w:rsidRDefault="00BA1E8C">
      <w:pPr>
        <w:pStyle w:val="ListParagraph"/>
        <w:numPr>
          <w:ilvl w:val="0"/>
          <w:numId w:val="2"/>
        </w:numPr>
        <w:tabs>
          <w:tab w:val="left" w:pos="1288"/>
        </w:tabs>
        <w:spacing w:line="480" w:lineRule="auto"/>
        <w:ind w:right="141"/>
        <w:jc w:val="both"/>
        <w:rPr>
          <w:sz w:val="24"/>
        </w:rPr>
      </w:pPr>
      <w:r>
        <w:rPr>
          <w:sz w:val="24"/>
        </w:rPr>
        <w:t xml:space="preserve">Apakah </w:t>
      </w:r>
      <w:r>
        <w:rPr>
          <w:i/>
          <w:sz w:val="24"/>
        </w:rPr>
        <w:t xml:space="preserve">Green Accounting </w:t>
      </w:r>
      <w:r>
        <w:rPr>
          <w:sz w:val="24"/>
        </w:rPr>
        <w:t>berpengaruh terhadap profitabilitas perusahaan energi yang terdaftar di Bursa Efek Indonesia tahun 2021-2023?</w:t>
      </w:r>
    </w:p>
    <w:p w:rsidR="00A54EB3" w:rsidRDefault="00BA1E8C">
      <w:pPr>
        <w:pStyle w:val="ListParagraph"/>
        <w:numPr>
          <w:ilvl w:val="0"/>
          <w:numId w:val="2"/>
        </w:numPr>
        <w:tabs>
          <w:tab w:val="left" w:pos="1288"/>
        </w:tabs>
        <w:spacing w:line="480" w:lineRule="auto"/>
        <w:ind w:right="139"/>
        <w:jc w:val="both"/>
        <w:rPr>
          <w:sz w:val="24"/>
        </w:rPr>
      </w:pPr>
      <w:r>
        <w:rPr>
          <w:sz w:val="24"/>
        </w:rPr>
        <w:t xml:space="preserve">Apakah </w:t>
      </w:r>
      <w:r>
        <w:rPr>
          <w:i/>
          <w:sz w:val="24"/>
        </w:rPr>
        <w:t xml:space="preserve">Corporate Social Responsibility </w:t>
      </w:r>
      <w:r>
        <w:rPr>
          <w:sz w:val="24"/>
        </w:rPr>
        <w:t>berpengaruh terhadap profitabilitas perusahaan energi yang terdaftar di Bursa Efek Indonesia tahun 2021-202</w:t>
      </w:r>
      <w:r>
        <w:rPr>
          <w:sz w:val="24"/>
        </w:rPr>
        <w:t>3?</w:t>
      </w:r>
    </w:p>
    <w:p w:rsidR="00A54EB3" w:rsidRDefault="00BA1E8C">
      <w:pPr>
        <w:pStyle w:val="ListParagraph"/>
        <w:numPr>
          <w:ilvl w:val="0"/>
          <w:numId w:val="2"/>
        </w:numPr>
        <w:tabs>
          <w:tab w:val="left" w:pos="1288"/>
        </w:tabs>
        <w:spacing w:before="1" w:line="480" w:lineRule="auto"/>
        <w:ind w:right="139"/>
        <w:jc w:val="both"/>
        <w:rPr>
          <w:sz w:val="24"/>
        </w:rPr>
      </w:pPr>
      <w:r>
        <w:rPr>
          <w:sz w:val="24"/>
        </w:rPr>
        <w:t xml:space="preserve">Apakah </w:t>
      </w:r>
      <w:r>
        <w:rPr>
          <w:i/>
          <w:sz w:val="24"/>
        </w:rPr>
        <w:t>Green Accounting</w:t>
      </w:r>
      <w:r>
        <w:rPr>
          <w:sz w:val="24"/>
        </w:rPr>
        <w:t xml:space="preserve">dan </w:t>
      </w:r>
      <w:r>
        <w:rPr>
          <w:i/>
          <w:sz w:val="24"/>
        </w:rPr>
        <w:t xml:space="preserve">Corporate Social Responsibility </w:t>
      </w:r>
      <w:r>
        <w:rPr>
          <w:sz w:val="24"/>
        </w:rPr>
        <w:t>berpengaruh secara simultan terhadap profitabilitas perusahaan energiyang terdaftar di Bursa Efek Indonesia tahun 2021-2023?</w:t>
      </w:r>
    </w:p>
    <w:p w:rsidR="00A54EB3" w:rsidRDefault="00A54EB3">
      <w:pPr>
        <w:pStyle w:val="BodyText"/>
      </w:pPr>
    </w:p>
    <w:p w:rsidR="00A54EB3" w:rsidRDefault="00A54EB3">
      <w:pPr>
        <w:pStyle w:val="BodyText"/>
      </w:pPr>
    </w:p>
    <w:p w:rsidR="00A54EB3" w:rsidRDefault="00BA1E8C">
      <w:pPr>
        <w:pStyle w:val="Heading1"/>
        <w:numPr>
          <w:ilvl w:val="1"/>
          <w:numId w:val="4"/>
        </w:numPr>
        <w:tabs>
          <w:tab w:val="left" w:pos="928"/>
        </w:tabs>
      </w:pPr>
      <w:r>
        <w:t>Tujuan</w:t>
      </w:r>
      <w:r>
        <w:rPr>
          <w:spacing w:val="-2"/>
        </w:rPr>
        <w:t>Penelitian</w:t>
      </w:r>
    </w:p>
    <w:p w:rsidR="00A54EB3" w:rsidRDefault="00A54EB3">
      <w:pPr>
        <w:pStyle w:val="BodyText"/>
        <w:rPr>
          <w:b/>
        </w:rPr>
      </w:pPr>
    </w:p>
    <w:p w:rsidR="00A54EB3" w:rsidRDefault="00BA1E8C">
      <w:pPr>
        <w:pStyle w:val="BodyText"/>
        <w:spacing w:line="480" w:lineRule="auto"/>
        <w:ind w:left="568" w:right="713" w:firstLine="720"/>
        <w:jc w:val="both"/>
      </w:pPr>
      <w:r>
        <w:t>Berdasarkanrumusanmasalahdiatasmakadapatdisimpulk</w:t>
      </w:r>
      <w:r>
        <w:t>anbahwa tujuan dari penelitian ini yaitu:</w:t>
      </w:r>
    </w:p>
    <w:p w:rsidR="00A54EB3" w:rsidRDefault="00BA1E8C">
      <w:pPr>
        <w:pStyle w:val="ListParagraph"/>
        <w:numPr>
          <w:ilvl w:val="0"/>
          <w:numId w:val="3"/>
        </w:numPr>
        <w:tabs>
          <w:tab w:val="left" w:pos="1288"/>
        </w:tabs>
        <w:spacing w:line="480" w:lineRule="auto"/>
        <w:ind w:right="138"/>
        <w:jc w:val="both"/>
        <w:rPr>
          <w:sz w:val="24"/>
        </w:rPr>
      </w:pPr>
      <w:r>
        <w:rPr>
          <w:sz w:val="24"/>
        </w:rPr>
        <w:t xml:space="preserve">Untuk mengetahui pengaruh </w:t>
      </w:r>
      <w:r>
        <w:rPr>
          <w:i/>
          <w:sz w:val="24"/>
        </w:rPr>
        <w:t xml:space="preserve">Green Accounting </w:t>
      </w:r>
      <w:r>
        <w:rPr>
          <w:sz w:val="24"/>
        </w:rPr>
        <w:t>terhadap profitabilitas perusahaanenergiyangterdaftardiBursaEfekIndonesia tahun 2021-2023.</w:t>
      </w:r>
    </w:p>
    <w:p w:rsidR="00A54EB3" w:rsidRDefault="00BA1E8C">
      <w:pPr>
        <w:pStyle w:val="ListParagraph"/>
        <w:numPr>
          <w:ilvl w:val="0"/>
          <w:numId w:val="3"/>
        </w:numPr>
        <w:tabs>
          <w:tab w:val="left" w:pos="1288"/>
        </w:tabs>
        <w:spacing w:before="1" w:line="480" w:lineRule="auto"/>
        <w:ind w:right="136"/>
        <w:jc w:val="both"/>
        <w:rPr>
          <w:sz w:val="24"/>
        </w:rPr>
      </w:pPr>
      <w:r>
        <w:rPr>
          <w:sz w:val="24"/>
        </w:rPr>
        <w:t xml:space="preserve">Untuk mengetahui pengaruh </w:t>
      </w:r>
      <w:r>
        <w:rPr>
          <w:i/>
          <w:sz w:val="24"/>
        </w:rPr>
        <w:t xml:space="preserve">Corporate Social Responsibility </w:t>
      </w:r>
      <w:r>
        <w:rPr>
          <w:sz w:val="24"/>
        </w:rPr>
        <w:t>terhadap profitabilita</w:t>
      </w:r>
      <w:r>
        <w:rPr>
          <w:sz w:val="24"/>
        </w:rPr>
        <w:t>s perusahaan energi yang terdaftar di Bursa Efek Indonesia tahun 2021-2023.</w:t>
      </w:r>
    </w:p>
    <w:p w:rsidR="00A54EB3" w:rsidRDefault="00BA1E8C">
      <w:pPr>
        <w:pStyle w:val="ListParagraph"/>
        <w:numPr>
          <w:ilvl w:val="0"/>
          <w:numId w:val="3"/>
        </w:numPr>
        <w:tabs>
          <w:tab w:val="left" w:pos="1288"/>
        </w:tabs>
        <w:spacing w:line="480" w:lineRule="auto"/>
        <w:ind w:right="138"/>
        <w:jc w:val="both"/>
        <w:rPr>
          <w:sz w:val="24"/>
        </w:rPr>
      </w:pPr>
      <w:r>
        <w:rPr>
          <w:sz w:val="24"/>
        </w:rPr>
        <w:t xml:space="preserve">Untuk mengetahui pengaruh </w:t>
      </w:r>
      <w:r>
        <w:rPr>
          <w:i/>
          <w:sz w:val="24"/>
        </w:rPr>
        <w:t>Green Accounting</w:t>
      </w:r>
      <w:r>
        <w:rPr>
          <w:sz w:val="24"/>
        </w:rPr>
        <w:t xml:space="preserve">dan </w:t>
      </w:r>
      <w:r>
        <w:rPr>
          <w:i/>
          <w:sz w:val="24"/>
        </w:rPr>
        <w:t xml:space="preserve">Corporate Social Responsibility </w:t>
      </w:r>
      <w:r>
        <w:rPr>
          <w:sz w:val="24"/>
        </w:rPr>
        <w:t>terhadap profitabilitas perusahaan energi yang terdaftar di Bursa Efek Indonesia tahun 2021-2023.</w:t>
      </w:r>
    </w:p>
    <w:p w:rsidR="00A54EB3" w:rsidRDefault="00A54EB3">
      <w:pPr>
        <w:pStyle w:val="ListParagraph"/>
        <w:spacing w:line="480" w:lineRule="auto"/>
        <w:rPr>
          <w:sz w:val="24"/>
        </w:rPr>
        <w:sectPr w:rsidR="00A54EB3">
          <w:pgSz w:w="11910" w:h="16840"/>
          <w:pgMar w:top="1920" w:right="1559" w:bottom="280" w:left="1700" w:header="1236" w:footer="0" w:gutter="0"/>
          <w:cols w:space="720"/>
        </w:sectPr>
      </w:pPr>
    </w:p>
    <w:p w:rsidR="00A54EB3" w:rsidRDefault="00A54EB3">
      <w:pPr>
        <w:pStyle w:val="BodyText"/>
        <w:spacing w:before="53"/>
      </w:pPr>
    </w:p>
    <w:p w:rsidR="00A54EB3" w:rsidRDefault="00BA1E8C">
      <w:pPr>
        <w:pStyle w:val="Heading1"/>
        <w:numPr>
          <w:ilvl w:val="1"/>
          <w:numId w:val="4"/>
        </w:numPr>
        <w:tabs>
          <w:tab w:val="left" w:pos="928"/>
        </w:tabs>
      </w:pPr>
      <w:r>
        <w:t>Manfaat</w:t>
      </w:r>
      <w:r>
        <w:rPr>
          <w:spacing w:val="-2"/>
        </w:rPr>
        <w:t>Penelitian</w:t>
      </w:r>
    </w:p>
    <w:p w:rsidR="00A54EB3" w:rsidRDefault="00A54EB3">
      <w:pPr>
        <w:pStyle w:val="BodyText"/>
        <w:rPr>
          <w:b/>
        </w:rPr>
      </w:pPr>
    </w:p>
    <w:p w:rsidR="00A54EB3" w:rsidRDefault="00BA1E8C">
      <w:pPr>
        <w:pStyle w:val="BodyText"/>
        <w:spacing w:line="480" w:lineRule="auto"/>
        <w:ind w:left="568" w:firstLine="720"/>
      </w:pPr>
      <w:r>
        <w:t>Adapunhasildaripenelitianinidiharapkandapatmemberikanmanfaat bagi semua kalangan masyarakat yang berkepentingan khususnya:</w:t>
      </w:r>
    </w:p>
    <w:p w:rsidR="00A54EB3" w:rsidRDefault="00BA1E8C">
      <w:pPr>
        <w:pStyle w:val="ListParagraph"/>
        <w:numPr>
          <w:ilvl w:val="2"/>
          <w:numId w:val="4"/>
        </w:numPr>
        <w:tabs>
          <w:tab w:val="left" w:pos="1288"/>
        </w:tabs>
        <w:rPr>
          <w:sz w:val="24"/>
        </w:rPr>
      </w:pPr>
      <w:r>
        <w:rPr>
          <w:spacing w:val="-2"/>
          <w:sz w:val="24"/>
        </w:rPr>
        <w:t>Peneliti</w:t>
      </w:r>
    </w:p>
    <w:p w:rsidR="00A54EB3" w:rsidRDefault="00A54EB3">
      <w:pPr>
        <w:pStyle w:val="BodyText"/>
      </w:pPr>
    </w:p>
    <w:p w:rsidR="00A54EB3" w:rsidRDefault="00BA1E8C">
      <w:pPr>
        <w:pStyle w:val="BodyText"/>
        <w:spacing w:line="480" w:lineRule="auto"/>
        <w:ind w:left="1288" w:right="138"/>
        <w:jc w:val="both"/>
      </w:pPr>
      <w:r>
        <w:t xml:space="preserve">Penelitian ini berguna untuk mengembangkan pemikiran dari penulis, menambah ilmu pengetahuan dan dapat dijadikan pembanding dalam mengukur akuntansi lingkungan dan pengungkapan tanggung jawabyang dilakukan oleh perusahaan dalam meningkatkan profitabilitas </w:t>
      </w:r>
      <w:r>
        <w:t>perusahaan.</w:t>
      </w:r>
    </w:p>
    <w:p w:rsidR="00A54EB3" w:rsidRDefault="00BA1E8C">
      <w:pPr>
        <w:pStyle w:val="ListParagraph"/>
        <w:numPr>
          <w:ilvl w:val="2"/>
          <w:numId w:val="4"/>
        </w:numPr>
        <w:tabs>
          <w:tab w:val="left" w:pos="1288"/>
        </w:tabs>
        <w:spacing w:before="1"/>
        <w:rPr>
          <w:sz w:val="24"/>
        </w:rPr>
      </w:pPr>
      <w:r>
        <w:rPr>
          <w:sz w:val="24"/>
        </w:rPr>
        <w:t>UniversitasMuslimNusataraAl-</w:t>
      </w:r>
      <w:r>
        <w:rPr>
          <w:spacing w:val="-2"/>
          <w:sz w:val="24"/>
        </w:rPr>
        <w:t>Washliyah</w:t>
      </w:r>
    </w:p>
    <w:p w:rsidR="00A54EB3" w:rsidRDefault="00A54EB3">
      <w:pPr>
        <w:pStyle w:val="BodyText"/>
      </w:pPr>
    </w:p>
    <w:p w:rsidR="00A54EB3" w:rsidRDefault="00BA1E8C">
      <w:pPr>
        <w:pStyle w:val="BodyText"/>
        <w:spacing w:line="480" w:lineRule="auto"/>
        <w:ind w:left="1288" w:right="138"/>
        <w:jc w:val="both"/>
      </w:pPr>
      <w:r>
        <w:t xml:space="preserve">Hasil Penelitian ini dapat digunakan sebagai sumber untuk memperluas pengetahuan dan wawasan tentang </w:t>
      </w:r>
      <w:r>
        <w:rPr>
          <w:i/>
        </w:rPr>
        <w:t xml:space="preserve">Green Accounting </w:t>
      </w:r>
      <w:r>
        <w:t xml:space="preserve">dan </w:t>
      </w:r>
      <w:r>
        <w:rPr>
          <w:i/>
        </w:rPr>
        <w:t>CorporateSocialResponsibility</w:t>
      </w:r>
      <w:r>
        <w:t>,sehinggadapatmengetahui Profitabilitasperusahaan yang</w:t>
      </w:r>
      <w:r>
        <w:t>terjadidanmemberikansolusiataspermasalahanyang terkaitdengan penelitian ini.</w:t>
      </w:r>
    </w:p>
    <w:p w:rsidR="00A54EB3" w:rsidRDefault="00BA1E8C">
      <w:pPr>
        <w:pStyle w:val="ListParagraph"/>
        <w:numPr>
          <w:ilvl w:val="2"/>
          <w:numId w:val="4"/>
        </w:numPr>
        <w:tabs>
          <w:tab w:val="left" w:pos="1288"/>
        </w:tabs>
        <w:spacing w:before="1"/>
        <w:rPr>
          <w:sz w:val="24"/>
        </w:rPr>
      </w:pPr>
      <w:r>
        <w:rPr>
          <w:spacing w:val="-2"/>
          <w:sz w:val="24"/>
        </w:rPr>
        <w:t>Perusahaan</w:t>
      </w:r>
    </w:p>
    <w:p w:rsidR="00A54EB3" w:rsidRDefault="00BA1E8C">
      <w:pPr>
        <w:pStyle w:val="BodyText"/>
        <w:spacing w:before="276" w:line="480" w:lineRule="auto"/>
        <w:ind w:left="1288" w:right="138"/>
        <w:jc w:val="both"/>
      </w:pPr>
      <w:r>
        <w:t xml:space="preserve">Sebagai tambahan ilmu pengetahuan berupa pembahasan dan saran untuk perusahaan serta dapat menambah informasi dalam menerapkan </w:t>
      </w:r>
      <w:r>
        <w:rPr>
          <w:i/>
        </w:rPr>
        <w:t xml:space="preserve">green accounting </w:t>
      </w:r>
      <w:r>
        <w:t xml:space="preserve">dan </w:t>
      </w:r>
      <w:r>
        <w:rPr>
          <w:i/>
        </w:rPr>
        <w:t>corporate social res</w:t>
      </w:r>
      <w:r>
        <w:rPr>
          <w:i/>
        </w:rPr>
        <w:t xml:space="preserve">ponsibility </w:t>
      </w:r>
      <w:r>
        <w:t xml:space="preserve">yang berguna bagi perusahaan terutamadalam menjagakelestarian lingkungan. Sertamenjadi alat ukur perusahaan dalam mengambil keputusan untuk kepentingan lingkungan sehingga untuk mencapai profitabilitas perusahaan yang </w:t>
      </w:r>
      <w:r>
        <w:rPr>
          <w:spacing w:val="-2"/>
        </w:rPr>
        <w:t>optimal.</w:t>
      </w:r>
    </w:p>
    <w:p w:rsidR="00A54EB3" w:rsidRDefault="00A54EB3">
      <w:pPr>
        <w:pStyle w:val="BodyText"/>
        <w:spacing w:line="480" w:lineRule="auto"/>
        <w:jc w:val="both"/>
        <w:sectPr w:rsidR="00A54EB3">
          <w:pgSz w:w="11910" w:h="16840"/>
          <w:pgMar w:top="1920" w:right="1559" w:bottom="280" w:left="1700" w:header="1236" w:footer="0" w:gutter="0"/>
          <w:cols w:space="720"/>
        </w:sectPr>
      </w:pPr>
    </w:p>
    <w:p w:rsidR="00A54EB3" w:rsidRDefault="00A54EB3">
      <w:pPr>
        <w:pStyle w:val="BodyText"/>
        <w:spacing w:before="53"/>
      </w:pPr>
    </w:p>
    <w:p w:rsidR="00A54EB3" w:rsidRDefault="00BA1E8C">
      <w:pPr>
        <w:pStyle w:val="ListParagraph"/>
        <w:numPr>
          <w:ilvl w:val="2"/>
          <w:numId w:val="4"/>
        </w:numPr>
        <w:tabs>
          <w:tab w:val="left" w:pos="1288"/>
        </w:tabs>
        <w:rPr>
          <w:sz w:val="24"/>
        </w:rPr>
      </w:pPr>
      <w:r>
        <w:rPr>
          <w:sz w:val="24"/>
        </w:rPr>
        <w:t>Peneliti</w:t>
      </w:r>
      <w:r>
        <w:rPr>
          <w:spacing w:val="-2"/>
          <w:sz w:val="24"/>
        </w:rPr>
        <w:t xml:space="preserve"> Selanjutnya</w:t>
      </w:r>
    </w:p>
    <w:p w:rsidR="00A54EB3" w:rsidRDefault="00A54EB3">
      <w:pPr>
        <w:pStyle w:val="BodyText"/>
      </w:pPr>
    </w:p>
    <w:p w:rsidR="00A54EB3" w:rsidRDefault="00BA1E8C">
      <w:pPr>
        <w:pStyle w:val="BodyText"/>
        <w:spacing w:line="480" w:lineRule="auto"/>
        <w:ind w:left="1288" w:right="138"/>
        <w:jc w:val="both"/>
      </w:pPr>
      <w:r>
        <w:t xml:space="preserve">HasilPenelitianinidapat digunakansebagaibahanreferensitambahandan sebagai perbandingan bagi peneliti lain dalam hal </w:t>
      </w:r>
      <w:r>
        <w:rPr>
          <w:i/>
        </w:rPr>
        <w:t xml:space="preserve">Green Accounting </w:t>
      </w:r>
      <w:r>
        <w:t xml:space="preserve">dan </w:t>
      </w:r>
      <w:r>
        <w:rPr>
          <w:i/>
        </w:rPr>
        <w:t xml:space="preserve">Corporate Social Responsibility </w:t>
      </w:r>
      <w:r>
        <w:t>terhadap profitabilitas perusahaan atau kajian yang lain bersan</w:t>
      </w:r>
      <w:r>
        <w:t>gkutan.</w:t>
      </w:r>
    </w:p>
    <w:sectPr w:rsidR="00A54EB3" w:rsidSect="00A54EB3">
      <w:pgSz w:w="11910" w:h="16840"/>
      <w:pgMar w:top="1920" w:right="1559" w:bottom="280" w:left="1700" w:header="1236"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A1E8C" w:rsidRDefault="00BA1E8C" w:rsidP="00A54EB3">
      <w:r>
        <w:separator/>
      </w:r>
    </w:p>
  </w:endnote>
  <w:endnote w:type="continuationSeparator" w:id="1">
    <w:p w:rsidR="00BA1E8C" w:rsidRDefault="00BA1E8C" w:rsidP="00A54EB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A1E8C" w:rsidRDefault="00BA1E8C" w:rsidP="00A54EB3">
      <w:r>
        <w:separator/>
      </w:r>
    </w:p>
  </w:footnote>
  <w:footnote w:type="continuationSeparator" w:id="1">
    <w:p w:rsidR="00BA1E8C" w:rsidRDefault="00BA1E8C" w:rsidP="00A54EB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4EB3" w:rsidRDefault="00A54EB3">
    <w:pPr>
      <w:pStyle w:val="BodyText"/>
      <w:spacing w:line="14" w:lineRule="auto"/>
      <w:rPr>
        <w:sz w:val="20"/>
      </w:rPr>
    </w:pPr>
    <w:r w:rsidRPr="00A54EB3">
      <w:rPr>
        <w:sz w:val="20"/>
      </w:rPr>
      <w:pict>
        <v:shapetype id="_x0000_t202" coordsize="21600,21600" o:spt="202" path="m,l,21600r21600,l21600,xe">
          <v:stroke joinstyle="miter"/>
          <v:path gradientshapeok="t" o:connecttype="rect"/>
        </v:shapetype>
        <v:shape id="docshape1" o:spid="_x0000_s1025" type="#_x0000_t202" style="position:absolute;margin-left:497.35pt;margin-top:60.8pt;width:17pt;height:19.4pt;z-index:-251658752;mso-position-horizontal-relative:page;mso-position-vertical-relative:page" filled="f" stroked="f">
          <v:textbox inset="0,0,0,0">
            <w:txbxContent>
              <w:p w:rsidR="00A54EB3" w:rsidRDefault="00A54EB3">
                <w:pPr>
                  <w:pStyle w:val="BodyText"/>
                  <w:spacing w:before="91"/>
                  <w:ind w:left="20"/>
                </w:pPr>
                <w:r>
                  <w:rPr>
                    <w:spacing w:val="-5"/>
                  </w:rPr>
                  <w:fldChar w:fldCharType="begin"/>
                </w:r>
                <w:r w:rsidR="00BA1E8C">
                  <w:rPr>
                    <w:spacing w:val="-5"/>
                  </w:rPr>
                  <w:instrText xml:space="preserve"> PAGE </w:instrText>
                </w:r>
                <w:r>
                  <w:rPr>
                    <w:spacing w:val="-5"/>
                  </w:rPr>
                  <w:fldChar w:fldCharType="separate"/>
                </w:r>
                <w:r w:rsidR="0037714A">
                  <w:rPr>
                    <w:noProof/>
                    <w:spacing w:val="-5"/>
                  </w:rPr>
                  <w:t>14</w:t>
                </w:r>
                <w:r>
                  <w:rPr>
                    <w:spacing w:val="-5"/>
                  </w:rPr>
                  <w:fldChar w:fldCharType="end"/>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8F78B4"/>
    <w:multiLevelType w:val="hybridMultilevel"/>
    <w:tmpl w:val="CE66D590"/>
    <w:lvl w:ilvl="0" w:tplc="7C32ED42">
      <w:start w:val="1"/>
      <w:numFmt w:val="lowerLetter"/>
      <w:lvlText w:val="%1."/>
      <w:lvlJc w:val="left"/>
      <w:pPr>
        <w:ind w:left="1276" w:hanging="360"/>
        <w:jc w:val="left"/>
      </w:pPr>
      <w:rPr>
        <w:rFonts w:ascii="Times New Roman" w:eastAsia="Times New Roman" w:hAnsi="Times New Roman" w:cs="Times New Roman" w:hint="default"/>
        <w:b w:val="0"/>
        <w:bCs w:val="0"/>
        <w:i w:val="0"/>
        <w:iCs w:val="0"/>
        <w:spacing w:val="-1"/>
        <w:w w:val="100"/>
        <w:sz w:val="24"/>
        <w:szCs w:val="24"/>
        <w:lang w:eastAsia="en-US" w:bidi="ar-SA"/>
      </w:rPr>
    </w:lvl>
    <w:lvl w:ilvl="1" w:tplc="B4444D30">
      <w:numFmt w:val="bullet"/>
      <w:lvlText w:val="•"/>
      <w:lvlJc w:val="left"/>
      <w:pPr>
        <w:ind w:left="2016" w:hanging="360"/>
      </w:pPr>
      <w:rPr>
        <w:rFonts w:hint="default"/>
        <w:lang w:eastAsia="en-US" w:bidi="ar-SA"/>
      </w:rPr>
    </w:lvl>
    <w:lvl w:ilvl="2" w:tplc="C03066DA">
      <w:numFmt w:val="bullet"/>
      <w:lvlText w:val="•"/>
      <w:lvlJc w:val="left"/>
      <w:pPr>
        <w:ind w:left="2753" w:hanging="360"/>
      </w:pPr>
      <w:rPr>
        <w:rFonts w:hint="default"/>
        <w:lang w:eastAsia="en-US" w:bidi="ar-SA"/>
      </w:rPr>
    </w:lvl>
    <w:lvl w:ilvl="3" w:tplc="386610DE">
      <w:numFmt w:val="bullet"/>
      <w:lvlText w:val="•"/>
      <w:lvlJc w:val="left"/>
      <w:pPr>
        <w:ind w:left="3490" w:hanging="360"/>
      </w:pPr>
      <w:rPr>
        <w:rFonts w:hint="default"/>
        <w:lang w:eastAsia="en-US" w:bidi="ar-SA"/>
      </w:rPr>
    </w:lvl>
    <w:lvl w:ilvl="4" w:tplc="9B685DB4">
      <w:numFmt w:val="bullet"/>
      <w:lvlText w:val="•"/>
      <w:lvlJc w:val="left"/>
      <w:pPr>
        <w:ind w:left="4226" w:hanging="360"/>
      </w:pPr>
      <w:rPr>
        <w:rFonts w:hint="default"/>
        <w:lang w:eastAsia="en-US" w:bidi="ar-SA"/>
      </w:rPr>
    </w:lvl>
    <w:lvl w:ilvl="5" w:tplc="236099A2">
      <w:numFmt w:val="bullet"/>
      <w:lvlText w:val="•"/>
      <w:lvlJc w:val="left"/>
      <w:pPr>
        <w:ind w:left="4963" w:hanging="360"/>
      </w:pPr>
      <w:rPr>
        <w:rFonts w:hint="default"/>
        <w:lang w:eastAsia="en-US" w:bidi="ar-SA"/>
      </w:rPr>
    </w:lvl>
    <w:lvl w:ilvl="6" w:tplc="78F26754">
      <w:numFmt w:val="bullet"/>
      <w:lvlText w:val="•"/>
      <w:lvlJc w:val="left"/>
      <w:pPr>
        <w:ind w:left="5700" w:hanging="360"/>
      </w:pPr>
      <w:rPr>
        <w:rFonts w:hint="default"/>
        <w:lang w:eastAsia="en-US" w:bidi="ar-SA"/>
      </w:rPr>
    </w:lvl>
    <w:lvl w:ilvl="7" w:tplc="860C0ECC">
      <w:numFmt w:val="bullet"/>
      <w:lvlText w:val="•"/>
      <w:lvlJc w:val="left"/>
      <w:pPr>
        <w:ind w:left="6437" w:hanging="360"/>
      </w:pPr>
      <w:rPr>
        <w:rFonts w:hint="default"/>
        <w:lang w:eastAsia="en-US" w:bidi="ar-SA"/>
      </w:rPr>
    </w:lvl>
    <w:lvl w:ilvl="8" w:tplc="E5C8B03C">
      <w:numFmt w:val="bullet"/>
      <w:lvlText w:val="•"/>
      <w:lvlJc w:val="left"/>
      <w:pPr>
        <w:ind w:left="7173" w:hanging="360"/>
      </w:pPr>
      <w:rPr>
        <w:rFonts w:hint="default"/>
        <w:lang w:eastAsia="en-US" w:bidi="ar-SA"/>
      </w:rPr>
    </w:lvl>
  </w:abstractNum>
  <w:abstractNum w:abstractNumId="1">
    <w:nsid w:val="325F33C8"/>
    <w:multiLevelType w:val="hybridMultilevel"/>
    <w:tmpl w:val="03C02722"/>
    <w:lvl w:ilvl="0" w:tplc="85C8A828">
      <w:start w:val="1"/>
      <w:numFmt w:val="decimal"/>
      <w:lvlText w:val="%1"/>
      <w:lvlJc w:val="left"/>
      <w:pPr>
        <w:ind w:left="928" w:hanging="360"/>
        <w:jc w:val="left"/>
      </w:pPr>
      <w:rPr>
        <w:rFonts w:hint="default"/>
        <w:lang w:eastAsia="en-US" w:bidi="ar-SA"/>
      </w:rPr>
    </w:lvl>
    <w:lvl w:ilvl="1" w:tplc="96A47EA0">
      <w:numFmt w:val="none"/>
      <w:lvlText w:val=""/>
      <w:lvlJc w:val="left"/>
      <w:pPr>
        <w:tabs>
          <w:tab w:val="num" w:pos="360"/>
        </w:tabs>
      </w:pPr>
    </w:lvl>
    <w:lvl w:ilvl="2" w:tplc="478657AC">
      <w:numFmt w:val="none"/>
      <w:lvlText w:val=""/>
      <w:lvlJc w:val="left"/>
      <w:pPr>
        <w:tabs>
          <w:tab w:val="num" w:pos="360"/>
        </w:tabs>
      </w:pPr>
    </w:lvl>
    <w:lvl w:ilvl="3" w:tplc="E800F1E2">
      <w:numFmt w:val="bullet"/>
      <w:lvlText w:val="•"/>
      <w:lvlJc w:val="left"/>
      <w:pPr>
        <w:ind w:left="2917" w:hanging="720"/>
      </w:pPr>
      <w:rPr>
        <w:rFonts w:hint="default"/>
        <w:lang w:eastAsia="en-US" w:bidi="ar-SA"/>
      </w:rPr>
    </w:lvl>
    <w:lvl w:ilvl="4" w:tplc="24A66FE0">
      <w:numFmt w:val="bullet"/>
      <w:lvlText w:val="•"/>
      <w:lvlJc w:val="left"/>
      <w:pPr>
        <w:ind w:left="3735" w:hanging="720"/>
      </w:pPr>
      <w:rPr>
        <w:rFonts w:hint="default"/>
        <w:lang w:eastAsia="en-US" w:bidi="ar-SA"/>
      </w:rPr>
    </w:lvl>
    <w:lvl w:ilvl="5" w:tplc="74F079C2">
      <w:numFmt w:val="bullet"/>
      <w:lvlText w:val="•"/>
      <w:lvlJc w:val="left"/>
      <w:pPr>
        <w:ind w:left="4554" w:hanging="720"/>
      </w:pPr>
      <w:rPr>
        <w:rFonts w:hint="default"/>
        <w:lang w:eastAsia="en-US" w:bidi="ar-SA"/>
      </w:rPr>
    </w:lvl>
    <w:lvl w:ilvl="6" w:tplc="660EC0A6">
      <w:numFmt w:val="bullet"/>
      <w:lvlText w:val="•"/>
      <w:lvlJc w:val="left"/>
      <w:pPr>
        <w:ind w:left="5373" w:hanging="720"/>
      </w:pPr>
      <w:rPr>
        <w:rFonts w:hint="default"/>
        <w:lang w:eastAsia="en-US" w:bidi="ar-SA"/>
      </w:rPr>
    </w:lvl>
    <w:lvl w:ilvl="7" w:tplc="190C3B50">
      <w:numFmt w:val="bullet"/>
      <w:lvlText w:val="•"/>
      <w:lvlJc w:val="left"/>
      <w:pPr>
        <w:ind w:left="6191" w:hanging="720"/>
      </w:pPr>
      <w:rPr>
        <w:rFonts w:hint="default"/>
        <w:lang w:eastAsia="en-US" w:bidi="ar-SA"/>
      </w:rPr>
    </w:lvl>
    <w:lvl w:ilvl="8" w:tplc="D730FB8C">
      <w:numFmt w:val="bullet"/>
      <w:lvlText w:val="•"/>
      <w:lvlJc w:val="left"/>
      <w:pPr>
        <w:ind w:left="7010" w:hanging="720"/>
      </w:pPr>
      <w:rPr>
        <w:rFonts w:hint="default"/>
        <w:lang w:eastAsia="en-US" w:bidi="ar-SA"/>
      </w:rPr>
    </w:lvl>
  </w:abstractNum>
  <w:abstractNum w:abstractNumId="2">
    <w:nsid w:val="35ED10BD"/>
    <w:multiLevelType w:val="hybridMultilevel"/>
    <w:tmpl w:val="8F5A0FF4"/>
    <w:lvl w:ilvl="0" w:tplc="49E8CFEA">
      <w:start w:val="1"/>
      <w:numFmt w:val="lowerLetter"/>
      <w:lvlText w:val="%1."/>
      <w:lvlJc w:val="left"/>
      <w:pPr>
        <w:ind w:left="1288" w:hanging="360"/>
        <w:jc w:val="left"/>
      </w:pPr>
      <w:rPr>
        <w:rFonts w:ascii="Times New Roman" w:eastAsia="Times New Roman" w:hAnsi="Times New Roman" w:cs="Times New Roman" w:hint="default"/>
        <w:b w:val="0"/>
        <w:bCs w:val="0"/>
        <w:i w:val="0"/>
        <w:iCs w:val="0"/>
        <w:spacing w:val="-1"/>
        <w:w w:val="100"/>
        <w:sz w:val="24"/>
        <w:szCs w:val="24"/>
        <w:lang w:eastAsia="en-US" w:bidi="ar-SA"/>
      </w:rPr>
    </w:lvl>
    <w:lvl w:ilvl="1" w:tplc="EAA21078">
      <w:numFmt w:val="bullet"/>
      <w:lvlText w:val="•"/>
      <w:lvlJc w:val="left"/>
      <w:pPr>
        <w:ind w:left="2016" w:hanging="360"/>
      </w:pPr>
      <w:rPr>
        <w:rFonts w:hint="default"/>
        <w:lang w:eastAsia="en-US" w:bidi="ar-SA"/>
      </w:rPr>
    </w:lvl>
    <w:lvl w:ilvl="2" w:tplc="1AEC41D6">
      <w:numFmt w:val="bullet"/>
      <w:lvlText w:val="•"/>
      <w:lvlJc w:val="left"/>
      <w:pPr>
        <w:ind w:left="2753" w:hanging="360"/>
      </w:pPr>
      <w:rPr>
        <w:rFonts w:hint="default"/>
        <w:lang w:eastAsia="en-US" w:bidi="ar-SA"/>
      </w:rPr>
    </w:lvl>
    <w:lvl w:ilvl="3" w:tplc="336ADEFE">
      <w:numFmt w:val="bullet"/>
      <w:lvlText w:val="•"/>
      <w:lvlJc w:val="left"/>
      <w:pPr>
        <w:ind w:left="3490" w:hanging="360"/>
      </w:pPr>
      <w:rPr>
        <w:rFonts w:hint="default"/>
        <w:lang w:eastAsia="en-US" w:bidi="ar-SA"/>
      </w:rPr>
    </w:lvl>
    <w:lvl w:ilvl="4" w:tplc="67467C5C">
      <w:numFmt w:val="bullet"/>
      <w:lvlText w:val="•"/>
      <w:lvlJc w:val="left"/>
      <w:pPr>
        <w:ind w:left="4226" w:hanging="360"/>
      </w:pPr>
      <w:rPr>
        <w:rFonts w:hint="default"/>
        <w:lang w:eastAsia="en-US" w:bidi="ar-SA"/>
      </w:rPr>
    </w:lvl>
    <w:lvl w:ilvl="5" w:tplc="74A0A45E">
      <w:numFmt w:val="bullet"/>
      <w:lvlText w:val="•"/>
      <w:lvlJc w:val="left"/>
      <w:pPr>
        <w:ind w:left="4963" w:hanging="360"/>
      </w:pPr>
      <w:rPr>
        <w:rFonts w:hint="default"/>
        <w:lang w:eastAsia="en-US" w:bidi="ar-SA"/>
      </w:rPr>
    </w:lvl>
    <w:lvl w:ilvl="6" w:tplc="5C861B12">
      <w:numFmt w:val="bullet"/>
      <w:lvlText w:val="•"/>
      <w:lvlJc w:val="left"/>
      <w:pPr>
        <w:ind w:left="5700" w:hanging="360"/>
      </w:pPr>
      <w:rPr>
        <w:rFonts w:hint="default"/>
        <w:lang w:eastAsia="en-US" w:bidi="ar-SA"/>
      </w:rPr>
    </w:lvl>
    <w:lvl w:ilvl="7" w:tplc="D084D708">
      <w:numFmt w:val="bullet"/>
      <w:lvlText w:val="•"/>
      <w:lvlJc w:val="left"/>
      <w:pPr>
        <w:ind w:left="6437" w:hanging="360"/>
      </w:pPr>
      <w:rPr>
        <w:rFonts w:hint="default"/>
        <w:lang w:eastAsia="en-US" w:bidi="ar-SA"/>
      </w:rPr>
    </w:lvl>
    <w:lvl w:ilvl="8" w:tplc="F926DFBC">
      <w:numFmt w:val="bullet"/>
      <w:lvlText w:val="•"/>
      <w:lvlJc w:val="left"/>
      <w:pPr>
        <w:ind w:left="7173" w:hanging="360"/>
      </w:pPr>
      <w:rPr>
        <w:rFonts w:hint="default"/>
        <w:lang w:eastAsia="en-US" w:bidi="ar-SA"/>
      </w:rPr>
    </w:lvl>
  </w:abstractNum>
  <w:abstractNum w:abstractNumId="3">
    <w:nsid w:val="57F10A11"/>
    <w:multiLevelType w:val="hybridMultilevel"/>
    <w:tmpl w:val="E0F48A06"/>
    <w:lvl w:ilvl="0" w:tplc="9A9AA2AC">
      <w:start w:val="1"/>
      <w:numFmt w:val="lowerLetter"/>
      <w:lvlText w:val="%1."/>
      <w:lvlJc w:val="left"/>
      <w:pPr>
        <w:ind w:left="1288" w:hanging="360"/>
        <w:jc w:val="left"/>
      </w:pPr>
      <w:rPr>
        <w:rFonts w:ascii="Times New Roman" w:eastAsia="Times New Roman" w:hAnsi="Times New Roman" w:cs="Times New Roman" w:hint="default"/>
        <w:b w:val="0"/>
        <w:bCs w:val="0"/>
        <w:i w:val="0"/>
        <w:iCs w:val="0"/>
        <w:spacing w:val="-1"/>
        <w:w w:val="100"/>
        <w:sz w:val="24"/>
        <w:szCs w:val="24"/>
        <w:lang w:eastAsia="en-US" w:bidi="ar-SA"/>
      </w:rPr>
    </w:lvl>
    <w:lvl w:ilvl="1" w:tplc="472CAE9E">
      <w:numFmt w:val="bullet"/>
      <w:lvlText w:val="•"/>
      <w:lvlJc w:val="left"/>
      <w:pPr>
        <w:ind w:left="2016" w:hanging="360"/>
      </w:pPr>
      <w:rPr>
        <w:rFonts w:hint="default"/>
        <w:lang w:eastAsia="en-US" w:bidi="ar-SA"/>
      </w:rPr>
    </w:lvl>
    <w:lvl w:ilvl="2" w:tplc="57A26470">
      <w:numFmt w:val="bullet"/>
      <w:lvlText w:val="•"/>
      <w:lvlJc w:val="left"/>
      <w:pPr>
        <w:ind w:left="2753" w:hanging="360"/>
      </w:pPr>
      <w:rPr>
        <w:rFonts w:hint="default"/>
        <w:lang w:eastAsia="en-US" w:bidi="ar-SA"/>
      </w:rPr>
    </w:lvl>
    <w:lvl w:ilvl="3" w:tplc="904658BA">
      <w:numFmt w:val="bullet"/>
      <w:lvlText w:val="•"/>
      <w:lvlJc w:val="left"/>
      <w:pPr>
        <w:ind w:left="3490" w:hanging="360"/>
      </w:pPr>
      <w:rPr>
        <w:rFonts w:hint="default"/>
        <w:lang w:eastAsia="en-US" w:bidi="ar-SA"/>
      </w:rPr>
    </w:lvl>
    <w:lvl w:ilvl="4" w:tplc="3CB67DF8">
      <w:numFmt w:val="bullet"/>
      <w:lvlText w:val="•"/>
      <w:lvlJc w:val="left"/>
      <w:pPr>
        <w:ind w:left="4226" w:hanging="360"/>
      </w:pPr>
      <w:rPr>
        <w:rFonts w:hint="default"/>
        <w:lang w:eastAsia="en-US" w:bidi="ar-SA"/>
      </w:rPr>
    </w:lvl>
    <w:lvl w:ilvl="5" w:tplc="3758BA3A">
      <w:numFmt w:val="bullet"/>
      <w:lvlText w:val="•"/>
      <w:lvlJc w:val="left"/>
      <w:pPr>
        <w:ind w:left="4963" w:hanging="360"/>
      </w:pPr>
      <w:rPr>
        <w:rFonts w:hint="default"/>
        <w:lang w:eastAsia="en-US" w:bidi="ar-SA"/>
      </w:rPr>
    </w:lvl>
    <w:lvl w:ilvl="6" w:tplc="B67C2686">
      <w:numFmt w:val="bullet"/>
      <w:lvlText w:val="•"/>
      <w:lvlJc w:val="left"/>
      <w:pPr>
        <w:ind w:left="5700" w:hanging="360"/>
      </w:pPr>
      <w:rPr>
        <w:rFonts w:hint="default"/>
        <w:lang w:eastAsia="en-US" w:bidi="ar-SA"/>
      </w:rPr>
    </w:lvl>
    <w:lvl w:ilvl="7" w:tplc="353CBC20">
      <w:numFmt w:val="bullet"/>
      <w:lvlText w:val="•"/>
      <w:lvlJc w:val="left"/>
      <w:pPr>
        <w:ind w:left="6437" w:hanging="360"/>
      </w:pPr>
      <w:rPr>
        <w:rFonts w:hint="default"/>
        <w:lang w:eastAsia="en-US" w:bidi="ar-SA"/>
      </w:rPr>
    </w:lvl>
    <w:lvl w:ilvl="8" w:tplc="BBDA38B8">
      <w:numFmt w:val="bullet"/>
      <w:lvlText w:val="•"/>
      <w:lvlJc w:val="left"/>
      <w:pPr>
        <w:ind w:left="7173" w:hanging="360"/>
      </w:pPr>
      <w:rPr>
        <w:rFonts w:hint="default"/>
        <w:lang w:eastAsia="en-US" w:bidi="ar-SA"/>
      </w:rPr>
    </w:lvl>
  </w:abstractNum>
  <w:num w:numId="1">
    <w:abstractNumId w:val="0"/>
  </w:num>
  <w:num w:numId="2">
    <w:abstractNumId w:val="2"/>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cumentProtection w:edit="forms" w:formatting="1" w:enforcement="1" w:cryptProviderType="rsaFull" w:cryptAlgorithmClass="hash" w:cryptAlgorithmType="typeAny" w:cryptAlgorithmSid="4" w:cryptSpinCount="50000" w:hash="Gtc8+l/26VXG3csJHTjBSnSC2vo=" w:salt="+eUHyZaftjDICn/haJrsIA=="/>
  <w:defaultTabStop w:val="720"/>
  <w:drawingGridHorizontalSpacing w:val="110"/>
  <w:displayHorizontalDrawingGridEvery w:val="2"/>
  <w:characterSpacingControl w:val="doNotCompress"/>
  <w:hdrShapeDefaults>
    <o:shapedefaults v:ext="edit" spidmax="3074"/>
    <o:shapelayout v:ext="edit">
      <o:idmap v:ext="edit" data="1"/>
    </o:shapelayout>
  </w:hdrShapeDefaults>
  <w:footnotePr>
    <w:footnote w:id="0"/>
    <w:footnote w:id="1"/>
  </w:footnotePr>
  <w:endnotePr>
    <w:endnote w:id="0"/>
    <w:endnote w:id="1"/>
  </w:endnotePr>
  <w:compat>
    <w:ulTrailSpace/>
    <w:shapeLayoutLikeWW8/>
  </w:compat>
  <w:rsids>
    <w:rsidRoot w:val="00A54EB3"/>
    <w:rsid w:val="0037714A"/>
    <w:rsid w:val="00A54EB3"/>
    <w:rsid w:val="00BA1E8C"/>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A54EB3"/>
    <w:rPr>
      <w:rFonts w:ascii="Times New Roman" w:eastAsia="Times New Roman" w:hAnsi="Times New Roman" w:cs="Times New Roman"/>
      <w:lang/>
    </w:rPr>
  </w:style>
  <w:style w:type="paragraph" w:styleId="Heading1">
    <w:name w:val="heading 1"/>
    <w:basedOn w:val="Normal"/>
    <w:uiPriority w:val="1"/>
    <w:qFormat/>
    <w:rsid w:val="00A54EB3"/>
    <w:pPr>
      <w:ind w:left="928" w:hanging="3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A54EB3"/>
    <w:rPr>
      <w:sz w:val="24"/>
      <w:szCs w:val="24"/>
    </w:rPr>
  </w:style>
  <w:style w:type="paragraph" w:styleId="ListParagraph">
    <w:name w:val="List Paragraph"/>
    <w:basedOn w:val="Normal"/>
    <w:uiPriority w:val="1"/>
    <w:qFormat/>
    <w:rsid w:val="00A54EB3"/>
    <w:pPr>
      <w:ind w:left="1288" w:hanging="360"/>
      <w:jc w:val="both"/>
    </w:pPr>
  </w:style>
  <w:style w:type="paragraph" w:customStyle="1" w:styleId="TableParagraph">
    <w:name w:val="Table Paragraph"/>
    <w:basedOn w:val="Normal"/>
    <w:uiPriority w:val="1"/>
    <w:qFormat/>
    <w:rsid w:val="00A54EB3"/>
    <w:pPr>
      <w:spacing w:line="275" w:lineRule="exact"/>
      <w:ind w:left="11"/>
      <w:jc w:val="center"/>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pslb3.menlhk.go.i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2864</Words>
  <Characters>16329</Characters>
  <Application>Microsoft Office Word</Application>
  <DocSecurity>0</DocSecurity>
  <Lines>136</Lines>
  <Paragraphs>38</Paragraphs>
  <ScaleCrop>false</ScaleCrop>
  <Company/>
  <LinksUpToDate>false</LinksUpToDate>
  <CharactersWithSpaces>19155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AsusWin7</dc:creator>
  <cp:lastModifiedBy>AsusWin7</cp:lastModifiedBy>
  <cp:revision>2</cp:revision>
  <dcterms:created xsi:type="dcterms:W3CDTF">2026-03-06T02:57:00Z</dcterms:created>
  <dcterms:modified xsi:type="dcterms:W3CDTF">2026-03-06T02:57:00Z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2026-01-19T00:00:00Z</vt:filetime>
  </property>
  <property fmtid="{D5CDD505-2E9C-101B-9397-08002B2CF9AE}" pid="3" name="Creator">
    <vt:lpwstr>Nitro PDF Pro 14 (14.42.0.34)</vt:lpwstr>
  </property>
  <property fmtid="{D5CDD505-2E9C-101B-9397-08002B2CF9AE}" pid="4" name="LastSaved">
    <vt:filetime>2026-01-19T00:00:00Z</vt:filetime>
  </property>
</Properties>
</file>