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5D" w:rsidRDefault="0079485D" w:rsidP="0079485D">
      <w:pPr>
        <w:autoSpaceDE w:val="0"/>
        <w:autoSpaceDN w:val="0"/>
        <w:adjustRightInd w:val="0"/>
        <w:spacing w:line="480" w:lineRule="auto"/>
        <w:jc w:val="center"/>
        <w:rPr>
          <w:b/>
          <w:bCs/>
        </w:rPr>
      </w:pPr>
      <w:r>
        <w:rPr>
          <w:b/>
          <w:bCs/>
        </w:rPr>
        <w:t>BAB II</w:t>
      </w:r>
    </w:p>
    <w:p w:rsidR="0079485D" w:rsidRDefault="0079485D" w:rsidP="0079485D">
      <w:pPr>
        <w:jc w:val="center"/>
        <w:rPr>
          <w:b/>
          <w:bCs/>
        </w:rPr>
      </w:pPr>
      <w:r>
        <w:rPr>
          <w:b/>
          <w:bCs/>
        </w:rPr>
        <w:t>TINJAUAN PUSTAKA</w:t>
      </w:r>
    </w:p>
    <w:p w:rsidR="0079485D" w:rsidRDefault="0079485D" w:rsidP="0079485D">
      <w:pPr>
        <w:jc w:val="center"/>
        <w:rPr>
          <w:b/>
          <w:bCs/>
        </w:rPr>
      </w:pPr>
    </w:p>
    <w:p w:rsidR="0079485D" w:rsidRDefault="0079485D" w:rsidP="001B1293">
      <w:pPr>
        <w:numPr>
          <w:ilvl w:val="4"/>
          <w:numId w:val="1"/>
        </w:numPr>
        <w:spacing w:line="480" w:lineRule="auto"/>
        <w:ind w:left="360"/>
        <w:jc w:val="both"/>
        <w:rPr>
          <w:b/>
        </w:rPr>
      </w:pPr>
      <w:r>
        <w:rPr>
          <w:b/>
        </w:rPr>
        <w:t>Tindak Pidana Lalu Lintas</w:t>
      </w:r>
    </w:p>
    <w:p w:rsidR="0079485D" w:rsidRDefault="0079485D" w:rsidP="0079485D">
      <w:pPr>
        <w:autoSpaceDE w:val="0"/>
        <w:autoSpaceDN w:val="0"/>
        <w:adjustRightInd w:val="0"/>
        <w:spacing w:line="480" w:lineRule="auto"/>
        <w:ind w:firstLine="720"/>
        <w:jc w:val="both"/>
      </w:pPr>
      <w:r>
        <w:t>Jalan sebagai salah satu prasarana transportasi merupakan unsur penting dalam pengembangan kehidupan berbangsa dan bernegara dan pembinaan persatuan dan kesatuan bangsa, wilayah bangsa dan fungsi masyarakat serta dalam memajukan kepentingan umum. Lalulintas adalah gerak kendaraan dan orang di ruang lalu lintas jalan. Resiko dalam berlalu lintas yaitu terjadinya kecelakaan disebabkan oleh kelalaian atau kekuranghati-hatian.</w:t>
      </w:r>
    </w:p>
    <w:p w:rsidR="0079485D" w:rsidRDefault="0079485D" w:rsidP="0079485D">
      <w:pPr>
        <w:autoSpaceDE w:val="0"/>
        <w:autoSpaceDN w:val="0"/>
        <w:adjustRightInd w:val="0"/>
        <w:spacing w:line="480" w:lineRule="auto"/>
        <w:ind w:firstLine="720"/>
        <w:jc w:val="both"/>
      </w:pPr>
      <w:r>
        <w:t>Kecelakaan pasti diawali oleh terjadinya pelanggaran lalu lintas. Banyaknya terjadi kecelakaan lalu lintas yang menyebabkan korban mengalami luka-luka bahkan meninggal dunia menjadi permasalahan serius dalam rangka menciptakan keteraturan dan ketertiban di jalan raya. Secara umum dapat dikatakan pula bahwa suatu kasus kecelakaan lalu lintas terjadi akibat kumulatif beberapa faktor penyebab, penyebab tersebut antara lain akibat kelalaian pengemudi, kondisi kendaraan, faktor cuaca, faktor lingkungan jalan dan perubahan fisik pada struktur jalan (umur teknis).</w:t>
      </w:r>
    </w:p>
    <w:p w:rsidR="0079485D" w:rsidRDefault="0079485D" w:rsidP="0079485D">
      <w:pPr>
        <w:autoSpaceDE w:val="0"/>
        <w:autoSpaceDN w:val="0"/>
        <w:adjustRightInd w:val="0"/>
        <w:spacing w:line="480" w:lineRule="auto"/>
        <w:ind w:firstLine="720"/>
        <w:jc w:val="both"/>
      </w:pPr>
      <w:r>
        <w:t>Peningkatan frekuensi pemakai jalan khususnya kendaraan bermotor untuk berbagai keperluan pribadi atau umum secara tidak langsung bisa meningkatkan frekuensi kecelakaan lalu lintas. Perkembangan teknologi transportasi yang meningkat pesat, telah meningkatkan kecelakaan lalu lintas. Di satu sisi menyebabkan daya jangkau dan daya jelajah transportasi semakin luas, di sisi lain menjadi penyebab kematian yang sangat serius dalam beberapa dekade terakhir.</w:t>
      </w:r>
    </w:p>
    <w:p w:rsidR="0079485D" w:rsidRDefault="0079485D" w:rsidP="0079485D">
      <w:pPr>
        <w:autoSpaceDE w:val="0"/>
        <w:autoSpaceDN w:val="0"/>
        <w:adjustRightInd w:val="0"/>
        <w:spacing w:line="480" w:lineRule="auto"/>
        <w:ind w:firstLine="720"/>
        <w:jc w:val="both"/>
      </w:pPr>
      <w:r>
        <w:lastRenderedPageBreak/>
        <w:t>Menurut Undang-Undang Nomor 22 Tahun 2009 Tentang Lalu Lintas dan Angkutan Jalan dalam penjelasan umum dijelaskan pengertian kecelakaan lalu lintas adalah suatu peristiwa di jalan yang tidak diduga dan tidak disengaja melibatkan kendaraan dengan atau tanpa pengguna jalan lain yang mengakibatkan korban manusia dan/atau kerugian harta benda.</w:t>
      </w:r>
    </w:p>
    <w:p w:rsidR="0079485D" w:rsidRDefault="0079485D" w:rsidP="0079485D">
      <w:pPr>
        <w:autoSpaceDE w:val="0"/>
        <w:autoSpaceDN w:val="0"/>
        <w:adjustRightInd w:val="0"/>
        <w:spacing w:line="480" w:lineRule="auto"/>
        <w:ind w:firstLine="720"/>
        <w:jc w:val="both"/>
      </w:pPr>
      <w:r>
        <w:t>Menurut Soerjono Soekanto bahwa suatu kecelakaan lalu lintas mungkin terjadi dimana terlibat kendaraan bermotor di jalan. Di dalamnya terlibat manusia, benda dan bahaya yang mungkin berakibat kematian, cedera, kerusakan atau kerugian, di samping itu, kecelakaan lalu lintas mungkin melibatkan kendaraan bermotor atau kendaraan tidak bermotor saja.</w:t>
      </w:r>
      <w:r>
        <w:rPr>
          <w:rStyle w:val="FootnoteReference"/>
          <w:rFonts w:eastAsia="Calibri"/>
        </w:rPr>
        <w:footnoteReference w:id="2"/>
      </w:r>
    </w:p>
    <w:p w:rsidR="0079485D" w:rsidRDefault="0079485D" w:rsidP="0079485D">
      <w:pPr>
        <w:autoSpaceDE w:val="0"/>
        <w:autoSpaceDN w:val="0"/>
        <w:adjustRightInd w:val="0"/>
        <w:spacing w:line="480" w:lineRule="auto"/>
        <w:ind w:firstLine="720"/>
        <w:jc w:val="both"/>
      </w:pPr>
      <w:r>
        <w:t>Kenyataan yang sering ditemui sehari-hari adalah masih banyak pengemudi yang belum siap mental, terutama pengemudi angkutan umum bus kota. Mereka saling mendahului tanpa memperdulikan keselamatan dirinya sendiri dan penumpang. Beberapa kecelakaan lalu lintas yang terjadi, sebenarnya dapat dihindari bila diantara pengguna jalan bisa berperilaku disiplin, sopan dan saling menghormati.</w:t>
      </w:r>
    </w:p>
    <w:p w:rsidR="0079485D" w:rsidRDefault="0079485D" w:rsidP="0079485D">
      <w:pPr>
        <w:autoSpaceDE w:val="0"/>
        <w:autoSpaceDN w:val="0"/>
        <w:adjustRightInd w:val="0"/>
        <w:spacing w:line="480" w:lineRule="auto"/>
        <w:ind w:firstLine="720"/>
        <w:jc w:val="both"/>
      </w:pPr>
      <w:r>
        <w:t>Pasal 229 ayat (5) Undang-Undang Nomor 22 tahun 2009  Tentang Lalu Lintas dan Angkutan Jalan menjelaskan bahwa kecelakaan lalu lintas sebagaimana yang dimaksud pada ayat (1) yang menggolongkan kecelakaan menjadi kecelakaan ringan, sedang, dan berat (meninggal dunia) dapat disebabkan oleh kelalaian Pengguna Jalan, ketidaklaikan kendaraan, serta ketidaklaikan Jalan dan/atau lingkungan.</w:t>
      </w:r>
    </w:p>
    <w:p w:rsidR="0079485D" w:rsidRDefault="0079485D" w:rsidP="0079485D">
      <w:pPr>
        <w:autoSpaceDE w:val="0"/>
        <w:autoSpaceDN w:val="0"/>
        <w:adjustRightInd w:val="0"/>
        <w:spacing w:line="456" w:lineRule="auto"/>
        <w:ind w:firstLine="720"/>
        <w:jc w:val="both"/>
      </w:pPr>
      <w:r>
        <w:lastRenderedPageBreak/>
        <w:t>Tindak pidana lalu lintas merupakan salah satu pelanggaran terhadap perundang-undangan tentang lalu lintas, dari pelanggaran tersebut salah satunya dapat berupa kecelakaan lalu lintas yang sifatnya dapat merugikan orang maupun diri sendiri.</w:t>
      </w:r>
      <w:r>
        <w:rPr>
          <w:rStyle w:val="FootnoteReference"/>
          <w:rFonts w:eastAsia="Calibri"/>
        </w:rPr>
        <w:footnoteReference w:id="3"/>
      </w:r>
      <w:r>
        <w:t xml:space="preserve"> Menurut Soerjono Soekanto bahwa suatu kecelakaan lalu lintas mungkin terjadi dimana terlibat kendaraan bermotor di jalan. Di dalamnya terlibat manusia, benda dan bahaya yang mungkin berakibat kematian, cedera, kerusakan atau kerugian, di samping itu, kecelakaan lalu lintas mungkin melibatkan kendaraan bermotor atau kendaraan tidak bermotor saja.</w:t>
      </w:r>
      <w:r>
        <w:rPr>
          <w:rStyle w:val="FootnoteReference"/>
          <w:rFonts w:eastAsia="Calibri"/>
        </w:rPr>
        <w:footnoteReference w:id="4"/>
      </w:r>
    </w:p>
    <w:p w:rsidR="0079485D" w:rsidRDefault="0079485D" w:rsidP="0079485D">
      <w:pPr>
        <w:autoSpaceDE w:val="0"/>
        <w:autoSpaceDN w:val="0"/>
        <w:adjustRightInd w:val="0"/>
        <w:spacing w:line="456" w:lineRule="auto"/>
        <w:ind w:firstLine="720"/>
        <w:jc w:val="both"/>
      </w:pPr>
      <w:r>
        <w:t>Kenyataan yang sering ditemui sehari-hari adalah masih banyak pengemudi yang belum siap mental, terutama pengemudi angkutan umum bus kota. Mereka saling mendahului tanpa memperdulikan keselamatan dirinya sendiri dan penumpang. Beberapa kecelakaan lalu lintas yang terjadi, sebenarnya dapat dihindari bila diantara pengguna jalan bisa berperilaku disiplin, sopan dan saling menghormati.</w:t>
      </w:r>
    </w:p>
    <w:p w:rsidR="0079485D" w:rsidRDefault="0079485D" w:rsidP="0079485D">
      <w:pPr>
        <w:autoSpaceDE w:val="0"/>
        <w:autoSpaceDN w:val="0"/>
        <w:adjustRightInd w:val="0"/>
        <w:spacing w:line="456" w:lineRule="auto"/>
        <w:ind w:firstLine="720"/>
        <w:jc w:val="both"/>
      </w:pPr>
      <w:r>
        <w:t>Pasal 229 ayat (5) Undang-Undang Nomor 22 tahun 2009  Tentang Lalu Lintas dan Angkutan Jalan menjelaskan bahwa kecelakaan lalu lintas sebagaimana yang dimaksud pada ayat (1) yang menggolongkan kecelakaan menjadi kecelakaan ringan, sedang, dan berat (meninggal dunia) dapat disebabkan oleh kelalaian Pengguna Jalan, ketidaklaikan kendaraan, serta ketidaklaikan Jalan dan/atau lingkungan.</w:t>
      </w:r>
    </w:p>
    <w:p w:rsidR="0079485D" w:rsidRDefault="0079485D" w:rsidP="0079485D">
      <w:pPr>
        <w:autoSpaceDE w:val="0"/>
        <w:autoSpaceDN w:val="0"/>
        <w:adjustRightInd w:val="0"/>
        <w:spacing w:line="456" w:lineRule="auto"/>
        <w:ind w:firstLine="720"/>
        <w:jc w:val="both"/>
      </w:pPr>
      <w:r>
        <w:t xml:space="preserve">Kecelakaan dapat diartikan sebagai suatu kejadian yang tidak direncanakan yang dapat disebabkan oleh faktor manusia, faktor jalan, faktor kendaraan faktor lingkungan, ataupun kombinasi-kombinasi dari hal-hal tersebut </w:t>
      </w:r>
      <w:r>
        <w:lastRenderedPageBreak/>
        <w:t xml:space="preserve">yang dapat mengganggu proses kerja dan dapat menimbulkan cedera ataupun tidak, kesakitan, kematian, kerusakan </w:t>
      </w:r>
      <w:r>
        <w:rPr>
          <w:i/>
          <w:iCs/>
        </w:rPr>
        <w:t xml:space="preserve">property </w:t>
      </w:r>
      <w:r>
        <w:t>ataupun kejadian yang tidak diinginkan lainnya.</w:t>
      </w:r>
    </w:p>
    <w:p w:rsidR="0079485D" w:rsidRDefault="0079485D" w:rsidP="0079485D">
      <w:pPr>
        <w:autoSpaceDE w:val="0"/>
        <w:autoSpaceDN w:val="0"/>
        <w:adjustRightInd w:val="0"/>
        <w:spacing w:line="456" w:lineRule="auto"/>
        <w:ind w:firstLine="720"/>
        <w:jc w:val="both"/>
      </w:pPr>
      <w:r>
        <w:t>Menurut Pasal 1 butir 24 Undang-Uundang Nomor 22 Tahun 2009 tentang Lalu Lintas dan Angkutan Jalan, mengungkapkan kecelakaan lalu lintas adalah suatu peristiwa di jalan yang tidak diduga dan tidak disengaja yang melibatkan kendaraan dengan atau tanpa pengguna jalan lain yang mengakibatkan korban manusia dan/atau kerugian harta benda.</w:t>
      </w:r>
    </w:p>
    <w:p w:rsidR="0079485D" w:rsidRDefault="0079485D" w:rsidP="0079485D">
      <w:pPr>
        <w:autoSpaceDE w:val="0"/>
        <w:autoSpaceDN w:val="0"/>
        <w:adjustRightInd w:val="0"/>
        <w:spacing w:line="456" w:lineRule="auto"/>
        <w:ind w:firstLine="720"/>
        <w:jc w:val="both"/>
      </w:pPr>
      <w:r>
        <w:t>Menurut Pasal 229 Undang-Undang Nomor 22 Tahun 2009 Tentang Lalu Lintas dan Angkutan Jalan menentukan sebagai berikut, kecelakaan lalu lintas digolongkan atas:</w:t>
      </w:r>
    </w:p>
    <w:p w:rsidR="0079485D" w:rsidRDefault="0079485D" w:rsidP="001B1293">
      <w:pPr>
        <w:numPr>
          <w:ilvl w:val="1"/>
          <w:numId w:val="2"/>
        </w:numPr>
        <w:autoSpaceDE w:val="0"/>
        <w:autoSpaceDN w:val="0"/>
        <w:adjustRightInd w:val="0"/>
        <w:spacing w:line="480" w:lineRule="auto"/>
        <w:ind w:left="426" w:hanging="426"/>
      </w:pPr>
      <w:r>
        <w:t>Kecelakaan Lalu Lintas digolongkan atas:</w:t>
      </w:r>
    </w:p>
    <w:p w:rsidR="0079485D" w:rsidRDefault="0079485D" w:rsidP="001B1293">
      <w:pPr>
        <w:numPr>
          <w:ilvl w:val="4"/>
          <w:numId w:val="2"/>
        </w:numPr>
        <w:autoSpaceDE w:val="0"/>
        <w:autoSpaceDN w:val="0"/>
        <w:adjustRightInd w:val="0"/>
        <w:spacing w:line="480" w:lineRule="auto"/>
        <w:ind w:left="786"/>
      </w:pPr>
      <w:r>
        <w:t>Kecelakaan Lalu Lintas ringan;</w:t>
      </w:r>
    </w:p>
    <w:p w:rsidR="0079485D" w:rsidRDefault="0079485D" w:rsidP="001B1293">
      <w:pPr>
        <w:numPr>
          <w:ilvl w:val="4"/>
          <w:numId w:val="2"/>
        </w:numPr>
        <w:autoSpaceDE w:val="0"/>
        <w:autoSpaceDN w:val="0"/>
        <w:adjustRightInd w:val="0"/>
        <w:spacing w:line="480" w:lineRule="auto"/>
        <w:ind w:left="786"/>
      </w:pPr>
      <w:r>
        <w:t>Kecelakaan Lalu Lintas sedang; atau</w:t>
      </w:r>
    </w:p>
    <w:p w:rsidR="0079485D" w:rsidRDefault="0079485D" w:rsidP="001B1293">
      <w:pPr>
        <w:numPr>
          <w:ilvl w:val="4"/>
          <w:numId w:val="2"/>
        </w:numPr>
        <w:autoSpaceDE w:val="0"/>
        <w:autoSpaceDN w:val="0"/>
        <w:adjustRightInd w:val="0"/>
        <w:spacing w:line="480" w:lineRule="auto"/>
        <w:ind w:left="786"/>
      </w:pPr>
      <w:r>
        <w:t>Kecelakaan Lalu Lintas berat.</w:t>
      </w:r>
    </w:p>
    <w:p w:rsidR="0079485D" w:rsidRDefault="0079485D" w:rsidP="001B1293">
      <w:pPr>
        <w:pStyle w:val="Default"/>
        <w:numPr>
          <w:ilvl w:val="1"/>
          <w:numId w:val="2"/>
        </w:numPr>
        <w:spacing w:line="480" w:lineRule="auto"/>
        <w:ind w:left="360"/>
        <w:jc w:val="both"/>
      </w:pPr>
      <w:r>
        <w:t xml:space="preserve">Kecelakaan lalu lintas ringan yaitu kecelakaan yang mengakibatkan kerusakan kendaraan dan/atau barang. </w:t>
      </w:r>
    </w:p>
    <w:p w:rsidR="0079485D" w:rsidRDefault="0079485D" w:rsidP="001B1293">
      <w:pPr>
        <w:pStyle w:val="Default"/>
        <w:numPr>
          <w:ilvl w:val="1"/>
          <w:numId w:val="2"/>
        </w:numPr>
        <w:spacing w:line="480" w:lineRule="auto"/>
        <w:ind w:left="360"/>
        <w:jc w:val="both"/>
      </w:pPr>
      <w:r>
        <w:t xml:space="preserve">Kecelakaan lalu lintas sedang yaitu kecelakaan yang mengakibatkan luka ringan dan kerusakan kendaraan dan/atau barang. </w:t>
      </w:r>
    </w:p>
    <w:p w:rsidR="0079485D" w:rsidRDefault="0079485D" w:rsidP="001B1293">
      <w:pPr>
        <w:pStyle w:val="Default"/>
        <w:numPr>
          <w:ilvl w:val="1"/>
          <w:numId w:val="2"/>
        </w:numPr>
        <w:spacing w:line="480" w:lineRule="auto"/>
        <w:ind w:left="360"/>
        <w:jc w:val="both"/>
      </w:pPr>
      <w:r>
        <w:t>Kecelakaan lalu lintas berat yaitu kecelakaan yang mengakibatkan korban meninggal dunia atau luka berat.</w:t>
      </w:r>
    </w:p>
    <w:p w:rsidR="0079485D" w:rsidRDefault="0079485D" w:rsidP="001B1293">
      <w:pPr>
        <w:pStyle w:val="Default"/>
        <w:numPr>
          <w:ilvl w:val="1"/>
          <w:numId w:val="2"/>
        </w:numPr>
        <w:spacing w:line="480" w:lineRule="auto"/>
        <w:ind w:left="360"/>
        <w:jc w:val="both"/>
      </w:pPr>
      <w:r>
        <w:t>Kecelakaan Lalu Lintas sebagaimana dimaksud pada ayat (1) dapat disebabkan oleh kelalaian Pengguna Jalan, ketidaklaikan Kendaraan, serta ketidaklaikan Jalan dan/atau lingkungan.</w:t>
      </w:r>
    </w:p>
    <w:p w:rsidR="0079485D" w:rsidRDefault="0079485D" w:rsidP="001B1293">
      <w:pPr>
        <w:numPr>
          <w:ilvl w:val="4"/>
          <w:numId w:val="1"/>
        </w:numPr>
        <w:spacing w:line="480" w:lineRule="auto"/>
        <w:ind w:left="360"/>
        <w:jc w:val="both"/>
        <w:rPr>
          <w:b/>
        </w:rPr>
      </w:pPr>
      <w:r>
        <w:rPr>
          <w:b/>
        </w:rPr>
        <w:lastRenderedPageBreak/>
        <w:t>Unsur-Unsur Tindak Pidana Lalu Lintas</w:t>
      </w:r>
    </w:p>
    <w:p w:rsidR="0079485D" w:rsidRDefault="0079485D" w:rsidP="0079485D">
      <w:pPr>
        <w:spacing w:line="456" w:lineRule="auto"/>
        <w:ind w:firstLine="720"/>
        <w:jc w:val="both"/>
      </w:pPr>
      <w:r>
        <w:t xml:space="preserve">Unsur-unsur pidana yang terkandung dan harus terpenuhi dalam Pasal 310 ayat (4) </w:t>
      </w:r>
      <w:r>
        <w:rPr>
          <w:bCs/>
        </w:rPr>
        <w:t xml:space="preserve">Undang-Undang Nomor 22 Tahun 2009 Tentang Lalu Lintas Dan Angkutan Jalan </w:t>
      </w:r>
      <w:r>
        <w:t>antara lain:</w:t>
      </w:r>
    </w:p>
    <w:p w:rsidR="0079485D" w:rsidRDefault="0079485D" w:rsidP="001B1293">
      <w:pPr>
        <w:numPr>
          <w:ilvl w:val="0"/>
          <w:numId w:val="3"/>
        </w:numPr>
        <w:spacing w:line="456" w:lineRule="auto"/>
        <w:jc w:val="both"/>
      </w:pPr>
      <w:r>
        <w:t>Setiap orang.</w:t>
      </w:r>
    </w:p>
    <w:p w:rsidR="0079485D" w:rsidRDefault="0079485D" w:rsidP="0079485D">
      <w:pPr>
        <w:spacing w:line="456" w:lineRule="auto"/>
        <w:ind w:firstLine="774"/>
        <w:jc w:val="both"/>
      </w:pPr>
      <w:r>
        <w:t xml:space="preserve">Kata setiap orang yang dimaksud di sini adalah siapa saja yang menjadi subjek hukum, yakni sebagai pembawa hak dan kewajiban. Dalam doktrin ilmu hukum pidana “setiap orang” dapat dibagi ke dalam dua jenis, yaitu: </w:t>
      </w:r>
    </w:p>
    <w:p w:rsidR="0079485D" w:rsidRDefault="0079485D" w:rsidP="001B1293">
      <w:pPr>
        <w:numPr>
          <w:ilvl w:val="4"/>
          <w:numId w:val="2"/>
        </w:numPr>
        <w:spacing w:line="456" w:lineRule="auto"/>
        <w:ind w:left="360"/>
        <w:jc w:val="both"/>
      </w:pPr>
      <w:r>
        <w:t>Manusia (</w:t>
      </w:r>
      <w:r>
        <w:rPr>
          <w:i/>
          <w:iCs/>
        </w:rPr>
        <w:t>nature person</w:t>
      </w:r>
      <w:r>
        <w:t>).</w:t>
      </w:r>
    </w:p>
    <w:p w:rsidR="0079485D" w:rsidRDefault="0079485D" w:rsidP="001B1293">
      <w:pPr>
        <w:numPr>
          <w:ilvl w:val="4"/>
          <w:numId w:val="2"/>
        </w:numPr>
        <w:spacing w:line="456" w:lineRule="auto"/>
        <w:ind w:left="360"/>
        <w:jc w:val="both"/>
      </w:pPr>
      <w:r>
        <w:t>Korporasi, yang berbadan hukum maupun tidak berbadan hukum (</w:t>
      </w:r>
      <w:r>
        <w:rPr>
          <w:i/>
          <w:iCs/>
        </w:rPr>
        <w:t>legal person</w:t>
      </w:r>
      <w:r>
        <w:t xml:space="preserve">) </w:t>
      </w:r>
    </w:p>
    <w:p w:rsidR="0079485D" w:rsidRDefault="0079485D" w:rsidP="0079485D">
      <w:pPr>
        <w:spacing w:line="456" w:lineRule="auto"/>
        <w:ind w:firstLine="633"/>
        <w:jc w:val="both"/>
      </w:pPr>
      <w:r>
        <w:t xml:space="preserve">Setiap orang dalam Pasal ini mengacu pada pelaku dari perbuatan tindak pidana kejahatan lalu lintas serta tidak ditemukan alasan penghapus pidana baik berupa alasan pemaaf maupun alasan pembenar sebagaimana yang diatur dalam Pasal 44 sampai dengan Pasal 51 KUHP dan pelaku tersebut dipandang cakap sebagai subjek hukum. </w:t>
      </w:r>
    </w:p>
    <w:p w:rsidR="0079485D" w:rsidRDefault="0079485D" w:rsidP="001B1293">
      <w:pPr>
        <w:numPr>
          <w:ilvl w:val="0"/>
          <w:numId w:val="3"/>
        </w:numPr>
        <w:spacing w:line="504" w:lineRule="auto"/>
        <w:jc w:val="both"/>
      </w:pPr>
      <w:r>
        <w:t xml:space="preserve">Mengemudikan kendaraan bermotor; </w:t>
      </w:r>
    </w:p>
    <w:p w:rsidR="0079485D" w:rsidRDefault="0079485D" w:rsidP="0079485D">
      <w:pPr>
        <w:spacing w:line="480" w:lineRule="auto"/>
        <w:ind w:firstLine="774"/>
        <w:jc w:val="both"/>
      </w:pPr>
      <w:r>
        <w:t xml:space="preserve">Pelaku dalam kasus kecelakaan lalu lintas yang dapat dipidana adalah setiap orang yang mengemudikan kendaraan bermotor. Artinya setiap orang yang mengemudikan kendaraan tidak bermotor maka tidak dapat dipidana. Redaksi pasal ini setelah dicermati ternyata didapati bahwa pengemudi kendaraan tidak bermotor tidak dijadikan pelaku dalam kecelakaan lalu lintas terkait dengan posisinya yang lemah sebagai pengguna jalan. Umumnya orang yang mengemudikan kendaraan tidak bermotor menggunakan kekuatan fisik dan bukan </w:t>
      </w:r>
      <w:r>
        <w:lastRenderedPageBreak/>
        <w:t xml:space="preserve">dengan kekuatan mesin seperti pada kendaraan bermotor, sehingga disini dituntut unsur kehati-hatian yang tinggi pada diri pengemudi kendaraan bermotor. </w:t>
      </w:r>
    </w:p>
    <w:p w:rsidR="0079485D" w:rsidRDefault="0079485D" w:rsidP="0079485D">
      <w:pPr>
        <w:spacing w:line="480" w:lineRule="auto"/>
        <w:ind w:left="3" w:firstLine="774"/>
        <w:jc w:val="both"/>
      </w:pPr>
      <w:r>
        <w:t xml:space="preserve">Berhubungan dengan ini dapat diketahui dengan melihat pada redaksi Pasal 1 angka 8 dan angka 9 </w:t>
      </w:r>
      <w:r>
        <w:rPr>
          <w:bCs/>
        </w:rPr>
        <w:t xml:space="preserve">Undang-Undang Nomor 22 Tahun 2009 Tentang Lalu Lintas Dan Angkutan Jalan </w:t>
      </w:r>
      <w:r>
        <w:t>sebagai berikut:</w:t>
      </w:r>
    </w:p>
    <w:p w:rsidR="0079485D" w:rsidRDefault="0079485D" w:rsidP="001B1293">
      <w:pPr>
        <w:numPr>
          <w:ilvl w:val="5"/>
          <w:numId w:val="3"/>
        </w:numPr>
        <w:spacing w:line="480" w:lineRule="auto"/>
        <w:ind w:left="363"/>
        <w:jc w:val="both"/>
      </w:pPr>
      <w:r>
        <w:t xml:space="preserve">Kendaraan bermotor adalah setiap kendaraan yang digerakkan oleh peralatan mekanik berupa mesin selain kendaraan yang berjalan di atas rel. </w:t>
      </w:r>
    </w:p>
    <w:p w:rsidR="0079485D" w:rsidRDefault="0079485D" w:rsidP="001B1293">
      <w:pPr>
        <w:numPr>
          <w:ilvl w:val="5"/>
          <w:numId w:val="3"/>
        </w:numPr>
        <w:spacing w:line="480" w:lineRule="auto"/>
        <w:ind w:left="363"/>
        <w:jc w:val="both"/>
      </w:pPr>
      <w:r>
        <w:t xml:space="preserve">Kendaraan tidak bermotor adalah setiap kendaraan yang digerakkan oleh tenaga manusia dan/atau hewan. </w:t>
      </w:r>
    </w:p>
    <w:p w:rsidR="0079485D" w:rsidRDefault="0079485D" w:rsidP="001B1293">
      <w:pPr>
        <w:numPr>
          <w:ilvl w:val="0"/>
          <w:numId w:val="3"/>
        </w:numPr>
        <w:spacing w:line="480" w:lineRule="auto"/>
        <w:jc w:val="both"/>
      </w:pPr>
      <w:r>
        <w:t xml:space="preserve">Karena lalai </w:t>
      </w:r>
    </w:p>
    <w:p w:rsidR="0079485D" w:rsidRDefault="0079485D" w:rsidP="0079485D">
      <w:pPr>
        <w:spacing w:line="480" w:lineRule="auto"/>
        <w:ind w:firstLine="777"/>
        <w:jc w:val="both"/>
      </w:pPr>
      <w:r>
        <w:t>Lalai atau kealpaan, seperti juga kesengajaan adalah salah satu bentuk dari kesalahan. Kealpaan adalah bentuk yang lebih rendah derajatnya dari pada kesengajaan. Tetapi dapat pula dikatakan bahwa kealpaan itu adalah kebalikan dari kesengajaan, karena bila mana dalam kesengajaan, sesuatu akibat yang timbul itu dikehendaki, walaupun pelaku dapat memperaktikkan sebelumnya. Di sinilah juga letak salah satu kesukaran untuk membedakan antara kesengajaan bersyarat (</w:t>
      </w:r>
      <w:r>
        <w:rPr>
          <w:i/>
          <w:iCs/>
        </w:rPr>
        <w:t>dolus eventualis</w:t>
      </w:r>
      <w:r>
        <w:t>) dengan kealpaan berat (</w:t>
      </w:r>
      <w:r>
        <w:rPr>
          <w:i/>
          <w:iCs/>
        </w:rPr>
        <w:t>culpa lata</w:t>
      </w:r>
      <w:r>
        <w:t>).</w:t>
      </w:r>
      <w:r>
        <w:rPr>
          <w:rStyle w:val="FootnoteReference"/>
          <w:rFonts w:eastAsia="Calibri"/>
        </w:rPr>
        <w:footnoteReference w:id="5"/>
      </w:r>
    </w:p>
    <w:p w:rsidR="0079485D" w:rsidRDefault="0079485D" w:rsidP="0079485D">
      <w:pPr>
        <w:spacing w:line="480" w:lineRule="auto"/>
        <w:ind w:firstLine="777"/>
        <w:jc w:val="both"/>
      </w:pPr>
      <w:r>
        <w:t xml:space="preserve">Perkataan </w:t>
      </w:r>
      <w:r>
        <w:rPr>
          <w:i/>
          <w:iCs/>
        </w:rPr>
        <w:t>culpa</w:t>
      </w:r>
      <w:r>
        <w:t xml:space="preserve"> dalam arti luas berarti kesalahan pada umumnya, sedang dalam arti sempit adalah bentuk kesalahan yang berupa kealpaan. Alasan mengapa culpa menjadi salah satu unsur kesalahan adalah bilamana suatu keadaan, yang sedemikian membahayakan keamanan orang atau barang, atau mendatangkan kerugian terhadap seseorang yang sedemikian besarnya dan tidak dapat diperbaiki </w:t>
      </w:r>
      <w:r>
        <w:lastRenderedPageBreak/>
        <w:t xml:space="preserve">lagi. Oleh karena itu, undang-undang juga bertindak terhadap larangan penghati-hati, sikap sembrono (teledor), dan pendek kata </w:t>
      </w:r>
      <w:r>
        <w:rPr>
          <w:i/>
          <w:iCs/>
        </w:rPr>
        <w:t>schuld</w:t>
      </w:r>
      <w:r>
        <w:t xml:space="preserve"> (kealpaan yang menyebabkan keadaan seperti yang diterangkan tadi). Jadi, suatu tindak pidana diliputi kealpaan, manakala adanya perbuatan yang dilakukan karena kurang penduga-duga atau kurang penghati-hati. Misalnya, mengendari mobil ngebut, sehingga menabrak orang dan menyebakan orang yang ditabrak tersebut mati.</w:t>
      </w:r>
    </w:p>
    <w:p w:rsidR="0079485D" w:rsidRDefault="0079485D" w:rsidP="0079485D">
      <w:pPr>
        <w:spacing w:line="480" w:lineRule="auto"/>
        <w:ind w:left="3" w:firstLine="774"/>
        <w:jc w:val="both"/>
        <w:rPr>
          <w:lang w:val="nl-NL"/>
        </w:rPr>
      </w:pPr>
      <w:r>
        <w:rPr>
          <w:lang w:val="nl-NL"/>
        </w:rPr>
        <w:t xml:space="preserve">Pada umumnya, kealpaan dibedakan atas: </w:t>
      </w:r>
    </w:p>
    <w:p w:rsidR="0079485D" w:rsidRDefault="0079485D" w:rsidP="001B1293">
      <w:pPr>
        <w:numPr>
          <w:ilvl w:val="0"/>
          <w:numId w:val="4"/>
        </w:numPr>
        <w:tabs>
          <w:tab w:val="left" w:pos="993"/>
        </w:tabs>
        <w:ind w:left="993" w:hanging="350"/>
        <w:jc w:val="both"/>
      </w:pPr>
      <w:r>
        <w:rPr>
          <w:lang w:val="nl-NL"/>
        </w:rPr>
        <w:t>Kealpaan yang disadari (</w:t>
      </w:r>
      <w:r>
        <w:rPr>
          <w:i/>
          <w:iCs/>
          <w:lang w:val="nl-NL"/>
        </w:rPr>
        <w:t>bewuste schuld</w:t>
      </w:r>
      <w:r>
        <w:rPr>
          <w:lang w:val="nl-NL"/>
        </w:rPr>
        <w:t>)</w:t>
      </w:r>
      <w:r>
        <w:t>. Disini si pelaku dapat menyadari tentang apa yang dilakukan beserta akibatnya, akan tetapi ia percaya dan mengharap-harap bahwa akibatnya tidak akan terjadi.</w:t>
      </w:r>
    </w:p>
    <w:p w:rsidR="0079485D" w:rsidRDefault="0079485D" w:rsidP="001B1293">
      <w:pPr>
        <w:numPr>
          <w:ilvl w:val="0"/>
          <w:numId w:val="4"/>
        </w:numPr>
        <w:tabs>
          <w:tab w:val="left" w:pos="993"/>
        </w:tabs>
        <w:ind w:left="993" w:hanging="350"/>
        <w:jc w:val="both"/>
      </w:pPr>
      <w:r>
        <w:rPr>
          <w:lang w:val="nl-NL"/>
        </w:rPr>
        <w:t>Kealpaan yang tidak disadari (</w:t>
      </w:r>
      <w:r>
        <w:rPr>
          <w:i/>
          <w:iCs/>
          <w:lang w:val="nl-NL"/>
        </w:rPr>
        <w:t>onbewuste schuld</w:t>
      </w:r>
      <w:r>
        <w:rPr>
          <w:lang w:val="nl-NL"/>
        </w:rPr>
        <w:t xml:space="preserve">). </w:t>
      </w:r>
      <w:r>
        <w:t>Dalam hal ini si pelaku melakukan sesuatu yang tidak menyadari kemungkinan akan timbulnya sesuatu akibat, padahal seharusnya ia dapat menduga sebelumnya.</w:t>
      </w:r>
      <w:r>
        <w:rPr>
          <w:rStyle w:val="FootnoteReference"/>
          <w:rFonts w:eastAsia="Calibri"/>
        </w:rPr>
        <w:footnoteReference w:id="6"/>
      </w:r>
    </w:p>
    <w:p w:rsidR="0079485D" w:rsidRDefault="0079485D" w:rsidP="0079485D">
      <w:pPr>
        <w:ind w:left="1080"/>
        <w:jc w:val="both"/>
      </w:pPr>
    </w:p>
    <w:p w:rsidR="0079485D" w:rsidRDefault="0079485D" w:rsidP="001B1293">
      <w:pPr>
        <w:numPr>
          <w:ilvl w:val="0"/>
          <w:numId w:val="3"/>
        </w:numPr>
        <w:spacing w:line="480" w:lineRule="auto"/>
        <w:jc w:val="both"/>
      </w:pPr>
      <w:r>
        <w:t xml:space="preserve">Mengakibatkan orang lain meninggal dunia </w:t>
      </w:r>
    </w:p>
    <w:p w:rsidR="0079485D" w:rsidRDefault="0079485D" w:rsidP="0079485D">
      <w:pPr>
        <w:spacing w:line="432" w:lineRule="auto"/>
        <w:ind w:firstLine="777"/>
        <w:jc w:val="both"/>
      </w:pPr>
      <w:r>
        <w:t xml:space="preserve">Unsur mengkibatkan orang lain meninggal dunia pada umumnya dibuktikan berdasarkan </w:t>
      </w:r>
      <w:r>
        <w:rPr>
          <w:i/>
          <w:iCs/>
        </w:rPr>
        <w:t xml:space="preserve">Visum Et Repertum </w:t>
      </w:r>
      <w:r>
        <w:t xml:space="preserve">dari rumah sakit yang menerangkan penyebab dan cara kematian korban dengan memeriksa tubuh korban baik dengan pemeriksaan luar maupun dengan pemeriksaan dalam. Defenisi umum </w:t>
      </w:r>
      <w:r>
        <w:rPr>
          <w:i/>
          <w:iCs/>
        </w:rPr>
        <w:t xml:space="preserve">Visum Et Repertum </w:t>
      </w:r>
      <w:r>
        <w:t>adalah “laporan tertulis untuk peradilan yang dibuat dokter berdasarkan sumpah jabatan dokter tentang hal yang dilihat dan ditemukan pada benda yang diperiksa serta memberikan pendapat mengenai apa yang ditemukannya tersebut”.</w:t>
      </w:r>
      <w:r>
        <w:rPr>
          <w:rStyle w:val="FootnoteReference"/>
          <w:rFonts w:eastAsia="Calibri"/>
        </w:rPr>
        <w:footnoteReference w:id="7"/>
      </w:r>
    </w:p>
    <w:p w:rsidR="0079485D" w:rsidRDefault="0079485D" w:rsidP="0079485D">
      <w:pPr>
        <w:spacing w:line="480" w:lineRule="auto"/>
        <w:ind w:firstLine="774"/>
        <w:jc w:val="both"/>
      </w:pPr>
      <w:r>
        <w:rPr>
          <w:i/>
        </w:rPr>
        <w:t xml:space="preserve">Visum Et Repertum </w:t>
      </w:r>
      <w:r>
        <w:t xml:space="preserve">ini merupakan alat bukti yang sah sesuai dengan Pasal 184 KUHAP. Selain dengan melakukan </w:t>
      </w:r>
      <w:r>
        <w:rPr>
          <w:i/>
          <w:iCs/>
        </w:rPr>
        <w:t xml:space="preserve">Visum Et Repertum </w:t>
      </w:r>
      <w:r>
        <w:t xml:space="preserve">pada korban, </w:t>
      </w:r>
      <w:r>
        <w:lastRenderedPageBreak/>
        <w:t>pembuktian mengenai adanya korban meninggal dunia pada pasal ini juga dapat dibuktikan dengan melampirkan surat kematian yang dikeluarkan dokter ataupun lurah pada tempat tinggal korban.</w:t>
      </w:r>
    </w:p>
    <w:p w:rsidR="0079485D" w:rsidRDefault="0079485D" w:rsidP="0079485D">
      <w:pPr>
        <w:pStyle w:val="Default"/>
        <w:spacing w:line="444" w:lineRule="auto"/>
        <w:ind w:firstLine="709"/>
        <w:jc w:val="both"/>
      </w:pPr>
      <w:r>
        <w:t xml:space="preserve">Unsur-unsur pidana yang terkandung dan harus terpenuhi dalam aturan Pasal 311 ayat (5) </w:t>
      </w:r>
      <w:r>
        <w:rPr>
          <w:bCs/>
        </w:rPr>
        <w:t xml:space="preserve">Undang-Undang Nomor 22 Tahun 2009 Tentang Lalu Lintas Dan Angkutan Jalan </w:t>
      </w:r>
      <w:r>
        <w:t xml:space="preserve">antara lain: </w:t>
      </w:r>
    </w:p>
    <w:p w:rsidR="0079485D" w:rsidRDefault="0079485D" w:rsidP="001B1293">
      <w:pPr>
        <w:pStyle w:val="Default"/>
        <w:numPr>
          <w:ilvl w:val="0"/>
          <w:numId w:val="5"/>
        </w:numPr>
        <w:spacing w:line="444" w:lineRule="auto"/>
        <w:ind w:left="360"/>
        <w:jc w:val="both"/>
      </w:pPr>
      <w:r>
        <w:t>Setiap orang</w:t>
      </w:r>
    </w:p>
    <w:p w:rsidR="0079485D" w:rsidRDefault="0079485D" w:rsidP="001B1293">
      <w:pPr>
        <w:pStyle w:val="Default"/>
        <w:numPr>
          <w:ilvl w:val="0"/>
          <w:numId w:val="5"/>
        </w:numPr>
        <w:spacing w:line="444" w:lineRule="auto"/>
        <w:ind w:left="360"/>
        <w:jc w:val="both"/>
      </w:pPr>
      <w:r>
        <w:t>Mengemudikan kendaraan bermotor</w:t>
      </w:r>
    </w:p>
    <w:p w:rsidR="0079485D" w:rsidRDefault="0079485D" w:rsidP="001B1293">
      <w:pPr>
        <w:pStyle w:val="Default"/>
        <w:numPr>
          <w:ilvl w:val="0"/>
          <w:numId w:val="5"/>
        </w:numPr>
        <w:spacing w:line="444" w:lineRule="auto"/>
        <w:ind w:left="360"/>
        <w:jc w:val="both"/>
      </w:pPr>
      <w:r>
        <w:t xml:space="preserve">Dengan sengaja mengemudikan Kendaraan Bermotor dengan cara atau keadaan yang membahayakan bagi nyawa atau barang. </w:t>
      </w:r>
    </w:p>
    <w:p w:rsidR="0079485D" w:rsidRDefault="0079485D" w:rsidP="001B1293">
      <w:pPr>
        <w:pStyle w:val="Default"/>
        <w:numPr>
          <w:ilvl w:val="0"/>
          <w:numId w:val="5"/>
        </w:numPr>
        <w:spacing w:line="444" w:lineRule="auto"/>
        <w:ind w:left="360"/>
        <w:jc w:val="both"/>
      </w:pPr>
      <w:r>
        <w:t xml:space="preserve">Mengakibatkan orang lain meninggal dunia. </w:t>
      </w:r>
    </w:p>
    <w:p w:rsidR="0079485D" w:rsidRDefault="0079485D" w:rsidP="0079485D">
      <w:pPr>
        <w:pStyle w:val="Default"/>
        <w:spacing w:line="480" w:lineRule="auto"/>
        <w:ind w:firstLine="720"/>
        <w:jc w:val="both"/>
      </w:pPr>
      <w:r>
        <w:t>Ketentuan Pasal 311</w:t>
      </w:r>
      <w:r>
        <w:rPr>
          <w:bCs/>
        </w:rPr>
        <w:t xml:space="preserve"> Undang-Undang Nomor 22 Tahun 2009 Tentang Lalu Lintas Dan Angkutan Jalan</w:t>
      </w:r>
      <w:r>
        <w:t xml:space="preserve"> sebenarnya serupa dengan Pasal 310</w:t>
      </w:r>
      <w:r>
        <w:rPr>
          <w:bCs/>
        </w:rPr>
        <w:t xml:space="preserve"> Undang-Undang Nomor 22 Tahun 2009 Tentang Lalu Lintas Dan Angkutan Jalan</w:t>
      </w:r>
      <w:r>
        <w:t xml:space="preserve">. Apa yang membedakan Pasal 311 </w:t>
      </w:r>
      <w:r>
        <w:rPr>
          <w:bCs/>
        </w:rPr>
        <w:t xml:space="preserve">Undang-Undang Nomor 22 Tahun 2009 Tentang Lalu Lintas Dan Angkutan Jalan </w:t>
      </w:r>
      <w:r>
        <w:t>ini adalah adanya unsur kesengajaan orang yang mengemudikan kendaraan dengan cara atau keadaan yang membahayakan bagi nyawa atau barang. Perbuatan tersebut yang menyebabkan ancaman sanksi pidana dalam pasal 311</w:t>
      </w:r>
      <w:r>
        <w:rPr>
          <w:bCs/>
        </w:rPr>
        <w:t xml:space="preserve"> Undang-Undang Nomor 22 Tahun 2009 Tentang Lalu Lintas Dan Angkutan Jalan</w:t>
      </w:r>
      <w:r>
        <w:t xml:space="preserve"> lebih berat jika dibandingkan dengan Pasal 310 </w:t>
      </w:r>
      <w:r>
        <w:rPr>
          <w:bCs/>
        </w:rPr>
        <w:t xml:space="preserve">Undang-Undang Nomor 22 Tahun 2009 Tentang Lalu Lintas Dan Angkutan Jalan </w:t>
      </w:r>
      <w:r>
        <w:t xml:space="preserve">yaitu ancaman hukuman maksimal 12 tahun penjara. </w:t>
      </w:r>
    </w:p>
    <w:p w:rsidR="0079485D" w:rsidRDefault="0079485D" w:rsidP="0079485D">
      <w:pPr>
        <w:pStyle w:val="Default"/>
        <w:spacing w:line="480" w:lineRule="auto"/>
        <w:ind w:firstLine="720"/>
        <w:jc w:val="both"/>
      </w:pPr>
      <w:r>
        <w:lastRenderedPageBreak/>
        <w:t>Membuktikan unsur kelalaian pada Pasal 310</w:t>
      </w:r>
      <w:r>
        <w:rPr>
          <w:bCs/>
        </w:rPr>
        <w:t xml:space="preserve"> Undang-Undang Nomor 22 Tahun 2009 Tentang Lalu Lintas Dan Angkutan Jalan</w:t>
      </w:r>
      <w:r>
        <w:t>, pembuktian unsur kesengajaan inilah yang paling sulit diantara unsur-unsur pasal yang terkandung dalam Pasal 311</w:t>
      </w:r>
      <w:r>
        <w:rPr>
          <w:bCs/>
        </w:rPr>
        <w:t xml:space="preserve"> Undang-Undang Nomor 22 Tahun 2009 Tentang Lalu Lintas Dan Angkutan Jalan</w:t>
      </w:r>
      <w:r>
        <w:t>. Kesalahan pelaku dalam kecelakaan lalu lintas berupa kesengajaan yang ada pada dirinya saat kejadian kecelakaan lalu lintas juga harus dilihat dari faktor kejadian yang sebenarnya yakni faktor apa yang menyebabkan kecelakaan lalu lintas tersebut, hal ini dapat diungkapkan pula dari kronologis kejadian dan kesaksian-kesaksian.</w:t>
      </w:r>
    </w:p>
    <w:p w:rsidR="0079485D" w:rsidRDefault="0079485D" w:rsidP="0079485D">
      <w:pPr>
        <w:pStyle w:val="Default"/>
        <w:spacing w:line="456" w:lineRule="auto"/>
        <w:ind w:firstLine="720"/>
        <w:jc w:val="both"/>
      </w:pPr>
      <w:r>
        <w:t xml:space="preserve">Pasal 312 </w:t>
      </w:r>
      <w:r>
        <w:rPr>
          <w:bCs/>
        </w:rPr>
        <w:t xml:space="preserve">Undang-Undang Nomor 22 Tahun 2009 Tentang Lalu Lintas Dan Angkutan Jalan : </w:t>
      </w:r>
      <w:r>
        <w:t>Setiap orang yang mengemudikan kendaraan bermotor yang terlibat kecelakaan lalu lintas dan dengan sengaja tidak menghentikan kendaraannya, tidak memberikan pertolongan, atau tidak melaporkan kecelakaan lalu lintas kepada kepolisian negara republik indonesia terdekat sebagaimana dimaksud dalam Pasal 231 ayat (1) huruf a, huruf b, dan huruf c tanpa alasan yang patut dipidana dengan pidana penjara paling lama 3 (tiga) tahun atau denda paling banyak Rp. 75.000.000,00 (tujuh puluh lima juta rupiah).</w:t>
      </w:r>
    </w:p>
    <w:p w:rsidR="0079485D" w:rsidRDefault="0079485D" w:rsidP="0079485D">
      <w:pPr>
        <w:pStyle w:val="Default"/>
        <w:spacing w:line="456" w:lineRule="auto"/>
        <w:ind w:firstLine="720"/>
        <w:jc w:val="both"/>
      </w:pPr>
      <w:r>
        <w:t>Pasal 312</w:t>
      </w:r>
      <w:r>
        <w:rPr>
          <w:bCs/>
        </w:rPr>
        <w:t xml:space="preserve"> Undang-Undang Nomor 22 Tahun 2009 Tentang Lalu Lintas Dan Angkutan Jalan</w:t>
      </w:r>
      <w:r>
        <w:t xml:space="preserve"> tersebut diatas terkait dengan kewajiban dan tanggung jawab pengemudi dalam Pasal 231 ayat (1) </w:t>
      </w:r>
      <w:r>
        <w:rPr>
          <w:bCs/>
        </w:rPr>
        <w:t>Undang-Undang Nomor 22 Tahun 2009 Tentang Lalu Lintas Dan Angkutan Jalan</w:t>
      </w:r>
      <w:r>
        <w:t xml:space="preserve">. Pasal ini jika dicermati bukan merupakan tindakan yang mengakibatkan orang lain </w:t>
      </w:r>
      <w:r>
        <w:lastRenderedPageBreak/>
        <w:t xml:space="preserve">meninggal sebagaimana terdapat pada kedua pasal sebelumnya yakni Pasal 310 dan Pasal 311 </w:t>
      </w:r>
      <w:r>
        <w:rPr>
          <w:bCs/>
        </w:rPr>
        <w:t>Undang-Undang Nomor 22 Tahun 2009 Tentang Lalu Lintas Dan Angkutan Jalan</w:t>
      </w:r>
      <w:r>
        <w:t xml:space="preserve">. Akan tetapi pasal ini dimasukkan dalam pasal yang tergolong pada suatu tindak pidana kejahatan sebagaimana tertera pada Pasal 316 ayat (2) </w:t>
      </w:r>
      <w:r>
        <w:rPr>
          <w:bCs/>
        </w:rPr>
        <w:t>Undang-Undang Nomor 22 Tahun 2009 Tentang Lalu Lintas Dan Angkutan Jalan</w:t>
      </w:r>
      <w:r>
        <w:t>.</w:t>
      </w:r>
    </w:p>
    <w:p w:rsidR="0079485D" w:rsidRDefault="0079485D" w:rsidP="001B1293">
      <w:pPr>
        <w:pStyle w:val="Default"/>
        <w:numPr>
          <w:ilvl w:val="4"/>
          <w:numId w:val="1"/>
        </w:numPr>
        <w:spacing w:line="480" w:lineRule="auto"/>
        <w:ind w:left="360"/>
      </w:pPr>
      <w:r>
        <w:rPr>
          <w:b/>
          <w:bCs/>
        </w:rPr>
        <w:t xml:space="preserve">Sanksi Pidana Pelaku Tindak Pidana Kecelakaan Lalu Lintas </w:t>
      </w:r>
    </w:p>
    <w:p w:rsidR="0079485D" w:rsidRDefault="0079485D" w:rsidP="0079485D">
      <w:pPr>
        <w:spacing w:line="480" w:lineRule="auto"/>
        <w:ind w:firstLine="720"/>
        <w:jc w:val="both"/>
      </w:pPr>
      <w:r>
        <w:t>Hukum pidana menentukan sanksi terhadap setiap pelanggaran hukum yang dilakukan. Sanksi itu pada prinsipnya merupakan penambahan penderitaan dengan sengaja. Penambahan penderitaan dengan sengaja ini pula yang menjadi pembeda terpenting antara hukum pidana dengan hukum yang lainnya. Istilah pidana merupakan istilah yang lebih khusus, yaitu menunjukkan sanksi dalam hukum pidana. Pidana adalah sebuah konsep dalam bidang hukum pidana yang masih perlu penjelasan lebih lanjut untuk dapat memahami arti dan hakekatnya.</w:t>
      </w:r>
    </w:p>
    <w:p w:rsidR="0079485D" w:rsidRDefault="0079485D" w:rsidP="0079485D">
      <w:pPr>
        <w:spacing w:line="480" w:lineRule="auto"/>
        <w:ind w:firstLine="720"/>
        <w:jc w:val="both"/>
      </w:pPr>
      <w:r>
        <w:t>Mahrus Ali berpendapat bahwa hukuman (pidana) itu bersifat siksaan atau penderitaan, yang oleh undang-undang hukum pidana diberikan kepada seseorang yang melanggar sesuatu norma yang ditentukan oleh undang-undang hukum pidana, dan siksaan atau penderitaan itu dengan keputusan hakim dijatuhkan terhadap diri orang yang dipersalahkan itu. Sifat yang berupa siksaan atau penderitaan itu harus diberikan kepada hukuman (pidana), karena pelanggaran yang dilakukan oleh seseorang terhadap norma yang ditentukan oleh undang-undang hukum pidana itu merupakan pelanggaran atau perkosaan kepentingan hukum yang justru akan dilindungi oleh undang-undang hukum pidana.</w:t>
      </w:r>
    </w:p>
    <w:p w:rsidR="0079485D" w:rsidRDefault="0079485D" w:rsidP="0079485D">
      <w:pPr>
        <w:spacing w:line="480" w:lineRule="auto"/>
        <w:ind w:firstLine="720"/>
        <w:jc w:val="both"/>
      </w:pPr>
      <w:r>
        <w:lastRenderedPageBreak/>
        <w:t xml:space="preserve">Teguh Prasetyo, </w:t>
      </w:r>
      <w:r>
        <w:rPr>
          <w:iCs/>
        </w:rPr>
        <w:t>menyebutkan : s</w:t>
      </w:r>
      <w:r>
        <w:t>anksi pidana adalah suatu alat atau sarana terbaik yang tersedia, yang dimiliki untuk menghadapi kejahatan-kejahatan atau bahaya besar serta untuk menghadapi ancaman-ancaman. Selanjutnya disebutkan bahwa :</w:t>
      </w:r>
    </w:p>
    <w:p w:rsidR="0079485D" w:rsidRDefault="0079485D" w:rsidP="001B1293">
      <w:pPr>
        <w:numPr>
          <w:ilvl w:val="0"/>
          <w:numId w:val="6"/>
        </w:numPr>
        <w:ind w:left="1134" w:hanging="425"/>
        <w:jc w:val="both"/>
      </w:pPr>
      <w:r>
        <w:t xml:space="preserve">Sanksi pidana sangatlah diperlukan; kita tidak dapat hidup, sekarang maupun dimasa yang akan datang, tanpa pidana. </w:t>
      </w:r>
    </w:p>
    <w:p w:rsidR="0079485D" w:rsidRDefault="0079485D" w:rsidP="001B1293">
      <w:pPr>
        <w:numPr>
          <w:ilvl w:val="0"/>
          <w:numId w:val="6"/>
        </w:numPr>
        <w:ind w:left="1080"/>
        <w:jc w:val="both"/>
      </w:pPr>
      <w:r>
        <w:t>Sanksi pidana merupakan alat atau sarana terbaik yang tersedia, yang kita miliki utk menghadapi kejahatan-kejahatan atau bahaya besar dan segera serta utk menghadapi ancaman-ancaman dari bahaya</w:t>
      </w:r>
      <w:r>
        <w:rPr>
          <w:i/>
          <w:iCs/>
        </w:rPr>
        <w:t xml:space="preserve">. </w:t>
      </w:r>
    </w:p>
    <w:p w:rsidR="0079485D" w:rsidRDefault="0079485D" w:rsidP="001B1293">
      <w:pPr>
        <w:numPr>
          <w:ilvl w:val="0"/>
          <w:numId w:val="6"/>
        </w:numPr>
        <w:ind w:left="1080"/>
        <w:jc w:val="both"/>
      </w:pPr>
      <w:r>
        <w:t>Sanksi pidana suatu ketika merupakan penjamin yang utama dari kebebasan manusia. Ia merupakan penjamin apabila digunakan secara hemat-cermat dan secara manusiawi, ia merupakan pengancam apabila digunakan secara sembarangan dan secara paksa.</w:t>
      </w:r>
      <w:r>
        <w:rPr>
          <w:rStyle w:val="FootnoteReference"/>
          <w:rFonts w:eastAsia="Calibri"/>
        </w:rPr>
        <w:footnoteReference w:id="8"/>
      </w:r>
    </w:p>
    <w:p w:rsidR="0079485D" w:rsidRDefault="0079485D" w:rsidP="0079485D">
      <w:pPr>
        <w:jc w:val="both"/>
      </w:pPr>
    </w:p>
    <w:p w:rsidR="0079485D" w:rsidRDefault="0079485D" w:rsidP="0079485D">
      <w:pPr>
        <w:spacing w:line="480" w:lineRule="auto"/>
        <w:ind w:firstLine="720"/>
        <w:jc w:val="both"/>
      </w:pPr>
      <w:r>
        <w:t>Berdasarkan dari beberapa pendapat pakar di atas dapat disimpulkan bahwa sanksi adalah menderitakan atau nestapa yang sengaja ditimpakan kepada seseorang karena suatu perbuatan yang dilakukannya.</w:t>
      </w:r>
    </w:p>
    <w:p w:rsidR="0079485D" w:rsidRDefault="0079485D" w:rsidP="0079485D">
      <w:pPr>
        <w:spacing w:line="456" w:lineRule="auto"/>
        <w:ind w:firstLine="720"/>
        <w:jc w:val="both"/>
      </w:pPr>
      <w:r>
        <w:t>Pelaku tindak pidana lalu lintas dapat dijatuhi pidana berupa pidana penjara, kurungan, atau denda dan selain itu dapat dijatuhi pidana tambahan berupa pencabutan Surat Izin Mengemudi atau ganti kerugian yang diakibatkan oleh tindak pidana lalu lintas.</w:t>
      </w:r>
      <w:r>
        <w:rPr>
          <w:rStyle w:val="FootnoteReference"/>
          <w:rFonts w:eastAsia="Calibri"/>
        </w:rPr>
        <w:footnoteReference w:id="9"/>
      </w:r>
      <w:r>
        <w:t xml:space="preserve"> Ketentuan pidana dalam </w:t>
      </w:r>
      <w:r>
        <w:rPr>
          <w:bCs/>
        </w:rPr>
        <w:t>UU LLAJ</w:t>
      </w:r>
      <w:r>
        <w:t xml:space="preserve">merupakan dasar hukum penjatuhan sanksi pidana bagi pengemudi dalam kecelakaan lalu lintas yang mengakibatkan orang lain meninggal dunia. Ketentuan pidana ini perlu diuraikan terlebih dahulu untuk mengetahui dasar hukum dapat dipidananya seseorang dalam hal ini pengemudi yang mengakibatkan orang lain meninggal dunia yakni Pasal 310, Pasal 311, dan Pasal 312 </w:t>
      </w:r>
      <w:r>
        <w:rPr>
          <w:bCs/>
        </w:rPr>
        <w:t>UU LLAJ</w:t>
      </w:r>
      <w:r>
        <w:rPr>
          <w:b/>
          <w:bCs/>
        </w:rPr>
        <w:t xml:space="preserve">. </w:t>
      </w:r>
      <w:r>
        <w:t xml:space="preserve">Pasal-pasal tersebut </w:t>
      </w:r>
      <w:r>
        <w:lastRenderedPageBreak/>
        <w:t>yang dapat digunakan untuk menjerat pengemudi yang mengakibatkan orang lain meninggal dunia dalam kecelakaan lalu lintas.</w:t>
      </w:r>
    </w:p>
    <w:p w:rsidR="0079485D" w:rsidRDefault="0079485D" w:rsidP="0079485D">
      <w:pPr>
        <w:pStyle w:val="Default"/>
        <w:spacing w:line="456" w:lineRule="auto"/>
        <w:ind w:firstLine="720"/>
        <w:jc w:val="both"/>
      </w:pPr>
      <w:r>
        <w:t>Kecelakaan lalu lintas yang mengakibatkan kematian disebabkan kelalaian pengemudi kendaraan bermotor dalam ketentuan KUHP, pasal yang dapat digunakan untuk menjerat pengemudi kendaraan bermotor yang mengakibatkan kematian dalam kecelakaan lalu lintas adalah Pasal 359 KUHP yang menyatakan bahwa : “Barangsiapa karena kesalahannya (kealpaannya) menyebabkan orang lain mati, diancam dengan pidana penjara paling lama lima tahun atau pidana kurungan paling lama satu tahun”.</w:t>
      </w:r>
    </w:p>
    <w:p w:rsidR="0079485D" w:rsidRDefault="0079485D" w:rsidP="0079485D">
      <w:pPr>
        <w:pStyle w:val="Default"/>
        <w:spacing w:line="480" w:lineRule="auto"/>
        <w:ind w:firstLine="720"/>
        <w:jc w:val="both"/>
      </w:pPr>
      <w:r>
        <w:t>Kedua peraturan tersebut sama-sama mengatur tindak pidana yang karena kesalahannya mengakibatkan korban luka bahkan mati. Sanksi yang ada pada KUHP terdapat pada Pasal 359 dan Pasal 360, sedangkan pada Undang-Undang Nomor 22 Tahun 2009 Tentang Lalu Lintas dan Angkutan Jalan diatur pada Pasal 310 dan Pasal 311. KUHP mengatur tentang karena kealpaannya menyebabkan orang lain mati atau luka-luka,sedangkan dalam UU LLAJ mengatur tentang karena kelalaiannya dan kesengajaannya.</w:t>
      </w:r>
    </w:p>
    <w:p w:rsidR="0079485D" w:rsidRDefault="0079485D" w:rsidP="0079485D">
      <w:pPr>
        <w:pStyle w:val="Default"/>
        <w:spacing w:line="480" w:lineRule="auto"/>
        <w:ind w:firstLine="720"/>
        <w:jc w:val="both"/>
      </w:pPr>
      <w:r>
        <w:t xml:space="preserve">Hal ini yang membedakan yaitu antara kesalahan, kelalaian, dan kesengajaan. Kesalahan adalah suatu perbuatan dimana seseorang harus mempertanggung jawabkannya. Kelalaian adalah suatu perbuatan yang berbentuk sifat kurang kehati-hatian dan mengakibatkan adanya suatu resiko, sedangkan yang dimaksud dengan kesengajaan disini ada suatu </w:t>
      </w:r>
      <w:r>
        <w:lastRenderedPageBreak/>
        <w:t>perbuatan yang dimana seseorang sudah mengetahui bahwa itu merupakan perbuatan yang salah.</w:t>
      </w:r>
    </w:p>
    <w:p w:rsidR="0079485D" w:rsidRDefault="0079485D" w:rsidP="0079485D">
      <w:pPr>
        <w:pStyle w:val="Default"/>
        <w:spacing w:line="480" w:lineRule="auto"/>
        <w:ind w:firstLine="720"/>
        <w:jc w:val="both"/>
      </w:pPr>
      <w:r>
        <w:t xml:space="preserve">Terkait di dalam KUHP Pasal 63 ayat (2) yang berbunyi : “jika suatu perbuatan masuk dalam suatu aturan pidana yang umum, diatur pula dalam aturan pidana yang khusus, maka hanya yang khusus itulah yang diterapkan”. Penggunaan aturan yang lebih khusus ini juga diatur pada salah satu asas, yaitu asas </w:t>
      </w:r>
      <w:r>
        <w:rPr>
          <w:i/>
          <w:iCs/>
        </w:rPr>
        <w:t>Lex specialis derogat legi generali</w:t>
      </w:r>
      <w:r>
        <w:t>yang berarti bahwa asas penafsiran hukum yang menyatakan bahwa hukum yang bersifat khusus mengesampingkan hukum yang bersifat umum.</w:t>
      </w:r>
    </w:p>
    <w:p w:rsidR="0079485D" w:rsidRDefault="0079485D" w:rsidP="0079485D">
      <w:pPr>
        <w:spacing w:line="504" w:lineRule="auto"/>
        <w:ind w:firstLine="720"/>
        <w:jc w:val="both"/>
      </w:pPr>
      <w:r>
        <w:rPr>
          <w:bCs/>
        </w:rPr>
        <w:t>UU LLAJ</w:t>
      </w:r>
      <w:r>
        <w:t xml:space="preserve"> merupakan pengaturan yang lebih khusus untuk menjerat pengemudi lalai yang menyebabkan matinya orang lain dapat dijerat dengan Pasal 310 ayat (4), yang menyatakan bahwa : “Dalam hal kecelakaan sebagaimana dimaksud pada ayat (3) yang mengakibatkan orang lain meninggal dunia, dipidana dengan pidana penjara paling lama 6 (enam) tahun dan/atau denda paling banyak Rp. 12.000.000,00 (dua belas juta rupiah)”.</w:t>
      </w:r>
    </w:p>
    <w:p w:rsidR="0079485D" w:rsidRDefault="0079485D" w:rsidP="0079485D">
      <w:pPr>
        <w:spacing w:line="504" w:lineRule="auto"/>
        <w:ind w:firstLine="720"/>
        <w:jc w:val="both"/>
      </w:pPr>
      <w:r>
        <w:t>Secara umum pada Pasal 234 ayat (1) UU LLAJ juga mengatur tentang kewajiban dan tanggung jawab pengemudi, pemilik kendaraan bermotor, dan/atau perusahaan angkutan bahwa : Pengemudi, pemilik kendaraan bermotor, dan/atau perusahaan angkutan umum bertanggung jawab atas kerugian yang diderita oleh penumpang dan/atau pemilik barang dan/atau pihak ketiga karena kelalaian pengemudi.</w:t>
      </w:r>
    </w:p>
    <w:p w:rsidR="0079485D" w:rsidRDefault="0079485D" w:rsidP="0079485D">
      <w:pPr>
        <w:spacing w:line="504" w:lineRule="auto"/>
        <w:ind w:firstLine="720"/>
        <w:jc w:val="both"/>
      </w:pPr>
      <w:r>
        <w:t xml:space="preserve">Pasal 236 UULAJ mengatur tentang ganti rugi bagi pihak yang menyebabkan kecelakaan lalu lintas yang menyebutkan bahwa : </w:t>
      </w:r>
    </w:p>
    <w:p w:rsidR="0079485D" w:rsidRDefault="0079485D" w:rsidP="001B1293">
      <w:pPr>
        <w:numPr>
          <w:ilvl w:val="1"/>
          <w:numId w:val="7"/>
        </w:numPr>
        <w:spacing w:line="480" w:lineRule="auto"/>
        <w:ind w:left="414" w:hanging="414"/>
        <w:jc w:val="both"/>
      </w:pPr>
      <w:r>
        <w:lastRenderedPageBreak/>
        <w:t xml:space="preserve">Pihak yang menyebabkan terjadinya kecelakaan lalu lintas sebagaimana dimaksud pada Pasal 229 wajib mengganti kerugian yang besarnya ditentukan berdasarkan putusan pengadilan. </w:t>
      </w:r>
    </w:p>
    <w:p w:rsidR="0079485D" w:rsidRDefault="0079485D" w:rsidP="001B1293">
      <w:pPr>
        <w:numPr>
          <w:ilvl w:val="1"/>
          <w:numId w:val="7"/>
        </w:numPr>
        <w:spacing w:line="480" w:lineRule="auto"/>
        <w:ind w:left="414" w:hanging="414"/>
        <w:jc w:val="both"/>
      </w:pPr>
      <w:r>
        <w:t xml:space="preserve">Kewajiban mengganti kerugian sebagaimana dimaksud pada ayat (1) pada kecelakaan lalu lintas sebagaimana dimaksud dalam Pasal 229 ayat (2) dapat dilakukan diluar pengadilan jika terjadi kesepakatan daman diantara para pihak yang terlibat. </w:t>
      </w:r>
    </w:p>
    <w:p w:rsidR="0079485D" w:rsidRDefault="0079485D" w:rsidP="0079485D">
      <w:pPr>
        <w:tabs>
          <w:tab w:val="left" w:pos="1134"/>
        </w:tabs>
        <w:ind w:left="1134"/>
        <w:jc w:val="both"/>
      </w:pPr>
    </w:p>
    <w:p w:rsidR="0079485D" w:rsidRDefault="0079485D" w:rsidP="0079485D">
      <w:pPr>
        <w:spacing w:line="480" w:lineRule="auto"/>
        <w:ind w:firstLine="720"/>
        <w:jc w:val="both"/>
      </w:pPr>
      <w:r>
        <w:t>Berdasarkan uraian di atas dapat disimpulkan bahwa pertanggung jawaban dari pihak yang mengakibatkan kecelakaan lalu lintas yang hanya mengakibatkan kerusakan atau kerugian materi tanpa adanya korban jiwa dalam kecelakaan adalah merupakan bentuk penggantian kerugian kerusakan atau penggatian materi.</w:t>
      </w:r>
    </w:p>
    <w:p w:rsidR="0079485D" w:rsidRDefault="0079485D" w:rsidP="0079485D">
      <w:pPr>
        <w:spacing w:line="456" w:lineRule="auto"/>
        <w:ind w:firstLine="720"/>
        <w:jc w:val="both"/>
      </w:pPr>
      <w:r>
        <w:t>Menentukan dalam hal kecelakaan lalu lintas yang mengakibatkan kerugian materi tanpa korban jiwa termasuk dalam suatu tindak pidana atau bukan, menururt Sianturi S.R dapat dinyatakan sebagai tindak pidana apabila memenuhi unsur-unsur :</w:t>
      </w:r>
    </w:p>
    <w:p w:rsidR="0079485D" w:rsidRDefault="0079485D" w:rsidP="001B1293">
      <w:pPr>
        <w:numPr>
          <w:ilvl w:val="3"/>
          <w:numId w:val="8"/>
        </w:numPr>
        <w:spacing w:line="456" w:lineRule="auto"/>
        <w:ind w:left="360"/>
        <w:jc w:val="both"/>
      </w:pPr>
      <w:r>
        <w:t xml:space="preserve">Subjek. </w:t>
      </w:r>
    </w:p>
    <w:p w:rsidR="0079485D" w:rsidRDefault="0079485D" w:rsidP="001B1293">
      <w:pPr>
        <w:numPr>
          <w:ilvl w:val="3"/>
          <w:numId w:val="8"/>
        </w:numPr>
        <w:spacing w:line="456" w:lineRule="auto"/>
        <w:ind w:left="360"/>
        <w:jc w:val="both"/>
      </w:pPr>
      <w:r>
        <w:t xml:space="preserve">Kesalahan. </w:t>
      </w:r>
    </w:p>
    <w:p w:rsidR="0079485D" w:rsidRDefault="0079485D" w:rsidP="001B1293">
      <w:pPr>
        <w:numPr>
          <w:ilvl w:val="3"/>
          <w:numId w:val="8"/>
        </w:numPr>
        <w:spacing w:line="456" w:lineRule="auto"/>
        <w:ind w:left="360"/>
        <w:jc w:val="both"/>
      </w:pPr>
      <w:r>
        <w:t>Bersifat melawan hukum.</w:t>
      </w:r>
    </w:p>
    <w:p w:rsidR="0079485D" w:rsidRDefault="0079485D" w:rsidP="001B1293">
      <w:pPr>
        <w:numPr>
          <w:ilvl w:val="3"/>
          <w:numId w:val="8"/>
        </w:numPr>
        <w:spacing w:line="456" w:lineRule="auto"/>
        <w:ind w:left="360"/>
        <w:jc w:val="both"/>
      </w:pPr>
      <w:r>
        <w:t>Merupakan suatu tindakan yang dilarang dan/atau diharuskan oleh undang-undang atau perundangan serta terhadap pelanggarannya diancam dengan pidanaWaktu, tempat, dan keadaan.</w:t>
      </w:r>
      <w:r>
        <w:rPr>
          <w:rStyle w:val="FootnoteReference"/>
          <w:rFonts w:eastAsia="Calibri"/>
        </w:rPr>
        <w:footnoteReference w:id="10"/>
      </w:r>
    </w:p>
    <w:p w:rsidR="0079485D" w:rsidRDefault="0079485D" w:rsidP="0079485D">
      <w:pPr>
        <w:spacing w:line="456" w:lineRule="auto"/>
        <w:ind w:firstLine="720"/>
        <w:jc w:val="both"/>
      </w:pPr>
      <w:r>
        <w:lastRenderedPageBreak/>
        <w:t>Pasal 230 UU LLAJ menyebutkan bahwa: “Perkara kecelakaan lalu lintas sebagaimana dimaksud dalam Pasal 229 ayat (2) ayat (3) dan ayat (4) diproses dengan acara peradilan pidana sesuai dengan ketentuan peraturan perundang-undangan”.</w:t>
      </w:r>
    </w:p>
    <w:p w:rsidR="0079485D" w:rsidRDefault="0079485D" w:rsidP="0079485D">
      <w:pPr>
        <w:spacing w:line="456" w:lineRule="auto"/>
        <w:ind w:firstLine="720"/>
        <w:jc w:val="both"/>
      </w:pPr>
      <w:r>
        <w:t>Berdasarkan uraian di atas bahwa kecelakaan lalu lintas baik kecelakaan lalu lintas golongan ringan, sedang maupun berat adalah merupakan tindak pidana. Kecelakaan lalu lintas yang menyebabkan adanya kerugian materi saja tanpa adanya korban termasuk dalam pelaku tindak pidana dan dapat diproses secara pidana karena tindak pidananya.</w:t>
      </w:r>
    </w:p>
    <w:p w:rsidR="0079485D" w:rsidRDefault="0079485D" w:rsidP="0079485D">
      <w:pPr>
        <w:spacing w:line="480" w:lineRule="auto"/>
        <w:ind w:firstLine="720"/>
        <w:jc w:val="both"/>
      </w:pPr>
      <w:r>
        <w:t>Sanksi pidana dalam hal mengakibatkan kerugian ada pada Pasal 310 (1) karena kelalaiannya dan Pasal 311 (2) karena dengan sengaja. Sanksi pidana pada Pasal 310 dan pada Pasal 311 juga memuat pidana bagi kecelakaan lalu lintas yang mengakibatkan korban jiwa.</w:t>
      </w:r>
    </w:p>
    <w:p w:rsidR="0079485D" w:rsidRDefault="0079485D" w:rsidP="0079485D">
      <w:pPr>
        <w:spacing w:line="504" w:lineRule="auto"/>
        <w:ind w:firstLine="720"/>
        <w:jc w:val="both"/>
      </w:pPr>
      <w:r>
        <w:t xml:space="preserve">Sanksi pidana yang dapat dikenakan pada perbuatan tersebut bagi pengemudi yang karena kelalaiannya dapat dipidana dengan Pasal 310 </w:t>
      </w:r>
      <w:r>
        <w:rPr>
          <w:bCs/>
        </w:rPr>
        <w:t>UU LLAJ :</w:t>
      </w:r>
    </w:p>
    <w:p w:rsidR="0079485D" w:rsidRDefault="0079485D" w:rsidP="001B1293">
      <w:pPr>
        <w:pStyle w:val="Default"/>
        <w:numPr>
          <w:ilvl w:val="0"/>
          <w:numId w:val="9"/>
        </w:numPr>
        <w:tabs>
          <w:tab w:val="left" w:pos="567"/>
        </w:tabs>
        <w:spacing w:line="480" w:lineRule="auto"/>
        <w:ind w:left="567" w:hanging="567"/>
        <w:jc w:val="both"/>
      </w:pPr>
      <w:r>
        <w:t xml:space="preserve">Setiap orang yang mengemudikan kendaraan bermotor yang karena kelalaiannya mengakibatkan kecelakaan lalu lintas dengan kerusakan kendaraan dan/atau barang sebagaimana dimaksud dalam pasal 229 ayat (2), dipidana dengan pidana penjara paling lama 6 (enam) bulan dan/atau denda paling banyak Rp. 1.000.000,00 (satu juta rupiah). </w:t>
      </w:r>
    </w:p>
    <w:p w:rsidR="0079485D" w:rsidRDefault="0079485D" w:rsidP="001B1293">
      <w:pPr>
        <w:pStyle w:val="Default"/>
        <w:numPr>
          <w:ilvl w:val="0"/>
          <w:numId w:val="9"/>
        </w:numPr>
        <w:tabs>
          <w:tab w:val="left" w:pos="567"/>
        </w:tabs>
        <w:spacing w:line="480" w:lineRule="auto"/>
        <w:ind w:left="567" w:hanging="567"/>
        <w:jc w:val="both"/>
      </w:pPr>
      <w:r>
        <w:t xml:space="preserve">Setiap orang yang mengemudikan kendaraan bermotor yang karena kelalaiannya mengakibatkan kecelakaan lalu lintas dengan korban luka ringan dan kerusakan kendaraan dan/atau barang sebagaimana </w:t>
      </w:r>
      <w:r>
        <w:lastRenderedPageBreak/>
        <w:t xml:space="preserve">dimaksud dalam pasal 229 ayat (3), dipidana dengan pidana penjara paling lama 1 (satu) tahun dan/atau denda paling banyak Rp. 2.000.000,00 (dua juta rupiah). </w:t>
      </w:r>
    </w:p>
    <w:p w:rsidR="0079485D" w:rsidRDefault="0079485D" w:rsidP="001B1293">
      <w:pPr>
        <w:pStyle w:val="Default"/>
        <w:numPr>
          <w:ilvl w:val="0"/>
          <w:numId w:val="9"/>
        </w:numPr>
        <w:tabs>
          <w:tab w:val="left" w:pos="567"/>
        </w:tabs>
        <w:spacing w:line="480" w:lineRule="auto"/>
        <w:ind w:left="567" w:hanging="567"/>
        <w:jc w:val="both"/>
      </w:pPr>
      <w:r>
        <w:t xml:space="preserve">Setiap orang yang mengemudikan kendaraan bermotor yang karena kelalaiannya mengakibatkan kecelakaan lalu lintas dengan korban luka berat sebagaimana dimaksud dalam pasal 229 ayat (4), dipidana dengan pidana penjara paling lama 5 (lima) tahun dan/atau denda paling banyak Rp. 10.000.000,00 (sepuluh juta rupiah). </w:t>
      </w:r>
    </w:p>
    <w:p w:rsidR="0079485D" w:rsidRDefault="0079485D" w:rsidP="001B1293">
      <w:pPr>
        <w:pStyle w:val="Default"/>
        <w:numPr>
          <w:ilvl w:val="0"/>
          <w:numId w:val="9"/>
        </w:numPr>
        <w:tabs>
          <w:tab w:val="left" w:pos="567"/>
        </w:tabs>
        <w:spacing w:line="480" w:lineRule="auto"/>
        <w:ind w:left="567" w:hanging="567"/>
        <w:jc w:val="both"/>
      </w:pPr>
      <w:r>
        <w:t>Dalam hal kecelakaan sebagaimana dimaksud pada ayat (3) yang mengakibatkan orang lain meninggal dunia, dipidana dengan pidana penjara paling lama 6 (enam) tahun dan/atau denda paling banyak Rp. 12.000.000,00 (dua belas juta rupiah).</w:t>
      </w:r>
    </w:p>
    <w:p w:rsidR="0079485D" w:rsidRDefault="0079485D" w:rsidP="0079485D">
      <w:pPr>
        <w:pStyle w:val="Default"/>
        <w:spacing w:line="480" w:lineRule="auto"/>
        <w:ind w:firstLine="633"/>
        <w:jc w:val="both"/>
      </w:pPr>
      <w:r>
        <w:t xml:space="preserve">Sanksi pidana untuk kendaraan bermotor yang dengan sengaja mengemudikan kendaraannya membahayakan kendaraan/barang,diatur dalam Pasal 311 UU LLAJ yang berbunyi </w:t>
      </w:r>
      <w:r>
        <w:rPr>
          <w:bCs/>
        </w:rPr>
        <w:t>:</w:t>
      </w:r>
    </w:p>
    <w:p w:rsidR="0079485D" w:rsidRDefault="0079485D" w:rsidP="001B1293">
      <w:pPr>
        <w:pStyle w:val="Default"/>
        <w:numPr>
          <w:ilvl w:val="0"/>
          <w:numId w:val="10"/>
        </w:numPr>
        <w:tabs>
          <w:tab w:val="left" w:pos="426"/>
        </w:tabs>
        <w:spacing w:line="480" w:lineRule="auto"/>
        <w:ind w:left="426" w:hanging="426"/>
        <w:jc w:val="both"/>
      </w:pPr>
      <w:r>
        <w:t xml:space="preserve">Setiap orang yang dengan sengaja mengemudikan kendaraan bermotor dengan cara atau keadaan yang membahayakan bagi nyawa atau barang dipidana dengan pidana penjara paling lama 1 (satu) tahun atau denda paling banyak Rp. 3.000.000,00 (tiga juta rupiah). </w:t>
      </w:r>
    </w:p>
    <w:p w:rsidR="0079485D" w:rsidRDefault="0079485D" w:rsidP="001B1293">
      <w:pPr>
        <w:pStyle w:val="Default"/>
        <w:numPr>
          <w:ilvl w:val="0"/>
          <w:numId w:val="10"/>
        </w:numPr>
        <w:tabs>
          <w:tab w:val="left" w:pos="426"/>
        </w:tabs>
        <w:spacing w:line="480" w:lineRule="auto"/>
        <w:ind w:left="426" w:hanging="426"/>
        <w:jc w:val="both"/>
      </w:pPr>
      <w:r>
        <w:t xml:space="preserve">Dalam hal perbuatan sebagaimana dimaksud pada ayat (1) mengakibatkan kecelakaan lalu lintas dengan kerusakan kendaraan dan/atau barang sebagaimana dimaksud dalam pasal 229 ayat (2), </w:t>
      </w:r>
      <w:r>
        <w:lastRenderedPageBreak/>
        <w:t xml:space="preserve">pelaku dipidana dengan pidana penjara paling lama 2 (dua) tahun atau denda paling banyak Rp. 4.000.000,00 (empat juta rupiah). </w:t>
      </w:r>
    </w:p>
    <w:p w:rsidR="0079485D" w:rsidRDefault="0079485D" w:rsidP="001B1293">
      <w:pPr>
        <w:pStyle w:val="Default"/>
        <w:numPr>
          <w:ilvl w:val="0"/>
          <w:numId w:val="10"/>
        </w:numPr>
        <w:tabs>
          <w:tab w:val="left" w:pos="426"/>
        </w:tabs>
        <w:spacing w:line="480" w:lineRule="auto"/>
        <w:ind w:left="426" w:hanging="426"/>
        <w:jc w:val="both"/>
      </w:pPr>
      <w:r>
        <w:t xml:space="preserve">Dalam hal perbuatan sebagaimana dimaksud pada ayat (1) mengakibatkan kecelakaan lalu lintas dengan korban luka ringan  dan kerusakan kendaraan dan/atau barang sebagaimana dimaksud dalam pasal 229 ayat (3), pelaku dipidana dengan pidana penjara paling lama 4 (empat) tahun atau denda paling banyak Rp. 8.000.000,00 (delapan juta rupiah). </w:t>
      </w:r>
    </w:p>
    <w:p w:rsidR="0079485D" w:rsidRDefault="0079485D" w:rsidP="001B1293">
      <w:pPr>
        <w:pStyle w:val="Default"/>
        <w:numPr>
          <w:ilvl w:val="0"/>
          <w:numId w:val="10"/>
        </w:numPr>
        <w:tabs>
          <w:tab w:val="left" w:pos="426"/>
        </w:tabs>
        <w:spacing w:line="480" w:lineRule="auto"/>
        <w:ind w:left="426" w:hanging="426"/>
        <w:jc w:val="both"/>
      </w:pPr>
      <w:r>
        <w:t xml:space="preserve">Dalam hal perbuatan sebagaimana dimaksud pada ayat (1) mengakibatkan kecelakaan lalu lintas dengan korban luka berat sebagaimana dimaksud dalam pasal 229 ayat (4), pelaku dipidana dengan pidana penjara paling lama 10 (sepuluh) tahun atau denda paling banyak Rp. 20.000.000,00 (dua puluh juta rupiah). </w:t>
      </w:r>
    </w:p>
    <w:p w:rsidR="0079485D" w:rsidRDefault="0079485D" w:rsidP="001B1293">
      <w:pPr>
        <w:pStyle w:val="Default"/>
        <w:numPr>
          <w:ilvl w:val="0"/>
          <w:numId w:val="10"/>
        </w:numPr>
        <w:tabs>
          <w:tab w:val="left" w:pos="426"/>
        </w:tabs>
        <w:spacing w:line="480" w:lineRule="auto"/>
        <w:ind w:left="426" w:hanging="426"/>
        <w:jc w:val="both"/>
      </w:pPr>
      <w:r>
        <w:t>Dalam hal perbuatan sebagaimana dimaksud pada ayat (4) mengakibatkan orang lain meninggal dunia, pelaku dipidana dengan pidana penjara paling lama 12 (dua belas) tahun atau denda paling banyak Rp. 24.000.000,00 (dua puluh empat juta rupiah).</w:t>
      </w:r>
    </w:p>
    <w:p w:rsidR="0079485D" w:rsidRDefault="0079485D" w:rsidP="0079485D">
      <w:pPr>
        <w:pStyle w:val="Default"/>
        <w:spacing w:line="480" w:lineRule="auto"/>
        <w:ind w:firstLine="633"/>
        <w:jc w:val="both"/>
      </w:pPr>
      <w:r>
        <w:t>Bab XXI KUHP juga mengatur tentang tindak pidana yang menyebabkan luka-luka atau meninggal dunia karena kealpaannya terdapat pada Pasal  359 KUHP : Barang siapa karena kesalahannya (kealpaannya) menyebabkan orang lain mati, diancam dengan pidana penjara paling lama lima tahun atau pidana kurungan paling lama satu tahun.</w:t>
      </w:r>
    </w:p>
    <w:p w:rsidR="0079485D" w:rsidRDefault="0079485D" w:rsidP="0079485D">
      <w:pPr>
        <w:pStyle w:val="Default"/>
        <w:spacing w:line="480" w:lineRule="auto"/>
        <w:ind w:firstLine="633"/>
        <w:jc w:val="both"/>
      </w:pPr>
      <w:r>
        <w:lastRenderedPageBreak/>
        <w:t>Pasal 360 KUHP :</w:t>
      </w:r>
    </w:p>
    <w:p w:rsidR="0079485D" w:rsidRDefault="0079485D" w:rsidP="001B1293">
      <w:pPr>
        <w:pStyle w:val="Default"/>
        <w:numPr>
          <w:ilvl w:val="1"/>
          <w:numId w:val="11"/>
        </w:numPr>
        <w:tabs>
          <w:tab w:val="num" w:pos="360"/>
        </w:tabs>
        <w:spacing w:line="480" w:lineRule="auto"/>
        <w:ind w:left="360"/>
        <w:jc w:val="both"/>
      </w:pPr>
      <w:r>
        <w:t xml:space="preserve">Barang siapa karena kesalahannya (kealpaannya) menyebabkan orang lain mendapatkan luka-luka berat, diancam dengan pidana penjara paling lama lima tahun atau pidana kurungan paling lama satu tahun. </w:t>
      </w:r>
    </w:p>
    <w:p w:rsidR="0079485D" w:rsidRDefault="0079485D" w:rsidP="001B1293">
      <w:pPr>
        <w:pStyle w:val="Default"/>
        <w:numPr>
          <w:ilvl w:val="1"/>
          <w:numId w:val="11"/>
        </w:numPr>
        <w:spacing w:line="480" w:lineRule="auto"/>
        <w:ind w:left="360"/>
        <w:jc w:val="both"/>
      </w:pPr>
      <w:r>
        <w:t>Barangsiapa karena kesalahannya (kealpaannya) menyebabkan orang lain luka-luka sedemikian rupa sehingga timbul penyakit atau halangan menjalankan pekerjaan jabatan atau pencarian selama waktu tertentu, diancam dengan pidana penjara paling lama sembilan bulan atau pidana kurungan paling lama enam bulan atau pidana denda paling tinggi empat ribu lima ratus rupiah.</w:t>
      </w:r>
    </w:p>
    <w:p w:rsidR="0079485D" w:rsidRDefault="0079485D" w:rsidP="0079485D">
      <w:pPr>
        <w:pStyle w:val="Default"/>
        <w:spacing w:line="480" w:lineRule="auto"/>
        <w:ind w:firstLine="633"/>
        <w:jc w:val="both"/>
      </w:pPr>
      <w:r>
        <w:t xml:space="preserve">Seseorang yang terlibat pada kecelekaan lalu lintas mempunyai kewajiban yang diatur pada Pasal 231 ayat (1) UU LLAJ yaitu : </w:t>
      </w:r>
    </w:p>
    <w:p w:rsidR="0079485D" w:rsidRDefault="0079485D" w:rsidP="001B1293">
      <w:pPr>
        <w:pStyle w:val="Default"/>
        <w:numPr>
          <w:ilvl w:val="0"/>
          <w:numId w:val="12"/>
        </w:numPr>
        <w:spacing w:line="480" w:lineRule="auto"/>
        <w:ind w:left="360"/>
        <w:jc w:val="both"/>
      </w:pPr>
      <w:r>
        <w:t xml:space="preserve">Menghentikan kendaraan yang dikemudikannya </w:t>
      </w:r>
    </w:p>
    <w:p w:rsidR="0079485D" w:rsidRDefault="0079485D" w:rsidP="001B1293">
      <w:pPr>
        <w:pStyle w:val="Default"/>
        <w:numPr>
          <w:ilvl w:val="0"/>
          <w:numId w:val="12"/>
        </w:numPr>
        <w:spacing w:line="480" w:lineRule="auto"/>
        <w:ind w:left="360"/>
        <w:jc w:val="both"/>
      </w:pPr>
      <w:r>
        <w:t xml:space="preserve">Memberikan pertolongan kepada korban </w:t>
      </w:r>
    </w:p>
    <w:p w:rsidR="0079485D" w:rsidRDefault="0079485D" w:rsidP="001B1293">
      <w:pPr>
        <w:pStyle w:val="Default"/>
        <w:numPr>
          <w:ilvl w:val="0"/>
          <w:numId w:val="12"/>
        </w:numPr>
        <w:spacing w:line="480" w:lineRule="auto"/>
        <w:ind w:left="360"/>
        <w:jc w:val="both"/>
      </w:pPr>
      <w:r>
        <w:t xml:space="preserve">Melaporkan kecelakaan kepada Kepolisian Republik Indonesia terdekat dan </w:t>
      </w:r>
    </w:p>
    <w:p w:rsidR="0079485D" w:rsidRDefault="0079485D" w:rsidP="001B1293">
      <w:pPr>
        <w:pStyle w:val="Default"/>
        <w:numPr>
          <w:ilvl w:val="0"/>
          <w:numId w:val="12"/>
        </w:numPr>
        <w:spacing w:line="480" w:lineRule="auto"/>
        <w:ind w:left="360"/>
        <w:jc w:val="both"/>
      </w:pPr>
      <w:r>
        <w:t xml:space="preserve">Memberikan keterangan terkait dengan kejadian kecelakaan. </w:t>
      </w:r>
    </w:p>
    <w:p w:rsidR="0079485D" w:rsidRDefault="0079485D" w:rsidP="0079485D">
      <w:pPr>
        <w:pStyle w:val="Default"/>
        <w:spacing w:line="480" w:lineRule="auto"/>
        <w:ind w:firstLine="720"/>
        <w:jc w:val="both"/>
      </w:pPr>
      <w:r>
        <w:t xml:space="preserve">Seseorang yang terlibat kecelakaan tidak dapat melaksanakan kewajiban yang disebutkan dalam Pasal 231 ayat (1) UU LLAJ tersebut karena adanya keadaan memaksa, keadaan memaksa yang dimaksud adalah adanya situasi di tempat kejadian yang dapat mengancam </w:t>
      </w:r>
      <w:r>
        <w:lastRenderedPageBreak/>
        <w:t xml:space="preserve">keselamatannya, adanya amukan masa ditempat kejadian dan tidak mampu untuk memberikan pertolongan. </w:t>
      </w:r>
    </w:p>
    <w:p w:rsidR="0079485D" w:rsidRDefault="0079485D" w:rsidP="0079485D">
      <w:pPr>
        <w:pStyle w:val="Default"/>
        <w:spacing w:line="480" w:lineRule="auto"/>
        <w:ind w:firstLine="720"/>
        <w:jc w:val="both"/>
      </w:pPr>
      <w:r>
        <w:t>Berdasarkan hal tersebut pengemudi kendaraan bermotor harus menyerahkan diri atau segera melaporkan diri kepada kepolisian terdekat. Ketentuan di atas tidak dilaksanakan maka berdasarkan pada Pasal 312 UU LLAJ yang berbunyi : Setiap orang yang mengemudikan kendaraan bermotor yang terlibat kecelakaan lalu lintas dan dengan sengaja tidak menghentikan kendaraannya, tidak memberikan pertolongan, atau tidak melaporkan kecelakaan lalu lintas kepada Kepolisian Negara Republik Indonesia terdekat sebagaimana dimaksud dalam Pasal 231 ayat (1) huruf a, huruf b, dan huruf c tanpa alasan yang patut, dipidana dengan pidana penjara paling lama 3 (tiga) tahun atau denda paling banyak Rp. 75.000.000,00 (tujuh puluh lima juta rupiah).</w:t>
      </w:r>
    </w:p>
    <w:p w:rsidR="0079485D" w:rsidRDefault="0079485D" w:rsidP="0079485D">
      <w:pPr>
        <w:pStyle w:val="Default"/>
        <w:spacing w:line="480" w:lineRule="auto"/>
        <w:ind w:firstLine="720"/>
        <w:jc w:val="both"/>
      </w:pPr>
      <w:r>
        <w:t>Pelaku tindak pidana kecelakaan lalu lintas selain dapat dijatuhi dengan pidana penjara, kurungan, atau pidana denda pelaku tindak pidana dapat dijatuhi pula pidana tambahan seperti pencabutan Surat Izin Mengemudi atau dengan ganti kerugian yang diakibatkan kecelakaan lalu lintas.</w:t>
      </w:r>
    </w:p>
    <w:p w:rsidR="0079485D" w:rsidRDefault="0079485D" w:rsidP="0079485D">
      <w:pPr>
        <w:pStyle w:val="Default"/>
        <w:spacing w:line="480" w:lineRule="auto"/>
        <w:ind w:firstLine="720"/>
        <w:jc w:val="both"/>
      </w:pPr>
      <w:r>
        <w:t xml:space="preserve">Tindak pidana kecelakaan lalu lintas selain mempunyai sanksi yang akan membuat seseorang jera. Kecelakaan lalu lintas bukanlah sesuatu yang diinginkan dan yang dapat diprediksi, maka dari itu dengan adanya UU LLAJ yang mengatur tentang sanksi pidana bagi tindak pidana </w:t>
      </w:r>
      <w:r>
        <w:lastRenderedPageBreak/>
        <w:t>kecelakaan lalu lintas dapat membuat masyarakat lebih berhati-hati dan mematuhi peraturan lalu lintas yang ada.</w:t>
      </w:r>
    </w:p>
    <w:p w:rsidR="0079485D" w:rsidRDefault="0079485D" w:rsidP="0079485D">
      <w:pPr>
        <w:autoSpaceDE w:val="0"/>
        <w:autoSpaceDN w:val="0"/>
        <w:adjustRightInd w:val="0"/>
        <w:ind w:left="567"/>
        <w:jc w:val="both"/>
      </w:pPr>
    </w:p>
    <w:p w:rsidR="0079485D" w:rsidRDefault="0079485D" w:rsidP="001B1293">
      <w:pPr>
        <w:pStyle w:val="Default"/>
        <w:numPr>
          <w:ilvl w:val="4"/>
          <w:numId w:val="1"/>
        </w:numPr>
        <w:spacing w:line="480" w:lineRule="auto"/>
        <w:ind w:left="360"/>
        <w:jc w:val="both"/>
      </w:pPr>
      <w:r>
        <w:rPr>
          <w:b/>
          <w:bCs/>
        </w:rPr>
        <w:t xml:space="preserve">Anak Sebagai Pelaku Tindak Pidana Kecelakaan Lalu Lintas.  </w:t>
      </w:r>
    </w:p>
    <w:p w:rsidR="0079485D" w:rsidRDefault="0079485D" w:rsidP="0079485D">
      <w:pPr>
        <w:autoSpaceDE w:val="0"/>
        <w:autoSpaceDN w:val="0"/>
        <w:adjustRightInd w:val="0"/>
        <w:spacing w:line="480" w:lineRule="auto"/>
        <w:ind w:firstLine="709"/>
        <w:jc w:val="both"/>
      </w:pPr>
      <w:r>
        <w:t xml:space="preserve">Istilah yang sering dipergunakan untuk menyebut anak sebagai pelaku tindak pidana adalah </w:t>
      </w:r>
      <w:r>
        <w:rPr>
          <w:i/>
          <w:iCs/>
        </w:rPr>
        <w:t xml:space="preserve">juvenile delinquency. </w:t>
      </w:r>
      <w:r>
        <w:t>Istilah yang sering terdengar dan lazim dipergunakan dalam media massa adalah kenakalan remaja atau sering juga digunakan istilah kejahatan anak.</w:t>
      </w:r>
      <w:r>
        <w:rPr>
          <w:rStyle w:val="FootnoteReference"/>
          <w:rFonts w:eastAsia="Calibri"/>
        </w:rPr>
        <w:footnoteReference w:id="11"/>
      </w:r>
      <w:r>
        <w:t xml:space="preserve"> Secara etimologis</w:t>
      </w:r>
      <w:r>
        <w:rPr>
          <w:i/>
          <w:iCs/>
        </w:rPr>
        <w:t xml:space="preserve">, juvenile delinquency </w:t>
      </w:r>
      <w:r>
        <w:t xml:space="preserve">berarti kejahatan anak. Istilah kejahatan anak dirasakan memiliki makna yang sangat tajam dan memiliki konotasi negative secara kejiwaan terhadap anak. Untuk itu lebih baik dipilih istilah Indonesia yang lebih mengarah pada makna yang terkandung dalam istilah </w:t>
      </w:r>
      <w:r>
        <w:rPr>
          <w:i/>
          <w:iCs/>
        </w:rPr>
        <w:t>juvenile delinquency</w:t>
      </w:r>
      <w:r>
        <w:t>, yaitu perilaku delikuensi anak.</w:t>
      </w:r>
      <w:r>
        <w:rPr>
          <w:rStyle w:val="FootnoteReference"/>
          <w:rFonts w:eastAsia="Calibri"/>
        </w:rPr>
        <w:footnoteReference w:id="12"/>
      </w:r>
    </w:p>
    <w:p w:rsidR="0079485D" w:rsidRDefault="0079485D" w:rsidP="0079485D">
      <w:pPr>
        <w:autoSpaceDE w:val="0"/>
        <w:autoSpaceDN w:val="0"/>
        <w:adjustRightInd w:val="0"/>
        <w:spacing w:line="456" w:lineRule="auto"/>
        <w:ind w:firstLine="748"/>
        <w:jc w:val="both"/>
      </w:pPr>
      <w:r>
        <w:t>Konsep tentang anak nakal Wagiati Soetodjo  penggunaan istilah “</w:t>
      </w:r>
      <w:r>
        <w:rPr>
          <w:i/>
        </w:rPr>
        <w:t>j</w:t>
      </w:r>
      <w:r>
        <w:rPr>
          <w:i/>
          <w:iCs/>
        </w:rPr>
        <w:t>uvenile delinquency</w:t>
      </w:r>
      <w:r>
        <w:t>“ adalah setiap perbuatan atau tingkah laku seseorang anak di bawah umur 18 tahun dan belum kawin yang merupakan pelanggaran terhadap norma-norma hukum yang berlaku serta dapat membahayakan perkembangan pribadi si anak yang bersangkutan.</w:t>
      </w:r>
      <w:r>
        <w:rPr>
          <w:rStyle w:val="FootnoteReference"/>
          <w:rFonts w:eastAsia="Calibri"/>
        </w:rPr>
        <w:footnoteReference w:id="13"/>
      </w:r>
    </w:p>
    <w:p w:rsidR="0079485D" w:rsidRDefault="0079485D" w:rsidP="0079485D">
      <w:pPr>
        <w:autoSpaceDE w:val="0"/>
        <w:autoSpaceDN w:val="0"/>
        <w:adjustRightInd w:val="0"/>
        <w:spacing w:line="480" w:lineRule="auto"/>
        <w:ind w:firstLine="748"/>
        <w:jc w:val="both"/>
      </w:pPr>
      <w:r>
        <w:t xml:space="preserve">Menurut Kartini Kartono bahwa yang dikatakan </w:t>
      </w:r>
      <w:r>
        <w:rPr>
          <w:i/>
        </w:rPr>
        <w:t xml:space="preserve"> juvenile delinquency </w:t>
      </w:r>
      <w:r>
        <w:t xml:space="preserve">adalah  perilaku jahat/dursila atau kejahatan/kenakalan anak-anak muda, merupakan gejala sakit (patologi) secara  sosial pada anak-anak dan remaja yang </w:t>
      </w:r>
      <w:r>
        <w:lastRenderedPageBreak/>
        <w:t>disebabkan oleh suatu bentuk pengabaian sosial sehingga mereka itu mengembangkan bentuk pengabaian tingkat laku yang menyimpang.</w:t>
      </w:r>
      <w:r>
        <w:rPr>
          <w:rStyle w:val="FootnoteReference"/>
          <w:rFonts w:eastAsia="Calibri"/>
        </w:rPr>
        <w:footnoteReference w:id="14"/>
      </w:r>
    </w:p>
    <w:p w:rsidR="0079485D" w:rsidRDefault="0079485D" w:rsidP="0079485D">
      <w:pPr>
        <w:autoSpaceDE w:val="0"/>
        <w:autoSpaceDN w:val="0"/>
        <w:adjustRightInd w:val="0"/>
        <w:spacing w:line="480" w:lineRule="auto"/>
        <w:ind w:firstLine="748"/>
        <w:jc w:val="both"/>
      </w:pPr>
      <w:r>
        <w:t>Romli Atmasasmita dalam Wagiati Soetojdo mengatakan bahwa  tindak pidana anak-anak adalah tindakan yang dilakukan anak-anak yang dianggap bertentangan dengan ketentuan hukum yang berlaku di suatu negara, yang oleh masyarakat dirasakan serta ditafsirkan sebagai perbuatan yang tercela.</w:t>
      </w:r>
      <w:r>
        <w:rPr>
          <w:rStyle w:val="FootnoteReference"/>
          <w:rFonts w:eastAsia="Calibri"/>
        </w:rPr>
        <w:footnoteReference w:id="15"/>
      </w:r>
    </w:p>
    <w:p w:rsidR="0079485D" w:rsidRDefault="0079485D" w:rsidP="0079485D">
      <w:pPr>
        <w:autoSpaceDE w:val="0"/>
        <w:autoSpaceDN w:val="0"/>
        <w:adjustRightInd w:val="0"/>
        <w:spacing w:line="480" w:lineRule="auto"/>
        <w:ind w:firstLine="748"/>
        <w:jc w:val="both"/>
      </w:pPr>
      <w:r>
        <w:t>Sudarsono mengatakan bahwa kenakalan remaja adalah :</w:t>
      </w:r>
    </w:p>
    <w:p w:rsidR="0079485D" w:rsidRDefault="0079485D" w:rsidP="001B1293">
      <w:pPr>
        <w:numPr>
          <w:ilvl w:val="0"/>
          <w:numId w:val="13"/>
        </w:numPr>
        <w:tabs>
          <w:tab w:val="left" w:pos="1134"/>
        </w:tabs>
        <w:ind w:left="1108"/>
        <w:jc w:val="both"/>
      </w:pPr>
      <w:r>
        <w:t xml:space="preserve">Semua perbuatan yang dari orang dewasa merupakan suatu kejahatan bagi anak-anak merupakan kenakalan jadi semua yang dilarang oleh hukum pidana, seperti mencuri, menganiaya dan sebagainya. </w:t>
      </w:r>
    </w:p>
    <w:p w:rsidR="0079485D" w:rsidRDefault="0079485D" w:rsidP="001B1293">
      <w:pPr>
        <w:numPr>
          <w:ilvl w:val="0"/>
          <w:numId w:val="13"/>
        </w:numPr>
        <w:tabs>
          <w:tab w:val="left" w:pos="1134"/>
        </w:tabs>
        <w:ind w:left="1108"/>
        <w:jc w:val="both"/>
      </w:pPr>
      <w:r>
        <w:t xml:space="preserve">Semua perbuatan penyelewengan dari norma kelompok tertentu untuk menimbulkan keonaran dalam masyarakat. </w:t>
      </w:r>
    </w:p>
    <w:p w:rsidR="0079485D" w:rsidRDefault="0079485D" w:rsidP="001B1293">
      <w:pPr>
        <w:numPr>
          <w:ilvl w:val="0"/>
          <w:numId w:val="13"/>
        </w:numPr>
        <w:tabs>
          <w:tab w:val="left" w:pos="1134"/>
        </w:tabs>
        <w:ind w:left="1108"/>
        <w:jc w:val="both"/>
      </w:pPr>
      <w:r>
        <w:t>Semua perbuatan yang menunjukkan kebutuhan perlindungan bagi sosial.</w:t>
      </w:r>
      <w:r>
        <w:rPr>
          <w:rStyle w:val="FootnoteReference"/>
          <w:rFonts w:eastAsia="Calibri"/>
        </w:rPr>
        <w:footnoteReference w:id="16"/>
      </w:r>
    </w:p>
    <w:p w:rsidR="0079485D" w:rsidRDefault="0079485D" w:rsidP="0079485D">
      <w:pPr>
        <w:ind w:left="762"/>
        <w:jc w:val="both"/>
      </w:pPr>
    </w:p>
    <w:p w:rsidR="0079485D" w:rsidRDefault="0079485D" w:rsidP="0079485D">
      <w:pPr>
        <w:spacing w:line="480" w:lineRule="auto"/>
        <w:ind w:firstLine="748"/>
        <w:jc w:val="both"/>
      </w:pPr>
      <w:r>
        <w:t>Adapun gejala-gejala yang dapat memperlihatkan hal-hal yang mengarah kepada kenakalan anak adalah :</w:t>
      </w:r>
    </w:p>
    <w:p w:rsidR="0079485D" w:rsidRDefault="0079485D" w:rsidP="001B1293">
      <w:pPr>
        <w:numPr>
          <w:ilvl w:val="0"/>
          <w:numId w:val="14"/>
        </w:numPr>
        <w:tabs>
          <w:tab w:val="clear" w:pos="720"/>
          <w:tab w:val="left" w:pos="993"/>
        </w:tabs>
        <w:ind w:left="993" w:hanging="284"/>
        <w:jc w:val="both"/>
      </w:pPr>
      <w:r>
        <w:t xml:space="preserve">Anak-anak yang tidak disukai oleh teman-temannya sehingga anak tersebut menyendiri. Anak yang demikian akan dapat menyebabkan kegoncangan emosi. </w:t>
      </w:r>
    </w:p>
    <w:p w:rsidR="0079485D" w:rsidRDefault="0079485D" w:rsidP="001B1293">
      <w:pPr>
        <w:numPr>
          <w:ilvl w:val="0"/>
          <w:numId w:val="14"/>
        </w:numPr>
        <w:tabs>
          <w:tab w:val="clear" w:pos="720"/>
          <w:tab w:val="left" w:pos="993"/>
        </w:tabs>
        <w:ind w:left="993" w:hanging="284"/>
        <w:jc w:val="both"/>
      </w:pPr>
      <w:r>
        <w:t xml:space="preserve">Anak-anak yang sering menghindarkan diri dari tanggung jawab di rumah atau di sekolah. Menghindarkan diri dari tanggung jawab biasanya karena anak tidak menyukai pekerjaan yang ditugaskan pada mereka sehingga mereka menjauhkan diri dari padanya dan mencari kesibukan-kesibukan lain yang tidak terbimbing. </w:t>
      </w:r>
    </w:p>
    <w:p w:rsidR="0079485D" w:rsidRDefault="0079485D" w:rsidP="001B1293">
      <w:pPr>
        <w:numPr>
          <w:ilvl w:val="0"/>
          <w:numId w:val="14"/>
        </w:numPr>
        <w:tabs>
          <w:tab w:val="clear" w:pos="720"/>
          <w:tab w:val="left" w:pos="993"/>
        </w:tabs>
        <w:ind w:left="993" w:hanging="284"/>
        <w:jc w:val="both"/>
      </w:pPr>
      <w:r>
        <w:t xml:space="preserve">Anak-anak yang sering mengeluh dalam arti bahwa mereka mengalami masalah yang oleh dia sendiri tidak sanggup mencari permasalahannya. Anak seperti ini sering terbawa kepada kegoncangan emosi. </w:t>
      </w:r>
    </w:p>
    <w:p w:rsidR="0079485D" w:rsidRDefault="0079485D" w:rsidP="001B1293">
      <w:pPr>
        <w:numPr>
          <w:ilvl w:val="0"/>
          <w:numId w:val="14"/>
        </w:numPr>
        <w:tabs>
          <w:tab w:val="clear" w:pos="720"/>
          <w:tab w:val="left" w:pos="993"/>
        </w:tabs>
        <w:ind w:left="993" w:hanging="284"/>
        <w:jc w:val="both"/>
      </w:pPr>
      <w:r>
        <w:t xml:space="preserve">Anak-anak yang mengalami phobia dan gelisah dalam melewati batas yang berbeda dengan ketakutan anal-anak normal. </w:t>
      </w:r>
    </w:p>
    <w:p w:rsidR="0079485D" w:rsidRDefault="0079485D" w:rsidP="001B1293">
      <w:pPr>
        <w:numPr>
          <w:ilvl w:val="0"/>
          <w:numId w:val="14"/>
        </w:numPr>
        <w:tabs>
          <w:tab w:val="clear" w:pos="720"/>
          <w:tab w:val="left" w:pos="993"/>
        </w:tabs>
        <w:ind w:left="993" w:hanging="284"/>
        <w:jc w:val="both"/>
      </w:pPr>
      <w:r>
        <w:t xml:space="preserve">Anak-anak yang suka berbohong. </w:t>
      </w:r>
    </w:p>
    <w:p w:rsidR="0079485D" w:rsidRDefault="0079485D" w:rsidP="001B1293">
      <w:pPr>
        <w:numPr>
          <w:ilvl w:val="0"/>
          <w:numId w:val="14"/>
        </w:numPr>
        <w:tabs>
          <w:tab w:val="clear" w:pos="720"/>
          <w:tab w:val="left" w:pos="993"/>
        </w:tabs>
        <w:ind w:left="993" w:hanging="284"/>
        <w:jc w:val="both"/>
      </w:pPr>
      <w:r>
        <w:t xml:space="preserve">Anak-anak yang suka menyakiti atau mengganggu teman-temannya di sekolah atau di rumah. </w:t>
      </w:r>
    </w:p>
    <w:p w:rsidR="0079485D" w:rsidRDefault="0079485D" w:rsidP="001B1293">
      <w:pPr>
        <w:numPr>
          <w:ilvl w:val="0"/>
          <w:numId w:val="14"/>
        </w:numPr>
        <w:tabs>
          <w:tab w:val="clear" w:pos="720"/>
          <w:tab w:val="left" w:pos="993"/>
        </w:tabs>
        <w:ind w:left="993" w:hanging="284"/>
        <w:jc w:val="both"/>
      </w:pPr>
      <w:r>
        <w:lastRenderedPageBreak/>
        <w:t xml:space="preserve">Anak-anak yang menyangka bahwa semua guru mereka bersikap tidak baik terhadap mereka dan sengaja menghambat mereka. </w:t>
      </w:r>
    </w:p>
    <w:p w:rsidR="0079485D" w:rsidRDefault="0079485D" w:rsidP="001B1293">
      <w:pPr>
        <w:numPr>
          <w:ilvl w:val="0"/>
          <w:numId w:val="14"/>
        </w:numPr>
        <w:tabs>
          <w:tab w:val="clear" w:pos="720"/>
          <w:tab w:val="left" w:pos="993"/>
        </w:tabs>
        <w:ind w:left="993" w:hanging="284"/>
        <w:jc w:val="both"/>
      </w:pPr>
      <w:r>
        <w:t>Anak-anak yang tidak sanggup memusatkan perhatian.</w:t>
      </w:r>
      <w:r>
        <w:rPr>
          <w:rStyle w:val="FootnoteReference"/>
          <w:rFonts w:eastAsia="Calibri"/>
        </w:rPr>
        <w:footnoteReference w:id="17"/>
      </w:r>
    </w:p>
    <w:p w:rsidR="0079485D" w:rsidRDefault="0079485D" w:rsidP="0079485D">
      <w:pPr>
        <w:autoSpaceDE w:val="0"/>
        <w:autoSpaceDN w:val="0"/>
        <w:adjustRightInd w:val="0"/>
        <w:ind w:left="748"/>
        <w:jc w:val="both"/>
      </w:pPr>
    </w:p>
    <w:p w:rsidR="0079485D" w:rsidRDefault="0079485D" w:rsidP="0079485D">
      <w:pPr>
        <w:autoSpaceDE w:val="0"/>
        <w:autoSpaceDN w:val="0"/>
        <w:adjustRightInd w:val="0"/>
        <w:spacing w:line="480" w:lineRule="auto"/>
        <w:ind w:firstLine="749"/>
        <w:jc w:val="both"/>
      </w:pPr>
      <w:r>
        <w:rPr>
          <w:i/>
        </w:rPr>
        <w:t>Juvenile Delinquency</w:t>
      </w:r>
      <w:r>
        <w:t xml:space="preserve"> adalah suatu tindakan atau perbuatan pelanggaran norma, baik norma hukum maupun norma sosial yang dilakukan anak-anak usia muda.</w:t>
      </w:r>
      <w:r>
        <w:rPr>
          <w:rStyle w:val="FootnoteReference"/>
          <w:rFonts w:eastAsia="Calibri"/>
        </w:rPr>
        <w:footnoteReference w:id="18"/>
      </w:r>
      <w:r>
        <w:t xml:space="preserve"> Kenakalan dalam hal ini adalah suatu perbuatan yang mengandung unsur-unsur perbuatan yang tercela yang dianggap sebagai pelanggaran terhadap hukum, minimal perbuatan tersebut dapat mengganggu ketentraman orang lain atau masyarakat sekitarnya.</w:t>
      </w:r>
    </w:p>
    <w:p w:rsidR="0079485D" w:rsidRDefault="0079485D" w:rsidP="0079485D">
      <w:pPr>
        <w:autoSpaceDE w:val="0"/>
        <w:autoSpaceDN w:val="0"/>
        <w:adjustRightInd w:val="0"/>
        <w:spacing w:line="456" w:lineRule="auto"/>
        <w:ind w:firstLine="749"/>
        <w:jc w:val="both"/>
      </w:pPr>
      <w:r>
        <w:t>Anak sebagai bagian dari generasi muda merupakan penerus cita-cita perjuangan bangsa dan sumber daya manusia bagi pembangunan nasional. Dalam berbagai hal upaya perlindungan terhadap anak dihadapkan pada permasalahan dan tantangan baik yang secara langsung maupun tidak langsung dapat mempengaruhi tingkah laku dan perilaku anak.</w:t>
      </w:r>
    </w:p>
    <w:p w:rsidR="0079485D" w:rsidRDefault="0079485D" w:rsidP="0079485D">
      <w:pPr>
        <w:autoSpaceDE w:val="0"/>
        <w:autoSpaceDN w:val="0"/>
        <w:adjustRightInd w:val="0"/>
        <w:spacing w:line="456" w:lineRule="auto"/>
        <w:ind w:firstLine="749"/>
        <w:jc w:val="both"/>
      </w:pPr>
      <w:r>
        <w:t>Perubahan gaya dan cara hidup sebagian masyarakat, telah membawa perubahan sosial yang mendasar dalam kehidupan bermasyarakat yang tentunya berpengaruh terhadap nilai dan perilaku anak. Selain itu anak yang kurang atau tidak memperoleh kasih sayang, asuhan, bimbingan, dan pembinaan dalam pengembangan sikap, perilaku, penyesuaian diri, serta pengawasan dari orang tua, wali, atau orang tua asuh akan mudah terseret dalam arus pergaulan masyarakat dan lingkungan yang kurang sehat dan merugikan perkembangan pribadinya.</w:t>
      </w:r>
      <w:r>
        <w:rPr>
          <w:rStyle w:val="FootnoteReference"/>
          <w:rFonts w:eastAsia="Calibri"/>
        </w:rPr>
        <w:footnoteReference w:id="19"/>
      </w:r>
    </w:p>
    <w:p w:rsidR="0079485D" w:rsidRDefault="0079485D" w:rsidP="0079485D">
      <w:pPr>
        <w:autoSpaceDE w:val="0"/>
        <w:autoSpaceDN w:val="0"/>
        <w:adjustRightInd w:val="0"/>
        <w:spacing w:line="480" w:lineRule="auto"/>
        <w:ind w:firstLine="749"/>
        <w:jc w:val="both"/>
      </w:pPr>
      <w:r>
        <w:lastRenderedPageBreak/>
        <w:t>Penyimpangan tingkah laku atau perbuatan melanggar hukum yang di lakukan oleh anak disebabkan oleh berbagai faktor. Faktor-faktor tersebut diantaranya:</w:t>
      </w:r>
    </w:p>
    <w:p w:rsidR="0079485D" w:rsidRDefault="0079485D" w:rsidP="001B1293">
      <w:pPr>
        <w:numPr>
          <w:ilvl w:val="7"/>
          <w:numId w:val="15"/>
        </w:numPr>
        <w:tabs>
          <w:tab w:val="num" w:pos="360"/>
        </w:tabs>
        <w:autoSpaceDE w:val="0"/>
        <w:autoSpaceDN w:val="0"/>
        <w:adjustRightInd w:val="0"/>
        <w:spacing w:line="480" w:lineRule="auto"/>
        <w:ind w:left="360"/>
      </w:pPr>
      <w:r>
        <w:t>Adanya dampak negatif dari perkembangan pembangunan</w:t>
      </w:r>
    </w:p>
    <w:p w:rsidR="0079485D" w:rsidRDefault="0079485D" w:rsidP="001B1293">
      <w:pPr>
        <w:numPr>
          <w:ilvl w:val="7"/>
          <w:numId w:val="15"/>
        </w:numPr>
        <w:tabs>
          <w:tab w:val="num" w:pos="-360"/>
        </w:tabs>
        <w:autoSpaceDE w:val="0"/>
        <w:autoSpaceDN w:val="0"/>
        <w:adjustRightInd w:val="0"/>
        <w:spacing w:line="480" w:lineRule="auto"/>
        <w:ind w:left="360"/>
      </w:pPr>
      <w:r>
        <w:t>Arus globalisasi di bidang komunikasi dan informasi</w:t>
      </w:r>
    </w:p>
    <w:p w:rsidR="0079485D" w:rsidRDefault="0079485D" w:rsidP="001B1293">
      <w:pPr>
        <w:numPr>
          <w:ilvl w:val="7"/>
          <w:numId w:val="15"/>
        </w:numPr>
        <w:tabs>
          <w:tab w:val="num" w:pos="-360"/>
        </w:tabs>
        <w:autoSpaceDE w:val="0"/>
        <w:autoSpaceDN w:val="0"/>
        <w:adjustRightInd w:val="0"/>
        <w:spacing w:line="480" w:lineRule="auto"/>
        <w:ind w:left="360"/>
      </w:pPr>
      <w:r>
        <w:t>Kemajuan ilmu pengetahuan dan teknologi.</w:t>
      </w:r>
      <w:r>
        <w:rPr>
          <w:rStyle w:val="FootnoteReference"/>
          <w:rFonts w:eastAsia="Calibri"/>
        </w:rPr>
        <w:footnoteReference w:id="20"/>
      </w:r>
    </w:p>
    <w:p w:rsidR="0079485D" w:rsidRDefault="0079485D" w:rsidP="0079485D">
      <w:pPr>
        <w:pStyle w:val="BodyTextIndent"/>
        <w:ind w:firstLine="720"/>
        <w:rPr>
          <w:snapToGrid w:val="0"/>
        </w:rPr>
      </w:pPr>
      <w:r>
        <w:rPr>
          <w:snapToGrid w:val="0"/>
        </w:rPr>
        <w:t xml:space="preserve">Menurut </w:t>
      </w:r>
      <w:r>
        <w:rPr>
          <w:bCs/>
          <w:snapToGrid w:val="0"/>
        </w:rPr>
        <w:t>Undang-Undang Nomor</w:t>
      </w:r>
      <w:r>
        <w:t xml:space="preserve"> 11 Tahun 2012 Tentang </w:t>
      </w:r>
      <w:r>
        <w:rPr>
          <w:snapToGrid w:val="0"/>
        </w:rPr>
        <w:t>Sistem Peradilan Pidana Anak disebutkan :</w:t>
      </w:r>
    </w:p>
    <w:p w:rsidR="0079485D" w:rsidRDefault="0079485D" w:rsidP="001B1293">
      <w:pPr>
        <w:numPr>
          <w:ilvl w:val="0"/>
          <w:numId w:val="16"/>
        </w:numPr>
        <w:tabs>
          <w:tab w:val="left" w:pos="993"/>
        </w:tabs>
        <w:autoSpaceDE w:val="0"/>
        <w:autoSpaceDN w:val="0"/>
        <w:adjustRightInd w:val="0"/>
        <w:ind w:left="993" w:hanging="426"/>
        <w:jc w:val="both"/>
        <w:rPr>
          <w:color w:val="000000"/>
          <w:lang w:eastAsia="zh-CN"/>
        </w:rPr>
      </w:pPr>
      <w:r>
        <w:rPr>
          <w:color w:val="000000"/>
          <w:lang w:eastAsia="zh-CN"/>
        </w:rPr>
        <w:t xml:space="preserve">Anak adalah keseluruhan proses penyelesaian perkara Anak yang berhadapan dengan hukum, mulai tahap penyelidikan sampai dengan tahap pembimbingan setelah menjalani pidana. </w:t>
      </w:r>
    </w:p>
    <w:p w:rsidR="0079485D" w:rsidRDefault="0079485D" w:rsidP="001B1293">
      <w:pPr>
        <w:numPr>
          <w:ilvl w:val="0"/>
          <w:numId w:val="16"/>
        </w:numPr>
        <w:tabs>
          <w:tab w:val="left" w:pos="993"/>
        </w:tabs>
        <w:autoSpaceDE w:val="0"/>
        <w:autoSpaceDN w:val="0"/>
        <w:adjustRightInd w:val="0"/>
        <w:ind w:left="993" w:hanging="426"/>
        <w:jc w:val="both"/>
        <w:rPr>
          <w:color w:val="000000"/>
          <w:lang w:eastAsia="zh-CN"/>
        </w:rPr>
      </w:pPr>
      <w:r>
        <w:rPr>
          <w:color w:val="000000"/>
          <w:lang w:eastAsia="zh-CN"/>
        </w:rPr>
        <w:t xml:space="preserve">Anak yang Berhadapan dengan Hukum adalah anak yang berkonflik dengan hukum, anak yang menjadi korban tindak pidana, dan anak yang menjadi saksi tindak pidana </w:t>
      </w:r>
    </w:p>
    <w:p w:rsidR="0079485D" w:rsidRDefault="0079485D" w:rsidP="001B1293">
      <w:pPr>
        <w:numPr>
          <w:ilvl w:val="0"/>
          <w:numId w:val="16"/>
        </w:numPr>
        <w:tabs>
          <w:tab w:val="left" w:pos="993"/>
        </w:tabs>
        <w:autoSpaceDE w:val="0"/>
        <w:autoSpaceDN w:val="0"/>
        <w:adjustRightInd w:val="0"/>
        <w:ind w:left="993" w:hanging="426"/>
        <w:jc w:val="both"/>
        <w:rPr>
          <w:color w:val="000000"/>
          <w:lang w:eastAsia="zh-CN"/>
        </w:rPr>
      </w:pPr>
      <w:r>
        <w:rPr>
          <w:color w:val="000000"/>
          <w:lang w:eastAsia="zh-CN"/>
        </w:rPr>
        <w:t xml:space="preserve">Anak yang Berkonflik dengan Hukum yang selanjutnya disebut Anak adalah anak yang telah berumur 12 (dua belas) tahun, tetapi belum berumur 18 (delapan belas) tahun yang diduga melakukan tindak pidana </w:t>
      </w:r>
    </w:p>
    <w:p w:rsidR="0079485D" w:rsidRDefault="0079485D" w:rsidP="001B1293">
      <w:pPr>
        <w:numPr>
          <w:ilvl w:val="0"/>
          <w:numId w:val="16"/>
        </w:numPr>
        <w:tabs>
          <w:tab w:val="left" w:pos="993"/>
        </w:tabs>
        <w:autoSpaceDE w:val="0"/>
        <w:autoSpaceDN w:val="0"/>
        <w:adjustRightInd w:val="0"/>
        <w:ind w:left="993" w:hanging="426"/>
        <w:jc w:val="both"/>
        <w:rPr>
          <w:color w:val="000000"/>
          <w:lang w:eastAsia="zh-CN"/>
        </w:rPr>
      </w:pPr>
      <w:r>
        <w:rPr>
          <w:color w:val="000000"/>
          <w:lang w:eastAsia="zh-CN"/>
        </w:rPr>
        <w:t>Anak yang Menjadi Korban Tindak Pidana yang selanjutnya disebut Anak Korban adalah anak yang belum berumur 18 (delapan belas) tahun yang mengalami penderitaan fisik, mental, dan/atau kerugian ekonomi yang disebabkan oleh tindak pidana.</w:t>
      </w:r>
      <w:r>
        <w:rPr>
          <w:rStyle w:val="FootnoteReference"/>
          <w:rFonts w:eastAsia="Calibri"/>
          <w:color w:val="000000"/>
          <w:lang w:eastAsia="zh-CN"/>
        </w:rPr>
        <w:footnoteReference w:id="21"/>
      </w:r>
    </w:p>
    <w:p w:rsidR="0079485D" w:rsidRDefault="0079485D" w:rsidP="0079485D">
      <w:pPr>
        <w:autoSpaceDE w:val="0"/>
        <w:autoSpaceDN w:val="0"/>
        <w:adjustRightInd w:val="0"/>
        <w:ind w:left="720"/>
        <w:jc w:val="both"/>
        <w:rPr>
          <w:color w:val="000000"/>
          <w:lang w:eastAsia="zh-CN"/>
        </w:rPr>
      </w:pPr>
    </w:p>
    <w:p w:rsidR="0079485D" w:rsidRDefault="0079485D" w:rsidP="0079485D">
      <w:pPr>
        <w:spacing w:line="456" w:lineRule="auto"/>
        <w:ind w:firstLine="720"/>
        <w:jc w:val="both"/>
      </w:pPr>
      <w:r>
        <w:t>Khusus mengenai sanksi terhadap anak dalam undang-undang ini ditentukan berdasarkan perbedaan umur anak, yaitu anak yang masih berumur 8 sampai 12 tahun hanya dikenakan tindakan, sedangkan terhadap anak yang telah mencapai umur 12 sampai 18 tahun dijatuhkan pidana. Pembedaan perlakuan tersebut didasarkan atas pertumbuhan dan perkembangan fisik, mental anak.</w:t>
      </w:r>
    </w:p>
    <w:p w:rsidR="0079485D" w:rsidRDefault="0079485D" w:rsidP="0079485D">
      <w:pPr>
        <w:spacing w:line="456" w:lineRule="auto"/>
        <w:ind w:firstLine="720"/>
        <w:jc w:val="both"/>
      </w:pPr>
      <w:r>
        <w:t xml:space="preserve">Mahkamah Agung Republik Indonesia (MARI) sangat mendorong penggunaan metode </w:t>
      </w:r>
      <w:r>
        <w:rPr>
          <w:i/>
        </w:rPr>
        <w:t>Restorative justice</w:t>
      </w:r>
      <w:r>
        <w:t xml:space="preserve"> dalam peradilan anak. Penerapan prinsip </w:t>
      </w:r>
      <w:r>
        <w:rPr>
          <w:i/>
        </w:rPr>
        <w:lastRenderedPageBreak/>
        <w:t>Restorative justice</w:t>
      </w:r>
      <w:r>
        <w:t xml:space="preserve"> ini agar keseimbangan dalam masyarakat tidak terganggu, sehingga gangguan kepentingan pelapor, korban dan masyarakat itu terpenuhi.</w:t>
      </w:r>
      <w:r>
        <w:rPr>
          <w:rStyle w:val="FootnoteReference"/>
          <w:rFonts w:eastAsia="Calibri"/>
        </w:rPr>
        <w:footnoteReference w:id="22"/>
      </w:r>
      <w:r>
        <w:rPr>
          <w:lang w:val="sv-SE"/>
        </w:rPr>
        <w:t xml:space="preserve">Manfaat </w:t>
      </w:r>
      <w:r>
        <w:rPr>
          <w:i/>
        </w:rPr>
        <w:t>Restorative justice</w:t>
      </w:r>
      <w:r>
        <w:rPr>
          <w:lang w:val="sv-SE"/>
        </w:rPr>
        <w:t xml:space="preserve"> antara lain untuk meningkatkan keterlibatan masyarakat dan kesadaran publik dalam upaya menyelesaikan persoalan anak yang bermasalah dengan hukum, membuat pelaku bertanggung jawab atas tindakannya dan membuat pelaku memahami dampak atas tindakannya serta berusaha memperbaiki kerusakan yang telah dilakukan, membantu meminimalkan tingkat kejahatan karena tujuan utama </w:t>
      </w:r>
      <w:r>
        <w:rPr>
          <w:i/>
        </w:rPr>
        <w:t>Restorative justice</w:t>
      </w:r>
      <w:r>
        <w:rPr>
          <w:lang w:val="sv-SE"/>
        </w:rPr>
        <w:t xml:space="preserve"> adalah pemulihan sedangkan pembalasan adalah tujuan kedua.</w:t>
      </w:r>
      <w:r>
        <w:rPr>
          <w:rStyle w:val="FootnoteReference"/>
          <w:rFonts w:eastAsia="Calibri"/>
          <w:lang w:val="sv-SE"/>
        </w:rPr>
        <w:footnoteReference w:id="23"/>
      </w:r>
    </w:p>
    <w:p w:rsidR="0079485D" w:rsidRDefault="0079485D" w:rsidP="0079485D">
      <w:r>
        <w:rPr>
          <w:i/>
        </w:rPr>
        <w:t>Restorative justice</w:t>
      </w:r>
      <w:r>
        <w:t xml:space="preserve"> adalah suatu proses ketika semua pihak yang berhubungan dengan </w:t>
      </w:r>
      <w:r>
        <w:rPr>
          <w:i/>
          <w:iCs/>
        </w:rPr>
        <w:t>tindak pidana tertentu</w:t>
      </w:r>
      <w:r>
        <w:t xml:space="preserve">, duduk bersama-sama untuk memecahkan masalah dan memikirkan bagaimana mengatasi akibat dimasa mendatang. </w:t>
      </w:r>
    </w:p>
    <w:p w:rsidR="00CE7FEB" w:rsidRPr="0079485D" w:rsidRDefault="00CE7FEB" w:rsidP="0079485D">
      <w:bookmarkStart w:id="0" w:name="_GoBack"/>
      <w:bookmarkEnd w:id="0"/>
    </w:p>
    <w:sectPr w:rsidR="00CE7FEB" w:rsidRPr="0079485D"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240" w:rsidRDefault="00AE6240" w:rsidP="002D79FF">
      <w:r>
        <w:separator/>
      </w:r>
    </w:p>
  </w:endnote>
  <w:endnote w:type="continuationSeparator" w:id="1">
    <w:p w:rsidR="00AE6240" w:rsidRDefault="00AE6240"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E6240">
    <w:pPr>
      <w:pStyle w:val="Footer"/>
      <w:jc w:val="center"/>
    </w:pPr>
  </w:p>
  <w:p w:rsidR="00630637" w:rsidRDefault="00AE62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240" w:rsidRDefault="00AE6240" w:rsidP="002D79FF">
      <w:r>
        <w:separator/>
      </w:r>
    </w:p>
  </w:footnote>
  <w:footnote w:type="continuationSeparator" w:id="1">
    <w:p w:rsidR="00AE6240" w:rsidRDefault="00AE6240" w:rsidP="002D79FF">
      <w:r>
        <w:continuationSeparator/>
      </w:r>
    </w:p>
  </w:footnote>
  <w:footnote w:id="2">
    <w:p w:rsidR="0079485D" w:rsidRDefault="0079485D" w:rsidP="0079485D">
      <w:pPr>
        <w:pStyle w:val="FootnoteText"/>
        <w:ind w:firstLine="709"/>
        <w:jc w:val="both"/>
      </w:pPr>
      <w:r>
        <w:rPr>
          <w:rStyle w:val="FootnoteReference"/>
          <w:rFonts w:eastAsia="Calibri"/>
        </w:rPr>
        <w:footnoteRef/>
      </w:r>
      <w:r>
        <w:rPr>
          <w:i/>
        </w:rPr>
        <w:t>Ibid</w:t>
      </w:r>
      <w:r>
        <w:t>, h. 21</w:t>
      </w:r>
    </w:p>
  </w:footnote>
  <w:footnote w:id="3">
    <w:p w:rsidR="0079485D" w:rsidRDefault="0079485D" w:rsidP="0079485D">
      <w:pPr>
        <w:autoSpaceDE w:val="0"/>
        <w:autoSpaceDN w:val="0"/>
        <w:adjustRightInd w:val="0"/>
        <w:ind w:firstLine="720"/>
        <w:jc w:val="both"/>
        <w:rPr>
          <w:sz w:val="20"/>
          <w:szCs w:val="20"/>
        </w:rPr>
      </w:pPr>
      <w:r>
        <w:rPr>
          <w:rStyle w:val="FootnoteReference"/>
          <w:rFonts w:eastAsia="Calibri"/>
          <w:sz w:val="20"/>
          <w:szCs w:val="20"/>
        </w:rPr>
        <w:footnoteRef/>
      </w:r>
      <w:r>
        <w:rPr>
          <w:sz w:val="20"/>
          <w:szCs w:val="20"/>
        </w:rPr>
        <w:t xml:space="preserve"> Soerjono Soekanto,  </w:t>
      </w:r>
      <w:r>
        <w:rPr>
          <w:i/>
          <w:iCs/>
          <w:sz w:val="20"/>
          <w:szCs w:val="20"/>
        </w:rPr>
        <w:t>Polisi dan Lalu Lintas (Analisis Menurut Sosiologi Hukum,</w:t>
      </w:r>
      <w:r>
        <w:rPr>
          <w:sz w:val="20"/>
          <w:szCs w:val="20"/>
        </w:rPr>
        <w:t xml:space="preserve"> Mandar Maju, Bandung, 2000, h. 20.</w:t>
      </w:r>
    </w:p>
  </w:footnote>
  <w:footnote w:id="4">
    <w:p w:rsidR="0079485D" w:rsidRDefault="0079485D" w:rsidP="0079485D">
      <w:pPr>
        <w:pStyle w:val="FootnoteText"/>
        <w:ind w:firstLine="720"/>
        <w:jc w:val="both"/>
      </w:pPr>
      <w:r>
        <w:rPr>
          <w:rStyle w:val="FootnoteReference"/>
          <w:rFonts w:eastAsia="Calibri"/>
        </w:rPr>
        <w:footnoteRef/>
      </w:r>
      <w:r>
        <w:rPr>
          <w:i/>
        </w:rPr>
        <w:t>Ibid</w:t>
      </w:r>
      <w:r>
        <w:t>, h. 21</w:t>
      </w:r>
    </w:p>
  </w:footnote>
  <w:footnote w:id="5">
    <w:p w:rsidR="0079485D" w:rsidRDefault="0079485D" w:rsidP="0079485D">
      <w:pPr>
        <w:pStyle w:val="FootnoteText"/>
        <w:ind w:firstLine="720"/>
        <w:jc w:val="both"/>
      </w:pPr>
      <w:r>
        <w:rPr>
          <w:rStyle w:val="FootnoteReference"/>
          <w:rFonts w:eastAsia="Calibri"/>
        </w:rPr>
        <w:footnoteRef/>
      </w:r>
      <w:r>
        <w:t xml:space="preserve"> Mahrus Ali, </w:t>
      </w:r>
      <w:r>
        <w:rPr>
          <w:i/>
          <w:iCs/>
        </w:rPr>
        <w:t>Op. Cit</w:t>
      </w:r>
      <w:r>
        <w:t>, h.65</w:t>
      </w:r>
    </w:p>
  </w:footnote>
  <w:footnote w:id="6">
    <w:p w:rsidR="0079485D" w:rsidRDefault="0079485D" w:rsidP="0079485D">
      <w:pPr>
        <w:pStyle w:val="FootnoteText"/>
        <w:ind w:firstLine="720"/>
        <w:jc w:val="both"/>
      </w:pPr>
      <w:r>
        <w:rPr>
          <w:rStyle w:val="FootnoteReference"/>
          <w:rFonts w:eastAsia="Calibri"/>
        </w:rPr>
        <w:footnoteRef/>
      </w:r>
      <w:r>
        <w:rPr>
          <w:i/>
        </w:rPr>
        <w:t>Ibid</w:t>
      </w:r>
      <w:r>
        <w:t>, h.67.</w:t>
      </w:r>
    </w:p>
  </w:footnote>
  <w:footnote w:id="7">
    <w:p w:rsidR="0079485D" w:rsidRDefault="0079485D" w:rsidP="0079485D">
      <w:pPr>
        <w:pStyle w:val="FootnoteText"/>
        <w:ind w:firstLine="720"/>
        <w:jc w:val="both"/>
      </w:pPr>
      <w:r>
        <w:rPr>
          <w:rStyle w:val="FootnoteReference"/>
          <w:rFonts w:eastAsia="Calibri"/>
        </w:rPr>
        <w:footnoteRef/>
      </w:r>
      <w:r>
        <w:t xml:space="preserve">Rita Mawarni, </w:t>
      </w:r>
      <w:r>
        <w:rPr>
          <w:i/>
          <w:iCs/>
        </w:rPr>
        <w:t>Ilmu Kedokteran Kehakiman</w:t>
      </w:r>
      <w:r>
        <w:t xml:space="preserve">, Fakultas Hukum Universitas Sumatera Utara, Medan, 2012,  h. 2.  </w:t>
      </w:r>
    </w:p>
  </w:footnote>
  <w:footnote w:id="8">
    <w:p w:rsidR="0079485D" w:rsidRDefault="0079485D" w:rsidP="0079485D">
      <w:pPr>
        <w:pStyle w:val="FootnoteText"/>
        <w:ind w:firstLine="720"/>
        <w:jc w:val="both"/>
      </w:pPr>
      <w:r>
        <w:rPr>
          <w:rStyle w:val="FootnoteReference"/>
          <w:rFonts w:eastAsia="Calibri"/>
        </w:rPr>
        <w:footnoteRef/>
      </w:r>
      <w:r>
        <w:t xml:space="preserve"> Teguh Prasetyo, </w:t>
      </w:r>
      <w:r>
        <w:rPr>
          <w:i/>
          <w:iCs/>
        </w:rPr>
        <w:t>Hukum Pidana</w:t>
      </w:r>
      <w:r>
        <w:t>, Raja Grafindo Persada, Jakarta, 2003, h.42.</w:t>
      </w:r>
    </w:p>
  </w:footnote>
  <w:footnote w:id="9">
    <w:p w:rsidR="0079485D" w:rsidRDefault="0079485D" w:rsidP="0079485D">
      <w:pPr>
        <w:autoSpaceDE w:val="0"/>
        <w:autoSpaceDN w:val="0"/>
        <w:adjustRightInd w:val="0"/>
        <w:ind w:firstLine="720"/>
        <w:jc w:val="both"/>
        <w:rPr>
          <w:sz w:val="20"/>
          <w:szCs w:val="20"/>
        </w:rPr>
      </w:pPr>
      <w:r>
        <w:rPr>
          <w:rStyle w:val="FootnoteReference"/>
          <w:rFonts w:eastAsia="Calibri"/>
          <w:sz w:val="20"/>
          <w:szCs w:val="20"/>
        </w:rPr>
        <w:footnoteRef/>
      </w:r>
      <w:r>
        <w:rPr>
          <w:sz w:val="20"/>
          <w:szCs w:val="20"/>
        </w:rPr>
        <w:t xml:space="preserve"> Junaedi Maskat, </w:t>
      </w:r>
      <w:r>
        <w:rPr>
          <w:i/>
          <w:iCs/>
          <w:sz w:val="20"/>
          <w:szCs w:val="20"/>
        </w:rPr>
        <w:t>Pengetahuan Praktek Berlalu Lintas di Jalan Raya</w:t>
      </w:r>
      <w:r>
        <w:rPr>
          <w:sz w:val="20"/>
          <w:szCs w:val="20"/>
        </w:rPr>
        <w:t>, Sibaya, Bandung, 2009, h. 109.</w:t>
      </w:r>
    </w:p>
  </w:footnote>
  <w:footnote w:id="10">
    <w:p w:rsidR="0079485D" w:rsidRDefault="0079485D" w:rsidP="0079485D">
      <w:pPr>
        <w:pStyle w:val="FootnoteText"/>
        <w:ind w:firstLine="720"/>
        <w:jc w:val="both"/>
      </w:pPr>
      <w:r>
        <w:rPr>
          <w:rStyle w:val="FootnoteReference"/>
          <w:rFonts w:eastAsia="Calibri"/>
        </w:rPr>
        <w:footnoteRef/>
      </w:r>
      <w:r>
        <w:t xml:space="preserve"> SR. Sianturi, </w:t>
      </w:r>
      <w:r>
        <w:rPr>
          <w:i/>
        </w:rPr>
        <w:t>Op. Cit</w:t>
      </w:r>
      <w:r>
        <w:t>., h. 128..</w:t>
      </w:r>
    </w:p>
  </w:footnote>
  <w:footnote w:id="11">
    <w:p w:rsidR="0079485D" w:rsidRDefault="0079485D" w:rsidP="0079485D">
      <w:pPr>
        <w:autoSpaceDE w:val="0"/>
        <w:autoSpaceDN w:val="0"/>
        <w:adjustRightInd w:val="0"/>
        <w:ind w:firstLine="709"/>
        <w:jc w:val="both"/>
        <w:rPr>
          <w:sz w:val="20"/>
          <w:szCs w:val="20"/>
        </w:rPr>
      </w:pPr>
      <w:r>
        <w:rPr>
          <w:rStyle w:val="FootnoteReference"/>
          <w:rFonts w:eastAsia="Calibri"/>
          <w:sz w:val="20"/>
          <w:szCs w:val="20"/>
        </w:rPr>
        <w:footnoteRef/>
      </w:r>
      <w:r>
        <w:rPr>
          <w:sz w:val="20"/>
          <w:szCs w:val="20"/>
        </w:rPr>
        <w:t xml:space="preserve">Paulus Hadisuprapto, </w:t>
      </w:r>
      <w:r>
        <w:rPr>
          <w:i/>
          <w:sz w:val="20"/>
          <w:szCs w:val="20"/>
        </w:rPr>
        <w:t xml:space="preserve">Delinkuensi Anak, Pemahamanan dan Penanggulangan, </w:t>
      </w:r>
      <w:r>
        <w:rPr>
          <w:sz w:val="20"/>
          <w:szCs w:val="20"/>
        </w:rPr>
        <w:t>Bayumedia, Jakarta, 2018, h.15.</w:t>
      </w:r>
    </w:p>
  </w:footnote>
  <w:footnote w:id="12">
    <w:p w:rsidR="0079485D" w:rsidRDefault="0079485D" w:rsidP="0079485D">
      <w:pPr>
        <w:pStyle w:val="FootnoteText"/>
        <w:ind w:firstLine="709"/>
        <w:jc w:val="both"/>
      </w:pPr>
      <w:r>
        <w:rPr>
          <w:rStyle w:val="FootnoteReference"/>
          <w:rFonts w:eastAsia="Calibri"/>
        </w:rPr>
        <w:footnoteRef/>
      </w:r>
      <w:r>
        <w:rPr>
          <w:i/>
        </w:rPr>
        <w:t xml:space="preserve">Ibid, </w:t>
      </w:r>
      <w:r>
        <w:t xml:space="preserve"> h.6</w:t>
      </w:r>
    </w:p>
  </w:footnote>
  <w:footnote w:id="13">
    <w:p w:rsidR="0079485D" w:rsidRDefault="0079485D" w:rsidP="0079485D">
      <w:pPr>
        <w:pStyle w:val="FootnoteText"/>
        <w:ind w:firstLine="709"/>
        <w:jc w:val="both"/>
      </w:pPr>
      <w:r>
        <w:rPr>
          <w:rStyle w:val="FootnoteReference"/>
          <w:rFonts w:eastAsia="Calibri"/>
        </w:rPr>
        <w:footnoteRef/>
      </w:r>
      <w:r>
        <w:t xml:space="preserve"> Wagiati Soetojdo.</w:t>
      </w:r>
      <w:r>
        <w:rPr>
          <w:i/>
          <w:iCs/>
          <w:snapToGrid w:val="0"/>
        </w:rPr>
        <w:t xml:space="preserve"> Hukum Pidana Anak</w:t>
      </w:r>
      <w:r>
        <w:rPr>
          <w:snapToGrid w:val="0"/>
        </w:rPr>
        <w:t>, Refika Aditama, Jakarta, 2015</w:t>
      </w:r>
      <w:r>
        <w:t>, h.11</w:t>
      </w:r>
    </w:p>
  </w:footnote>
  <w:footnote w:id="14">
    <w:p w:rsidR="0079485D" w:rsidRDefault="0079485D" w:rsidP="0079485D">
      <w:pPr>
        <w:pStyle w:val="FootnoteText"/>
        <w:ind w:firstLine="709"/>
        <w:jc w:val="both"/>
      </w:pPr>
      <w:r>
        <w:rPr>
          <w:rStyle w:val="FootnoteReference"/>
          <w:rFonts w:eastAsia="Calibri"/>
        </w:rPr>
        <w:footnoteRef/>
      </w:r>
      <w:r>
        <w:t xml:space="preserve"> Kartini Kartono, </w:t>
      </w:r>
      <w:r>
        <w:rPr>
          <w:i/>
        </w:rPr>
        <w:t>Patologi Sosial 2, Kenakalan Remaja</w:t>
      </w:r>
      <w:r>
        <w:t>, Rajawali, Jakarta, 2016, h.10</w:t>
      </w:r>
    </w:p>
  </w:footnote>
  <w:footnote w:id="15">
    <w:p w:rsidR="0079485D" w:rsidRDefault="0079485D" w:rsidP="0079485D">
      <w:pPr>
        <w:pStyle w:val="FootnoteText"/>
        <w:ind w:firstLine="709"/>
        <w:jc w:val="both"/>
      </w:pPr>
      <w:r>
        <w:rPr>
          <w:rStyle w:val="FootnoteReference"/>
          <w:rFonts w:eastAsia="Calibri"/>
        </w:rPr>
        <w:footnoteRef/>
      </w:r>
      <w:r>
        <w:rPr>
          <w:i/>
        </w:rPr>
        <w:t>Ibid</w:t>
      </w:r>
      <w:r>
        <w:t>. h. 9-10</w:t>
      </w:r>
    </w:p>
  </w:footnote>
  <w:footnote w:id="16">
    <w:p w:rsidR="0079485D" w:rsidRDefault="0079485D" w:rsidP="0079485D">
      <w:pPr>
        <w:pStyle w:val="FootnoteText"/>
        <w:ind w:firstLine="709"/>
        <w:jc w:val="both"/>
      </w:pPr>
      <w:r>
        <w:rPr>
          <w:rStyle w:val="FootnoteReference"/>
          <w:rFonts w:eastAsia="Calibri"/>
        </w:rPr>
        <w:footnoteRef/>
      </w:r>
      <w:r>
        <w:t xml:space="preserve"> Sudarsono, </w:t>
      </w:r>
      <w:r>
        <w:rPr>
          <w:i/>
          <w:iCs/>
        </w:rPr>
        <w:t>Kenakalan Remaja</w:t>
      </w:r>
      <w:r>
        <w:t xml:space="preserve">, PT. Rineka Cipta, Jakarta, 2011,  h.11  </w:t>
      </w:r>
    </w:p>
  </w:footnote>
  <w:footnote w:id="17">
    <w:p w:rsidR="0079485D" w:rsidRDefault="0079485D" w:rsidP="0079485D">
      <w:pPr>
        <w:pStyle w:val="FootnoteText"/>
        <w:ind w:firstLine="709"/>
        <w:jc w:val="both"/>
      </w:pPr>
      <w:r>
        <w:rPr>
          <w:rStyle w:val="FootnoteReference"/>
          <w:rFonts w:eastAsia="Calibri"/>
        </w:rPr>
        <w:footnoteRef/>
      </w:r>
      <w:r>
        <w:rPr>
          <w:i/>
        </w:rPr>
        <w:t>Ibid</w:t>
      </w:r>
      <w:r>
        <w:t>, h. 12</w:t>
      </w:r>
    </w:p>
  </w:footnote>
  <w:footnote w:id="18">
    <w:p w:rsidR="0079485D" w:rsidRDefault="0079485D" w:rsidP="0079485D">
      <w:pPr>
        <w:pStyle w:val="FootnoteText"/>
        <w:ind w:firstLine="709"/>
        <w:jc w:val="both"/>
      </w:pPr>
      <w:r>
        <w:rPr>
          <w:rStyle w:val="FootnoteReference"/>
          <w:rFonts w:eastAsia="Calibri"/>
        </w:rPr>
        <w:footnoteRef/>
      </w:r>
      <w:r>
        <w:t xml:space="preserve"> Wagiati Soetojdo.</w:t>
      </w:r>
      <w:r>
        <w:rPr>
          <w:i/>
        </w:rPr>
        <w:t>Op.Cit.</w:t>
      </w:r>
      <w:r>
        <w:t xml:space="preserve"> h. 11</w:t>
      </w:r>
    </w:p>
  </w:footnote>
  <w:footnote w:id="19">
    <w:p w:rsidR="0079485D" w:rsidRDefault="0079485D" w:rsidP="0079485D">
      <w:pPr>
        <w:pStyle w:val="FootnoteText"/>
        <w:ind w:firstLine="709"/>
      </w:pPr>
      <w:r>
        <w:rPr>
          <w:rStyle w:val="FootnoteReference"/>
          <w:rFonts w:eastAsia="Calibri"/>
        </w:rPr>
        <w:footnoteRef/>
      </w:r>
      <w:r>
        <w:rPr>
          <w:i/>
        </w:rPr>
        <w:t>Ibid</w:t>
      </w:r>
      <w:r>
        <w:t>, h.13</w:t>
      </w:r>
    </w:p>
  </w:footnote>
  <w:footnote w:id="20">
    <w:p w:rsidR="0079485D" w:rsidRDefault="0079485D" w:rsidP="0079485D">
      <w:pPr>
        <w:pStyle w:val="FootnoteText"/>
        <w:ind w:firstLine="709"/>
        <w:jc w:val="both"/>
      </w:pPr>
      <w:r>
        <w:rPr>
          <w:rStyle w:val="FootnoteReference"/>
          <w:rFonts w:eastAsia="Calibri"/>
        </w:rPr>
        <w:footnoteRef/>
      </w:r>
      <w:r>
        <w:rPr>
          <w:i/>
        </w:rPr>
        <w:t>Ibid</w:t>
      </w:r>
      <w:r>
        <w:t>, h.15</w:t>
      </w:r>
    </w:p>
  </w:footnote>
  <w:footnote w:id="21">
    <w:p w:rsidR="0079485D" w:rsidRDefault="0079485D" w:rsidP="0079485D">
      <w:pPr>
        <w:pStyle w:val="FootnoteText"/>
        <w:ind w:firstLine="709"/>
        <w:jc w:val="both"/>
      </w:pPr>
      <w:r>
        <w:rPr>
          <w:rStyle w:val="FootnoteReference"/>
          <w:rFonts w:eastAsia="Calibri"/>
        </w:rPr>
        <w:footnoteRef/>
      </w:r>
      <w:r>
        <w:t xml:space="preserve"> Pasal 1 </w:t>
      </w:r>
      <w:r>
        <w:rPr>
          <w:snapToGrid w:val="0"/>
        </w:rPr>
        <w:t>Undang-Undang Nomor</w:t>
      </w:r>
      <w:r>
        <w:t xml:space="preserve"> 11 Tahun 2012 Tentang </w:t>
      </w:r>
      <w:r>
        <w:rPr>
          <w:snapToGrid w:val="0"/>
        </w:rPr>
        <w:t>Sistem Peradilan Pidana Anak</w:t>
      </w:r>
    </w:p>
  </w:footnote>
  <w:footnote w:id="22">
    <w:p w:rsidR="0079485D" w:rsidRDefault="0079485D" w:rsidP="0079485D">
      <w:pPr>
        <w:pStyle w:val="FootnoteText"/>
        <w:ind w:firstLine="709"/>
        <w:jc w:val="both"/>
      </w:pPr>
      <w:r>
        <w:rPr>
          <w:rStyle w:val="FootnoteReference"/>
          <w:rFonts w:eastAsia="Calibri"/>
        </w:rPr>
        <w:footnoteRef/>
      </w:r>
      <w:r>
        <w:rPr>
          <w:color w:val="000000"/>
        </w:rPr>
        <w:t xml:space="preserve">Marlina, </w:t>
      </w:r>
      <w:r>
        <w:rPr>
          <w:i/>
          <w:iCs/>
          <w:color w:val="000000"/>
        </w:rPr>
        <w:t xml:space="preserve">Penerapan Konsep Diversi Terhadap Anak Pelaku Tindak Pidana dalam Sistem Peradilan Pidana Anak, </w:t>
      </w:r>
      <w:r>
        <w:rPr>
          <w:color w:val="000000"/>
        </w:rPr>
        <w:t> Jurnal Equality, Jakarta, 2018, h. 9</w:t>
      </w:r>
    </w:p>
  </w:footnote>
  <w:footnote w:id="23">
    <w:p w:rsidR="0079485D" w:rsidRDefault="0079485D" w:rsidP="0079485D">
      <w:pPr>
        <w:pStyle w:val="FootnoteText"/>
        <w:ind w:firstLine="709"/>
        <w:jc w:val="both"/>
      </w:pPr>
      <w:r>
        <w:rPr>
          <w:rStyle w:val="FootnoteReference"/>
          <w:rFonts w:eastAsia="Calibri"/>
        </w:rPr>
        <w:footnoteRef/>
      </w:r>
      <w:r>
        <w:rPr>
          <w:i/>
          <w:color w:val="000000"/>
        </w:rPr>
        <w:t xml:space="preserve">Ibid, </w:t>
      </w:r>
      <w:r>
        <w:rPr>
          <w:color w:val="000000"/>
        </w:rPr>
        <w:t xml:space="preserve"> h.10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E6240">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AE62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2114"/>
    <w:multiLevelType w:val="hybridMultilevel"/>
    <w:tmpl w:val="C736D6F6"/>
    <w:lvl w:ilvl="0" w:tplc="260859FA">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544E43"/>
    <w:multiLevelType w:val="multilevel"/>
    <w:tmpl w:val="836099B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rPr>
        <w:rFonts w:ascii="Times New Roman" w:eastAsia="Times New Roman" w:hAnsi="Times New Roman" w:cs="Times New Roman"/>
      </w:rPr>
    </w:lvl>
    <w:lvl w:ilvl="8">
      <w:start w:val="1"/>
      <w:numFmt w:val="lowerRoman"/>
      <w:lvlText w:val="%9."/>
      <w:lvlJc w:val="right"/>
      <w:pPr>
        <w:tabs>
          <w:tab w:val="num" w:pos="6120"/>
        </w:tabs>
        <w:ind w:left="6120" w:hanging="180"/>
      </w:pPr>
    </w:lvl>
  </w:abstractNum>
  <w:abstractNum w:abstractNumId="2">
    <w:nsid w:val="0CEA176E"/>
    <w:multiLevelType w:val="hybridMultilevel"/>
    <w:tmpl w:val="DB7A7E78"/>
    <w:lvl w:ilvl="0" w:tplc="5B401B90">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
    <w:nsid w:val="0DF80D3B"/>
    <w:multiLevelType w:val="hybridMultilevel"/>
    <w:tmpl w:val="880E0132"/>
    <w:lvl w:ilvl="0" w:tplc="3809000F">
      <w:start w:val="1"/>
      <w:numFmt w:val="decimal"/>
      <w:lvlText w:val="%1."/>
      <w:lvlJc w:val="left"/>
      <w:pPr>
        <w:ind w:left="2880" w:hanging="360"/>
      </w:pPr>
    </w:lvl>
    <w:lvl w:ilvl="1" w:tplc="38090019">
      <w:start w:val="1"/>
      <w:numFmt w:val="lowerLetter"/>
      <w:lvlText w:val="%2."/>
      <w:lvlJc w:val="left"/>
      <w:pPr>
        <w:ind w:left="3600" w:hanging="360"/>
      </w:pPr>
    </w:lvl>
    <w:lvl w:ilvl="2" w:tplc="3809001B">
      <w:start w:val="1"/>
      <w:numFmt w:val="lowerRoman"/>
      <w:lvlText w:val="%3."/>
      <w:lvlJc w:val="right"/>
      <w:pPr>
        <w:ind w:left="4320" w:hanging="180"/>
      </w:pPr>
    </w:lvl>
    <w:lvl w:ilvl="3" w:tplc="3809000F">
      <w:start w:val="1"/>
      <w:numFmt w:val="decimal"/>
      <w:lvlText w:val="%4."/>
      <w:lvlJc w:val="left"/>
      <w:pPr>
        <w:ind w:left="5040" w:hanging="360"/>
      </w:pPr>
    </w:lvl>
    <w:lvl w:ilvl="4" w:tplc="38090019">
      <w:start w:val="1"/>
      <w:numFmt w:val="lowerLetter"/>
      <w:lvlText w:val="%5."/>
      <w:lvlJc w:val="left"/>
      <w:pPr>
        <w:ind w:left="5760" w:hanging="360"/>
      </w:pPr>
    </w:lvl>
    <w:lvl w:ilvl="5" w:tplc="3809001B">
      <w:start w:val="1"/>
      <w:numFmt w:val="lowerRoman"/>
      <w:lvlText w:val="%6."/>
      <w:lvlJc w:val="right"/>
      <w:pPr>
        <w:ind w:left="6480" w:hanging="180"/>
      </w:pPr>
    </w:lvl>
    <w:lvl w:ilvl="6" w:tplc="3809000F">
      <w:start w:val="1"/>
      <w:numFmt w:val="decimal"/>
      <w:lvlText w:val="%7."/>
      <w:lvlJc w:val="left"/>
      <w:pPr>
        <w:ind w:left="7200" w:hanging="360"/>
      </w:pPr>
    </w:lvl>
    <w:lvl w:ilvl="7" w:tplc="38090019">
      <w:start w:val="1"/>
      <w:numFmt w:val="lowerLetter"/>
      <w:lvlText w:val="%8."/>
      <w:lvlJc w:val="left"/>
      <w:pPr>
        <w:ind w:left="7920" w:hanging="360"/>
      </w:pPr>
    </w:lvl>
    <w:lvl w:ilvl="8" w:tplc="3809001B">
      <w:start w:val="1"/>
      <w:numFmt w:val="lowerRoman"/>
      <w:lvlText w:val="%9."/>
      <w:lvlJc w:val="right"/>
      <w:pPr>
        <w:ind w:left="8640" w:hanging="180"/>
      </w:pPr>
    </w:lvl>
  </w:abstractNum>
  <w:abstractNum w:abstractNumId="4">
    <w:nsid w:val="13C653CF"/>
    <w:multiLevelType w:val="hybridMultilevel"/>
    <w:tmpl w:val="EB42D802"/>
    <w:lvl w:ilvl="0" w:tplc="C8A2A1B2">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C449EA"/>
    <w:multiLevelType w:val="hybridMultilevel"/>
    <w:tmpl w:val="2B9A3218"/>
    <w:lvl w:ilvl="0" w:tplc="A70600DA">
      <w:start w:val="1"/>
      <w:numFmt w:val="decimal"/>
      <w:lvlText w:val="%1)"/>
      <w:lvlJc w:val="left"/>
      <w:pPr>
        <w:ind w:left="720" w:hanging="360"/>
      </w:pPr>
      <w:rPr>
        <w:rFonts w:ascii="Arial" w:eastAsia="Times New Roman" w:hAnsi="Arial" w:cs="Arial"/>
      </w:rPr>
    </w:lvl>
    <w:lvl w:ilvl="1" w:tplc="C8A2A1B2">
      <w:start w:val="1"/>
      <w:numFmt w:val="decimal"/>
      <w:lvlText w:val="(%2)"/>
      <w:lvlJc w:val="left"/>
      <w:pPr>
        <w:ind w:left="1440" w:hanging="360"/>
      </w:pPr>
    </w:lvl>
    <w:lvl w:ilvl="2" w:tplc="88F47EF6">
      <w:start w:val="3"/>
      <w:numFmt w:val="decimal"/>
      <w:lvlText w:val="%3"/>
      <w:lvlJc w:val="left"/>
      <w:pPr>
        <w:ind w:left="2340" w:hanging="360"/>
      </w:pPr>
      <w:rPr>
        <w:b/>
      </w:rPr>
    </w:lvl>
    <w:lvl w:ilvl="3" w:tplc="F67451C6">
      <w:start w:val="1"/>
      <w:numFmt w:val="decimal"/>
      <w:lvlText w:val="%4."/>
      <w:lvlJc w:val="left"/>
      <w:pPr>
        <w:ind w:left="2880" w:hanging="360"/>
      </w:pPr>
      <w:rPr>
        <w:rFonts w:ascii="Arial" w:hAnsi="Arial" w:cs="Arial" w:hint="default"/>
        <w:color w:val="auto"/>
      </w:rPr>
    </w:lvl>
    <w:lvl w:ilvl="4" w:tplc="33AA5250">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F578FB"/>
    <w:multiLevelType w:val="hybridMultilevel"/>
    <w:tmpl w:val="BD56FBAE"/>
    <w:lvl w:ilvl="0" w:tplc="3A80B36E">
      <w:start w:val="1"/>
      <w:numFmt w:val="decimal"/>
      <w:lvlText w:val="%1)"/>
      <w:lvlJc w:val="left"/>
      <w:pPr>
        <w:tabs>
          <w:tab w:val="num" w:pos="1388"/>
        </w:tabs>
        <w:ind w:left="1388" w:hanging="360"/>
      </w:pPr>
      <w:rPr>
        <w:rFonts w:ascii="Times New Roman" w:eastAsia="Times New Roman" w:hAnsi="Times New Roman" w:cs="Times New Roman" w:hint="default"/>
      </w:rPr>
    </w:lvl>
    <w:lvl w:ilvl="1" w:tplc="03AAEE56">
      <w:start w:val="1"/>
      <w:numFmt w:val="decimal"/>
      <w:lvlText w:val="(%2)"/>
      <w:lvlJc w:val="left"/>
      <w:pPr>
        <w:tabs>
          <w:tab w:val="num" w:pos="2108"/>
        </w:tabs>
        <w:ind w:left="2108" w:hanging="360"/>
      </w:pPr>
      <w:rPr>
        <w:rFonts w:ascii="Times New Roman" w:eastAsia="Times New Roman" w:hAnsi="Times New Roman" w:cs="Times New Roman"/>
      </w:rPr>
    </w:lvl>
    <w:lvl w:ilvl="2" w:tplc="CA2CA846">
      <w:start w:val="1"/>
      <w:numFmt w:val="upperLetter"/>
      <w:lvlText w:val="%3."/>
      <w:lvlJc w:val="left"/>
      <w:pPr>
        <w:ind w:left="3008" w:hanging="360"/>
      </w:pPr>
      <w:rPr>
        <w:rFonts w:eastAsia="Times New Roman"/>
        <w:color w:val="000000"/>
      </w:rPr>
    </w:lvl>
    <w:lvl w:ilvl="3" w:tplc="0409000F">
      <w:start w:val="1"/>
      <w:numFmt w:val="decimal"/>
      <w:lvlText w:val="%4."/>
      <w:lvlJc w:val="left"/>
      <w:pPr>
        <w:tabs>
          <w:tab w:val="num" w:pos="3548"/>
        </w:tabs>
        <w:ind w:left="3548" w:hanging="360"/>
      </w:pPr>
    </w:lvl>
    <w:lvl w:ilvl="4" w:tplc="04090019">
      <w:start w:val="1"/>
      <w:numFmt w:val="lowerLetter"/>
      <w:lvlText w:val="%5."/>
      <w:lvlJc w:val="left"/>
      <w:pPr>
        <w:tabs>
          <w:tab w:val="num" w:pos="4268"/>
        </w:tabs>
        <w:ind w:left="4268" w:hanging="360"/>
      </w:pPr>
    </w:lvl>
    <w:lvl w:ilvl="5" w:tplc="0409001B">
      <w:start w:val="1"/>
      <w:numFmt w:val="lowerRoman"/>
      <w:lvlText w:val="%6."/>
      <w:lvlJc w:val="right"/>
      <w:pPr>
        <w:tabs>
          <w:tab w:val="num" w:pos="4988"/>
        </w:tabs>
        <w:ind w:left="4988" w:hanging="180"/>
      </w:pPr>
    </w:lvl>
    <w:lvl w:ilvl="6" w:tplc="0409000F">
      <w:start w:val="1"/>
      <w:numFmt w:val="decimal"/>
      <w:lvlText w:val="%7."/>
      <w:lvlJc w:val="left"/>
      <w:pPr>
        <w:tabs>
          <w:tab w:val="num" w:pos="5708"/>
        </w:tabs>
        <w:ind w:left="5708" w:hanging="360"/>
      </w:pPr>
    </w:lvl>
    <w:lvl w:ilvl="7" w:tplc="04090019">
      <w:start w:val="1"/>
      <w:numFmt w:val="lowerLetter"/>
      <w:lvlText w:val="%8."/>
      <w:lvlJc w:val="left"/>
      <w:pPr>
        <w:tabs>
          <w:tab w:val="num" w:pos="6428"/>
        </w:tabs>
        <w:ind w:left="6428" w:hanging="360"/>
      </w:pPr>
    </w:lvl>
    <w:lvl w:ilvl="8" w:tplc="0409001B">
      <w:start w:val="1"/>
      <w:numFmt w:val="lowerRoman"/>
      <w:lvlText w:val="%9."/>
      <w:lvlJc w:val="right"/>
      <w:pPr>
        <w:tabs>
          <w:tab w:val="num" w:pos="7148"/>
        </w:tabs>
        <w:ind w:left="7148" w:hanging="180"/>
      </w:pPr>
    </w:lvl>
  </w:abstractNum>
  <w:abstractNum w:abstractNumId="7">
    <w:nsid w:val="17F37355"/>
    <w:multiLevelType w:val="hybridMultilevel"/>
    <w:tmpl w:val="C602BA4E"/>
    <w:lvl w:ilvl="0" w:tplc="5A22265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DF9207A"/>
    <w:multiLevelType w:val="hybridMultilevel"/>
    <w:tmpl w:val="4A449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375AE9"/>
    <w:multiLevelType w:val="hybridMultilevel"/>
    <w:tmpl w:val="F6246304"/>
    <w:lvl w:ilvl="0" w:tplc="374A87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8670F5A"/>
    <w:multiLevelType w:val="hybridMultilevel"/>
    <w:tmpl w:val="3B30EFC0"/>
    <w:lvl w:ilvl="0" w:tplc="2EFE2C58">
      <w:start w:val="1"/>
      <w:numFmt w:val="lowerLetter"/>
      <w:lvlText w:val="%1."/>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B984652"/>
    <w:multiLevelType w:val="hybridMultilevel"/>
    <w:tmpl w:val="5000860E"/>
    <w:lvl w:ilvl="0" w:tplc="6B62FF18">
      <w:start w:val="1"/>
      <w:numFmt w:val="lowerLetter"/>
      <w:lvlText w:val="%1."/>
      <w:lvlJc w:val="left"/>
      <w:pPr>
        <w:tabs>
          <w:tab w:val="num" w:pos="360"/>
        </w:tabs>
        <w:ind w:left="360" w:hanging="360"/>
      </w:pPr>
      <w:rPr>
        <w:rFonts w:ascii="Times New Roman" w:eastAsia="Times New Roman" w:hAnsi="Times New Roman" w:cs="Times New Roman" w:hint="default"/>
      </w:rPr>
    </w:lvl>
    <w:lvl w:ilvl="1" w:tplc="C6D68D8C">
      <w:start w:val="1"/>
      <w:numFmt w:val="decimal"/>
      <w:lvlText w:val="(%2)"/>
      <w:lvlJc w:val="left"/>
      <w:pPr>
        <w:ind w:left="2085" w:hanging="10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AF70C72"/>
    <w:multiLevelType w:val="multilevel"/>
    <w:tmpl w:val="2050DD5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color w:val="auto"/>
      </w:rPr>
    </w:lvl>
    <w:lvl w:ilvl="4">
      <w:start w:val="1"/>
      <w:numFmt w:val="upperLetter"/>
      <w:lvlText w:val="%5."/>
      <w:lvlJc w:val="left"/>
      <w:pPr>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F42379A"/>
    <w:multiLevelType w:val="hybridMultilevel"/>
    <w:tmpl w:val="9F90E240"/>
    <w:lvl w:ilvl="0" w:tplc="520C231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1CB4225"/>
    <w:multiLevelType w:val="multilevel"/>
    <w:tmpl w:val="AF0C167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EC81044"/>
    <w:multiLevelType w:val="hybridMultilevel"/>
    <w:tmpl w:val="99861042"/>
    <w:lvl w:ilvl="0" w:tplc="DF4E307A">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19A41E2">
      <w:start w:val="1"/>
      <w:numFmt w:val="lowerLetter"/>
      <w:lvlText w:val="%6."/>
      <w:lvlJc w:val="right"/>
      <w:pPr>
        <w:ind w:left="4320" w:hanging="180"/>
      </w:pPr>
      <w:rPr>
        <w:rFonts w:ascii="Times New Roman" w:eastAsia="Times New Roman" w:hAnsi="Times New Roman" w:cs="Times New Roman"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a39m/ukDBvMy3fe7yN52jsEBoCU=" w:salt="WK2ncDoe7J/1Jj14GxYQQw=="/>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B1293"/>
    <w:rsid w:val="001F66B0"/>
    <w:rsid w:val="00236950"/>
    <w:rsid w:val="00245A5A"/>
    <w:rsid w:val="00273540"/>
    <w:rsid w:val="00295F16"/>
    <w:rsid w:val="002A3EEB"/>
    <w:rsid w:val="002A653A"/>
    <w:rsid w:val="002B61E2"/>
    <w:rsid w:val="002B7959"/>
    <w:rsid w:val="002D79FF"/>
    <w:rsid w:val="003728BA"/>
    <w:rsid w:val="00390270"/>
    <w:rsid w:val="003A4CAE"/>
    <w:rsid w:val="003A7275"/>
    <w:rsid w:val="003B7404"/>
    <w:rsid w:val="004406F7"/>
    <w:rsid w:val="00476CAC"/>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B5D05"/>
    <w:rsid w:val="009D5F3B"/>
    <w:rsid w:val="00A735E6"/>
    <w:rsid w:val="00A92261"/>
    <w:rsid w:val="00AA3A59"/>
    <w:rsid w:val="00AD02E7"/>
    <w:rsid w:val="00AE04B0"/>
    <w:rsid w:val="00AE6240"/>
    <w:rsid w:val="00AF2729"/>
    <w:rsid w:val="00B45FD9"/>
    <w:rsid w:val="00C52FF9"/>
    <w:rsid w:val="00C72C38"/>
    <w:rsid w:val="00C81419"/>
    <w:rsid w:val="00C949F5"/>
    <w:rsid w:val="00CB0398"/>
    <w:rsid w:val="00CC1948"/>
    <w:rsid w:val="00CE7FEB"/>
    <w:rsid w:val="00D175B9"/>
    <w:rsid w:val="00D21FA9"/>
    <w:rsid w:val="00D23502"/>
    <w:rsid w:val="00D43E1D"/>
    <w:rsid w:val="00D4629F"/>
    <w:rsid w:val="00D63374"/>
    <w:rsid w:val="00D92019"/>
    <w:rsid w:val="00DE770F"/>
    <w:rsid w:val="00E21DEE"/>
    <w:rsid w:val="00E33D2C"/>
    <w:rsid w:val="00EC1645"/>
    <w:rsid w:val="00ED61AC"/>
    <w:rsid w:val="00EF487D"/>
    <w:rsid w:val="00F17F5D"/>
    <w:rsid w:val="00F21187"/>
    <w:rsid w:val="00F57C47"/>
    <w:rsid w:val="00F94262"/>
    <w:rsid w:val="00FB361F"/>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5110</Words>
  <Characters>29130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2026-04-06T02:55:00Z</dcterms:created>
  <dcterms:modified xsi:type="dcterms:W3CDTF">2026-04-06T02:55:00Z</dcterms:modified>
</cp:coreProperties>
</file>