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D8" w:rsidRPr="006E7D71" w:rsidRDefault="008538D8" w:rsidP="008538D8">
      <w:pPr>
        <w:spacing w:line="480" w:lineRule="auto"/>
        <w:jc w:val="center"/>
        <w:rPr>
          <w:b/>
          <w:color w:val="000000"/>
        </w:rPr>
      </w:pPr>
      <w:r w:rsidRPr="006E7D71">
        <w:rPr>
          <w:b/>
          <w:color w:val="000000"/>
        </w:rPr>
        <w:t>BAB II</w:t>
      </w:r>
    </w:p>
    <w:p w:rsidR="008538D8" w:rsidRPr="006E7D71" w:rsidRDefault="008538D8" w:rsidP="008538D8">
      <w:pPr>
        <w:spacing w:line="480" w:lineRule="auto"/>
        <w:jc w:val="center"/>
        <w:rPr>
          <w:b/>
          <w:color w:val="000000"/>
        </w:rPr>
      </w:pPr>
      <w:r w:rsidRPr="006E7D71">
        <w:rPr>
          <w:b/>
          <w:color w:val="000000"/>
        </w:rPr>
        <w:t>TINJAUAN PUSTAKA</w:t>
      </w:r>
    </w:p>
    <w:p w:rsidR="008538D8" w:rsidRPr="006E7D71" w:rsidRDefault="008538D8" w:rsidP="008538D8">
      <w:pPr>
        <w:numPr>
          <w:ilvl w:val="2"/>
          <w:numId w:val="24"/>
        </w:numPr>
        <w:spacing w:line="456" w:lineRule="auto"/>
        <w:ind w:left="360"/>
        <w:jc w:val="both"/>
        <w:rPr>
          <w:rFonts w:eastAsia="MS Mincho"/>
          <w:b/>
          <w:bCs/>
          <w:color w:val="000000"/>
          <w:kern w:val="2"/>
        </w:rPr>
      </w:pPr>
      <w:bookmarkStart w:id="0" w:name="_Hlk139385899"/>
      <w:r w:rsidRPr="006E7D71">
        <w:rPr>
          <w:b/>
          <w:bCs/>
          <w:color w:val="000000"/>
        </w:rPr>
        <w:t xml:space="preserve">Pengertian </w:t>
      </w:r>
      <w:r w:rsidRPr="006E7D71">
        <w:rPr>
          <w:rFonts w:eastAsia="MS Mincho"/>
          <w:b/>
          <w:bCs/>
          <w:color w:val="000000"/>
          <w:kern w:val="2"/>
        </w:rPr>
        <w:t>Tindak Pidana</w:t>
      </w:r>
      <w:bookmarkEnd w:id="0"/>
    </w:p>
    <w:p w:rsidR="008538D8" w:rsidRPr="006E7D71" w:rsidRDefault="008538D8" w:rsidP="008538D8">
      <w:pPr>
        <w:spacing w:line="480" w:lineRule="auto"/>
        <w:ind w:firstLine="709"/>
        <w:jc w:val="both"/>
        <w:rPr>
          <w:lang w:val="id-ID"/>
        </w:rPr>
      </w:pPr>
      <w:r w:rsidRPr="006E7D71">
        <w:t xml:space="preserve">Menurut pendapat Moeljatnoyang dimaksud dengan hukum pidana adalah bagian dari keseluruhan hukum yang berlaku disuatu negara, yang mengadakan dasar-dasar dan aturan-aturan untuk: </w:t>
      </w:r>
    </w:p>
    <w:p w:rsidR="008538D8" w:rsidRPr="006E7D71" w:rsidRDefault="008538D8" w:rsidP="008538D8">
      <w:pPr>
        <w:numPr>
          <w:ilvl w:val="5"/>
          <w:numId w:val="14"/>
        </w:numPr>
        <w:tabs>
          <w:tab w:val="clear" w:pos="4320"/>
          <w:tab w:val="left" w:pos="1134"/>
        </w:tabs>
        <w:ind w:left="1134" w:hanging="425"/>
        <w:jc w:val="both"/>
        <w:rPr>
          <w:lang w:val="id-ID"/>
        </w:rPr>
      </w:pPr>
      <w:r w:rsidRPr="006E7D71">
        <w:t>Menentukan perbuatan-perbuatan mana yang tidak boleh dilakukan, yang dilarang, dengan disertai ancaman atau sanksi yang berupa pidana tertentu bagi barang siapa melanggar larangan tersebut atau disebut perbuatan pidana (</w:t>
      </w:r>
      <w:r w:rsidRPr="006E7D71">
        <w:rPr>
          <w:i/>
          <w:iCs/>
        </w:rPr>
        <w:t>criminal act</w:t>
      </w:r>
      <w:r w:rsidRPr="006E7D71">
        <w:t xml:space="preserve">). </w:t>
      </w:r>
    </w:p>
    <w:p w:rsidR="008538D8" w:rsidRPr="006E7D71" w:rsidRDefault="008538D8" w:rsidP="008538D8">
      <w:pPr>
        <w:numPr>
          <w:ilvl w:val="5"/>
          <w:numId w:val="14"/>
        </w:numPr>
        <w:tabs>
          <w:tab w:val="clear" w:pos="4320"/>
          <w:tab w:val="num" w:pos="-425"/>
          <w:tab w:val="left" w:pos="1134"/>
        </w:tabs>
        <w:ind w:left="1134" w:hanging="425"/>
        <w:jc w:val="both"/>
        <w:rPr>
          <w:lang w:val="id-ID"/>
        </w:rPr>
      </w:pPr>
      <w:r w:rsidRPr="006E7D71">
        <w:t>Menentukan kapan dan dalam hal-hal apa kepada mereka yang telah melanggar larangan-larangan itu dapat dikenakan atau dijatuhi pidana sebagaimana yang telah diancamkan atau Pertanggungjawaban hukum pidana (</w:t>
      </w:r>
      <w:r w:rsidRPr="006E7D71">
        <w:rPr>
          <w:i/>
          <w:iCs/>
        </w:rPr>
        <w:t xml:space="preserve">criminal liability </w:t>
      </w:r>
      <w:r w:rsidRPr="006E7D71">
        <w:t xml:space="preserve">atau </w:t>
      </w:r>
      <w:r w:rsidRPr="006E7D71">
        <w:rPr>
          <w:i/>
          <w:iCs/>
        </w:rPr>
        <w:t>criminal responsibility</w:t>
      </w:r>
      <w:r w:rsidRPr="006E7D71">
        <w:t xml:space="preserve">) </w:t>
      </w:r>
    </w:p>
    <w:p w:rsidR="008538D8" w:rsidRPr="006E7D71" w:rsidRDefault="008538D8" w:rsidP="008538D8">
      <w:pPr>
        <w:numPr>
          <w:ilvl w:val="5"/>
          <w:numId w:val="14"/>
        </w:numPr>
        <w:tabs>
          <w:tab w:val="clear" w:pos="4320"/>
          <w:tab w:val="num" w:pos="-425"/>
          <w:tab w:val="left" w:pos="1134"/>
        </w:tabs>
        <w:ind w:left="1134" w:hanging="425"/>
        <w:jc w:val="both"/>
        <w:rPr>
          <w:lang w:val="id-ID"/>
        </w:rPr>
      </w:pPr>
      <w:r w:rsidRPr="006E7D71">
        <w:t>Menentukan dengan cara bagaimana pengenaan pidana itu dapat dilaksanakan apabila ada orang yang disangka telah melanggar larangan tersebut.</w:t>
      </w:r>
      <w:r w:rsidRPr="006E7D71">
        <w:rPr>
          <w:rStyle w:val="FootnoteReference"/>
        </w:rPr>
        <w:footnoteReference w:id="2"/>
      </w:r>
    </w:p>
    <w:p w:rsidR="008538D8" w:rsidRPr="006E7D71" w:rsidRDefault="008538D8" w:rsidP="008538D8">
      <w:pPr>
        <w:tabs>
          <w:tab w:val="left" w:pos="1134"/>
        </w:tabs>
        <w:ind w:left="1134"/>
        <w:jc w:val="both"/>
        <w:rPr>
          <w:lang w:val="id-ID"/>
        </w:rPr>
      </w:pPr>
    </w:p>
    <w:p w:rsidR="008538D8" w:rsidRPr="006E7D71" w:rsidRDefault="008538D8" w:rsidP="008538D8">
      <w:pPr>
        <w:spacing w:line="456" w:lineRule="auto"/>
        <w:ind w:firstLine="709"/>
        <w:jc w:val="both"/>
        <w:rPr>
          <w:lang w:val="id-ID"/>
        </w:rPr>
      </w:pPr>
      <w:r w:rsidRPr="006E7D71">
        <w:t>Menurut Moeljatno dalam Tongat menyebutkan pengertian hukum pidana tidak saja meliputi hukum pidana materiil tetapi juga meliputi hukum pidana formil.</w:t>
      </w:r>
      <w:r w:rsidRPr="006E7D71">
        <w:rPr>
          <w:rStyle w:val="FootnoteReference"/>
        </w:rPr>
        <w:footnoteReference w:id="3"/>
      </w:r>
      <w:r w:rsidRPr="006E7D71">
        <w:t xml:space="preserve"> Hukum pidana materiil (</w:t>
      </w:r>
      <w:r w:rsidRPr="006E7D71">
        <w:rPr>
          <w:i/>
          <w:iCs/>
        </w:rPr>
        <w:t>substantive criminal-law</w:t>
      </w:r>
      <w:r w:rsidRPr="006E7D71">
        <w:t>) yang mengatur tentang dasar-dasar dan aturan untuk menentukan larangan dan sanksi pidana, yakni, perbuatan-perbuatan mana yang tidak boleh dilakukan, yang dilarang, dengan disertai ancaman atau sanksi yang berupa pidana tertentu bagi barang siapa melanggar larangan tersebut atau disebut perbuatan pidana (</w:t>
      </w:r>
      <w:r w:rsidRPr="006E7D71">
        <w:rPr>
          <w:i/>
          <w:iCs/>
        </w:rPr>
        <w:t>criminal act</w:t>
      </w:r>
      <w:r w:rsidRPr="006E7D71">
        <w:t>) dan yang mengatur tentang dasar-dasar dan aturan untuk menentukan pertanggungjawaban hukum pidana (</w:t>
      </w:r>
      <w:r w:rsidRPr="006E7D71">
        <w:rPr>
          <w:i/>
          <w:iCs/>
        </w:rPr>
        <w:t xml:space="preserve">criminal liability </w:t>
      </w:r>
      <w:r w:rsidRPr="006E7D71">
        <w:t xml:space="preserve">atau </w:t>
      </w:r>
      <w:r w:rsidRPr="006E7D71">
        <w:rPr>
          <w:i/>
          <w:iCs/>
        </w:rPr>
        <w:t>criminal responsibility</w:t>
      </w:r>
      <w:r w:rsidRPr="006E7D71">
        <w:t xml:space="preserve">). Sedangkan hukum pidana formil atau hukum acara pidana memuat </w:t>
      </w:r>
      <w:r w:rsidRPr="006E7D71">
        <w:lastRenderedPageBreak/>
        <w:t>peraturan-peraturan tentang bagaimana memelihara atau mempertahankan hukum  pidana materiil karena memuat cara-cara untuk menghukum seseorang yang melanggar peraturan pidana, maka hukum ini dinamakan juga Hukum Acara Pidana</w:t>
      </w:r>
      <w:r w:rsidRPr="006E7D71">
        <w:rPr>
          <w:lang w:val="id-ID"/>
        </w:rPr>
        <w:t>.</w:t>
      </w:r>
      <w:r w:rsidRPr="006E7D71">
        <w:rPr>
          <w:rStyle w:val="FootnoteReference"/>
          <w:lang w:val="id-ID"/>
        </w:rPr>
        <w:footnoteReference w:id="4"/>
      </w:r>
    </w:p>
    <w:p w:rsidR="008538D8" w:rsidRPr="006E7D71" w:rsidRDefault="008538D8" w:rsidP="008538D8">
      <w:pPr>
        <w:spacing w:line="480" w:lineRule="auto"/>
        <w:ind w:firstLine="709"/>
        <w:jc w:val="both"/>
        <w:rPr>
          <w:lang w:val="id-ID"/>
        </w:rPr>
      </w:pPr>
      <w:r w:rsidRPr="006E7D71">
        <w:t>Moeljatno, menyebutkan:</w:t>
      </w:r>
    </w:p>
    <w:p w:rsidR="008538D8" w:rsidRPr="006E7D71" w:rsidRDefault="008538D8" w:rsidP="008538D8">
      <w:pPr>
        <w:pStyle w:val="Default"/>
        <w:ind w:left="709"/>
        <w:jc w:val="both"/>
        <w:rPr>
          <w:rFonts w:ascii="Times New Roman" w:hAnsi="Times New Roman" w:cs="Times New Roman"/>
        </w:rPr>
      </w:pPr>
      <w:r w:rsidRPr="006E7D71">
        <w:rPr>
          <w:rFonts w:ascii="Times New Roman" w:hAnsi="Times New Roman" w:cs="Times New Roman"/>
        </w:rPr>
        <w:t xml:space="preserve">Hukum pidana adalah kesemuanya perintah-perintah dan larangan-larangan yang diadakan oleh negara dan yang diancam dengan suatu nestapa (pidana) barang siapa yang tidak menaatinya, kesemuanya aturan-aturan yang menentukan syarat-syarat bagi akibat hukum itu dan kesemuanya aturan-aturan untuk mengadakan (menjatuhi) dan menjalankan pidana tersebut. </w:t>
      </w:r>
      <w:r w:rsidRPr="006E7D71">
        <w:rPr>
          <w:rStyle w:val="FootnoteReference"/>
        </w:rPr>
        <w:footnoteReference w:id="5"/>
      </w:r>
    </w:p>
    <w:p w:rsidR="008538D8" w:rsidRPr="006E7D71" w:rsidRDefault="008538D8" w:rsidP="008538D8">
      <w:pPr>
        <w:pStyle w:val="Default"/>
        <w:ind w:left="709"/>
        <w:jc w:val="both"/>
        <w:rPr>
          <w:rFonts w:ascii="Times New Roman" w:hAnsi="Times New Roman" w:cs="Times New Roman"/>
        </w:rPr>
      </w:pPr>
    </w:p>
    <w:p w:rsidR="008538D8" w:rsidRPr="006E7D71" w:rsidRDefault="008538D8" w:rsidP="008538D8">
      <w:pPr>
        <w:pStyle w:val="Default"/>
        <w:spacing w:line="528" w:lineRule="auto"/>
        <w:ind w:firstLine="709"/>
        <w:jc w:val="both"/>
        <w:rPr>
          <w:rFonts w:ascii="Times New Roman" w:hAnsi="Times New Roman" w:cs="Times New Roman"/>
        </w:rPr>
      </w:pPr>
      <w:r w:rsidRPr="006E7D71">
        <w:rPr>
          <w:rFonts w:ascii="Times New Roman" w:hAnsi="Times New Roman" w:cs="Times New Roman"/>
        </w:rPr>
        <w:t>Adami Chazawi menyebutkan:</w:t>
      </w:r>
    </w:p>
    <w:p w:rsidR="008538D8" w:rsidRPr="006E7D71" w:rsidRDefault="008538D8" w:rsidP="008538D8">
      <w:pPr>
        <w:pStyle w:val="Default"/>
        <w:spacing w:line="204" w:lineRule="auto"/>
        <w:ind w:left="709"/>
        <w:jc w:val="both"/>
        <w:rPr>
          <w:rFonts w:ascii="Times New Roman" w:hAnsi="Times New Roman" w:cs="Times New Roman"/>
        </w:rPr>
      </w:pPr>
      <w:r w:rsidRPr="006E7D71">
        <w:rPr>
          <w:rFonts w:ascii="Times New Roman" w:hAnsi="Times New Roman" w:cs="Times New Roman"/>
        </w:rPr>
        <w:t>Hukum pidana memuat ketentuan-ketentuan mengenai 3 (tiga) macam yaitu:</w:t>
      </w:r>
    </w:p>
    <w:p w:rsidR="008538D8" w:rsidRPr="006E7D71" w:rsidRDefault="008538D8" w:rsidP="008538D8">
      <w:pPr>
        <w:pStyle w:val="Default"/>
        <w:numPr>
          <w:ilvl w:val="6"/>
          <w:numId w:val="14"/>
        </w:numPr>
        <w:tabs>
          <w:tab w:val="clear" w:pos="5040"/>
          <w:tab w:val="num" w:pos="1069"/>
        </w:tabs>
        <w:spacing w:line="204" w:lineRule="auto"/>
        <w:ind w:left="1069"/>
        <w:jc w:val="both"/>
        <w:rPr>
          <w:rFonts w:ascii="Times New Roman" w:hAnsi="Times New Roman" w:cs="Times New Roman"/>
        </w:rPr>
      </w:pPr>
      <w:r w:rsidRPr="006E7D71">
        <w:rPr>
          <w:rFonts w:ascii="Times New Roman" w:hAnsi="Times New Roman" w:cs="Times New Roman"/>
        </w:rPr>
        <w:t>Aturan hukum pidana dan yang dikaitkan atau dalam hal yang berhubungan dengan larangan melakukan perbuatan-perbuatan tertentu yang disertai dengan ancaman pidana bagi siapa yang melanggar larangan itu (disebut tindak pidana);</w:t>
      </w:r>
    </w:p>
    <w:p w:rsidR="008538D8" w:rsidRPr="006E7D71" w:rsidRDefault="008538D8" w:rsidP="008538D8">
      <w:pPr>
        <w:pStyle w:val="Default"/>
        <w:numPr>
          <w:ilvl w:val="6"/>
          <w:numId w:val="14"/>
        </w:numPr>
        <w:tabs>
          <w:tab w:val="clear" w:pos="5040"/>
          <w:tab w:val="num" w:pos="1069"/>
        </w:tabs>
        <w:spacing w:line="204" w:lineRule="auto"/>
        <w:ind w:left="1069"/>
        <w:jc w:val="both"/>
        <w:rPr>
          <w:rFonts w:ascii="Times New Roman" w:hAnsi="Times New Roman" w:cs="Times New Roman"/>
        </w:rPr>
      </w:pPr>
      <w:r w:rsidRPr="006E7D71">
        <w:rPr>
          <w:rFonts w:ascii="Times New Roman" w:hAnsi="Times New Roman" w:cs="Times New Roman"/>
        </w:rPr>
        <w:t xml:space="preserve">Syarat-syarat tertentu yang harus dipenuhi bagi orang yang melanggar aturan hukum pidana yang disebutkan pertama di atas, agar yang melanggar tadi dapat dijatuhi pidana sesuai dengan yang diancamkan; </w:t>
      </w:r>
    </w:p>
    <w:p w:rsidR="008538D8" w:rsidRPr="006E7D71" w:rsidRDefault="008538D8" w:rsidP="008538D8">
      <w:pPr>
        <w:pStyle w:val="Default"/>
        <w:numPr>
          <w:ilvl w:val="6"/>
          <w:numId w:val="14"/>
        </w:numPr>
        <w:tabs>
          <w:tab w:val="clear" w:pos="5040"/>
          <w:tab w:val="num" w:pos="1069"/>
        </w:tabs>
        <w:spacing w:line="204" w:lineRule="auto"/>
        <w:ind w:left="1069"/>
        <w:jc w:val="both"/>
        <w:rPr>
          <w:rFonts w:ascii="Times New Roman" w:hAnsi="Times New Roman" w:cs="Times New Roman"/>
        </w:rPr>
      </w:pPr>
      <w:r w:rsidRPr="006E7D71">
        <w:rPr>
          <w:rFonts w:ascii="Times New Roman" w:hAnsi="Times New Roman" w:cs="Times New Roman"/>
        </w:rPr>
        <w:t>Upaya negara yang boleh dan harus dilakukan oleh alat-alat perlengkapan negara dalam hal negara melaksanakan/ menegakkan hukum pidana yang disebutkan di atas.</w:t>
      </w:r>
      <w:r w:rsidRPr="006E7D71">
        <w:rPr>
          <w:rStyle w:val="FootnoteReference"/>
        </w:rPr>
        <w:footnoteReference w:id="6"/>
      </w:r>
    </w:p>
    <w:p w:rsidR="008538D8" w:rsidRPr="006E7D71" w:rsidRDefault="008538D8" w:rsidP="008538D8">
      <w:pPr>
        <w:pStyle w:val="Default"/>
        <w:ind w:left="709"/>
        <w:jc w:val="both"/>
        <w:rPr>
          <w:rFonts w:ascii="Times New Roman" w:hAnsi="Times New Roman" w:cs="Times New Roman"/>
        </w:rPr>
      </w:pPr>
    </w:p>
    <w:p w:rsidR="008538D8" w:rsidRPr="006E7D71" w:rsidRDefault="008538D8" w:rsidP="008538D8">
      <w:pPr>
        <w:spacing w:line="444" w:lineRule="auto"/>
        <w:ind w:firstLine="709"/>
        <w:jc w:val="both"/>
        <w:rPr>
          <w:lang w:val="id-ID"/>
        </w:rPr>
      </w:pPr>
      <w:r w:rsidRPr="006E7D71">
        <w:t>Hukum pidana yang berupa aturan-aturan tertulis itu disusun, dibuat dan diundangkan untuk diberlakukan. Hukum pidana yang wujudnya terdiri dari susunan kalimat-kalimat (tertulis) setelah diundangkan untuk diberlakukan pda kehidupan nyata di dalam masyarakat menjadi hukum positif akan menjadi efektif dan dirasakan mencapai keadilan dan kepastian hukum apabila penerapannya itu sesuai dengan maksud oleh pembentuk undang-undang mengenai apa yang ditulis dalam kalimat-kalimat itu.</w:t>
      </w:r>
    </w:p>
    <w:p w:rsidR="008538D8" w:rsidRPr="006E7D71" w:rsidRDefault="008538D8" w:rsidP="008538D8">
      <w:pPr>
        <w:spacing w:line="445" w:lineRule="auto"/>
        <w:ind w:firstLine="709"/>
        <w:jc w:val="both"/>
        <w:rPr>
          <w:lang w:val="id-ID"/>
        </w:rPr>
      </w:pPr>
      <w:r w:rsidRPr="006E7D71">
        <w:lastRenderedPageBreak/>
        <w:t>Ismu Gunadi menyatakan hukum pidana adalah “hukum yang memuat peraturan-peraturan yang mengandung keharusan dan larangan terhadap pelanggarnya yang diancam dengan hukuman berupa siksaan badan”.</w:t>
      </w:r>
      <w:r w:rsidRPr="006E7D71">
        <w:rPr>
          <w:rStyle w:val="FootnoteReference"/>
        </w:rPr>
        <w:footnoteReference w:id="7"/>
      </w:r>
      <w:r w:rsidRPr="006E7D71">
        <w:t xml:space="preserve">Untuk menentukan perbuatan mana yang dipandang sebagai perbuatan pidana, hukum pidana di Indonesia menganut asas yang dinamakan asas legalitas, yakni tiap-tiap perbuatan pidana harus ditentukan oleh suatu aturan undang-undang (Pasal 1 ayat (1) KUHP) dan asas yang berbunyi “Tiada suatu perbuatan boleh dihukum, melainkan atas kekuatan ketentuan pidana dalam undang-undang, yang ada terdahulu dari pada perbuatan itu” tidak dipidana jika tidak ada kesalahan. </w:t>
      </w:r>
    </w:p>
    <w:p w:rsidR="008538D8" w:rsidRPr="006E7D71" w:rsidRDefault="008538D8" w:rsidP="008538D8">
      <w:pPr>
        <w:spacing w:line="445" w:lineRule="auto"/>
        <w:ind w:firstLine="709"/>
        <w:jc w:val="both"/>
      </w:pPr>
      <w:r w:rsidRPr="006E7D71">
        <w:t xml:space="preserve">Hukum pidana mengenal beberapa rumusan pengertian tindak pidana atau istilah tindak pidana sebagai pengganti istilah </w:t>
      </w:r>
      <w:r w:rsidRPr="006E7D71">
        <w:rPr>
          <w:i/>
        </w:rPr>
        <w:t>Strafbaar Feit</w:t>
      </w:r>
      <w:r w:rsidRPr="006E7D71">
        <w:t xml:space="preserve">. Sedangkan dalam perundang-undangan negara Indonesia istilah tersebut disebutkan sebagai peristiwa pidana, perbuatan pidana atau delik. </w:t>
      </w:r>
    </w:p>
    <w:p w:rsidR="008538D8" w:rsidRPr="006E7D71" w:rsidRDefault="008538D8" w:rsidP="008538D8">
      <w:pPr>
        <w:spacing w:line="445" w:lineRule="auto"/>
        <w:ind w:firstLine="709"/>
        <w:jc w:val="both"/>
      </w:pPr>
      <w:r w:rsidRPr="006E7D71">
        <w:rPr>
          <w:lang w:val="id-ID"/>
        </w:rPr>
        <w:t>I</w:t>
      </w:r>
      <w:r w:rsidRPr="006E7D71">
        <w:t xml:space="preserve">stilah </w:t>
      </w:r>
      <w:r w:rsidRPr="006E7D71">
        <w:rPr>
          <w:i/>
          <w:iCs/>
        </w:rPr>
        <w:t>het strafbare feit</w:t>
      </w:r>
      <w:r w:rsidRPr="006E7D71">
        <w:t xml:space="preserve"> telah diterjemahkan dalam bahasa Indonesia yang artinya antara lain sebagai berikut:</w:t>
      </w:r>
    </w:p>
    <w:p w:rsidR="008538D8" w:rsidRPr="006E7D71" w:rsidRDefault="008538D8" w:rsidP="008538D8">
      <w:pPr>
        <w:numPr>
          <w:ilvl w:val="3"/>
          <w:numId w:val="15"/>
        </w:numPr>
        <w:tabs>
          <w:tab w:val="clear" w:pos="2880"/>
          <w:tab w:val="num" w:pos="360"/>
        </w:tabs>
        <w:spacing w:line="492" w:lineRule="auto"/>
        <w:ind w:left="360"/>
        <w:jc w:val="both"/>
      </w:pPr>
      <w:r w:rsidRPr="006E7D71">
        <w:t>Perbuatan yang dapat/boleh dihukum.</w:t>
      </w:r>
    </w:p>
    <w:p w:rsidR="008538D8" w:rsidRPr="006E7D71" w:rsidRDefault="008538D8" w:rsidP="008538D8">
      <w:pPr>
        <w:numPr>
          <w:ilvl w:val="3"/>
          <w:numId w:val="15"/>
        </w:numPr>
        <w:tabs>
          <w:tab w:val="clear" w:pos="2880"/>
          <w:tab w:val="num" w:pos="-3051"/>
          <w:tab w:val="num" w:pos="-2331"/>
        </w:tabs>
        <w:spacing w:line="492" w:lineRule="auto"/>
        <w:ind w:left="360"/>
        <w:jc w:val="both"/>
      </w:pPr>
      <w:r w:rsidRPr="006E7D71">
        <w:t>Peristiwa pidana</w:t>
      </w:r>
    </w:p>
    <w:p w:rsidR="008538D8" w:rsidRPr="006E7D71" w:rsidRDefault="008538D8" w:rsidP="008538D8">
      <w:pPr>
        <w:numPr>
          <w:ilvl w:val="3"/>
          <w:numId w:val="15"/>
        </w:numPr>
        <w:tabs>
          <w:tab w:val="clear" w:pos="2880"/>
          <w:tab w:val="num" w:pos="-3051"/>
          <w:tab w:val="num" w:pos="-2331"/>
        </w:tabs>
        <w:spacing w:line="492" w:lineRule="auto"/>
        <w:ind w:left="360"/>
        <w:jc w:val="both"/>
      </w:pPr>
      <w:r w:rsidRPr="006E7D71">
        <w:t>Perbuatan pidana</w:t>
      </w:r>
    </w:p>
    <w:p w:rsidR="008538D8" w:rsidRPr="006E7D71" w:rsidRDefault="008538D8" w:rsidP="008538D8">
      <w:pPr>
        <w:numPr>
          <w:ilvl w:val="3"/>
          <w:numId w:val="15"/>
        </w:numPr>
        <w:tabs>
          <w:tab w:val="clear" w:pos="2880"/>
          <w:tab w:val="num" w:pos="-3051"/>
          <w:tab w:val="num" w:pos="-2331"/>
        </w:tabs>
        <w:spacing w:line="492" w:lineRule="auto"/>
        <w:ind w:left="360"/>
        <w:jc w:val="both"/>
      </w:pPr>
      <w:r w:rsidRPr="006E7D71">
        <w:t>Tindak pidana.</w:t>
      </w:r>
      <w:r w:rsidRPr="006E7D71">
        <w:rPr>
          <w:rStyle w:val="FootnoteReference"/>
        </w:rPr>
        <w:footnoteReference w:id="8"/>
      </w:r>
    </w:p>
    <w:p w:rsidR="008538D8" w:rsidRPr="006E7D71" w:rsidRDefault="008538D8" w:rsidP="008538D8">
      <w:pPr>
        <w:spacing w:line="492" w:lineRule="auto"/>
        <w:ind w:firstLine="709"/>
        <w:jc w:val="both"/>
      </w:pPr>
      <w:r w:rsidRPr="006E7D71">
        <w:t xml:space="preserve">KUHP tidak memberikan definisi terhadap istilah tindak pidana atau </w:t>
      </w:r>
      <w:r w:rsidRPr="006E7D71">
        <w:rPr>
          <w:i/>
        </w:rPr>
        <w:t>strafbaar feit.</w:t>
      </w:r>
      <w:r w:rsidRPr="006E7D71">
        <w:t xml:space="preserve"> Secara sederhana dapat dikatakan bahwa tidak pidana adalah perbuatan yang pelakunya seharusnya di pidana.</w:t>
      </w:r>
      <w:r w:rsidRPr="006E7D71">
        <w:rPr>
          <w:rStyle w:val="FootnoteReference"/>
        </w:rPr>
        <w:footnoteReference w:id="9"/>
      </w:r>
    </w:p>
    <w:p w:rsidR="008538D8" w:rsidRPr="006E7D71" w:rsidRDefault="008538D8" w:rsidP="008538D8">
      <w:pPr>
        <w:spacing w:line="492" w:lineRule="auto"/>
        <w:ind w:firstLine="709"/>
        <w:jc w:val="both"/>
      </w:pPr>
      <w:r w:rsidRPr="006E7D71">
        <w:lastRenderedPageBreak/>
        <w:t xml:space="preserve">Melihat apa yang dimaksud di atas, maka pembentuk undang-undang sudah konsisten dalam pemakaian istilah tindak pidana. Akan tetapi para sarjana hukum pidana mempertahankan istilah yang dipilihnya sendiri. Tentang apa yang diartikan dengan </w:t>
      </w:r>
      <w:r w:rsidRPr="006E7D71">
        <w:rPr>
          <w:i/>
          <w:iCs/>
        </w:rPr>
        <w:t>strafbaar feit</w:t>
      </w:r>
      <w:r w:rsidRPr="006E7D71">
        <w:t xml:space="preserve"> (tindak pidana) para sarjana memberikan pengertian yang berbeda-beda.</w:t>
      </w:r>
    </w:p>
    <w:p w:rsidR="008538D8" w:rsidRPr="006E7D71" w:rsidRDefault="008538D8" w:rsidP="008538D8">
      <w:pPr>
        <w:spacing w:line="492" w:lineRule="auto"/>
        <w:ind w:firstLine="709"/>
        <w:jc w:val="both"/>
      </w:pPr>
      <w:r w:rsidRPr="006E7D71">
        <w:rPr>
          <w:color w:val="000000"/>
        </w:rPr>
        <w:t>M. Hamdan menyebutkan bahwa peristiwa pidana adalah suatu perbuatan atau rangkaian perbuatan manusia yang  bertentangan dengan undang-undang atau peraturan perundang-undangan lainnya terhadap perbuatan mana diadakan tindakan penghukuman.</w:t>
      </w:r>
      <w:r w:rsidRPr="006E7D71">
        <w:rPr>
          <w:rStyle w:val="FootnoteReference"/>
          <w:color w:val="000000"/>
        </w:rPr>
        <w:footnoteReference w:id="10"/>
      </w:r>
    </w:p>
    <w:p w:rsidR="008538D8" w:rsidRPr="006E7D71" w:rsidRDefault="008538D8" w:rsidP="008538D8">
      <w:pPr>
        <w:spacing w:line="480" w:lineRule="auto"/>
        <w:ind w:firstLine="709"/>
        <w:jc w:val="both"/>
      </w:pPr>
      <w:r w:rsidRPr="006E7D71">
        <w:t>Van Hamel dalam M. Hamdan menyebutkan bahwa secara dogmatis masalah pokok yang berhubungan dengan hukum pidana adalah membicarakan tiga hal yaitu:</w:t>
      </w:r>
    </w:p>
    <w:p w:rsidR="008538D8" w:rsidRPr="006E7D71" w:rsidRDefault="008538D8" w:rsidP="008538D8">
      <w:pPr>
        <w:numPr>
          <w:ilvl w:val="0"/>
          <w:numId w:val="13"/>
        </w:numPr>
        <w:spacing w:line="480" w:lineRule="auto"/>
        <w:ind w:left="360"/>
        <w:jc w:val="both"/>
      </w:pPr>
      <w:r w:rsidRPr="006E7D71">
        <w:t>Perbuatan yang dilarang;</w:t>
      </w:r>
    </w:p>
    <w:p w:rsidR="008538D8" w:rsidRPr="006E7D71" w:rsidRDefault="008538D8" w:rsidP="008538D8">
      <w:pPr>
        <w:numPr>
          <w:ilvl w:val="0"/>
          <w:numId w:val="13"/>
        </w:numPr>
        <w:spacing w:line="480" w:lineRule="auto"/>
        <w:ind w:left="360"/>
        <w:jc w:val="both"/>
      </w:pPr>
      <w:r w:rsidRPr="006E7D71">
        <w:t>Orang yang melakukan perbuatan  yang dilarang itu; dan</w:t>
      </w:r>
    </w:p>
    <w:p w:rsidR="008538D8" w:rsidRPr="006E7D71" w:rsidRDefault="008538D8" w:rsidP="008538D8">
      <w:pPr>
        <w:numPr>
          <w:ilvl w:val="0"/>
          <w:numId w:val="13"/>
        </w:numPr>
        <w:spacing w:line="480" w:lineRule="auto"/>
        <w:ind w:left="360"/>
        <w:jc w:val="both"/>
      </w:pPr>
      <w:r w:rsidRPr="006E7D71">
        <w:t>Pidana yang diancamkan terhadap pelanggar larangan itu.</w:t>
      </w:r>
      <w:r w:rsidRPr="006E7D71">
        <w:rPr>
          <w:rStyle w:val="FootnoteReference"/>
        </w:rPr>
        <w:footnoteReference w:id="11"/>
      </w:r>
    </w:p>
    <w:p w:rsidR="008538D8" w:rsidRPr="006E7D71" w:rsidRDefault="008538D8" w:rsidP="008538D8">
      <w:pPr>
        <w:spacing w:line="480" w:lineRule="auto"/>
        <w:ind w:firstLine="709"/>
        <w:jc w:val="both"/>
      </w:pPr>
      <w:r w:rsidRPr="006E7D71">
        <w:t>Menurut Mahrus Ali bahwa perbuatan pidana adalah perbuatan yang dilarang dan diancam dengan pidana barang siapa yang melakukannya.</w:t>
      </w:r>
      <w:r w:rsidRPr="006E7D71">
        <w:rPr>
          <w:rStyle w:val="FootnoteReference"/>
        </w:rPr>
        <w:footnoteReference w:id="12"/>
      </w:r>
      <w:r w:rsidRPr="006E7D71">
        <w:t xml:space="preserve"> Moeljatno menyebutkan bahwa:</w:t>
      </w:r>
    </w:p>
    <w:p w:rsidR="008538D8" w:rsidRPr="006E7D71" w:rsidRDefault="008538D8" w:rsidP="008538D8">
      <w:pPr>
        <w:ind w:left="709"/>
        <w:jc w:val="both"/>
      </w:pPr>
      <w:r w:rsidRPr="006E7D71">
        <w:t xml:space="preserve">Perbuatan pidana adalah perbuatan yang oleh suatu aturan hukum, larangan mana disertai ancaman (sanksi) yang berupa pidana tertentu, bagi barang siapa melanggar larangan tersebut. Dapat juga dikatakan bahwa perbuatan pidana adalah perbuatan yang oleh suatu aturan hukum dilarang dan diancam pidana, asal saja dalam pada itu diingat bahwa larangan </w:t>
      </w:r>
      <w:r w:rsidRPr="006E7D71">
        <w:lastRenderedPageBreak/>
        <w:t>ditujukan kepada perbuatan (yaitu suatu keadaan atau kejadian yang ditimbulkan oleh kelakuan orang), sedangkan ancaman pidananya ditujukan kepada orang yang menimbulkannya kejadian itu.</w:t>
      </w:r>
      <w:r w:rsidRPr="006E7D71">
        <w:rPr>
          <w:rStyle w:val="FootnoteReference"/>
        </w:rPr>
        <w:footnoteReference w:id="13"/>
      </w:r>
    </w:p>
    <w:p w:rsidR="008538D8" w:rsidRPr="006E7D71" w:rsidRDefault="008538D8" w:rsidP="008538D8">
      <w:pPr>
        <w:ind w:left="540"/>
        <w:jc w:val="both"/>
      </w:pPr>
    </w:p>
    <w:p w:rsidR="008538D8" w:rsidRPr="006E7D71" w:rsidRDefault="008538D8" w:rsidP="008538D8">
      <w:pPr>
        <w:numPr>
          <w:ilvl w:val="0"/>
          <w:numId w:val="15"/>
        </w:numPr>
        <w:spacing w:line="480" w:lineRule="auto"/>
        <w:jc w:val="both"/>
        <w:rPr>
          <w:b/>
          <w:color w:val="000000"/>
        </w:rPr>
      </w:pPr>
      <w:bookmarkStart w:id="4" w:name="_Hlk139385923"/>
      <w:r w:rsidRPr="006E7D71">
        <w:rPr>
          <w:b/>
          <w:color w:val="000000"/>
        </w:rPr>
        <w:t>Tindak Pidana Penggelapan</w:t>
      </w:r>
      <w:bookmarkEnd w:id="4"/>
    </w:p>
    <w:p w:rsidR="008538D8" w:rsidRPr="006E7D71" w:rsidRDefault="008538D8" w:rsidP="008538D8">
      <w:pPr>
        <w:spacing w:line="456" w:lineRule="auto"/>
        <w:ind w:firstLine="748"/>
        <w:jc w:val="both"/>
      </w:pPr>
      <w:r w:rsidRPr="006E7D71">
        <w:t>Pasal 372 KUHP, merupakan tindak pidana penggelapan dalam bentuk pokok yang rumusannya berbunyi: "Barang siapa dengan sengaja menguasai secara melawan hukum sesuatu benda yang seharusnya atau sebagian merupakan kepunyaan orang lain yang berada padanya bukan karena kejahatan, karena bersalah melakukan penggelapan, dipidana dengan pidana penjara selama-lamanya 4 (empat) tahun atau dengan pidana denda setinggi-tingginya 900 (sembilan ratus) rupiah.</w:t>
      </w:r>
    </w:p>
    <w:p w:rsidR="008538D8" w:rsidRPr="006E7D71" w:rsidRDefault="008538D8" w:rsidP="008538D8">
      <w:pPr>
        <w:spacing w:line="456" w:lineRule="auto"/>
        <w:ind w:firstLine="720"/>
        <w:jc w:val="both"/>
        <w:rPr>
          <w:bCs/>
        </w:rPr>
      </w:pPr>
      <w:r w:rsidRPr="006E7D71">
        <w:rPr>
          <w:bCs/>
        </w:rPr>
        <w:t>Unsur-unsur tindak pidana penggelapan adalah:</w:t>
      </w:r>
    </w:p>
    <w:p w:rsidR="008538D8" w:rsidRPr="006E7D71" w:rsidRDefault="008538D8" w:rsidP="008538D8">
      <w:pPr>
        <w:numPr>
          <w:ilvl w:val="0"/>
          <w:numId w:val="23"/>
        </w:numPr>
        <w:spacing w:line="456" w:lineRule="auto"/>
        <w:ind w:left="360"/>
        <w:jc w:val="both"/>
      </w:pPr>
      <w:r w:rsidRPr="006E7D71">
        <w:t xml:space="preserve">Unsur Objektif </w:t>
      </w:r>
    </w:p>
    <w:p w:rsidR="008538D8" w:rsidRPr="006E7D71" w:rsidRDefault="008538D8" w:rsidP="008538D8">
      <w:pPr>
        <w:numPr>
          <w:ilvl w:val="4"/>
          <w:numId w:val="17"/>
        </w:numPr>
        <w:tabs>
          <w:tab w:val="clear" w:pos="3705"/>
          <w:tab w:val="num" w:pos="720"/>
        </w:tabs>
        <w:spacing w:line="456" w:lineRule="auto"/>
        <w:ind w:left="720"/>
        <w:jc w:val="both"/>
      </w:pPr>
      <w:r w:rsidRPr="006E7D71">
        <w:t xml:space="preserve">Perbuatan memiliki </w:t>
      </w:r>
    </w:p>
    <w:p w:rsidR="008538D8" w:rsidRPr="006E7D71" w:rsidRDefault="008538D8" w:rsidP="008538D8">
      <w:pPr>
        <w:spacing w:line="456" w:lineRule="auto"/>
        <w:ind w:firstLine="720"/>
        <w:jc w:val="both"/>
      </w:pPr>
      <w:r w:rsidRPr="006E7D71">
        <w:rPr>
          <w:i/>
          <w:iCs/>
        </w:rPr>
        <w:t xml:space="preserve">(Zicht toe igenen) </w:t>
      </w:r>
      <w:r w:rsidRPr="006E7D71">
        <w:t xml:space="preserve">diterjemahkan dengan perkataan memiliki, menganggap sebagai milik, atau ada kalanya menguasai secara melawan hak, atau mengaku sebagai milik. Mahkamah Agung dalam Putusannya tanggal 25-2-1958 Nomor 308 K/Kr/1957 menyatakan bahwa perkataan </w:t>
      </w:r>
      <w:r w:rsidRPr="006E7D71">
        <w:rPr>
          <w:i/>
          <w:iCs/>
        </w:rPr>
        <w:t xml:space="preserve">zicht toe igenen </w:t>
      </w:r>
      <w:r w:rsidRPr="006E7D71">
        <w:t xml:space="preserve">dalam bahasa Indonesia belum ada terjemahan resmi sehingga kata itu dapat diterjemahkan dengan perkataan mengambil atau memiliki. Waktu membicarakan tentang pencurian ini, telah dibicarakan tentang unsur memiliki pada kejahatan itu. </w:t>
      </w:r>
    </w:p>
    <w:p w:rsidR="008538D8" w:rsidRPr="006E7D71" w:rsidRDefault="008538D8" w:rsidP="008538D8">
      <w:pPr>
        <w:spacing w:line="456" w:lineRule="auto"/>
        <w:ind w:firstLine="720"/>
        <w:jc w:val="both"/>
      </w:pPr>
      <w:r w:rsidRPr="006E7D71">
        <w:t xml:space="preserve">Pengertian memiliki pada penggelapan ini ada bedanya dengan memiliki pada pencurian. Perbedaan ini adalah dalam hal memiliki pada pencurian adalah berupa unsur subjektif sebagai maksud untuk memiliki (benda objek kejahatan </w:t>
      </w:r>
      <w:r w:rsidRPr="006E7D71">
        <w:lastRenderedPageBreak/>
        <w:t>itu). Tetapi pada penggelapan memiliki unsur objektif yakni unsur tingkah laku atau perbuatan yang dilarang dalam penggelapan. Kalau dalam pencurian tidak disyaratkan benar-benar ada wujud dari unsur memiliki itu, karena sekedar dituju oleh unsur kesengajaan sebagai maksud saja. Tetapi memiliki pada penggelapan, karena merupakan unsur tingkah laku berupa unsur objektif maka memiliki itu harus ada bentuk/wujudnya, bentuk mana harus sudah selesai dilaksanakan sebagai syarat untuk menjadi selesainya penggelapan. Bentuk-bentuk perbuatan memiliki misalnya menjual, menukar, menghibahkan, menggadaikan, dan sebagainya.</w:t>
      </w:r>
      <w:r w:rsidRPr="006E7D71">
        <w:rPr>
          <w:rStyle w:val="FootnoteReference"/>
        </w:rPr>
        <w:footnoteReference w:id="14"/>
      </w:r>
    </w:p>
    <w:p w:rsidR="008538D8" w:rsidRPr="006E7D71" w:rsidRDefault="008538D8" w:rsidP="008538D8">
      <w:pPr>
        <w:numPr>
          <w:ilvl w:val="1"/>
          <w:numId w:val="17"/>
        </w:numPr>
        <w:tabs>
          <w:tab w:val="clear" w:pos="1545"/>
          <w:tab w:val="num" w:pos="360"/>
        </w:tabs>
        <w:spacing w:line="480" w:lineRule="auto"/>
        <w:ind w:left="360"/>
        <w:jc w:val="both"/>
      </w:pPr>
      <w:r w:rsidRPr="006E7D71">
        <w:t xml:space="preserve">Unsur objek kejahatan (sebuah benda) </w:t>
      </w:r>
    </w:p>
    <w:p w:rsidR="008538D8" w:rsidRPr="006E7D71" w:rsidRDefault="008538D8" w:rsidP="008538D8">
      <w:pPr>
        <w:spacing w:line="480" w:lineRule="auto"/>
        <w:ind w:firstLine="720"/>
        <w:jc w:val="both"/>
      </w:pPr>
      <w:r w:rsidRPr="006E7D71">
        <w:t xml:space="preserve">Benda yang menjadi objek penggelapan tidak dapat ditafsirkan lain dari sebagai benda yang bergerak dan berwujud saja. Perbuatan memiliki terhadap benda yang ada dalam kekuasaannya sebagaimana yang telah diterangkan diatas tidak mungkin dapat dilakukan pada benda-benda yang tidak berwujud. Pengertian benda yang berada dalam kekuasaannya sebagai adanya suatu hubungan langsung dan sangat erat dengan benda itu yang sebagai indikatornya ialah apabila ia hendak melakukan perbuatan terhadap benda itu, dia dapat melakukannya secara langsung tanpa harus melakukan perbuatan lain terlebih dahulu, hanya terdapat benda-benda berwujud dan bergerak saja dan tidak mungkin terjadi pada benda-benda yang tidak berwujud dan benda-benda tetap. Adalah sesuatu yang mustahil terjadi seperti penggelapan rumah, menggelapkan energi listrik maupun menggelapkan gas. </w:t>
      </w:r>
    </w:p>
    <w:p w:rsidR="008538D8" w:rsidRPr="006E7D71" w:rsidRDefault="008538D8" w:rsidP="008538D8">
      <w:pPr>
        <w:spacing w:line="504" w:lineRule="auto"/>
        <w:ind w:firstLine="720"/>
        <w:jc w:val="both"/>
      </w:pPr>
      <w:r w:rsidRPr="006E7D71">
        <w:lastRenderedPageBreak/>
        <w:t xml:space="preserve">Terjadi misalnya menjual gas dari dalam tabung yang dikuasainya karena titipan, peristiwa ini bukan penggelapan tetapi merupakan pencurian,karena orang itu dengan gas tidak berada dalam hubungan menguasai. Hubungan menguasai hanyalah terhadap tabungnya. Hanya terhadap tabungnya ia dapat melakukan segala perbuatan secara langsung tanpa melalui perbuatan lain terlebih dahulu. Lain dengan isinya untuk berbuat terhadap isinya misalnya menjualnya. Ia tidak dapat melakukannya secara langsung tanpa melakukan perbuatan lain yakni membuka kran tabung untuk mengeluarkan atau memindahkan gas tersebut. </w:t>
      </w:r>
    </w:p>
    <w:p w:rsidR="008538D8" w:rsidRPr="006E7D71" w:rsidRDefault="008538D8" w:rsidP="008538D8">
      <w:pPr>
        <w:numPr>
          <w:ilvl w:val="1"/>
          <w:numId w:val="17"/>
        </w:numPr>
        <w:tabs>
          <w:tab w:val="clear" w:pos="1545"/>
          <w:tab w:val="num" w:pos="360"/>
        </w:tabs>
        <w:spacing w:line="504" w:lineRule="auto"/>
        <w:ind w:left="360"/>
        <w:jc w:val="both"/>
      </w:pPr>
      <w:r w:rsidRPr="006E7D71">
        <w:t xml:space="preserve">Sebagian atau seluruhnya milik orang lain </w:t>
      </w:r>
    </w:p>
    <w:p w:rsidR="008538D8" w:rsidRPr="006E7D71" w:rsidRDefault="008538D8" w:rsidP="008538D8">
      <w:pPr>
        <w:spacing w:line="504" w:lineRule="auto"/>
        <w:ind w:firstLine="720"/>
        <w:jc w:val="both"/>
      </w:pPr>
      <w:r w:rsidRPr="006E7D71">
        <w:t>Benda yang tidak ada pemiliknya, baik sejak semula maupun telah dilepaskan hak miliknya tidak dapat menjadi objek penggelapan.</w:t>
      </w:r>
      <w:r w:rsidRPr="006E7D71">
        <w:rPr>
          <w:rStyle w:val="FootnoteReference"/>
        </w:rPr>
        <w:footnoteReference w:id="15"/>
      </w:r>
      <w:r w:rsidRPr="006E7D71">
        <w:t xml:space="preserve"> Benda milik suatu badan hukum seperti milik negara adalah berupa benda yang tidak/bukan milik petindak dan oleh karena itu dapat menjadi objek penggelapan maupun pencurian. Orang lain yang dimaksud sebagai pemilik benda yang menjadi objek penggelapan, tidak menjadi syarat sebagai orang itu adalah korban atau orang tertentu melainkan siapa saja asalkan bukan petindak sendiri. </w:t>
      </w:r>
    </w:p>
    <w:p w:rsidR="008538D8" w:rsidRPr="006E7D71" w:rsidRDefault="008538D8" w:rsidP="008538D8">
      <w:pPr>
        <w:numPr>
          <w:ilvl w:val="1"/>
          <w:numId w:val="17"/>
        </w:numPr>
        <w:tabs>
          <w:tab w:val="clear" w:pos="1545"/>
          <w:tab w:val="num" w:pos="360"/>
        </w:tabs>
        <w:spacing w:line="504" w:lineRule="auto"/>
        <w:ind w:left="360"/>
        <w:jc w:val="both"/>
      </w:pPr>
      <w:r w:rsidRPr="006E7D71">
        <w:t xml:space="preserve">Benda berada dalam kekuasaannya bukan karena kejahatan </w:t>
      </w:r>
    </w:p>
    <w:p w:rsidR="008538D8" w:rsidRPr="006E7D71" w:rsidRDefault="008538D8" w:rsidP="008538D8">
      <w:pPr>
        <w:spacing w:line="504" w:lineRule="auto"/>
        <w:ind w:firstLine="720"/>
        <w:jc w:val="both"/>
      </w:pPr>
      <w:r w:rsidRPr="006E7D71">
        <w:t xml:space="preserve">Ada dua unsur yakni berada dalam kekuasaannya dan bukan karena kejahatan. Perihal unsur berada dalam kekuasaaanya seperti yang telah disinggung diatas, suatu benda berada dalam kekuasaan seseorang apabila antara orang itu dengan benda terdapat hubungan sedemikian eratnya sehingga apabila ia akan </w:t>
      </w:r>
      <w:r w:rsidRPr="006E7D71">
        <w:lastRenderedPageBreak/>
        <w:t xml:space="preserve">melakukan segala macam perbuatan terhadap benda itu ia dapat segera melakukannya secara langsung tanpa terlebih dahulu harus melakukan perbuatan yang lain. Misalnya ia langsung dapat melakukan perbuatan seperti menjual, menghibahkan, menukarnya dan sebagainya tanpa harus melakukan perbuatan lain terlebih dahulu (perbuatan yang terakhir mana merupakan perbuatan antara agar ia dapat berbuat secara langsung). </w:t>
      </w:r>
    </w:p>
    <w:p w:rsidR="008538D8" w:rsidRPr="006E7D71" w:rsidRDefault="008538D8" w:rsidP="008538D8">
      <w:pPr>
        <w:numPr>
          <w:ilvl w:val="0"/>
          <w:numId w:val="23"/>
        </w:numPr>
        <w:spacing w:line="456" w:lineRule="auto"/>
        <w:ind w:left="360"/>
        <w:jc w:val="both"/>
      </w:pPr>
      <w:r w:rsidRPr="006E7D71">
        <w:t xml:space="preserve">Unsur Subjektif </w:t>
      </w:r>
    </w:p>
    <w:p w:rsidR="008538D8" w:rsidRPr="006E7D71" w:rsidRDefault="008538D8" w:rsidP="008538D8">
      <w:pPr>
        <w:numPr>
          <w:ilvl w:val="4"/>
          <w:numId w:val="17"/>
        </w:numPr>
        <w:tabs>
          <w:tab w:val="clear" w:pos="3705"/>
          <w:tab w:val="num" w:pos="720"/>
        </w:tabs>
        <w:spacing w:line="456" w:lineRule="auto"/>
        <w:ind w:left="720"/>
        <w:jc w:val="both"/>
      </w:pPr>
      <w:r w:rsidRPr="006E7D71">
        <w:t xml:space="preserve">Unsur kesengajaan </w:t>
      </w:r>
    </w:p>
    <w:p w:rsidR="008538D8" w:rsidRPr="006E7D71" w:rsidRDefault="008538D8" w:rsidP="008538D8">
      <w:pPr>
        <w:spacing w:line="516" w:lineRule="auto"/>
        <w:ind w:firstLine="720"/>
        <w:jc w:val="both"/>
      </w:pPr>
      <w:r w:rsidRPr="006E7D71">
        <w:rPr>
          <w:iCs/>
        </w:rPr>
        <w:t>Seseorang yang berbuat dengan sengaja itu harus dikehendaki apa yang diperbuat dan harus diketahui juga atas apa yang diperbuat</w:t>
      </w:r>
      <w:r w:rsidRPr="006E7D71">
        <w:t>”.</w:t>
      </w:r>
      <w:r w:rsidRPr="006E7D71">
        <w:rPr>
          <w:rStyle w:val="FootnoteReference"/>
        </w:rPr>
        <w:footnoteReference w:id="16"/>
      </w:r>
      <w:r w:rsidRPr="006E7D71">
        <w:t xml:space="preserve"> Rumusan “sengaja” pada umumnya dicantumkan dalam suatu norma pidana. Akan tetapi adakalanya rumusan “sengaja” telah dengan sendirinya tercakup dalam suatu “perkataan”, misalnya perkataan “memaksa”.</w:t>
      </w:r>
      <w:r w:rsidRPr="006E7D71">
        <w:rPr>
          <w:rStyle w:val="FootnoteReference"/>
        </w:rPr>
        <w:footnoteReference w:id="17"/>
      </w:r>
    </w:p>
    <w:p w:rsidR="008538D8" w:rsidRPr="006E7D71" w:rsidRDefault="008538D8" w:rsidP="008538D8">
      <w:pPr>
        <w:numPr>
          <w:ilvl w:val="4"/>
          <w:numId w:val="17"/>
        </w:numPr>
        <w:tabs>
          <w:tab w:val="clear" w:pos="3705"/>
          <w:tab w:val="num" w:pos="360"/>
        </w:tabs>
        <w:spacing w:line="516" w:lineRule="auto"/>
        <w:ind w:left="360"/>
        <w:jc w:val="both"/>
      </w:pPr>
      <w:r w:rsidRPr="006E7D71">
        <w:t xml:space="preserve">Unsur kealpaan, sebagaimana yang disebut dalam Pasal 359 KUHP. </w:t>
      </w:r>
    </w:p>
    <w:p w:rsidR="008538D8" w:rsidRPr="006E7D71" w:rsidRDefault="008538D8" w:rsidP="008538D8">
      <w:pPr>
        <w:spacing w:line="516" w:lineRule="auto"/>
        <w:ind w:firstLine="720"/>
        <w:jc w:val="both"/>
      </w:pPr>
      <w:r w:rsidRPr="006E7D71">
        <w:t>Simons menerangkan kealpaan” bahwa pada umumnya kealpaan itu terdiri atas dua bagian, yaitu tidak berhati-hati melakukan suatu perbuatan, disamping dapat menduga akibat perbuatan itu. Namun, meskipun suatu perbuatan dilakukan dengan hati-hati masih mungkin juga terjadi kealpaan jika yang berbuat itu telah mengetahui bahwa dari perbuatan itu mungkin akan timbul suatu akibat yang dilarang undang-undang.</w:t>
      </w:r>
      <w:r w:rsidRPr="006E7D71">
        <w:rPr>
          <w:rStyle w:val="FootnoteReference"/>
        </w:rPr>
        <w:footnoteReference w:id="18"/>
      </w:r>
    </w:p>
    <w:p w:rsidR="008538D8" w:rsidRPr="006E7D71" w:rsidRDefault="008538D8" w:rsidP="008538D8">
      <w:pPr>
        <w:pStyle w:val="Default"/>
        <w:numPr>
          <w:ilvl w:val="4"/>
          <w:numId w:val="17"/>
        </w:numPr>
        <w:tabs>
          <w:tab w:val="clear" w:pos="3705"/>
          <w:tab w:val="num" w:pos="360"/>
        </w:tabs>
        <w:spacing w:line="456" w:lineRule="auto"/>
        <w:ind w:left="360"/>
        <w:rPr>
          <w:rFonts w:ascii="Times New Roman" w:hAnsi="Times New Roman" w:cs="Times New Roman"/>
        </w:rPr>
      </w:pPr>
      <w:r w:rsidRPr="006E7D71">
        <w:rPr>
          <w:rFonts w:ascii="Times New Roman" w:hAnsi="Times New Roman" w:cs="Times New Roman"/>
        </w:rPr>
        <w:lastRenderedPageBreak/>
        <w:t xml:space="preserve">Unsur melawan hukum </w:t>
      </w:r>
    </w:p>
    <w:p w:rsidR="008538D8" w:rsidRPr="006E7D71" w:rsidRDefault="008538D8" w:rsidP="008538D8">
      <w:pPr>
        <w:spacing w:line="480" w:lineRule="auto"/>
        <w:ind w:firstLine="720"/>
        <w:jc w:val="both"/>
      </w:pPr>
      <w:r w:rsidRPr="006E7D71">
        <w:t xml:space="preserve">Melawan hukum dalam bahasa Belanda, adalah </w:t>
      </w:r>
      <w:r w:rsidRPr="006E7D71">
        <w:rPr>
          <w:i/>
        </w:rPr>
        <w:t>wederrechtelijk</w:t>
      </w:r>
      <w:r w:rsidRPr="006E7D71">
        <w:t xml:space="preserve"> berasal dari kata </w:t>
      </w:r>
      <w:r w:rsidRPr="006E7D71">
        <w:rPr>
          <w:i/>
        </w:rPr>
        <w:t>weder</w:t>
      </w:r>
      <w:r w:rsidRPr="006E7D71">
        <w:t xml:space="preserve"> = bertentangan dengan atau melawan,</w:t>
      </w:r>
      <w:r w:rsidRPr="006E7D71">
        <w:rPr>
          <w:i/>
        </w:rPr>
        <w:t xml:space="preserve"> recht</w:t>
      </w:r>
      <w:r w:rsidRPr="006E7D71">
        <w:t xml:space="preserve"> = hukum jadi </w:t>
      </w:r>
      <w:r w:rsidRPr="006E7D71">
        <w:rPr>
          <w:i/>
          <w:iCs/>
        </w:rPr>
        <w:t xml:space="preserve">wederrechtelijk </w:t>
      </w:r>
      <w:r w:rsidRPr="006E7D71">
        <w:t>adalah bertentangan dengan hukum atau melawan hukum.</w:t>
      </w:r>
      <w:r w:rsidRPr="006E7D71">
        <w:rPr>
          <w:rStyle w:val="FootnoteReference"/>
        </w:rPr>
        <w:footnoteReference w:id="19"/>
      </w:r>
      <w:r w:rsidRPr="006E7D71">
        <w:t xml:space="preserve"> Menjatuhkan suatu pidana, unsur-unsur tindak pidana pada suatu pasal harus dipenuhi. </w:t>
      </w:r>
    </w:p>
    <w:p w:rsidR="008538D8" w:rsidRPr="006E7D71" w:rsidRDefault="008538D8" w:rsidP="008538D8">
      <w:pPr>
        <w:spacing w:line="480" w:lineRule="auto"/>
        <w:ind w:firstLine="720"/>
        <w:jc w:val="both"/>
      </w:pPr>
      <w:r w:rsidRPr="006E7D71">
        <w:t>Salah satu unsur yang harus dipenuhi adalah sifat melawan hukum baik secara eksplisit maupun secara implist diatur dalam suatu pasal. Pengertian sifat melawan hukum yang demikian disebut  dengan melawan hukum formil.</w:t>
      </w:r>
      <w:r w:rsidRPr="006E7D71">
        <w:rPr>
          <w:rStyle w:val="FootnoteReference"/>
        </w:rPr>
        <w:footnoteReference w:id="20"/>
      </w:r>
      <w:r w:rsidRPr="006E7D71">
        <w:t xml:space="preserve"> Ajaran melawan hukum dalam hukum pidana berdasarkan doktrin dibedakan menjadi dua yaitu ajaran sifat melawan hukum formil dan sifat melawan hukum materiil.</w:t>
      </w:r>
    </w:p>
    <w:p w:rsidR="008538D8" w:rsidRPr="006E7D71" w:rsidRDefault="008538D8" w:rsidP="008538D8">
      <w:pPr>
        <w:pStyle w:val="Default"/>
        <w:spacing w:line="480" w:lineRule="auto"/>
        <w:ind w:firstLine="720"/>
        <w:jc w:val="both"/>
        <w:rPr>
          <w:rFonts w:ascii="Times New Roman" w:hAnsi="Times New Roman" w:cs="Times New Roman"/>
        </w:rPr>
      </w:pPr>
      <w:r w:rsidRPr="006E7D71">
        <w:rPr>
          <w:rFonts w:ascii="Times New Roman" w:hAnsi="Times New Roman" w:cs="Times New Roman"/>
        </w:rPr>
        <w:t xml:space="preserve">Yurisprudensi pernah menyebut sebagai orang yang melakukan penggelapan atas benda yang ada padanya karena hubungan kerja pribadinya itu antara lain anggota-anggota pengurus Perseroan Terbatas (PT). Perlu diketahui bahwa kata-kata </w:t>
      </w:r>
      <w:r w:rsidRPr="006E7D71">
        <w:rPr>
          <w:rFonts w:ascii="Times New Roman" w:hAnsi="Times New Roman" w:cs="Times New Roman"/>
          <w:i/>
          <w:iCs/>
        </w:rPr>
        <w:t xml:space="preserve">personlijke dienstbetrekking </w:t>
      </w:r>
      <w:r w:rsidRPr="006E7D71">
        <w:rPr>
          <w:rFonts w:ascii="Times New Roman" w:hAnsi="Times New Roman" w:cs="Times New Roman"/>
        </w:rPr>
        <w:t xml:space="preserve">ataupun telah diterjemahkan dalam kata-kata hubungan kerja pribadi dan yang secara material artinya hubungan kerja yang timbul karena perjanjian kerja itu oleh para penerjemah </w:t>
      </w:r>
      <w:r w:rsidRPr="006E7D71">
        <w:rPr>
          <w:rFonts w:ascii="Times New Roman" w:hAnsi="Times New Roman" w:cs="Times New Roman"/>
          <w:i/>
          <w:iCs/>
        </w:rPr>
        <w:t xml:space="preserve">Wetboek van Strafrecht </w:t>
      </w:r>
      <w:r w:rsidRPr="006E7D71">
        <w:rPr>
          <w:rFonts w:ascii="Times New Roman" w:hAnsi="Times New Roman" w:cs="Times New Roman"/>
        </w:rPr>
        <w:t>dan telah diartikan secara berbeda-beda, yakni ada yang mengartikan sebagai jabatannya atau berhubungan dengan pekerjaannya.</w:t>
      </w:r>
    </w:p>
    <w:p w:rsidR="008538D8" w:rsidRPr="006E7D71" w:rsidRDefault="008538D8" w:rsidP="008538D8">
      <w:pPr>
        <w:spacing w:line="480" w:lineRule="auto"/>
        <w:ind w:firstLine="720"/>
        <w:jc w:val="both"/>
      </w:pPr>
      <w:r w:rsidRPr="006E7D71">
        <w:t xml:space="preserve">Kata-kata </w:t>
      </w:r>
      <w:r w:rsidRPr="006E7D71">
        <w:rPr>
          <w:i/>
          <w:iCs/>
        </w:rPr>
        <w:t xml:space="preserve">personlijke dienstbetrekking </w:t>
      </w:r>
      <w:r w:rsidRPr="006E7D71">
        <w:rPr>
          <w:iCs/>
        </w:rPr>
        <w:t xml:space="preserve">jika </w:t>
      </w:r>
      <w:r w:rsidRPr="006E7D71">
        <w:t xml:space="preserve">harus diartikan sebagai hubungan kerja pada umumnya, sudah barang tentu pemberian arti seperti itu tidaklah benar karena hubungan kerja dapat saja timbul karena adanya ikatan </w:t>
      </w:r>
      <w:r w:rsidRPr="006E7D71">
        <w:lastRenderedPageBreak/>
        <w:t>dinas, dimana seseorang dapat diangkat secara sepihak oleh kekuasaan umum untuk menduduki suatu jabatan tertentu, sedangkan kata-kata hubungan kerja pribadi menujukkan bahwa penunjukan tentang jenis pekerjaan yang perlu dilakukan atau penentuan tentang besarnya imbalan yang akan diterima oleh pihak yang satu itu tidak ditentukan secara sepihak oleh pihak lain, melainkan diperjanjikan didalam suatu perjanjian kerja. Pasal 374 KUHPidana jelas bahwa yang diatur bukan masalah tindak pidana penggelapan yang dilakukan dalam jabatan seperti yang dimaksudkan diatas, melainkan hanya tindak pidana penggelapan yang dilakukan oleh perilaku dalam fungsi-fungsi tertentu.</w:t>
      </w:r>
    </w:p>
    <w:p w:rsidR="008538D8" w:rsidRPr="006E7D71" w:rsidRDefault="008538D8" w:rsidP="008538D8">
      <w:pPr>
        <w:spacing w:line="480" w:lineRule="auto"/>
        <w:ind w:firstLine="709"/>
        <w:jc w:val="both"/>
        <w:rPr>
          <w:iCs/>
        </w:rPr>
      </w:pPr>
      <w:r w:rsidRPr="006E7D71">
        <w:t xml:space="preserve">Berdasarkan rumusan penggelapan tesebut di atas, jika dirinci terdiri dari unsur-unsur objektif meliputi perbuatan memiliki, sesuatu benda </w:t>
      </w:r>
      <w:r w:rsidRPr="006E7D71">
        <w:rPr>
          <w:i/>
          <w:iCs/>
        </w:rPr>
        <w:t>(eenig goed)</w:t>
      </w:r>
      <w:r w:rsidRPr="006E7D71">
        <w:t xml:space="preserve">, yang sebagian atau seluruhnya milik orang lain, yang berada dalam kekuasaannya bukan karena kejahatan, dan unsur-unsur subjektif meliputi penggelapan dengan sengaja </w:t>
      </w:r>
      <w:r w:rsidRPr="006E7D71">
        <w:rPr>
          <w:i/>
          <w:iCs/>
        </w:rPr>
        <w:t xml:space="preserve">(opzettelijk), </w:t>
      </w:r>
      <w:r w:rsidRPr="006E7D71">
        <w:t xml:space="preserve">dan penggelapan melawan hukum </w:t>
      </w:r>
      <w:r w:rsidRPr="006E7D71">
        <w:rPr>
          <w:i/>
          <w:iCs/>
        </w:rPr>
        <w:t>(wederechtelijk)</w:t>
      </w:r>
      <w:r w:rsidRPr="006E7D71">
        <w:rPr>
          <w:iCs/>
        </w:rPr>
        <w:t>.</w:t>
      </w:r>
      <w:r w:rsidRPr="006E7D71">
        <w:rPr>
          <w:rStyle w:val="FootnoteReference"/>
          <w:iCs/>
        </w:rPr>
        <w:footnoteReference w:id="21"/>
      </w:r>
    </w:p>
    <w:p w:rsidR="008538D8" w:rsidRPr="006E7D71" w:rsidRDefault="008538D8" w:rsidP="008538D8">
      <w:pPr>
        <w:ind w:firstLine="709"/>
        <w:jc w:val="both"/>
        <w:rPr>
          <w:iCs/>
        </w:rPr>
      </w:pPr>
    </w:p>
    <w:p w:rsidR="008538D8" w:rsidRPr="006E7D71" w:rsidRDefault="008538D8" w:rsidP="008538D8">
      <w:pPr>
        <w:numPr>
          <w:ilvl w:val="0"/>
          <w:numId w:val="15"/>
        </w:numPr>
        <w:jc w:val="both"/>
        <w:rPr>
          <w:b/>
          <w:color w:val="000000"/>
        </w:rPr>
      </w:pPr>
      <w:r w:rsidRPr="006E7D71">
        <w:rPr>
          <w:b/>
        </w:rPr>
        <w:t>Jenis-Jenis</w:t>
      </w:r>
      <w:r w:rsidRPr="006E7D71">
        <w:rPr>
          <w:b/>
          <w:color w:val="000000"/>
        </w:rPr>
        <w:t xml:space="preserve"> Tindak Pidana Penggelapan.</w:t>
      </w:r>
    </w:p>
    <w:p w:rsidR="008538D8" w:rsidRPr="006E7D71" w:rsidRDefault="008538D8" w:rsidP="008538D8">
      <w:pPr>
        <w:tabs>
          <w:tab w:val="num" w:pos="2370"/>
        </w:tabs>
        <w:ind w:left="360"/>
        <w:jc w:val="both"/>
        <w:rPr>
          <w:b/>
          <w:color w:val="000000"/>
        </w:rPr>
      </w:pPr>
    </w:p>
    <w:p w:rsidR="008538D8" w:rsidRPr="006E7D71" w:rsidRDefault="008538D8" w:rsidP="008538D8">
      <w:pPr>
        <w:spacing w:line="456" w:lineRule="auto"/>
        <w:ind w:firstLine="709"/>
        <w:jc w:val="both"/>
      </w:pPr>
      <w:r w:rsidRPr="006E7D71">
        <w:t>Bab XXIV (buku II) KUHP mengatur tentang penggelapan yang terdiri dari 6 Pasal yaitu Pasal 372 - 377. Dengan melihat cara perbuatan yang dilakukan, maka kejahatan penggelapan terbagi atas beberapa bentuk, yaitu :</w:t>
      </w:r>
    </w:p>
    <w:p w:rsidR="008538D8" w:rsidRPr="006E7D71" w:rsidRDefault="008538D8" w:rsidP="008538D8">
      <w:pPr>
        <w:numPr>
          <w:ilvl w:val="3"/>
          <w:numId w:val="15"/>
        </w:numPr>
        <w:tabs>
          <w:tab w:val="clear" w:pos="2880"/>
        </w:tabs>
        <w:spacing w:line="456" w:lineRule="auto"/>
        <w:ind w:left="360"/>
        <w:jc w:val="both"/>
      </w:pPr>
      <w:r w:rsidRPr="006E7D71">
        <w:t xml:space="preserve">Penggelapan dalam bentuk pokok </w:t>
      </w:r>
    </w:p>
    <w:p w:rsidR="008538D8" w:rsidRPr="006E7D71" w:rsidRDefault="008538D8" w:rsidP="008538D8">
      <w:pPr>
        <w:spacing w:line="456" w:lineRule="auto"/>
        <w:ind w:firstLine="720"/>
        <w:jc w:val="both"/>
      </w:pPr>
      <w:r w:rsidRPr="006E7D71">
        <w:t xml:space="preserve">Kejahatan penggelapan ini diatur dalam Pasal 372 KUHP sebagaimana telah diterangkan terdahulu. Benda yang menjadi objek kejahatan ini tidak ditentukan jumlah atau harganya. Pasal 372 KUHP menyatakan“ Barang siapa </w:t>
      </w:r>
      <w:r w:rsidRPr="006E7D71">
        <w:lastRenderedPageBreak/>
        <w:t>dengan sengaja memiliki dengan melawan hak sesutu barang yang sama sekali atau sebagiannya termasuk kepunyaan orang lain dan barang itu ada dalam tangannya bukan karena kejahatan, dihukum karena penggelapan, dengan hukuman penjara selama-lamanya empat tahun atau denda sebanyak-banyaknya Rp.900,-“ Berdasarkan rumusan penggelapan sebagaimana tersebut di atas, jika dirinci terdiri dari unsur-unsur sebagai berikut :</w:t>
      </w:r>
    </w:p>
    <w:p w:rsidR="008538D8" w:rsidRPr="006E7D71" w:rsidRDefault="008538D8" w:rsidP="008538D8">
      <w:pPr>
        <w:spacing w:line="480" w:lineRule="auto"/>
        <w:ind w:firstLine="720"/>
        <w:jc w:val="both"/>
      </w:pPr>
      <w:r w:rsidRPr="006E7D71">
        <w:t xml:space="preserve">Berdasarkan rumusan Pasal 372 KUHPidana tersebut di atas dapat dilihat bahwa unsur yang ada di dalamnya sebagai berikut : </w:t>
      </w:r>
    </w:p>
    <w:p w:rsidR="008538D8" w:rsidRPr="006E7D71" w:rsidRDefault="008538D8" w:rsidP="008538D8">
      <w:pPr>
        <w:numPr>
          <w:ilvl w:val="3"/>
          <w:numId w:val="18"/>
        </w:numPr>
        <w:tabs>
          <w:tab w:val="clear" w:pos="2880"/>
        </w:tabs>
        <w:ind w:left="1080"/>
        <w:jc w:val="both"/>
        <w:rPr>
          <w:b/>
          <w:bCs/>
        </w:rPr>
      </w:pPr>
      <w:r w:rsidRPr="006E7D71">
        <w:t xml:space="preserve">Unsur objektif : </w:t>
      </w:r>
    </w:p>
    <w:p w:rsidR="008538D8" w:rsidRPr="006E7D71" w:rsidRDefault="008538D8" w:rsidP="008538D8">
      <w:pPr>
        <w:numPr>
          <w:ilvl w:val="4"/>
          <w:numId w:val="18"/>
        </w:numPr>
        <w:tabs>
          <w:tab w:val="clear" w:pos="3600"/>
          <w:tab w:val="left" w:pos="1418"/>
        </w:tabs>
        <w:ind w:left="1418"/>
        <w:jc w:val="both"/>
        <w:rPr>
          <w:b/>
          <w:bCs/>
        </w:rPr>
      </w:pPr>
      <w:r w:rsidRPr="006E7D71">
        <w:t>Barang siapa</w:t>
      </w:r>
    </w:p>
    <w:p w:rsidR="008538D8" w:rsidRPr="006E7D71" w:rsidRDefault="008538D8" w:rsidP="008538D8">
      <w:pPr>
        <w:numPr>
          <w:ilvl w:val="4"/>
          <w:numId w:val="18"/>
        </w:numPr>
        <w:tabs>
          <w:tab w:val="clear" w:pos="3600"/>
          <w:tab w:val="left" w:pos="1418"/>
        </w:tabs>
        <w:ind w:left="1418"/>
        <w:jc w:val="both"/>
        <w:rPr>
          <w:b/>
          <w:bCs/>
        </w:rPr>
      </w:pPr>
      <w:r w:rsidRPr="006E7D71">
        <w:t xml:space="preserve">Menguasai secara melawan hukum </w:t>
      </w:r>
    </w:p>
    <w:p w:rsidR="008538D8" w:rsidRPr="006E7D71" w:rsidRDefault="008538D8" w:rsidP="008538D8">
      <w:pPr>
        <w:numPr>
          <w:ilvl w:val="4"/>
          <w:numId w:val="18"/>
        </w:numPr>
        <w:tabs>
          <w:tab w:val="clear" w:pos="3600"/>
          <w:tab w:val="left" w:pos="1418"/>
        </w:tabs>
        <w:ind w:left="1418"/>
        <w:jc w:val="both"/>
        <w:rPr>
          <w:b/>
          <w:bCs/>
        </w:rPr>
      </w:pPr>
      <w:r w:rsidRPr="006E7D71">
        <w:t xml:space="preserve">Sebagian atau seluruhnya milik orang lain, dan </w:t>
      </w:r>
    </w:p>
    <w:p w:rsidR="008538D8" w:rsidRPr="006E7D71" w:rsidRDefault="008538D8" w:rsidP="008538D8">
      <w:pPr>
        <w:numPr>
          <w:ilvl w:val="4"/>
          <w:numId w:val="18"/>
        </w:numPr>
        <w:tabs>
          <w:tab w:val="clear" w:pos="3600"/>
          <w:tab w:val="left" w:pos="1418"/>
        </w:tabs>
        <w:ind w:left="1418"/>
        <w:jc w:val="both"/>
        <w:rPr>
          <w:b/>
          <w:bCs/>
        </w:rPr>
      </w:pPr>
      <w:r w:rsidRPr="006E7D71">
        <w:t xml:space="preserve">Benda berada dalam kekuasannya bukan karena kejahatan </w:t>
      </w:r>
    </w:p>
    <w:p w:rsidR="008538D8" w:rsidRPr="006E7D71" w:rsidRDefault="008538D8" w:rsidP="008538D8">
      <w:pPr>
        <w:numPr>
          <w:ilvl w:val="3"/>
          <w:numId w:val="18"/>
        </w:numPr>
        <w:tabs>
          <w:tab w:val="clear" w:pos="2880"/>
        </w:tabs>
        <w:ind w:left="1080"/>
        <w:jc w:val="both"/>
        <w:rPr>
          <w:b/>
          <w:bCs/>
        </w:rPr>
      </w:pPr>
      <w:r w:rsidRPr="006E7D71">
        <w:t>Unsur subjektif : Kesengajaan.</w:t>
      </w:r>
      <w:r w:rsidRPr="006E7D71">
        <w:rPr>
          <w:rStyle w:val="FootnoteReference"/>
        </w:rPr>
        <w:footnoteReference w:id="22"/>
      </w:r>
    </w:p>
    <w:p w:rsidR="008538D8" w:rsidRPr="006E7D71" w:rsidRDefault="008538D8" w:rsidP="008538D8">
      <w:pPr>
        <w:tabs>
          <w:tab w:val="left" w:pos="709"/>
        </w:tabs>
        <w:ind w:left="709"/>
        <w:jc w:val="both"/>
        <w:rPr>
          <w:b/>
          <w:bCs/>
        </w:rPr>
      </w:pPr>
    </w:p>
    <w:p w:rsidR="008538D8" w:rsidRPr="006E7D71" w:rsidRDefault="008538D8" w:rsidP="008538D8">
      <w:pPr>
        <w:spacing w:line="480" w:lineRule="auto"/>
        <w:ind w:firstLine="720"/>
        <w:jc w:val="both"/>
      </w:pPr>
      <w:r w:rsidRPr="006E7D71">
        <w:t>Unsur memiliki yang terkandung dalam penggelapan biasa, Adami Chazawi mengemukakan bahwa perbuatan memiliki itu adalah perbuatan terhadap suatu benda oleh orang-orang yang seolah-olah pemiliknya, perbuatan mana bertentangan dengan sifat dari hak yang ada padanya atas benda tersebut. Perlu diperhatikan bahwa hal tersebut tidak dapat berlaku umum, dalam beberapa kasus tertentu mungkin tidak dapat diterapkan, satu dan lain hal karena alsan-alasan tertentu, misalnya keadilan.</w:t>
      </w:r>
      <w:r w:rsidRPr="006E7D71">
        <w:rPr>
          <w:rStyle w:val="FootnoteReference"/>
        </w:rPr>
        <w:footnoteReference w:id="23"/>
      </w:r>
    </w:p>
    <w:p w:rsidR="008538D8" w:rsidRPr="006E7D71" w:rsidRDefault="008538D8" w:rsidP="008538D8">
      <w:pPr>
        <w:numPr>
          <w:ilvl w:val="3"/>
          <w:numId w:val="15"/>
        </w:numPr>
        <w:tabs>
          <w:tab w:val="clear" w:pos="2880"/>
        </w:tabs>
        <w:spacing w:line="480" w:lineRule="auto"/>
        <w:ind w:left="360"/>
        <w:jc w:val="both"/>
        <w:rPr>
          <w:i/>
        </w:rPr>
      </w:pPr>
      <w:r w:rsidRPr="006E7D71">
        <w:t xml:space="preserve">Penggelapan ringan </w:t>
      </w:r>
      <w:r w:rsidRPr="006E7D71">
        <w:rPr>
          <w:i/>
        </w:rPr>
        <w:t xml:space="preserve">(lichte verduistering) </w:t>
      </w:r>
    </w:p>
    <w:p w:rsidR="008538D8" w:rsidRPr="006E7D71" w:rsidRDefault="008538D8" w:rsidP="008538D8">
      <w:pPr>
        <w:spacing w:line="456" w:lineRule="auto"/>
        <w:ind w:firstLine="720"/>
        <w:jc w:val="both"/>
      </w:pPr>
      <w:r w:rsidRPr="006E7D71">
        <w:t xml:space="preserve">Dikatakan penggelapan ringan, bila objek dari kejahatan bukan dari hewan atau benda itu berharga tidak lebih dari Rp 250,-. Besarnya ketentuan harga ini </w:t>
      </w:r>
      <w:r w:rsidRPr="006E7D71">
        <w:lastRenderedPageBreak/>
        <w:t xml:space="preserve">tidak sesuai lagi dengan keadaan sekarang ini. Namun demikian dalam praktek disesuaikan dengan kondisi sekarang dan tergantung pada pertimbangan hakim. Kejahatan ini diatur dalam Pasal 373 KUHP dengan ancaman hukuman selama-lamanya 3 bulan atau denda sebanyak-banyaknya Rp 900,-. </w:t>
      </w:r>
    </w:p>
    <w:p w:rsidR="008538D8" w:rsidRPr="006E7D71" w:rsidRDefault="008538D8" w:rsidP="008538D8">
      <w:pPr>
        <w:spacing w:line="480" w:lineRule="auto"/>
        <w:ind w:firstLine="720"/>
        <w:jc w:val="both"/>
      </w:pPr>
      <w:r w:rsidRPr="006E7D71">
        <w:t>Pasal 373 KUHP menentukan bahwa “ Perbuatan yang diterangkan dalam Pasal 372, jika yang digelapkan itu bukan hewan dan harganya tidak lebih dari Rp 250,-, dihukum, karena penggelapn ringan, dengan hukuman penjara selama-lamanya 3 bulan atau denda sebanyak-banyaknya Rp 900,-“  Berdasarkan rumusan Pasal 373 di atas, menurut Tongat mengemukakan bahwa unsur-unsur tindak pidana penggelapan ringan sama dengan unsurunsur tindak pidana penggelapan dalam bentuknya yang pokok, hanya di dalam tindak pidana penggelapan haruslah dipenuhi unsur, yang digelapkan itu bukanlah ternak dan harga barang yang digelapkan tidak lebih dari dua puluh lima rupiah.</w:t>
      </w:r>
      <w:r w:rsidRPr="006E7D71">
        <w:rPr>
          <w:rStyle w:val="FootnoteReference"/>
        </w:rPr>
        <w:footnoteReference w:id="24"/>
      </w:r>
    </w:p>
    <w:p w:rsidR="008538D8" w:rsidRPr="006E7D71" w:rsidRDefault="008538D8" w:rsidP="008538D8">
      <w:pPr>
        <w:spacing w:line="480" w:lineRule="auto"/>
        <w:ind w:firstLine="720"/>
        <w:jc w:val="both"/>
      </w:pPr>
      <w:r w:rsidRPr="006E7D71">
        <w:t xml:space="preserve">Tindak pidana penggelapan yang diatur dalam Pasal 373 KUHPidana di dalam doktrin juga disebut sebagai suatu </w:t>
      </w:r>
      <w:r w:rsidRPr="006E7D71">
        <w:rPr>
          <w:i/>
          <w:iCs/>
        </w:rPr>
        <w:t xml:space="preserve">gepriviuligieerde verduistering </w:t>
      </w:r>
      <w:r w:rsidRPr="006E7D71">
        <w:t>yakni tindak pidana penggelapan dengan unsur-unsur yang meringankan.</w:t>
      </w:r>
      <w:r w:rsidRPr="006E7D71">
        <w:rPr>
          <w:rStyle w:val="FootnoteReference"/>
        </w:rPr>
        <w:footnoteReference w:id="25"/>
      </w:r>
      <w:r w:rsidRPr="006E7D71">
        <w:t xml:space="preserve"> Unsur-unsur yang meringankan di dalam tindak pidana penggelapan yang diatur dalam Pasal 373 KUHPidana adalah, karena yang menjadi objek tindak pidana penggelapan tersebut.</w:t>
      </w:r>
    </w:p>
    <w:p w:rsidR="008538D8" w:rsidRPr="006E7D71" w:rsidRDefault="008538D8" w:rsidP="008538D8">
      <w:pPr>
        <w:spacing w:line="480" w:lineRule="auto"/>
        <w:ind w:firstLine="720"/>
        <w:jc w:val="both"/>
      </w:pPr>
      <w:r w:rsidRPr="006E7D71">
        <w:t xml:space="preserve">Penggelapan ini menjadi ringan, terletak dari objeknya bukan ternak dan nilainya tidak lebih dari Rp 250,00. Dengan demikian terhadap ternak tidak mungkin terjadi penggelapan ringan. Di dalam Pasal 101 KUHP dinyatakan “yang </w:t>
      </w:r>
      <w:r w:rsidRPr="006E7D71">
        <w:lastRenderedPageBreak/>
        <w:t>dikatakan hewan, yaitu binatang yang berkuku satu, binatang yang  memamah biak dan babi”. Binatang yang berkuku satu misalnya kuda, keledai dan sebagainya sedang  binatang yang memamah biak misalnya sapi, kerbau, kambing dan lain sebagainya. Harimau, anjing, kucing bukan termasuk golongan hewan karena tidak berkuku satu dan juga bukan binatang yang memamah biak.</w:t>
      </w:r>
      <w:r w:rsidRPr="006E7D71">
        <w:rPr>
          <w:rStyle w:val="FootnoteReference"/>
        </w:rPr>
        <w:footnoteReference w:id="26"/>
      </w:r>
    </w:p>
    <w:p w:rsidR="008538D8" w:rsidRPr="006E7D71" w:rsidRDefault="008538D8" w:rsidP="008538D8">
      <w:pPr>
        <w:numPr>
          <w:ilvl w:val="3"/>
          <w:numId w:val="15"/>
        </w:numPr>
        <w:tabs>
          <w:tab w:val="clear" w:pos="2880"/>
        </w:tabs>
        <w:spacing w:line="444" w:lineRule="auto"/>
        <w:ind w:left="360"/>
        <w:jc w:val="both"/>
      </w:pPr>
      <w:r w:rsidRPr="006E7D71">
        <w:t xml:space="preserve">Penggelapan dengan pemberatan </w:t>
      </w:r>
      <w:r w:rsidRPr="006E7D71">
        <w:rPr>
          <w:i/>
        </w:rPr>
        <w:t>(gequaliviceerde verduistlring)</w:t>
      </w:r>
    </w:p>
    <w:p w:rsidR="008538D8" w:rsidRPr="006E7D71" w:rsidRDefault="008538D8" w:rsidP="008538D8">
      <w:pPr>
        <w:spacing w:line="444" w:lineRule="auto"/>
        <w:ind w:firstLine="720"/>
        <w:jc w:val="both"/>
      </w:pPr>
      <w:r w:rsidRPr="006E7D71">
        <w:t>Penggelapan dengan pemberatan diatur dalam Pasal 374 KUHPidana dan Pasal 375 KUHPidana sebagaimana dengan tindak pidana yang lain, tindak pidana penggelapan dengan pemberatan ini adalah tindak pidana penggelapan dengan bentuknya yang pokok oleh karena ada unsur-unsur yang lain yang memberatkan ancaman pidananya menjadi diperberat. Istilah yang dipakai dalam bahasa hukum adalah penggelapan yang dikualifikasi. Rumusan Pasal 374 dan Pasal 375 KUHPidana sebagai berikut :</w:t>
      </w:r>
    </w:p>
    <w:p w:rsidR="008538D8" w:rsidRPr="006E7D71" w:rsidRDefault="008538D8" w:rsidP="008538D8">
      <w:pPr>
        <w:numPr>
          <w:ilvl w:val="7"/>
          <w:numId w:val="18"/>
        </w:numPr>
        <w:tabs>
          <w:tab w:val="clear" w:pos="5760"/>
          <w:tab w:val="num" w:pos="360"/>
        </w:tabs>
        <w:spacing w:line="504" w:lineRule="auto"/>
        <w:ind w:left="360"/>
        <w:jc w:val="both"/>
      </w:pPr>
      <w:r w:rsidRPr="006E7D71">
        <w:rPr>
          <w:bCs/>
        </w:rPr>
        <w:t xml:space="preserve">Penggelapan dengan pemberatan dalam Pasal 374 KUHPidana yang berbunyi </w:t>
      </w:r>
      <w:r w:rsidRPr="006E7D71">
        <w:t>“Penggelapan yang dilakukan oleh orang yang penguasaannya terhadap barang disebabkan karena ada hubungan kerja atau karena pencarian atau karena mendapat upah untuk itu, diancam dengan pidana penjara paling lama lima tahun”.</w:t>
      </w:r>
    </w:p>
    <w:p w:rsidR="008538D8" w:rsidRPr="006E7D71" w:rsidRDefault="008538D8" w:rsidP="008538D8">
      <w:pPr>
        <w:spacing w:line="504" w:lineRule="auto"/>
        <w:ind w:firstLine="720"/>
        <w:jc w:val="both"/>
      </w:pPr>
      <w:r w:rsidRPr="006E7D71">
        <w:t>Unsur yang memberatkan dalam pasal ini adalah unsur “hubungan kerja” dimana hubungan kerja disini adalah hubungan yang terjadi karena adanya perjanjian kerja baik secara lisan maupun tertulis. Dengan hubungan kerja tidak dimaksudkan hanya hubungan kerja yang terjadi di institusi pemerintahan atau perusahaan-perusahaan swasta, tetapi juga yang terjadi secara perorangan.</w:t>
      </w:r>
    </w:p>
    <w:p w:rsidR="008538D8" w:rsidRPr="006E7D71" w:rsidRDefault="008538D8" w:rsidP="008538D8">
      <w:pPr>
        <w:spacing w:line="456" w:lineRule="auto"/>
        <w:ind w:firstLine="720"/>
        <w:jc w:val="both"/>
      </w:pPr>
      <w:r w:rsidRPr="006E7D71">
        <w:lastRenderedPageBreak/>
        <w:t>Adami Chazawi menyatakan mengenai pemberatan ini Ini juga termaksud melakukan tindak pidana dengan menggunakan jabatan sebagai alatnya karena kadang kala memiliki suatu waktu yang tepat untuk melakukan perbuatan yang melanggar undang-undang, apabila kesempatan ini disalah gunakan untuk melakukan tindak pidana itu maka dia dipidana dengan dapat diperberat sepertiganya dari ancaman pidana maksimum yang ditentukan dalam tindak pidana yang dilakukannya tadi.</w:t>
      </w:r>
      <w:r w:rsidRPr="006E7D71">
        <w:rPr>
          <w:rStyle w:val="FootnoteReference"/>
        </w:rPr>
        <w:footnoteReference w:id="27"/>
      </w:r>
    </w:p>
    <w:p w:rsidR="008538D8" w:rsidRPr="006E7D71" w:rsidRDefault="008538D8" w:rsidP="008538D8">
      <w:pPr>
        <w:spacing w:line="456" w:lineRule="auto"/>
        <w:ind w:firstLine="720"/>
        <w:jc w:val="both"/>
      </w:pPr>
      <w:r w:rsidRPr="006E7D71">
        <w:t>Mengenai nilai yang tidak lebih dari Rp 250,00 itu adalah nilai menurut umumnya, bukan menurut korban atau menurut petindak atau orang tertentu. Kejahatan ini diancam dengan huku man yang lebih berat. Bentuk-bentuk penggelapan yang diperberat diatur dalam Pasal 374 dan 375 KUHP. Faktor yang menyebabkan lebih berat dari bentuk pokoknya, disandarkan pada lebih besarnya kepercayaan yang diberikan pada orang yang menguasai benda yang digelapkan.</w:t>
      </w:r>
      <w:r w:rsidRPr="006E7D71">
        <w:rPr>
          <w:rStyle w:val="FootnoteReference"/>
        </w:rPr>
        <w:footnoteReference w:id="28"/>
      </w:r>
    </w:p>
    <w:p w:rsidR="008538D8" w:rsidRPr="006E7D71" w:rsidRDefault="008538D8" w:rsidP="008538D8">
      <w:pPr>
        <w:spacing w:line="456" w:lineRule="auto"/>
        <w:ind w:firstLine="720"/>
        <w:jc w:val="both"/>
      </w:pPr>
      <w:r w:rsidRPr="006E7D71">
        <w:t>Pasal 374 mengatakan bahwa“ Penggelapan dilakukan oleh orang yang memegang barang itu berhubung dengan pekerjaannya atau jabatannya atau karena ia mendapat upah uang, dihukum penjara selama-lamanya lima tahun”.</w:t>
      </w:r>
    </w:p>
    <w:p w:rsidR="008538D8" w:rsidRPr="006E7D71" w:rsidRDefault="008538D8" w:rsidP="008538D8">
      <w:pPr>
        <w:spacing w:line="456" w:lineRule="auto"/>
        <w:ind w:firstLine="720"/>
        <w:jc w:val="both"/>
      </w:pPr>
      <w:r w:rsidRPr="006E7D71">
        <w:t>Apabila rumusan tersebut dirinci, maka terdiri dari unsur-unsur sebagai berikut :</w:t>
      </w:r>
    </w:p>
    <w:p w:rsidR="008538D8" w:rsidRPr="006E7D71" w:rsidRDefault="008538D8" w:rsidP="008538D8">
      <w:pPr>
        <w:numPr>
          <w:ilvl w:val="0"/>
          <w:numId w:val="19"/>
        </w:numPr>
        <w:spacing w:line="456" w:lineRule="auto"/>
        <w:ind w:left="360"/>
        <w:jc w:val="both"/>
      </w:pPr>
      <w:r w:rsidRPr="006E7D71">
        <w:t>Semua unsur penggelapan dalam bentuk pokok (Pasal 372)</w:t>
      </w:r>
    </w:p>
    <w:p w:rsidR="008538D8" w:rsidRPr="006E7D71" w:rsidRDefault="008538D8" w:rsidP="008538D8">
      <w:pPr>
        <w:numPr>
          <w:ilvl w:val="0"/>
          <w:numId w:val="19"/>
        </w:numPr>
        <w:spacing w:line="456" w:lineRule="auto"/>
        <w:ind w:left="360"/>
        <w:jc w:val="both"/>
      </w:pPr>
      <w:r w:rsidRPr="006E7D71">
        <w:t>Unsur-unsur khusus yang memberatkan, yakni beradanya benda dalam kekuasaan petindak disebabkan oleh karena :</w:t>
      </w:r>
    </w:p>
    <w:p w:rsidR="008538D8" w:rsidRPr="006E7D71" w:rsidRDefault="008538D8" w:rsidP="008538D8">
      <w:pPr>
        <w:numPr>
          <w:ilvl w:val="0"/>
          <w:numId w:val="20"/>
        </w:numPr>
        <w:spacing w:line="480" w:lineRule="auto"/>
        <w:jc w:val="both"/>
      </w:pPr>
      <w:r w:rsidRPr="006E7D71">
        <w:t>Ada hubungan kerja.</w:t>
      </w:r>
    </w:p>
    <w:p w:rsidR="008538D8" w:rsidRPr="006E7D71" w:rsidRDefault="008538D8" w:rsidP="008538D8">
      <w:pPr>
        <w:numPr>
          <w:ilvl w:val="0"/>
          <w:numId w:val="20"/>
        </w:numPr>
        <w:spacing w:line="480" w:lineRule="auto"/>
        <w:jc w:val="both"/>
      </w:pPr>
      <w:r w:rsidRPr="006E7D71">
        <w:t>Mata pencaharian.</w:t>
      </w:r>
    </w:p>
    <w:p w:rsidR="008538D8" w:rsidRPr="006E7D71" w:rsidRDefault="008538D8" w:rsidP="008538D8">
      <w:pPr>
        <w:numPr>
          <w:ilvl w:val="0"/>
          <w:numId w:val="20"/>
        </w:numPr>
        <w:spacing w:line="480" w:lineRule="auto"/>
        <w:jc w:val="both"/>
      </w:pPr>
      <w:r w:rsidRPr="006E7D71">
        <w:lastRenderedPageBreak/>
        <w:t>Mendapatkan upah untuk itu.</w:t>
      </w:r>
    </w:p>
    <w:p w:rsidR="008538D8" w:rsidRPr="006E7D71" w:rsidRDefault="008538D8" w:rsidP="008538D8">
      <w:pPr>
        <w:spacing w:line="456" w:lineRule="auto"/>
        <w:ind w:firstLine="720"/>
        <w:jc w:val="both"/>
      </w:pPr>
      <w:r w:rsidRPr="006E7D71">
        <w:t>Beradanya benda di tangan seseorang yang disebabkan oleh ketiga hal di atas adalah hubungan yang sedemikian rupa antara orang yang menguasai dengan benda, menunjukan kepercayaan yang lebih besar pada orang itu. Seharusnya dengan kepercayaan yang lebih besar, ia lebih memperhatikan keselamatan dan pengurusannya bukan menyalahgunakan kepercayaan yang besar itu.</w:t>
      </w:r>
      <w:r w:rsidRPr="006E7D71">
        <w:rPr>
          <w:rStyle w:val="FootnoteReference"/>
        </w:rPr>
        <w:footnoteReference w:id="29"/>
      </w:r>
    </w:p>
    <w:p w:rsidR="008538D8" w:rsidRPr="006E7D71" w:rsidRDefault="008538D8" w:rsidP="008538D8">
      <w:pPr>
        <w:numPr>
          <w:ilvl w:val="7"/>
          <w:numId w:val="18"/>
        </w:numPr>
        <w:tabs>
          <w:tab w:val="clear" w:pos="5760"/>
          <w:tab w:val="num" w:pos="360"/>
        </w:tabs>
        <w:spacing w:line="456" w:lineRule="auto"/>
        <w:ind w:left="360"/>
        <w:jc w:val="both"/>
      </w:pPr>
      <w:r w:rsidRPr="006E7D71">
        <w:rPr>
          <w:bCs/>
        </w:rPr>
        <w:t>Penggelapan dengan pemberatan Pasal 375 KUHPidana yang menyatakan :</w:t>
      </w:r>
      <w:r w:rsidRPr="006E7D71">
        <w:t xml:space="preserve"> Penggelapan yang dilakukan oleh orang karena dipaksa diberi barang untuk disimpan, atau yang dilakukan oleh wali, pengurus atau pelaksana surat wasiat, pengurus lembaga sosial atau yayasan, terhadap barang sesuatu yang dikuasainya selaku demikian, diancam dengan pidana penjara paling lama enam tahun.</w:t>
      </w:r>
    </w:p>
    <w:p w:rsidR="008538D8" w:rsidRPr="006E7D71" w:rsidRDefault="008538D8" w:rsidP="008538D8">
      <w:pPr>
        <w:spacing w:line="480" w:lineRule="auto"/>
        <w:ind w:firstLine="720"/>
        <w:jc w:val="both"/>
      </w:pPr>
      <w:r w:rsidRPr="006E7D71">
        <w:t xml:space="preserve">Bentuk kedua dari penggelapan yang diperberat terdapat dalam rumusan Pasal 375 KUHP “penggelapan yang dilakukan oleh orang yang karena terpaksa disuruh menyimpan barang itu, atau wali, </w:t>
      </w:r>
      <w:r w:rsidRPr="006E7D71">
        <w:rPr>
          <w:i/>
        </w:rPr>
        <w:t>curator</w:t>
      </w:r>
      <w:r w:rsidRPr="006E7D71">
        <w:t>, pengurus, orang yang menjalankan wasiat atau pengurus balai derma, tentang sesuatu barang yang ada dalam tangannya karena jabatannya yang tersebut, dihukum penjara selama-lamanya enam tahun”.</w:t>
      </w:r>
    </w:p>
    <w:p w:rsidR="008538D8" w:rsidRPr="006E7D71" w:rsidRDefault="008538D8" w:rsidP="008538D8">
      <w:pPr>
        <w:spacing w:line="456" w:lineRule="auto"/>
        <w:ind w:firstLine="720"/>
        <w:jc w:val="both"/>
      </w:pPr>
      <w:r w:rsidRPr="006E7D71">
        <w:t>Penggelapan yang diatur dalam ketentuan Pasal 375 KUHPidana ini adalah penggelapan yang dilakukan oleh orang-orang tertentu yang karena kewajibannya sebagai akibat dari hubungan orang itu dengan barang-barang yang harus diurusnya. Rumusan di atas dirinci, maka unsur-unsur yang memenuhi pasal tersebut adalah :</w:t>
      </w:r>
    </w:p>
    <w:p w:rsidR="008538D8" w:rsidRPr="006E7D71" w:rsidRDefault="008538D8" w:rsidP="008538D8">
      <w:pPr>
        <w:numPr>
          <w:ilvl w:val="0"/>
          <w:numId w:val="21"/>
        </w:numPr>
        <w:spacing w:line="456" w:lineRule="auto"/>
        <w:ind w:left="360"/>
        <w:jc w:val="both"/>
      </w:pPr>
      <w:r w:rsidRPr="006E7D71">
        <w:lastRenderedPageBreak/>
        <w:t>Unsur-unsur penggelapan dalam Pasal 372.</w:t>
      </w:r>
    </w:p>
    <w:p w:rsidR="008538D8" w:rsidRPr="006E7D71" w:rsidRDefault="008538D8" w:rsidP="008538D8">
      <w:pPr>
        <w:numPr>
          <w:ilvl w:val="0"/>
          <w:numId w:val="21"/>
        </w:numPr>
        <w:spacing w:line="456" w:lineRule="auto"/>
        <w:ind w:left="360"/>
        <w:jc w:val="both"/>
      </w:pPr>
      <w:r w:rsidRPr="006E7D71">
        <w:t>Unsur-unsur yang memberatkan, yaitu :</w:t>
      </w:r>
    </w:p>
    <w:p w:rsidR="008538D8" w:rsidRPr="006E7D71" w:rsidRDefault="008538D8" w:rsidP="008538D8">
      <w:pPr>
        <w:numPr>
          <w:ilvl w:val="0"/>
          <w:numId w:val="22"/>
        </w:numPr>
        <w:spacing w:line="456" w:lineRule="auto"/>
        <w:jc w:val="both"/>
      </w:pPr>
      <w:r w:rsidRPr="006E7D71">
        <w:t>Oleh orang yang kepadanya terpaksa barang itu diberikan untuk disimpan.</w:t>
      </w:r>
    </w:p>
    <w:p w:rsidR="008538D8" w:rsidRPr="006E7D71" w:rsidRDefault="008538D8" w:rsidP="008538D8">
      <w:pPr>
        <w:numPr>
          <w:ilvl w:val="0"/>
          <w:numId w:val="22"/>
        </w:numPr>
        <w:spacing w:line="480" w:lineRule="auto"/>
        <w:jc w:val="both"/>
      </w:pPr>
      <w:r w:rsidRPr="006E7D71">
        <w:t>Terhadap barang yang ada pada mereka karena jabatan mereka sebagai wali, pengampu, pengurus yang menjalankan wasiat, pengurus lembaga sosial atau yayasan.</w:t>
      </w:r>
      <w:r w:rsidRPr="006E7D71">
        <w:rPr>
          <w:rStyle w:val="FootnoteReference"/>
        </w:rPr>
        <w:footnoteReference w:id="30"/>
      </w:r>
    </w:p>
    <w:p w:rsidR="008538D8" w:rsidRPr="006E7D71" w:rsidRDefault="008538D8" w:rsidP="008538D8">
      <w:pPr>
        <w:numPr>
          <w:ilvl w:val="3"/>
          <w:numId w:val="18"/>
        </w:numPr>
        <w:tabs>
          <w:tab w:val="clear" w:pos="2880"/>
          <w:tab w:val="num" w:pos="360"/>
        </w:tabs>
        <w:spacing w:line="480" w:lineRule="auto"/>
        <w:ind w:left="360"/>
        <w:jc w:val="both"/>
      </w:pPr>
      <w:r w:rsidRPr="006E7D71">
        <w:t>Penggelapan dikalangan keluarga</w:t>
      </w:r>
    </w:p>
    <w:p w:rsidR="008538D8" w:rsidRPr="006E7D71" w:rsidRDefault="008538D8" w:rsidP="008538D8">
      <w:pPr>
        <w:spacing w:line="480" w:lineRule="auto"/>
        <w:ind w:firstLine="720"/>
        <w:jc w:val="both"/>
      </w:pPr>
      <w:r w:rsidRPr="006E7D71">
        <w:t>Penggelapan dalam keluarga diatur dalam Pasal 376 KUHP. Dalam kejahatan terhadap harta benda, pencurian, pengancaman, pemerasan, penggelapan, penipuan apabila dilakukan dalam kalangan keluarga maka dapat menjadi:</w:t>
      </w:r>
    </w:p>
    <w:p w:rsidR="008538D8" w:rsidRPr="006E7D71" w:rsidRDefault="008538D8" w:rsidP="008538D8">
      <w:pPr>
        <w:numPr>
          <w:ilvl w:val="4"/>
          <w:numId w:val="18"/>
        </w:numPr>
        <w:tabs>
          <w:tab w:val="clear" w:pos="3600"/>
          <w:tab w:val="num" w:pos="1080"/>
        </w:tabs>
        <w:ind w:left="1080"/>
        <w:jc w:val="both"/>
      </w:pPr>
      <w:r w:rsidRPr="006E7D71">
        <w:t>Tidak dapat dilakukan penuntutan baik terhadap petindaknya maupun terhadap pelaku pembantunya (Pasal 376 ayat (1) KUHP).</w:t>
      </w:r>
    </w:p>
    <w:p w:rsidR="008538D8" w:rsidRPr="006E7D71" w:rsidRDefault="008538D8" w:rsidP="008538D8">
      <w:pPr>
        <w:numPr>
          <w:ilvl w:val="4"/>
          <w:numId w:val="18"/>
        </w:numPr>
        <w:tabs>
          <w:tab w:val="clear" w:pos="3600"/>
          <w:tab w:val="num" w:pos="1080"/>
        </w:tabs>
        <w:ind w:left="1080"/>
        <w:jc w:val="both"/>
      </w:pPr>
      <w:r w:rsidRPr="006E7D71">
        <w:t>Tindak pidana aduan, tanpa adanya pengaduan baik terhadap petindaknya maupun pelaku pembantunya maka tidak dapat dilakukan penuntutan (Pasal 376 ayat 2 KUHP).</w:t>
      </w:r>
      <w:r w:rsidRPr="006E7D71">
        <w:rPr>
          <w:rStyle w:val="FootnoteReference"/>
        </w:rPr>
        <w:footnoteReference w:id="31"/>
      </w:r>
    </w:p>
    <w:p w:rsidR="008538D8" w:rsidRPr="006E7D71" w:rsidRDefault="008538D8" w:rsidP="008538D8">
      <w:pPr>
        <w:ind w:left="1080"/>
        <w:jc w:val="both"/>
      </w:pPr>
    </w:p>
    <w:p w:rsidR="008538D8" w:rsidRPr="006E7D71" w:rsidRDefault="008538D8" w:rsidP="008538D8">
      <w:pPr>
        <w:spacing w:line="480" w:lineRule="auto"/>
        <w:ind w:firstLine="720"/>
        <w:jc w:val="both"/>
      </w:pPr>
      <w:r w:rsidRPr="006E7D71">
        <w:t xml:space="preserve">Penggelapan dalam keluarga diatur dalam pasal 367 KUHP, dimana dimaksudkan dengan penggelapan dalam keluarga itu adalah jika pelaku atau pembantu salah satu kejahatan adalah suami atau istri atau keluarga karena perkawinan, baik dalam garis keturunan yang lurus maupun keturunan yang menyamping dari derajat kedua dari orang yang terkena kejahatan itu. Di dalam hal ini apabila pelaku atau pembantu kejahatan ini adalah suami atau istri yang belum bercerai maka pelaku pembantu ini tidak dapat dituntut. Apabila diantaranya telah bercerai, maka pelaku atau pembantu kejahatan hanya dapat </w:t>
      </w:r>
      <w:r w:rsidRPr="006E7D71">
        <w:lastRenderedPageBreak/>
        <w:t>dilakukan penuntutan bila ada pengaduan dari orang lain yang dikenakan kejahatan itu.</w:t>
      </w:r>
    </w:p>
    <w:p w:rsidR="008538D8" w:rsidRPr="006E7D71" w:rsidRDefault="008538D8" w:rsidP="008538D8">
      <w:pPr>
        <w:spacing w:line="480" w:lineRule="auto"/>
        <w:ind w:firstLine="720"/>
        <w:jc w:val="both"/>
      </w:pPr>
      <w:r w:rsidRPr="006E7D71">
        <w:t xml:space="preserve">Kejahatan terhadap harta benda, pencurian, pengancaman, pemerasan, penggelapan, penipuan apabila dilakukan dalam kalangan keluarga maka dapat menjadi : </w:t>
      </w:r>
    </w:p>
    <w:p w:rsidR="008538D8" w:rsidRPr="006E7D71" w:rsidRDefault="008538D8" w:rsidP="008538D8">
      <w:pPr>
        <w:numPr>
          <w:ilvl w:val="4"/>
          <w:numId w:val="16"/>
        </w:numPr>
        <w:tabs>
          <w:tab w:val="clear" w:pos="3600"/>
          <w:tab w:val="left" w:pos="993"/>
        </w:tabs>
        <w:ind w:left="993" w:hanging="284"/>
        <w:jc w:val="both"/>
      </w:pPr>
      <w:r w:rsidRPr="006E7D71">
        <w:t xml:space="preserve">Tidak dapat dilakukan penuntutan baik terhadap petindaknya maupun terhadap pelaku pembantunya (Pasal 367 ayat (1) KUHPidana) </w:t>
      </w:r>
    </w:p>
    <w:p w:rsidR="008538D8" w:rsidRPr="006E7D71" w:rsidRDefault="008538D8" w:rsidP="008538D8">
      <w:pPr>
        <w:numPr>
          <w:ilvl w:val="4"/>
          <w:numId w:val="16"/>
        </w:numPr>
        <w:tabs>
          <w:tab w:val="clear" w:pos="3600"/>
          <w:tab w:val="left" w:pos="993"/>
        </w:tabs>
        <w:ind w:left="993" w:hanging="284"/>
        <w:jc w:val="both"/>
      </w:pPr>
      <w:r w:rsidRPr="006E7D71">
        <w:t>Tindak pidana aduan, tanpa ada pengaduan baik terhadap petindaknya maupun pelaku pembantunya tidak dapat dilakukan penuntutan (Pasal 367 ayat (2) KUHPidana).</w:t>
      </w:r>
      <w:r w:rsidRPr="006E7D71">
        <w:rPr>
          <w:rStyle w:val="FootnoteReference"/>
        </w:rPr>
        <w:footnoteReference w:id="32"/>
      </w:r>
    </w:p>
    <w:p w:rsidR="008538D8" w:rsidRPr="006E7D71" w:rsidRDefault="008538D8" w:rsidP="008538D8">
      <w:pPr>
        <w:tabs>
          <w:tab w:val="left" w:pos="851"/>
        </w:tabs>
        <w:jc w:val="both"/>
      </w:pPr>
    </w:p>
    <w:p w:rsidR="008538D8" w:rsidRDefault="008538D8" w:rsidP="008538D8">
      <w:pPr>
        <w:pStyle w:val="Default"/>
        <w:spacing w:line="444" w:lineRule="auto"/>
        <w:ind w:firstLine="720"/>
        <w:jc w:val="both"/>
        <w:rPr>
          <w:rFonts w:ascii="Times New Roman" w:hAnsi="Times New Roman" w:cs="Times New Roman"/>
        </w:rPr>
        <w:sectPr w:rsidR="008538D8" w:rsidSect="00925D47">
          <w:pgSz w:w="11907" w:h="16840" w:code="9"/>
          <w:pgMar w:top="2268" w:right="1701" w:bottom="1701" w:left="2268" w:header="1134" w:footer="720" w:gutter="0"/>
          <w:pgNumType w:start="8"/>
          <w:cols w:space="720"/>
          <w:titlePg/>
          <w:docGrid w:linePitch="360"/>
        </w:sectPr>
      </w:pPr>
      <w:r w:rsidRPr="006E7D71">
        <w:rPr>
          <w:rFonts w:ascii="Times New Roman" w:hAnsi="Times New Roman" w:cs="Times New Roman"/>
        </w:rPr>
        <w:t xml:space="preserve">Berdasarkan penjelasan di atas, maka penggelapan dalam keluarga merupakan delik aduan atau hanya dapat dilakukan penuntutan apabila yang menjadi korban penggelapan mengajukan laporannya kepada pihak kepolisian. </w:t>
      </w:r>
    </w:p>
    <w:p w:rsidR="00CE7FEB" w:rsidRPr="008538D8" w:rsidRDefault="00CE7FEB" w:rsidP="008538D8">
      <w:bookmarkStart w:id="5" w:name="_GoBack"/>
      <w:bookmarkEnd w:id="5"/>
    </w:p>
    <w:sectPr w:rsidR="00CE7FEB" w:rsidRPr="008538D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E09" w:rsidRDefault="00984E09" w:rsidP="002D79FF">
      <w:r>
        <w:separator/>
      </w:r>
    </w:p>
  </w:endnote>
  <w:endnote w:type="continuationSeparator" w:id="1">
    <w:p w:rsidR="00984E09" w:rsidRDefault="00984E09"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84E09">
    <w:pPr>
      <w:pStyle w:val="Footer"/>
      <w:jc w:val="center"/>
    </w:pPr>
  </w:p>
  <w:p w:rsidR="00630637" w:rsidRDefault="00984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E09" w:rsidRDefault="00984E09" w:rsidP="002D79FF">
      <w:r>
        <w:separator/>
      </w:r>
    </w:p>
  </w:footnote>
  <w:footnote w:type="continuationSeparator" w:id="1">
    <w:p w:rsidR="00984E09" w:rsidRDefault="00984E09" w:rsidP="002D79FF">
      <w:r>
        <w:continuationSeparator/>
      </w:r>
    </w:p>
  </w:footnote>
  <w:footnote w:id="2">
    <w:p w:rsidR="008538D8" w:rsidRPr="00D20037" w:rsidRDefault="008538D8" w:rsidP="008538D8">
      <w:pPr>
        <w:pStyle w:val="FootnoteText"/>
        <w:ind w:firstLine="709"/>
        <w:jc w:val="both"/>
      </w:pPr>
      <w:r w:rsidRPr="00D20037">
        <w:rPr>
          <w:rStyle w:val="FootnoteReference"/>
        </w:rPr>
        <w:footnoteRef/>
      </w:r>
      <w:r w:rsidRPr="00D20037">
        <w:t xml:space="preserve"> Moeljatno,</w:t>
      </w:r>
      <w:r w:rsidRPr="00D20037">
        <w:rPr>
          <w:i/>
        </w:rPr>
        <w:t xml:space="preserve"> Asas-Asas Hukum Pidana, </w:t>
      </w:r>
      <w:r w:rsidRPr="00D20037">
        <w:t xml:space="preserve">Rineka Cipta, Jakarta, 2018, </w:t>
      </w:r>
      <w:r w:rsidRPr="00D20037">
        <w:rPr>
          <w:lang w:val="id-ID"/>
        </w:rPr>
        <w:t>h</w:t>
      </w:r>
      <w:r w:rsidRPr="00D20037">
        <w:t>.1</w:t>
      </w:r>
      <w:r w:rsidRPr="00D20037">
        <w:rPr>
          <w:lang w:val="id-ID"/>
        </w:rPr>
        <w:t>.</w:t>
      </w:r>
    </w:p>
  </w:footnote>
  <w:footnote w:id="3">
    <w:p w:rsidR="008538D8" w:rsidRPr="00D20037" w:rsidRDefault="008538D8" w:rsidP="008538D8">
      <w:pPr>
        <w:pStyle w:val="FootnoteText"/>
        <w:ind w:firstLine="709"/>
        <w:jc w:val="both"/>
      </w:pPr>
      <w:r w:rsidRPr="00D20037">
        <w:rPr>
          <w:rStyle w:val="FootnoteReference"/>
        </w:rPr>
        <w:footnoteRef/>
      </w:r>
      <w:bookmarkStart w:id="1" w:name="_Hlk130760064"/>
      <w:r w:rsidRPr="00D20037">
        <w:t xml:space="preserve">Tongat.  </w:t>
      </w:r>
      <w:r w:rsidRPr="00D20037">
        <w:rPr>
          <w:i/>
        </w:rPr>
        <w:t>Dasar-Dasar Hukum Pidana dalam Perspektif Pembaharuan</w:t>
      </w:r>
      <w:r w:rsidRPr="00D20037">
        <w:rPr>
          <w:i/>
          <w:lang w:val="id-ID"/>
        </w:rPr>
        <w:t>,</w:t>
      </w:r>
      <w:r w:rsidRPr="00D20037">
        <w:t xml:space="preserve"> UMM Press, Malang, 2009</w:t>
      </w:r>
      <w:bookmarkEnd w:id="1"/>
      <w:r w:rsidRPr="00D20037">
        <w:t>,</w:t>
      </w:r>
      <w:r w:rsidRPr="00D20037">
        <w:rPr>
          <w:lang w:val="id-ID"/>
        </w:rPr>
        <w:t>h</w:t>
      </w:r>
      <w:r w:rsidRPr="00D20037">
        <w:t>.1</w:t>
      </w:r>
      <w:r w:rsidRPr="00D20037">
        <w:rPr>
          <w:lang w:val="id-ID"/>
        </w:rPr>
        <w:t>4</w:t>
      </w:r>
      <w:r w:rsidRPr="00D20037">
        <w:t>.</w:t>
      </w:r>
    </w:p>
  </w:footnote>
  <w:footnote w:id="4">
    <w:p w:rsidR="008538D8" w:rsidRPr="00D20037" w:rsidRDefault="008538D8" w:rsidP="008538D8">
      <w:pPr>
        <w:pStyle w:val="FootnoteText"/>
        <w:ind w:firstLine="709"/>
        <w:jc w:val="both"/>
      </w:pPr>
      <w:bookmarkStart w:id="2" w:name="_Hlk130760080"/>
      <w:r w:rsidRPr="00D20037">
        <w:rPr>
          <w:rStyle w:val="FootnoteReference"/>
        </w:rPr>
        <w:footnoteRef/>
      </w:r>
      <w:r w:rsidRPr="00D20037">
        <w:t>C.S.T. Kansil</w:t>
      </w:r>
      <w:r w:rsidRPr="00D20037">
        <w:rPr>
          <w:lang w:val="id-ID"/>
        </w:rPr>
        <w:t xml:space="preserve">. </w:t>
      </w:r>
      <w:bookmarkEnd w:id="2"/>
      <w:r w:rsidRPr="00D20037">
        <w:rPr>
          <w:i/>
          <w:iCs/>
        </w:rPr>
        <w:t>Op.Cit</w:t>
      </w:r>
      <w:r w:rsidRPr="00D20037">
        <w:t xml:space="preserve">, </w:t>
      </w:r>
      <w:r w:rsidRPr="00D20037">
        <w:rPr>
          <w:lang w:val="id-ID"/>
        </w:rPr>
        <w:t>h</w:t>
      </w:r>
      <w:r w:rsidRPr="00D20037">
        <w:t>. 264.</w:t>
      </w:r>
    </w:p>
  </w:footnote>
  <w:footnote w:id="5">
    <w:p w:rsidR="008538D8" w:rsidRPr="00D20037" w:rsidRDefault="008538D8" w:rsidP="008538D8">
      <w:pPr>
        <w:pStyle w:val="FootnoteText"/>
        <w:ind w:firstLine="709"/>
        <w:jc w:val="both"/>
      </w:pPr>
      <w:r w:rsidRPr="00D20037">
        <w:rPr>
          <w:rStyle w:val="FootnoteReference"/>
        </w:rPr>
        <w:footnoteRef/>
      </w:r>
      <w:r w:rsidRPr="00D20037">
        <w:t>Moeljatno</w:t>
      </w:r>
      <w:r w:rsidRPr="00D20037">
        <w:rPr>
          <w:lang w:val="id-ID"/>
        </w:rPr>
        <w:t xml:space="preserve">. </w:t>
      </w:r>
      <w:r w:rsidRPr="00D20037">
        <w:rPr>
          <w:i/>
        </w:rPr>
        <w:t>Op.Cit</w:t>
      </w:r>
      <w:r w:rsidRPr="00D20037">
        <w:t xml:space="preserve">, </w:t>
      </w:r>
      <w:r w:rsidRPr="00D20037">
        <w:rPr>
          <w:lang w:val="id-ID"/>
        </w:rPr>
        <w:t>h</w:t>
      </w:r>
      <w:r w:rsidRPr="00D20037">
        <w:t>. 8.</w:t>
      </w:r>
    </w:p>
  </w:footnote>
  <w:footnote w:id="6">
    <w:p w:rsidR="008538D8" w:rsidRPr="00D20037" w:rsidRDefault="008538D8" w:rsidP="008538D8">
      <w:pPr>
        <w:pStyle w:val="FootnoteText"/>
        <w:ind w:firstLine="709"/>
        <w:jc w:val="both"/>
      </w:pPr>
      <w:r w:rsidRPr="00D20037">
        <w:rPr>
          <w:rStyle w:val="FootnoteReference"/>
        </w:rPr>
        <w:footnoteRef/>
      </w:r>
      <w:r w:rsidRPr="00D20037">
        <w:t xml:space="preserve">Adami Chazawi, </w:t>
      </w:r>
      <w:r w:rsidRPr="00D20037">
        <w:rPr>
          <w:i/>
          <w:iCs/>
        </w:rPr>
        <w:t>Op.Cit</w:t>
      </w:r>
      <w:r w:rsidRPr="00D20037">
        <w:t>, h.2.</w:t>
      </w:r>
    </w:p>
  </w:footnote>
  <w:footnote w:id="7">
    <w:p w:rsidR="008538D8" w:rsidRPr="00D20037" w:rsidRDefault="008538D8" w:rsidP="008538D8">
      <w:pPr>
        <w:pStyle w:val="FootnoteText"/>
        <w:ind w:firstLine="709"/>
        <w:jc w:val="both"/>
      </w:pPr>
      <w:r w:rsidRPr="00D20037">
        <w:rPr>
          <w:rStyle w:val="FootnoteReference"/>
        </w:rPr>
        <w:footnoteRef/>
      </w:r>
      <w:r w:rsidRPr="00D20037">
        <w:t xml:space="preserve"> Ismu Gunadi, </w:t>
      </w:r>
      <w:r w:rsidRPr="00D20037">
        <w:rPr>
          <w:i/>
        </w:rPr>
        <w:t xml:space="preserve"> Hukum Pidana. </w:t>
      </w:r>
      <w:r w:rsidRPr="00D20037">
        <w:t xml:space="preserve"> Kencana Prenadamedia Group, Jakarta, 2014, h. 8.</w:t>
      </w:r>
    </w:p>
  </w:footnote>
  <w:footnote w:id="8">
    <w:p w:rsidR="008538D8" w:rsidRPr="00D20037" w:rsidRDefault="008538D8" w:rsidP="008538D8">
      <w:pPr>
        <w:pStyle w:val="FootnoteText"/>
        <w:ind w:firstLine="709"/>
        <w:jc w:val="both"/>
      </w:pPr>
      <w:r w:rsidRPr="00D20037">
        <w:rPr>
          <w:rStyle w:val="FootnoteReference"/>
        </w:rPr>
        <w:footnoteRef/>
      </w:r>
      <w:r w:rsidRPr="00D20037">
        <w:rPr>
          <w:i/>
        </w:rPr>
        <w:t>Ibid</w:t>
      </w:r>
      <w:r w:rsidRPr="00D20037">
        <w:t>, h. 9</w:t>
      </w:r>
    </w:p>
  </w:footnote>
  <w:footnote w:id="9">
    <w:p w:rsidR="008538D8" w:rsidRPr="00D20037" w:rsidRDefault="008538D8" w:rsidP="008538D8">
      <w:pPr>
        <w:pStyle w:val="FootnoteText"/>
        <w:ind w:firstLine="709"/>
        <w:jc w:val="both"/>
      </w:pPr>
      <w:r w:rsidRPr="00D20037">
        <w:rPr>
          <w:rStyle w:val="FootnoteReference"/>
        </w:rPr>
        <w:footnoteRef/>
      </w:r>
      <w:bookmarkStart w:id="3" w:name="_Hlk130760170"/>
      <w:r w:rsidRPr="00D20037">
        <w:t xml:space="preserve">Frans Maramis, </w:t>
      </w:r>
      <w:r w:rsidRPr="00D20037">
        <w:rPr>
          <w:i/>
          <w:iCs/>
        </w:rPr>
        <w:t>Hukum Pidana Umum dan Tertulis di Indonesia</w:t>
      </w:r>
      <w:r w:rsidRPr="00D20037">
        <w:t>, Raja Grafindo Persada, Jakarta, 2012</w:t>
      </w:r>
      <w:bookmarkEnd w:id="3"/>
      <w:r w:rsidRPr="00D20037">
        <w:t>, h. 57.</w:t>
      </w:r>
    </w:p>
  </w:footnote>
  <w:footnote w:id="10">
    <w:p w:rsidR="008538D8" w:rsidRPr="00D20037" w:rsidRDefault="008538D8" w:rsidP="008538D8">
      <w:pPr>
        <w:pStyle w:val="FootnoteText"/>
        <w:ind w:firstLine="709"/>
        <w:jc w:val="both"/>
      </w:pPr>
      <w:r w:rsidRPr="00D20037">
        <w:rPr>
          <w:rStyle w:val="FootnoteReference"/>
        </w:rPr>
        <w:footnoteRef/>
      </w:r>
      <w:r w:rsidRPr="00D20037">
        <w:t xml:space="preserve"> M. Hamdan, </w:t>
      </w:r>
      <w:r w:rsidRPr="00D20037">
        <w:rPr>
          <w:i/>
          <w:iCs/>
        </w:rPr>
        <w:t>Tindak PidanaSuap dan Money Po</w:t>
      </w:r>
      <w:r w:rsidRPr="00D20037">
        <w:rPr>
          <w:i/>
          <w:iCs/>
          <w:lang w:val="id-ID"/>
        </w:rPr>
        <w:t>l</w:t>
      </w:r>
      <w:r w:rsidRPr="00D20037">
        <w:rPr>
          <w:i/>
          <w:iCs/>
        </w:rPr>
        <w:t>itic</w:t>
      </w:r>
      <w:r w:rsidRPr="00D20037">
        <w:rPr>
          <w:i/>
          <w:iCs/>
          <w:lang w:val="id-ID"/>
        </w:rPr>
        <w:t>.</w:t>
      </w:r>
      <w:r w:rsidRPr="00D20037">
        <w:t xml:space="preserve"> Pustaka Bangsa Pres</w:t>
      </w:r>
      <w:r w:rsidRPr="00D20037">
        <w:rPr>
          <w:lang w:val="id-ID"/>
        </w:rPr>
        <w:t>s</w:t>
      </w:r>
      <w:r w:rsidRPr="00D20037">
        <w:rPr>
          <w:i/>
          <w:lang w:val="id-ID"/>
        </w:rPr>
        <w:t>.</w:t>
      </w:r>
      <w:r w:rsidRPr="00D20037">
        <w:rPr>
          <w:lang w:val="fi-FI"/>
        </w:rPr>
        <w:t xml:space="preserve"> Medan, 2005, h. 9.</w:t>
      </w:r>
    </w:p>
  </w:footnote>
  <w:footnote w:id="11">
    <w:p w:rsidR="008538D8" w:rsidRPr="00D20037" w:rsidRDefault="008538D8" w:rsidP="008538D8">
      <w:pPr>
        <w:pStyle w:val="FootnoteText"/>
        <w:ind w:firstLine="709"/>
        <w:jc w:val="both"/>
      </w:pPr>
      <w:r w:rsidRPr="00D20037">
        <w:rPr>
          <w:rStyle w:val="FootnoteReference"/>
        </w:rPr>
        <w:footnoteRef/>
      </w:r>
      <w:r w:rsidRPr="00D20037">
        <w:rPr>
          <w:i/>
        </w:rPr>
        <w:t>Ibid</w:t>
      </w:r>
      <w:r w:rsidRPr="00D20037">
        <w:t>., h.8.</w:t>
      </w:r>
    </w:p>
  </w:footnote>
  <w:footnote w:id="12">
    <w:p w:rsidR="008538D8" w:rsidRPr="00D20037" w:rsidRDefault="008538D8" w:rsidP="008538D8">
      <w:pPr>
        <w:pStyle w:val="FootnoteText"/>
        <w:ind w:firstLine="709"/>
        <w:jc w:val="both"/>
      </w:pPr>
      <w:r w:rsidRPr="00D20037">
        <w:rPr>
          <w:rStyle w:val="FootnoteReference"/>
        </w:rPr>
        <w:footnoteRef/>
      </w:r>
      <w:r w:rsidRPr="00D20037">
        <w:t xml:space="preserve"> Mahrus Ali,  </w:t>
      </w:r>
      <w:r w:rsidRPr="00D20037">
        <w:rPr>
          <w:i/>
        </w:rPr>
        <w:t>Dasar-Dasar Hukum Pidana</w:t>
      </w:r>
      <w:r w:rsidRPr="00D20037">
        <w:t>,  Sinar Grafika, Jakarta, 2011, h. 98.</w:t>
      </w:r>
    </w:p>
  </w:footnote>
  <w:footnote w:id="13">
    <w:p w:rsidR="008538D8" w:rsidRPr="00D20037" w:rsidRDefault="008538D8" w:rsidP="008538D8">
      <w:pPr>
        <w:pStyle w:val="FootnoteText"/>
        <w:ind w:firstLine="709"/>
        <w:jc w:val="both"/>
      </w:pPr>
      <w:r w:rsidRPr="00D20037">
        <w:rPr>
          <w:rStyle w:val="FootnoteReference"/>
        </w:rPr>
        <w:footnoteRef/>
      </w:r>
      <w:r w:rsidRPr="00D20037">
        <w:t xml:space="preserve"> M</w:t>
      </w:r>
      <w:r w:rsidRPr="00D20037">
        <w:rPr>
          <w:lang w:val="id-ID"/>
        </w:rPr>
        <w:t>oe</w:t>
      </w:r>
      <w:r w:rsidRPr="00D20037">
        <w:t xml:space="preserve">ljatno. </w:t>
      </w:r>
      <w:r w:rsidRPr="00D20037">
        <w:rPr>
          <w:i/>
          <w:lang w:val="id-ID"/>
        </w:rPr>
        <w:t>Op.Cit</w:t>
      </w:r>
      <w:r w:rsidRPr="00D20037">
        <w:t>, h. 59.</w:t>
      </w:r>
    </w:p>
  </w:footnote>
  <w:footnote w:id="14">
    <w:p w:rsidR="008538D8" w:rsidRPr="00D20037" w:rsidRDefault="008538D8" w:rsidP="008538D8">
      <w:pPr>
        <w:pStyle w:val="FootnoteText"/>
        <w:ind w:firstLine="720"/>
        <w:jc w:val="both"/>
      </w:pPr>
      <w:r w:rsidRPr="00D20037">
        <w:rPr>
          <w:rStyle w:val="FootnoteReference"/>
        </w:rPr>
        <w:footnoteRef/>
      </w:r>
      <w:r w:rsidRPr="00D20037">
        <w:rPr>
          <w:i/>
        </w:rPr>
        <w:t>Ibid</w:t>
      </w:r>
      <w:r w:rsidRPr="00D20037">
        <w:t>, h. 81</w:t>
      </w:r>
    </w:p>
  </w:footnote>
  <w:footnote w:id="15">
    <w:p w:rsidR="008538D8" w:rsidRPr="00D20037" w:rsidRDefault="008538D8" w:rsidP="008538D8">
      <w:pPr>
        <w:pStyle w:val="FootnoteText"/>
        <w:ind w:firstLine="720"/>
        <w:jc w:val="both"/>
      </w:pPr>
      <w:r w:rsidRPr="00D20037">
        <w:rPr>
          <w:rStyle w:val="FootnoteReference"/>
        </w:rPr>
        <w:footnoteRef/>
      </w:r>
      <w:r w:rsidRPr="00D20037">
        <w:t xml:space="preserve"> Tri Andrisman, </w:t>
      </w:r>
      <w:r w:rsidRPr="00D20037">
        <w:rPr>
          <w:i/>
        </w:rPr>
        <w:t>Op.Cit</w:t>
      </w:r>
      <w:r w:rsidRPr="00D20037">
        <w:t>, h 84.</w:t>
      </w:r>
    </w:p>
  </w:footnote>
  <w:footnote w:id="16">
    <w:p w:rsidR="008538D8" w:rsidRPr="00D20037" w:rsidRDefault="008538D8" w:rsidP="008538D8">
      <w:pPr>
        <w:pStyle w:val="FootnoteText"/>
        <w:ind w:firstLine="720"/>
        <w:jc w:val="both"/>
      </w:pPr>
      <w:r w:rsidRPr="00D20037">
        <w:rPr>
          <w:rStyle w:val="FootnoteReference"/>
        </w:rPr>
        <w:footnoteRef/>
      </w:r>
      <w:r w:rsidRPr="00D20037">
        <w:t xml:space="preserve"> Bambang Poernomo, </w:t>
      </w:r>
      <w:r w:rsidRPr="00D20037">
        <w:rPr>
          <w:i/>
          <w:iCs/>
        </w:rPr>
        <w:t>Asas-asas Hukum Pidana</w:t>
      </w:r>
      <w:r w:rsidRPr="00D20037">
        <w:t xml:space="preserve">, Ghalia Indonesia, Yogyakarta, 2016, h.155.  </w:t>
      </w:r>
    </w:p>
  </w:footnote>
  <w:footnote w:id="17">
    <w:p w:rsidR="008538D8" w:rsidRPr="00D20037" w:rsidRDefault="008538D8" w:rsidP="008538D8">
      <w:pPr>
        <w:pStyle w:val="FootnoteText"/>
        <w:ind w:firstLine="720"/>
        <w:jc w:val="both"/>
      </w:pPr>
      <w:r w:rsidRPr="00D20037">
        <w:rPr>
          <w:rStyle w:val="FootnoteReference"/>
        </w:rPr>
        <w:footnoteRef/>
      </w:r>
      <w:r w:rsidRPr="00D20037">
        <w:rPr>
          <w:i/>
        </w:rPr>
        <w:t>Ibid</w:t>
      </w:r>
      <w:r w:rsidRPr="00D20037">
        <w:t>., h. 156.</w:t>
      </w:r>
    </w:p>
  </w:footnote>
  <w:footnote w:id="18">
    <w:p w:rsidR="008538D8" w:rsidRPr="00D20037" w:rsidRDefault="008538D8" w:rsidP="008538D8">
      <w:pPr>
        <w:pStyle w:val="FootnoteText"/>
        <w:ind w:firstLine="720"/>
        <w:jc w:val="both"/>
      </w:pPr>
      <w:r w:rsidRPr="00D20037">
        <w:rPr>
          <w:rStyle w:val="FootnoteReference"/>
        </w:rPr>
        <w:footnoteRef/>
      </w:r>
      <w:r w:rsidRPr="00D20037">
        <w:rPr>
          <w:i/>
        </w:rPr>
        <w:t>Ibid</w:t>
      </w:r>
      <w:r w:rsidRPr="00D20037">
        <w:t xml:space="preserve">, h.156  </w:t>
      </w:r>
    </w:p>
  </w:footnote>
  <w:footnote w:id="19">
    <w:p w:rsidR="008538D8" w:rsidRPr="00D20037" w:rsidRDefault="008538D8" w:rsidP="008538D8">
      <w:pPr>
        <w:pStyle w:val="FootnoteText"/>
        <w:ind w:firstLine="720"/>
        <w:jc w:val="both"/>
      </w:pPr>
      <w:r w:rsidRPr="00D20037">
        <w:rPr>
          <w:rStyle w:val="FootnoteReference"/>
        </w:rPr>
        <w:footnoteRef/>
      </w:r>
      <w:r w:rsidRPr="00D20037">
        <w:t xml:space="preserve"> Teguh Prasetyo, </w:t>
      </w:r>
      <w:r w:rsidRPr="00D20037">
        <w:rPr>
          <w:i/>
          <w:iCs/>
        </w:rPr>
        <w:t>Hukum Pidana</w:t>
      </w:r>
      <w:r w:rsidRPr="00D20037">
        <w:t xml:space="preserve">, Rajawali Pers, Jakarta, 2014, h.65.  </w:t>
      </w:r>
    </w:p>
  </w:footnote>
  <w:footnote w:id="20">
    <w:p w:rsidR="008538D8" w:rsidRPr="00D20037" w:rsidRDefault="008538D8" w:rsidP="008538D8">
      <w:pPr>
        <w:pStyle w:val="FootnoteText"/>
        <w:ind w:firstLine="720"/>
        <w:jc w:val="both"/>
      </w:pPr>
      <w:r w:rsidRPr="00D20037">
        <w:rPr>
          <w:rStyle w:val="FootnoteReference"/>
        </w:rPr>
        <w:footnoteRef/>
      </w:r>
      <w:r w:rsidRPr="00D20037">
        <w:t xml:space="preserve"> Adami Chazawi, </w:t>
      </w:r>
      <w:r w:rsidRPr="00D20037">
        <w:rPr>
          <w:i/>
        </w:rPr>
        <w:t>Op.Cit</w:t>
      </w:r>
      <w:r w:rsidRPr="00D20037">
        <w:t>. h. 67</w:t>
      </w:r>
    </w:p>
  </w:footnote>
  <w:footnote w:id="21">
    <w:p w:rsidR="008538D8" w:rsidRPr="00D20037" w:rsidRDefault="008538D8" w:rsidP="008538D8">
      <w:pPr>
        <w:pStyle w:val="FootnoteText"/>
        <w:ind w:firstLine="720"/>
        <w:jc w:val="both"/>
      </w:pPr>
      <w:r w:rsidRPr="00D20037">
        <w:rPr>
          <w:rStyle w:val="FootnoteReference"/>
        </w:rPr>
        <w:footnoteRef/>
      </w:r>
      <w:r w:rsidRPr="00D20037">
        <w:rPr>
          <w:i/>
        </w:rPr>
        <w:t>Ibid</w:t>
      </w:r>
      <w:r w:rsidRPr="00D20037">
        <w:t xml:space="preserve">, h.80  </w:t>
      </w:r>
    </w:p>
  </w:footnote>
  <w:footnote w:id="22">
    <w:p w:rsidR="008538D8" w:rsidRPr="00D20037" w:rsidRDefault="008538D8" w:rsidP="008538D8">
      <w:pPr>
        <w:pStyle w:val="FootnoteText"/>
        <w:ind w:firstLine="720"/>
        <w:jc w:val="both"/>
      </w:pPr>
      <w:r w:rsidRPr="00D20037">
        <w:rPr>
          <w:rStyle w:val="FootnoteReference"/>
        </w:rPr>
        <w:footnoteRef/>
      </w:r>
      <w:r w:rsidRPr="00D20037">
        <w:t xml:space="preserve"> P.A.F Lamintang,Kejahatan Terhadap Harta Kekayaan, Sinar Grafika, Jakarta, 2019, h. 131</w:t>
      </w:r>
    </w:p>
  </w:footnote>
  <w:footnote w:id="23">
    <w:p w:rsidR="008538D8" w:rsidRPr="00D20037" w:rsidRDefault="008538D8" w:rsidP="008538D8">
      <w:pPr>
        <w:pStyle w:val="FootnoteText"/>
        <w:ind w:firstLine="720"/>
        <w:jc w:val="both"/>
      </w:pPr>
      <w:r w:rsidRPr="00D20037">
        <w:rPr>
          <w:rStyle w:val="FootnoteReference"/>
        </w:rPr>
        <w:footnoteRef/>
      </w:r>
      <w:r w:rsidRPr="00D20037">
        <w:rPr>
          <w:i/>
          <w:iCs/>
        </w:rPr>
        <w:t xml:space="preserve">Adami Chazawi, Kejahatan Terhadap Harta Benda, </w:t>
      </w:r>
      <w:r w:rsidRPr="00D20037">
        <w:rPr>
          <w:iCs/>
        </w:rPr>
        <w:t>Bayu Medika, Jakarta, 2016, h. 73</w:t>
      </w:r>
    </w:p>
  </w:footnote>
  <w:footnote w:id="24">
    <w:p w:rsidR="008538D8" w:rsidRPr="00D20037" w:rsidRDefault="008538D8" w:rsidP="008538D8">
      <w:pPr>
        <w:pStyle w:val="FootnoteText"/>
        <w:ind w:firstLine="720"/>
        <w:jc w:val="both"/>
      </w:pPr>
      <w:r w:rsidRPr="00D20037">
        <w:rPr>
          <w:rStyle w:val="FootnoteReference"/>
        </w:rPr>
        <w:footnoteRef/>
      </w:r>
      <w:r w:rsidRPr="00D20037">
        <w:t xml:space="preserve"> Tongat, </w:t>
      </w:r>
      <w:r w:rsidRPr="00D20037">
        <w:rPr>
          <w:i/>
          <w:iCs/>
        </w:rPr>
        <w:t>Hukum Pidana Materil</w:t>
      </w:r>
      <w:r w:rsidRPr="00D20037">
        <w:t>. UMM Pres, Malang, 2016, h.63</w:t>
      </w:r>
    </w:p>
  </w:footnote>
  <w:footnote w:id="25">
    <w:p w:rsidR="008538D8" w:rsidRPr="00D20037" w:rsidRDefault="008538D8" w:rsidP="008538D8">
      <w:pPr>
        <w:pStyle w:val="FootnoteText"/>
        <w:ind w:firstLine="720"/>
        <w:jc w:val="both"/>
      </w:pPr>
      <w:r w:rsidRPr="00D20037">
        <w:rPr>
          <w:rStyle w:val="FootnoteReference"/>
        </w:rPr>
        <w:footnoteRef/>
      </w:r>
      <w:r w:rsidRPr="00D20037">
        <w:t xml:space="preserve"> P.A.F Lamintan, </w:t>
      </w:r>
      <w:r w:rsidRPr="00D20037">
        <w:rPr>
          <w:i/>
        </w:rPr>
        <w:t>Op.Cit.,</w:t>
      </w:r>
      <w:r w:rsidRPr="00D20037">
        <w:t xml:space="preserve"> h. 133</w:t>
      </w:r>
    </w:p>
  </w:footnote>
  <w:footnote w:id="26">
    <w:p w:rsidR="008538D8" w:rsidRPr="00D20037" w:rsidRDefault="008538D8" w:rsidP="008538D8">
      <w:pPr>
        <w:pStyle w:val="FootnoteText"/>
        <w:ind w:firstLine="720"/>
        <w:jc w:val="both"/>
      </w:pPr>
      <w:r w:rsidRPr="00D20037">
        <w:rPr>
          <w:rStyle w:val="FootnoteReference"/>
        </w:rPr>
        <w:footnoteRef/>
      </w:r>
      <w:r w:rsidRPr="00D20037">
        <w:t xml:space="preserve"> R. Soesilo, </w:t>
      </w:r>
      <w:r w:rsidRPr="00D20037">
        <w:rPr>
          <w:i/>
        </w:rPr>
        <w:t>Kitab Undang-Undang Hukum Pidana</w:t>
      </w:r>
      <w:r w:rsidRPr="00D20037">
        <w:t>, Politeia, Bogor, 1993, h. 105</w:t>
      </w:r>
    </w:p>
  </w:footnote>
  <w:footnote w:id="27">
    <w:p w:rsidR="008538D8" w:rsidRPr="00D20037" w:rsidRDefault="008538D8" w:rsidP="008538D8">
      <w:pPr>
        <w:pStyle w:val="FootnoteText"/>
        <w:ind w:firstLine="720"/>
        <w:jc w:val="both"/>
      </w:pPr>
      <w:r w:rsidRPr="00D20037">
        <w:rPr>
          <w:rStyle w:val="FootnoteReference"/>
        </w:rPr>
        <w:footnoteRef/>
      </w:r>
      <w:r w:rsidRPr="00D20037">
        <w:t xml:space="preserve"> Adami Chazawi,</w:t>
      </w:r>
      <w:r w:rsidRPr="00D20037">
        <w:rPr>
          <w:i/>
        </w:rPr>
        <w:t xml:space="preserve">Op.Cit., </w:t>
      </w:r>
      <w:r w:rsidRPr="00D20037">
        <w:t xml:space="preserve"> h.74</w:t>
      </w:r>
    </w:p>
  </w:footnote>
  <w:footnote w:id="28">
    <w:p w:rsidR="008538D8" w:rsidRPr="00D20037" w:rsidRDefault="008538D8" w:rsidP="008538D8">
      <w:pPr>
        <w:pStyle w:val="FootnoteText"/>
        <w:ind w:firstLine="720"/>
        <w:jc w:val="both"/>
      </w:pPr>
      <w:r w:rsidRPr="00D20037">
        <w:rPr>
          <w:rStyle w:val="FootnoteReference"/>
        </w:rPr>
        <w:footnoteRef/>
      </w:r>
      <w:r w:rsidRPr="00D20037">
        <w:rPr>
          <w:i/>
        </w:rPr>
        <w:t>Ibid,</w:t>
      </w:r>
      <w:r w:rsidRPr="00D20037">
        <w:t xml:space="preserve"> h. 85</w:t>
      </w:r>
    </w:p>
  </w:footnote>
  <w:footnote w:id="29">
    <w:p w:rsidR="008538D8" w:rsidRPr="00D20037" w:rsidRDefault="008538D8" w:rsidP="008538D8">
      <w:pPr>
        <w:ind w:firstLine="720"/>
        <w:jc w:val="both"/>
        <w:rPr>
          <w:sz w:val="20"/>
          <w:szCs w:val="20"/>
        </w:rPr>
      </w:pPr>
      <w:r w:rsidRPr="00D20037">
        <w:rPr>
          <w:rStyle w:val="FootnoteReference"/>
          <w:sz w:val="20"/>
          <w:szCs w:val="20"/>
        </w:rPr>
        <w:footnoteRef/>
      </w:r>
      <w:r w:rsidRPr="00D20037">
        <w:rPr>
          <w:i/>
          <w:sz w:val="20"/>
          <w:szCs w:val="20"/>
        </w:rPr>
        <w:t>Ibid,</w:t>
      </w:r>
      <w:r w:rsidRPr="00D20037">
        <w:rPr>
          <w:sz w:val="20"/>
          <w:szCs w:val="20"/>
        </w:rPr>
        <w:t xml:space="preserve"> h. 86.</w:t>
      </w:r>
    </w:p>
  </w:footnote>
  <w:footnote w:id="30">
    <w:p w:rsidR="008538D8" w:rsidRPr="00D20037" w:rsidRDefault="008538D8" w:rsidP="008538D8">
      <w:pPr>
        <w:pStyle w:val="FootnoteText"/>
        <w:ind w:firstLine="720"/>
        <w:jc w:val="both"/>
      </w:pPr>
      <w:r w:rsidRPr="00D20037">
        <w:rPr>
          <w:rStyle w:val="FootnoteReference"/>
        </w:rPr>
        <w:footnoteRef/>
      </w:r>
      <w:r w:rsidRPr="00D20037">
        <w:t xml:space="preserve"> H.A.K Moch. Anwar, </w:t>
      </w:r>
      <w:r w:rsidRPr="00D20037">
        <w:rPr>
          <w:i/>
        </w:rPr>
        <w:t>Op. Cit</w:t>
      </w:r>
      <w:r w:rsidRPr="00D20037">
        <w:t>, h. 38</w:t>
      </w:r>
    </w:p>
  </w:footnote>
  <w:footnote w:id="31">
    <w:p w:rsidR="008538D8" w:rsidRPr="00D20037" w:rsidRDefault="008538D8" w:rsidP="008538D8">
      <w:pPr>
        <w:pStyle w:val="FootnoteText"/>
        <w:ind w:firstLine="720"/>
        <w:jc w:val="both"/>
      </w:pPr>
      <w:r w:rsidRPr="00D20037">
        <w:rPr>
          <w:rStyle w:val="FootnoteReference"/>
        </w:rPr>
        <w:footnoteRef/>
      </w:r>
      <w:r w:rsidRPr="00D20037">
        <w:t xml:space="preserve"> Adam Chazawi, </w:t>
      </w:r>
      <w:r w:rsidRPr="00D20037">
        <w:rPr>
          <w:i/>
        </w:rPr>
        <w:t>Op. Cit</w:t>
      </w:r>
      <w:r w:rsidRPr="00D20037">
        <w:t>, h. 94</w:t>
      </w:r>
    </w:p>
  </w:footnote>
  <w:footnote w:id="32">
    <w:p w:rsidR="008538D8" w:rsidRPr="00D20037" w:rsidRDefault="008538D8" w:rsidP="008538D8">
      <w:pPr>
        <w:pStyle w:val="FootnoteText"/>
        <w:ind w:firstLine="720"/>
        <w:jc w:val="both"/>
      </w:pPr>
      <w:r w:rsidRPr="00D20037">
        <w:rPr>
          <w:rStyle w:val="FootnoteReference"/>
        </w:rPr>
        <w:footnoteRef/>
      </w:r>
      <w:r w:rsidRPr="00D20037">
        <w:t xml:space="preserve"> P.A.F Lamintang.</w:t>
      </w:r>
      <w:r w:rsidRPr="00D20037">
        <w:rPr>
          <w:i/>
        </w:rPr>
        <w:t xml:space="preserve">Op.Cit., </w:t>
      </w:r>
      <w:r w:rsidRPr="00D20037">
        <w:t xml:space="preserve"> h.147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84E09">
    <w:pPr>
      <w:pStyle w:val="Header"/>
      <w:jc w:val="right"/>
    </w:pPr>
  </w:p>
  <w:p w:rsidR="00630637" w:rsidRPr="007E1322" w:rsidRDefault="00867367"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84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A10B6A"/>
    <w:multiLevelType w:val="hybridMultilevel"/>
    <w:tmpl w:val="4E880600"/>
    <w:lvl w:ilvl="0" w:tplc="9208DD34">
      <w:start w:val="1"/>
      <w:numFmt w:val="decimal"/>
      <w:lvlText w:val="%1."/>
      <w:lvlJc w:val="left"/>
      <w:pPr>
        <w:tabs>
          <w:tab w:val="num" w:pos="1005"/>
        </w:tabs>
        <w:ind w:left="1005" w:hanging="645"/>
      </w:pPr>
      <w:rPr>
        <w:rFonts w:hint="default"/>
      </w:rPr>
    </w:lvl>
    <w:lvl w:ilvl="1" w:tplc="9364E02A">
      <w:start w:val="1"/>
      <w:numFmt w:val="lowerLetter"/>
      <w:lvlText w:val="%2."/>
      <w:lvlJc w:val="left"/>
      <w:pPr>
        <w:ind w:left="1440" w:hanging="360"/>
      </w:pPr>
      <w:rPr>
        <w:rFonts w:hint="default"/>
      </w:rPr>
    </w:lvl>
    <w:lvl w:ilvl="2" w:tplc="ED34A742" w:tentative="1">
      <w:start w:val="1"/>
      <w:numFmt w:val="lowerRoman"/>
      <w:lvlText w:val="%3."/>
      <w:lvlJc w:val="right"/>
      <w:pPr>
        <w:tabs>
          <w:tab w:val="num" w:pos="2160"/>
        </w:tabs>
        <w:ind w:left="2160" w:hanging="180"/>
      </w:pPr>
    </w:lvl>
    <w:lvl w:ilvl="3" w:tplc="4A54D4E8"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4B654C"/>
    <w:multiLevelType w:val="hybridMultilevel"/>
    <w:tmpl w:val="B7941BEA"/>
    <w:lvl w:ilvl="0" w:tplc="9EA24F6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4">
    <w:nsid w:val="4C397D11"/>
    <w:multiLevelType w:val="singleLevel"/>
    <w:tmpl w:val="0409000F"/>
    <w:lvl w:ilvl="0">
      <w:start w:val="1"/>
      <w:numFmt w:val="decimal"/>
      <w:lvlText w:val="%1."/>
      <w:lvlJc w:val="left"/>
      <w:pPr>
        <w:tabs>
          <w:tab w:val="num" w:pos="360"/>
        </w:tabs>
        <w:ind w:left="360" w:hanging="360"/>
      </w:pPr>
    </w:lvl>
  </w:abstractNum>
  <w:abstractNum w:abstractNumId="15">
    <w:nsid w:val="4C633678"/>
    <w:multiLevelType w:val="singleLevel"/>
    <w:tmpl w:val="AD0877D4"/>
    <w:lvl w:ilvl="0">
      <w:start w:val="1"/>
      <w:numFmt w:val="upperRoman"/>
      <w:lvlText w:val="%1."/>
      <w:lvlJc w:val="left"/>
      <w:pPr>
        <w:tabs>
          <w:tab w:val="num" w:pos="720"/>
        </w:tabs>
        <w:ind w:left="720" w:hanging="720"/>
      </w:pPr>
    </w:lvl>
  </w:abstractNum>
  <w:abstractNum w:abstractNumId="16">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9">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nsid w:val="646E2B1C"/>
    <w:multiLevelType w:val="singleLevel"/>
    <w:tmpl w:val="2BD26E86"/>
    <w:lvl w:ilvl="0">
      <w:start w:val="1"/>
      <w:numFmt w:val="upperLetter"/>
      <w:lvlText w:val="%1."/>
      <w:lvlJc w:val="left"/>
      <w:pPr>
        <w:tabs>
          <w:tab w:val="num" w:pos="360"/>
        </w:tabs>
        <w:ind w:left="360" w:hanging="360"/>
      </w:pPr>
    </w:lvl>
  </w:abstractNum>
  <w:abstractNum w:abstractNumId="22">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23">
    <w:nsid w:val="77914F2D"/>
    <w:multiLevelType w:val="multilevel"/>
    <w:tmpl w:val="C3BA3C68"/>
    <w:lvl w:ilvl="0">
      <w:start w:val="1"/>
      <w:numFmt w:val="upperLetter"/>
      <w:lvlText w:val="%1."/>
      <w:lvlJc w:val="left"/>
      <w:pPr>
        <w:tabs>
          <w:tab w:val="num" w:pos="360"/>
        </w:tabs>
        <w:ind w:left="360" w:hanging="360"/>
      </w:pPr>
      <w:rPr>
        <w:rFonts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7"/>
  </w:num>
  <w:num w:numId="5">
    <w:abstractNumId w:val="13"/>
  </w:num>
  <w:num w:numId="6">
    <w:abstractNumId w:val="10"/>
  </w:num>
  <w:num w:numId="7">
    <w:abstractNumId w:val="15"/>
    <w:lvlOverride w:ilvl="0">
      <w:startOverride w:val="1"/>
    </w:lvlOverride>
  </w:num>
  <w:num w:numId="8">
    <w:abstractNumId w:val="21"/>
    <w:lvlOverride w:ilvl="0">
      <w:startOverride w:val="1"/>
    </w:lvlOverride>
  </w:num>
  <w:num w:numId="9">
    <w:abstractNumId w:val="14"/>
    <w:lvlOverride w:ilvl="0">
      <w:startOverride w:val="1"/>
    </w:lvlOverride>
  </w:num>
  <w:num w:numId="10">
    <w:abstractNumId w:val="2"/>
  </w:num>
  <w:num w:numId="11">
    <w:abstractNumId w:val="5"/>
  </w:num>
  <w:num w:numId="12">
    <w:abstractNumId w:val="23"/>
    <w:lvlOverride w:ilvl="0">
      <w:startOverride w:val="1"/>
    </w:lvlOverride>
  </w:num>
  <w:num w:numId="13">
    <w:abstractNumId w:val="1"/>
  </w:num>
  <w:num w:numId="14">
    <w:abstractNumId w:val="17"/>
  </w:num>
  <w:num w:numId="15">
    <w:abstractNumId w:val="20"/>
  </w:num>
  <w:num w:numId="16">
    <w:abstractNumId w:val="9"/>
  </w:num>
  <w:num w:numId="17">
    <w:abstractNumId w:val="22"/>
  </w:num>
  <w:num w:numId="18">
    <w:abstractNumId w:val="16"/>
  </w:num>
  <w:num w:numId="19">
    <w:abstractNumId w:val="19"/>
  </w:num>
  <w:num w:numId="20">
    <w:abstractNumId w:val="6"/>
  </w:num>
  <w:num w:numId="21">
    <w:abstractNumId w:val="12"/>
  </w:num>
  <w:num w:numId="22">
    <w:abstractNumId w:val="4"/>
  </w:num>
  <w:num w:numId="23">
    <w:abstractNumId w:val="18"/>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NIG42GY4L40a+SPvva24cMRaQWE=" w:salt="jnWgL5amCYCAM1+CC2ZJBg=="/>
  <w:defaultTabStop w:val="720"/>
  <w:characterSpacingControl w:val="doNotCompress"/>
  <w:footnotePr>
    <w:footnote w:id="0"/>
    <w:footnote w:id="1"/>
  </w:footnotePr>
  <w:endnotePr>
    <w:endnote w:id="0"/>
    <w:endnote w:id="1"/>
  </w:endnotePr>
  <w:compat/>
  <w:rsids>
    <w:rsidRoot w:val="00CE7FEB"/>
    <w:rsid w:val="002D79FF"/>
    <w:rsid w:val="00715767"/>
    <w:rsid w:val="008538D8"/>
    <w:rsid w:val="00867367"/>
    <w:rsid w:val="00984E09"/>
    <w:rsid w:val="00B25539"/>
    <w:rsid w:val="00C52FF9"/>
    <w:rsid w:val="00C81419"/>
    <w:rsid w:val="00CE7F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semiHidden/>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semiHidden/>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2026-04-06T03:34:00Z</dcterms:created>
  <dcterms:modified xsi:type="dcterms:W3CDTF">2026-04-06T03:34:00Z</dcterms:modified>
</cp:coreProperties>
</file>