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2D" w:rsidRDefault="00004A2D" w:rsidP="00004A2D">
      <w:pPr>
        <w:pStyle w:val="Heading1"/>
        <w:tabs>
          <w:tab w:val="clear" w:pos="284"/>
          <w:tab w:val="left" w:pos="720"/>
        </w:tabs>
        <w:jc w:val="center"/>
        <w:rPr>
          <w:rFonts w:ascii="Times New Roman" w:hAnsi="Times New Roman"/>
          <w:szCs w:val="24"/>
        </w:rPr>
      </w:pPr>
      <w:r>
        <w:rPr>
          <w:rFonts w:ascii="Times New Roman" w:hAnsi="Times New Roman"/>
          <w:szCs w:val="24"/>
        </w:rPr>
        <w:t>BAB I</w:t>
      </w:r>
    </w:p>
    <w:p w:rsidR="00004A2D" w:rsidRDefault="00004A2D" w:rsidP="00004A2D">
      <w:pPr>
        <w:pStyle w:val="Heading1"/>
        <w:tabs>
          <w:tab w:val="clear" w:pos="284"/>
          <w:tab w:val="left" w:pos="720"/>
        </w:tabs>
        <w:jc w:val="center"/>
        <w:rPr>
          <w:rFonts w:ascii="Times New Roman" w:hAnsi="Times New Roman"/>
          <w:szCs w:val="24"/>
        </w:rPr>
      </w:pPr>
      <w:r>
        <w:rPr>
          <w:rFonts w:ascii="Times New Roman" w:hAnsi="Times New Roman"/>
          <w:szCs w:val="24"/>
        </w:rPr>
        <w:t>PENDAHULUAN</w:t>
      </w:r>
    </w:p>
    <w:p w:rsidR="00004A2D" w:rsidRDefault="00004A2D" w:rsidP="007C303B">
      <w:pPr>
        <w:pStyle w:val="Heading3"/>
        <w:numPr>
          <w:ilvl w:val="0"/>
          <w:numId w:val="5"/>
        </w:numPr>
        <w:spacing w:line="480" w:lineRule="auto"/>
        <w:rPr>
          <w:rFonts w:ascii="Times New Roman" w:hAnsi="Times New Roman"/>
          <w:szCs w:val="24"/>
        </w:rPr>
      </w:pPr>
      <w:r>
        <w:rPr>
          <w:rFonts w:ascii="Times New Roman" w:hAnsi="Times New Roman"/>
          <w:szCs w:val="24"/>
        </w:rPr>
        <w:t xml:space="preserve">Latar Belakang </w:t>
      </w:r>
    </w:p>
    <w:p w:rsidR="00004A2D" w:rsidRDefault="00004A2D" w:rsidP="00004A2D">
      <w:pPr>
        <w:pStyle w:val="BodyTextIndent"/>
        <w:rPr>
          <w:rFonts w:ascii="Times New Roman" w:hAnsi="Times New Roman"/>
          <w:szCs w:val="24"/>
        </w:rPr>
      </w:pPr>
      <w:r>
        <w:rPr>
          <w:rFonts w:ascii="Times New Roman" w:hAnsi="Times New Roman"/>
          <w:szCs w:val="24"/>
        </w:rPr>
        <w:t>Penyalahgunaan narkotika di Indonesia merupakan masalah yang sangat mengkhawatirkan karena posisi Indonesia saat ini tidak hanya sebagai daerah transit maupun pemasaran narkotika, melainkan sudah menjadi daerah produsen narkotika.Hal ini dibuktikan dengan terungkapnya pabrik-pabrik pembuatan narkotika dalam bentuk besar dari luar negeri ke Indonesia. “letak Indonesia yang sangat strategis dan tidak jauh dari segi tiga emas (Laos, Thailand, dan Myanmar) dan daerah bulan sabit (Iran, Afganistan, dan Pakistan) yang merupakan daerah penghasil opium terbesar di dunia, menjadikan Indonesia sebagai lalu lintas gelap narkotika.</w:t>
      </w:r>
      <w:r>
        <w:rPr>
          <w:rStyle w:val="FootnoteReference"/>
          <w:rFonts w:ascii="Times New Roman" w:hAnsi="Times New Roman"/>
          <w:szCs w:val="24"/>
        </w:rPr>
        <w:footnoteReference w:id="2"/>
      </w:r>
    </w:p>
    <w:p w:rsidR="00004A2D" w:rsidRDefault="00004A2D" w:rsidP="00004A2D">
      <w:pPr>
        <w:pStyle w:val="BodyTextIndent"/>
        <w:rPr>
          <w:rFonts w:ascii="Times New Roman" w:hAnsi="Times New Roman"/>
          <w:szCs w:val="24"/>
        </w:rPr>
      </w:pPr>
      <w:r>
        <w:rPr>
          <w:rFonts w:ascii="Times New Roman" w:hAnsi="Times New Roman"/>
          <w:szCs w:val="24"/>
        </w:rPr>
        <w:t>Mengetahui berbagai macam bahaya yang ditimbulkan atas penyalahgunaan narkotika, maka segala macam bentuk penyalahgunaan barang haram tersebut pun diatur dalam Undang-Undang Nomor 35 Tahun 2009 Tentang Narkotika.Pembentukan undang-undang tersebut merupakan gambaran gencarnya Indonesia mempertahankan kriminalisasi terhadap tindak pidana narkotika.Selain itu, pembentukan undang-undang tersebut merupakan perwujudan konsistensi sikap proaktif Indonesia mendukung gerakan dunia internasional dalam memerangi segala bentuk tindak pidana narkotika.</w:t>
      </w:r>
    </w:p>
    <w:p w:rsidR="00004A2D" w:rsidRDefault="00004A2D" w:rsidP="00004A2D">
      <w:pPr>
        <w:pStyle w:val="BodyTextIndent"/>
        <w:spacing w:line="504" w:lineRule="auto"/>
        <w:rPr>
          <w:rFonts w:ascii="Times New Roman" w:hAnsi="Times New Roman"/>
          <w:szCs w:val="24"/>
        </w:rPr>
      </w:pPr>
      <w:r>
        <w:rPr>
          <w:rFonts w:ascii="Times New Roman" w:hAnsi="Times New Roman"/>
          <w:szCs w:val="24"/>
        </w:rPr>
        <w:t xml:space="preserve">Di Indonesia saat ini, penjatuhan sanksi pidana berupa pidana penjara oleh hakim bagi pelaku tindak pidana narkotika merupakan salah satu kebijakan </w:t>
      </w:r>
      <w:r>
        <w:rPr>
          <w:rFonts w:ascii="Times New Roman" w:hAnsi="Times New Roman"/>
          <w:szCs w:val="24"/>
        </w:rPr>
        <w:lastRenderedPageBreak/>
        <w:t>kriminal yang dianut Undang-Undang Nomor 35 Tahun 2009 Tentang Narkotika dan tidak dapat dipisahkan dari norma hukum pidana yang dianut oleh hukum pidana selama ini, misalnya pada Pasal 10 KUHPidana.</w:t>
      </w:r>
    </w:p>
    <w:p w:rsidR="00004A2D" w:rsidRDefault="00004A2D" w:rsidP="00004A2D">
      <w:pPr>
        <w:pStyle w:val="BodyTextIndent"/>
        <w:spacing w:line="504" w:lineRule="auto"/>
        <w:rPr>
          <w:rFonts w:ascii="Times New Roman" w:hAnsi="Times New Roman"/>
          <w:szCs w:val="24"/>
        </w:rPr>
      </w:pPr>
      <w:r>
        <w:rPr>
          <w:rFonts w:ascii="Times New Roman" w:hAnsi="Times New Roman"/>
          <w:szCs w:val="24"/>
        </w:rPr>
        <w:t>Sanksi pidana dalam Undang-Undang Nomor 35 Tahun 2009 Tentang Narkotika salah satunya adalah sanksi pidana mati, yaitu dalam Pasal 114 ayat (2) berbunyi: “Dalam hal perbuatan menawarkan untuk dijual, menjual, membeli, menjadi perantara dalam jual beli, menukar, menyerahkan, atau menerima Narkotika Golongan 1 sebagaimana dimaksud pada ayat 1 yang dalam bentuk tanaman beratnya melebihi 1kg atau melebihi 5 batang pohon atau dalam bentuk bukan tanaman beratnya 5 gram, pelaku dipidana dengan pidana mati”.</w:t>
      </w:r>
    </w:p>
    <w:p w:rsidR="00004A2D" w:rsidRDefault="00004A2D" w:rsidP="00004A2D">
      <w:pPr>
        <w:autoSpaceDE w:val="0"/>
        <w:autoSpaceDN w:val="0"/>
        <w:adjustRightInd w:val="0"/>
        <w:ind w:left="709"/>
        <w:jc w:val="both"/>
      </w:pPr>
      <w:r>
        <w:t>Pelaku sebagai pengedar dimungkinkan dijatuhkan sanksi pidana mati contohnya diatur dalam Pasal 114, Pasal 115, Pasal 118, Pasal119 yang disesuaikan dengan kategori atau beratnya kejahatan yang dilakukan. Kejahatan narkotika sudah masuk keseluruh sendi-sendi kehidupan maka dari itu hukuman berupa pidana mati masih diperlukan dan harus secara konsisten diterapkan di Indonesia.</w:t>
      </w:r>
      <w:r>
        <w:rPr>
          <w:rStyle w:val="FootnoteReference"/>
        </w:rPr>
        <w:footnoteReference w:id="3"/>
      </w:r>
    </w:p>
    <w:p w:rsidR="00004A2D" w:rsidRDefault="00004A2D" w:rsidP="00004A2D">
      <w:pPr>
        <w:autoSpaceDE w:val="0"/>
        <w:autoSpaceDN w:val="0"/>
        <w:adjustRightInd w:val="0"/>
        <w:ind w:left="426"/>
        <w:jc w:val="both"/>
      </w:pPr>
    </w:p>
    <w:p w:rsidR="00004A2D" w:rsidRDefault="00004A2D" w:rsidP="00004A2D">
      <w:pPr>
        <w:pStyle w:val="BodyTextIndent"/>
        <w:rPr>
          <w:rFonts w:ascii="Times New Roman" w:hAnsi="Times New Roman"/>
          <w:szCs w:val="24"/>
        </w:rPr>
      </w:pPr>
      <w:r>
        <w:rPr>
          <w:rFonts w:ascii="Times New Roman" w:hAnsi="Times New Roman"/>
          <w:szCs w:val="24"/>
        </w:rPr>
        <w:t>Pidana mati adalah pidana yang terberat dari segala jenis pidana, sebab itu ancaman pidana mati itu hanya ditujukan kepada para pelaku kejahatan yang berat seperti kejahatan yang ditujukan terhadap kepala negara dan wakil kepala negara yang diatur dalam Pasal 104 KUH.Pidana, kejahatan terhadap jiwa orang yaitu pembunuhan dengan berencana (Pasal 340 KUH.Pidana) dan kejahatan narkotika.</w:t>
      </w:r>
    </w:p>
    <w:p w:rsidR="00004A2D" w:rsidRDefault="00004A2D" w:rsidP="00004A2D">
      <w:pPr>
        <w:pStyle w:val="BodyTextIndent"/>
        <w:rPr>
          <w:rFonts w:ascii="Times New Roman" w:hAnsi="Times New Roman"/>
          <w:szCs w:val="24"/>
        </w:rPr>
      </w:pPr>
      <w:r>
        <w:rPr>
          <w:rFonts w:ascii="Times New Roman" w:hAnsi="Times New Roman"/>
          <w:szCs w:val="24"/>
        </w:rPr>
        <w:t>Tentang pelaksanaan hukuman mati, ada pendapat yang pro dan ada juga pendapat yang kontra.</w:t>
      </w:r>
    </w:p>
    <w:p w:rsidR="00004A2D" w:rsidRDefault="00004A2D" w:rsidP="007C303B">
      <w:pPr>
        <w:pStyle w:val="Zercom"/>
        <w:numPr>
          <w:ilvl w:val="0"/>
          <w:numId w:val="6"/>
        </w:numPr>
        <w:tabs>
          <w:tab w:val="clear" w:pos="780"/>
          <w:tab w:val="left" w:pos="1134"/>
        </w:tabs>
        <w:spacing w:line="240" w:lineRule="auto"/>
        <w:ind w:left="1134" w:hanging="425"/>
        <w:jc w:val="both"/>
        <w:rPr>
          <w:szCs w:val="24"/>
        </w:rPr>
      </w:pPr>
      <w:r>
        <w:rPr>
          <w:szCs w:val="24"/>
        </w:rPr>
        <w:t>Aliran yang pro :</w:t>
      </w:r>
    </w:p>
    <w:p w:rsidR="00004A2D" w:rsidRDefault="00004A2D" w:rsidP="007C303B">
      <w:pPr>
        <w:pStyle w:val="Zercom"/>
        <w:numPr>
          <w:ilvl w:val="0"/>
          <w:numId w:val="7"/>
        </w:numPr>
        <w:tabs>
          <w:tab w:val="clear" w:pos="1230"/>
          <w:tab w:val="left" w:pos="1560"/>
        </w:tabs>
        <w:spacing w:line="240" w:lineRule="auto"/>
        <w:ind w:left="1560" w:hanging="426"/>
        <w:jc w:val="both"/>
        <w:rPr>
          <w:szCs w:val="24"/>
        </w:rPr>
      </w:pPr>
      <w:r>
        <w:rPr>
          <w:szCs w:val="24"/>
        </w:rPr>
        <w:lastRenderedPageBreak/>
        <w:t>Pendirian yang berdasar kepercayaan dan sentimen tradisional menyebutkan bahwa nurani keadilan pada diri manusia menghendaki agar si pembunuh harus menghilangkan sendiri nyawanya atau manusia tidaklah berhak mengambil nyawa yang hanya pencipta saja berhak mencabutnya. Tapi nurani keadilan pada diri manusia itu bervariasi karena dunia kini terbagi tegas antara yang telah menghapuskan dan masih mempertahankan hukuman mati itu.</w:t>
      </w:r>
    </w:p>
    <w:p w:rsidR="00004A2D" w:rsidRDefault="00004A2D" w:rsidP="007C303B">
      <w:pPr>
        <w:pStyle w:val="Zercom"/>
        <w:numPr>
          <w:ilvl w:val="0"/>
          <w:numId w:val="7"/>
        </w:numPr>
        <w:tabs>
          <w:tab w:val="clear" w:pos="1230"/>
          <w:tab w:val="left" w:pos="1560"/>
        </w:tabs>
        <w:spacing w:line="240" w:lineRule="auto"/>
        <w:ind w:left="1560" w:hanging="426"/>
        <w:jc w:val="both"/>
        <w:rPr>
          <w:szCs w:val="24"/>
        </w:rPr>
      </w:pPr>
      <w:r>
        <w:rPr>
          <w:szCs w:val="24"/>
        </w:rPr>
        <w:t>Pendirian yang utilitarian atau empirikal berpendapat bahwa hukuman mati memberikan efek-efek tertentu yang menonjol. Aliran ini terutama berkeyakinan bahwa hukuman mati itu mempunyai kekuatan unik untuk mencegah orang berbuat kejahatan.</w:t>
      </w:r>
    </w:p>
    <w:p w:rsidR="00004A2D" w:rsidRDefault="00004A2D" w:rsidP="007C303B">
      <w:pPr>
        <w:pStyle w:val="Zercom"/>
        <w:numPr>
          <w:ilvl w:val="0"/>
          <w:numId w:val="6"/>
        </w:numPr>
        <w:tabs>
          <w:tab w:val="clear" w:pos="780"/>
          <w:tab w:val="num" w:pos="1134"/>
        </w:tabs>
        <w:spacing w:line="240" w:lineRule="auto"/>
        <w:ind w:left="1134"/>
        <w:jc w:val="both"/>
        <w:rPr>
          <w:szCs w:val="24"/>
        </w:rPr>
      </w:pPr>
      <w:r>
        <w:rPr>
          <w:szCs w:val="24"/>
        </w:rPr>
        <w:t>Aliran yang kontra.</w:t>
      </w:r>
    </w:p>
    <w:p w:rsidR="00004A2D" w:rsidRDefault="00004A2D" w:rsidP="00004A2D">
      <w:pPr>
        <w:pStyle w:val="Zercom"/>
        <w:tabs>
          <w:tab w:val="num" w:pos="1134"/>
        </w:tabs>
        <w:spacing w:line="240" w:lineRule="auto"/>
        <w:ind w:left="1134" w:firstLine="0"/>
        <w:jc w:val="both"/>
        <w:rPr>
          <w:szCs w:val="24"/>
        </w:rPr>
      </w:pPr>
      <w:r>
        <w:rPr>
          <w:szCs w:val="24"/>
        </w:rPr>
        <w:t>Menurut aliran ini tidak ada bukti bahwa hukuman mati itu lebih mampu mencegah atau melindungi masyarakat dari pada hukuman penjara seumur hidup. Keputusan hakim yangkeliru akan mengeksekusi terdakwa yang tidak bersalah atau berdosa.</w:t>
      </w:r>
      <w:r>
        <w:rPr>
          <w:rStyle w:val="FootnoteReference"/>
          <w:szCs w:val="24"/>
        </w:rPr>
        <w:footnoteReference w:id="4"/>
      </w:r>
    </w:p>
    <w:p w:rsidR="00004A2D" w:rsidRDefault="00004A2D" w:rsidP="00004A2D">
      <w:pPr>
        <w:pStyle w:val="BodyTextIndent"/>
        <w:spacing w:line="240" w:lineRule="auto"/>
        <w:ind w:left="374"/>
        <w:rPr>
          <w:rFonts w:ascii="Times New Roman" w:hAnsi="Times New Roman"/>
          <w:szCs w:val="24"/>
        </w:rPr>
      </w:pPr>
    </w:p>
    <w:p w:rsidR="00004A2D" w:rsidRDefault="00004A2D" w:rsidP="00004A2D">
      <w:pPr>
        <w:pStyle w:val="BodyTextIndent"/>
        <w:rPr>
          <w:rFonts w:ascii="Times New Roman" w:hAnsi="Times New Roman"/>
          <w:szCs w:val="24"/>
        </w:rPr>
      </w:pPr>
      <w:r>
        <w:rPr>
          <w:rFonts w:ascii="Times New Roman" w:hAnsi="Times New Roman"/>
          <w:szCs w:val="24"/>
        </w:rPr>
        <w:t xml:space="preserve">Menurut </w:t>
      </w:r>
      <w:bookmarkStart w:id="3" w:name="_Hlk181048513"/>
      <w:r>
        <w:rPr>
          <w:rFonts w:ascii="Times New Roman" w:hAnsi="Times New Roman"/>
          <w:szCs w:val="24"/>
        </w:rPr>
        <w:t xml:space="preserve">putusan Mahkamah Konstitusi Republik Indonesia Nomor 107/PUU-XIII/2015 </w:t>
      </w:r>
      <w:bookmarkEnd w:id="3"/>
      <w:r>
        <w:rPr>
          <w:rFonts w:ascii="Times New Roman" w:hAnsi="Times New Roman"/>
          <w:szCs w:val="24"/>
        </w:rPr>
        <w:t>dijelaskan bahwa :</w:t>
      </w:r>
    </w:p>
    <w:p w:rsidR="00004A2D" w:rsidRDefault="00004A2D" w:rsidP="00004A2D">
      <w:pPr>
        <w:pStyle w:val="BodyTextIndent"/>
        <w:spacing w:line="240" w:lineRule="auto"/>
        <w:ind w:left="993" w:firstLine="0"/>
        <w:rPr>
          <w:rFonts w:ascii="Times New Roman" w:hAnsi="Times New Roman"/>
          <w:szCs w:val="24"/>
        </w:rPr>
      </w:pPr>
      <w:r>
        <w:rPr>
          <w:rFonts w:ascii="Times New Roman" w:hAnsi="Times New Roman"/>
          <w:szCs w:val="24"/>
        </w:rPr>
        <w:t>Penerapan sanksi pidana mati bagi para pelaku tindak pidana narkotika tidak melanggar hak asasi manusia, karna terdapat asas (</w:t>
      </w:r>
      <w:r>
        <w:rPr>
          <w:rFonts w:ascii="Times New Roman" w:hAnsi="Times New Roman"/>
          <w:i/>
          <w:iCs/>
          <w:szCs w:val="24"/>
        </w:rPr>
        <w:t xml:space="preserve">derogable right) </w:t>
      </w:r>
      <w:r>
        <w:rPr>
          <w:rFonts w:ascii="Times New Roman" w:hAnsi="Times New Roman"/>
          <w:szCs w:val="24"/>
        </w:rPr>
        <w:t>yaitu hak seseorang yang bisa di batasi akan tetapi justru para pelaku tersebut telah melanggar hak asasi manusia lain,yang memberikan dampak terhadap kehancuran generasi muda di masa yang akan datang. Pidana mati telah diatur dalam Pasal 10 KUHP yang merupakan bagian dari sistem hukum nasional.Pelaksanaan pidana mati tidak bertentangan dengan UUD 1945.</w:t>
      </w:r>
      <w:r>
        <w:rPr>
          <w:rStyle w:val="FootnoteReference"/>
          <w:rFonts w:ascii="Times New Roman" w:hAnsi="Times New Roman"/>
          <w:szCs w:val="24"/>
        </w:rPr>
        <w:footnoteReference w:id="5"/>
      </w:r>
    </w:p>
    <w:p w:rsidR="00004A2D" w:rsidRDefault="00004A2D" w:rsidP="00004A2D">
      <w:pPr>
        <w:pStyle w:val="BodyTextIndent"/>
        <w:spacing w:line="240" w:lineRule="auto"/>
        <w:ind w:left="426" w:firstLine="0"/>
        <w:rPr>
          <w:rFonts w:ascii="Times New Roman" w:hAnsi="Times New Roman"/>
          <w:szCs w:val="24"/>
        </w:rPr>
      </w:pPr>
    </w:p>
    <w:p w:rsidR="00004A2D" w:rsidRDefault="00004A2D" w:rsidP="00004A2D">
      <w:pPr>
        <w:pStyle w:val="BodyTextIndent"/>
        <w:spacing w:line="468" w:lineRule="auto"/>
        <w:rPr>
          <w:rFonts w:ascii="Times New Roman" w:hAnsi="Times New Roman"/>
          <w:szCs w:val="24"/>
        </w:rPr>
      </w:pPr>
      <w:r>
        <w:rPr>
          <w:rFonts w:ascii="Times New Roman" w:hAnsi="Times New Roman"/>
          <w:szCs w:val="24"/>
        </w:rPr>
        <w:t xml:space="preserve">Proses pelaksanaan hukuman mati di Indonesia tetap dipertahankan, tapi dalam pelaksanaannya sangat selektif dan cenderung hati-hati. Penjatuhan pidana mati, hakim mempunyai kebebasan besar karena Undang-Undang Nomor 48 Tahun 2009 tentang Kekuasaan Kehakiman. Pasal 1 angka 1 Undang-Undang Nomor 48 Tahun 2009 kekuasaan kehakiman adalah kekuasaan negara yang </w:t>
      </w:r>
      <w:r>
        <w:rPr>
          <w:rFonts w:ascii="Times New Roman" w:hAnsi="Times New Roman"/>
          <w:szCs w:val="24"/>
        </w:rPr>
        <w:lastRenderedPageBreak/>
        <w:t>merdeka untuk menyelenggarakan peradilan guna menegakkan hukum dan keadilan berdasarkan Pancasila dan Undang-Undang Dasar Republik Indonesia Tahun 1945, demi terselenggaranya negara hukum Republik Indonesia.</w:t>
      </w:r>
    </w:p>
    <w:p w:rsidR="00004A2D" w:rsidRDefault="00004A2D" w:rsidP="00004A2D">
      <w:pPr>
        <w:pStyle w:val="BodyTextIndent"/>
        <w:spacing w:line="468" w:lineRule="auto"/>
        <w:rPr>
          <w:rFonts w:ascii="Times New Roman" w:hAnsi="Times New Roman"/>
          <w:szCs w:val="24"/>
        </w:rPr>
      </w:pPr>
      <w:r>
        <w:rPr>
          <w:rFonts w:ascii="Times New Roman" w:hAnsi="Times New Roman"/>
          <w:szCs w:val="24"/>
        </w:rPr>
        <w:t>Salah satu contoh kasus</w:t>
      </w:r>
      <w:r>
        <w:rPr>
          <w:rFonts w:ascii="Times New Roman" w:hAnsi="Times New Roman"/>
          <w:szCs w:val="24"/>
          <w:lang w:val="fi-FI"/>
        </w:rPr>
        <w:t xml:space="preserve">permufakatan jahat </w:t>
      </w:r>
      <w:r>
        <w:rPr>
          <w:rFonts w:ascii="Times New Roman" w:hAnsi="Times New Roman"/>
          <w:i/>
          <w:szCs w:val="24"/>
          <w:lang w:val="fi-FI"/>
        </w:rPr>
        <w:t>(samenspanning)</w:t>
      </w:r>
      <w:r>
        <w:rPr>
          <w:rFonts w:ascii="Times New Roman" w:hAnsi="Times New Roman"/>
          <w:szCs w:val="24"/>
          <w:lang w:val="fi-FI"/>
        </w:rPr>
        <w:t xml:space="preserve"> dalam kejahatan narkotika </w:t>
      </w:r>
      <w:r>
        <w:rPr>
          <w:rFonts w:ascii="Times New Roman" w:hAnsi="Times New Roman"/>
          <w:szCs w:val="24"/>
        </w:rPr>
        <w:t xml:space="preserve">yang dikenakan hukuman mati adalah </w:t>
      </w:r>
      <w:r>
        <w:rPr>
          <w:rFonts w:ascii="Times New Roman" w:hAnsi="Times New Roman"/>
          <w:szCs w:val="24"/>
          <w:lang w:val="fi-FI"/>
        </w:rPr>
        <w:t xml:space="preserve">Putusan Pengadilan Negeri Medan Nomor 1957/Pid.Sus/2023/PN Mdn dengan terdakwa </w:t>
      </w:r>
      <w:r>
        <w:rPr>
          <w:rFonts w:ascii="Times New Roman" w:hAnsi="Times New Roman"/>
          <w:szCs w:val="24"/>
        </w:rPr>
        <w:t xml:space="preserve">Wardani Ibrahim Alias Ibrahim yang  terbukti secara sah dan meyakinkan bersalah telah melakukan tindak pidana </w:t>
      </w:r>
      <w:r>
        <w:rPr>
          <w:rFonts w:ascii="Times New Roman" w:hAnsi="Times New Roman"/>
          <w:iCs/>
          <w:szCs w:val="24"/>
        </w:rPr>
        <w:t xml:space="preserve">percobaan atau permufakatan jahat tanpa hak atau melawan hukum menawarkan untuk dijual menjual, menerima, menjadi perantara dalam jual beli atau menyerahkan narkotika golongan I jenis sabu yang beratnya melebihi 5 (lima) gram </w:t>
      </w:r>
      <w:r>
        <w:rPr>
          <w:rFonts w:ascii="Times New Roman" w:hAnsi="Times New Roman"/>
          <w:szCs w:val="24"/>
        </w:rPr>
        <w:t xml:space="preserve">sebagimana diatur dan diancam pidana melanggar Pasal 114 ayat (2) </w:t>
      </w:r>
      <w:r>
        <w:rPr>
          <w:rFonts w:ascii="Times New Roman" w:hAnsi="Times New Roman"/>
          <w:i/>
          <w:iCs/>
          <w:szCs w:val="24"/>
        </w:rPr>
        <w:t xml:space="preserve">jo </w:t>
      </w:r>
      <w:r>
        <w:rPr>
          <w:rFonts w:ascii="Times New Roman" w:hAnsi="Times New Roman"/>
          <w:szCs w:val="24"/>
        </w:rPr>
        <w:t>Pasal 132 ayat (1) UU RI No. 35 tahun 2009 Tentang Narkotika dan akibat perbuatannya, maka terdakwa dihuum oleh karena itu dengan pidana mati.</w:t>
      </w:r>
    </w:p>
    <w:p w:rsidR="00004A2D" w:rsidRDefault="00004A2D" w:rsidP="00004A2D">
      <w:pPr>
        <w:pStyle w:val="BodyTextIndent"/>
        <w:rPr>
          <w:rFonts w:ascii="Times New Roman" w:hAnsi="Times New Roman"/>
          <w:szCs w:val="24"/>
        </w:rPr>
      </w:pPr>
      <w:r>
        <w:rPr>
          <w:rFonts w:ascii="Times New Roman" w:hAnsi="Times New Roman"/>
          <w:szCs w:val="24"/>
        </w:rPr>
        <w:t xml:space="preserve">Berdasarkan  dari uraian di atas, maka penulis memilih judul skripsi tentang : </w:t>
      </w:r>
      <w:r>
        <w:rPr>
          <w:rFonts w:ascii="Times New Roman" w:hAnsi="Times New Roman"/>
          <w:b/>
          <w:szCs w:val="24"/>
        </w:rPr>
        <w:t>“</w:t>
      </w:r>
      <w:r>
        <w:rPr>
          <w:rFonts w:ascii="Times New Roman" w:hAnsi="Times New Roman"/>
          <w:b/>
          <w:szCs w:val="24"/>
          <w:lang w:val="fi-FI"/>
        </w:rPr>
        <w:t xml:space="preserve">Analisis Yuridis Pidana Mati Terhadap Permufakatan Jahat </w:t>
      </w:r>
      <w:r>
        <w:rPr>
          <w:rFonts w:ascii="Times New Roman" w:hAnsi="Times New Roman"/>
          <w:b/>
          <w:i/>
          <w:szCs w:val="24"/>
          <w:lang w:val="fi-FI"/>
        </w:rPr>
        <w:t>(Samenspanning)</w:t>
      </w:r>
      <w:r>
        <w:rPr>
          <w:rFonts w:ascii="Times New Roman" w:hAnsi="Times New Roman"/>
          <w:b/>
          <w:szCs w:val="24"/>
          <w:lang w:val="fi-FI"/>
        </w:rPr>
        <w:t xml:space="preserve"> Dalam Kejahatan Narkotika (Studi Putusan Pengadilan Negeri Medan Nomor 1957/Pid.Sus/2023/PN Mdn)</w:t>
      </w:r>
      <w:r>
        <w:rPr>
          <w:rFonts w:ascii="Times New Roman" w:hAnsi="Times New Roman"/>
          <w:b/>
          <w:szCs w:val="24"/>
        </w:rPr>
        <w:t>”</w:t>
      </w:r>
      <w:r>
        <w:rPr>
          <w:rFonts w:ascii="Times New Roman" w:hAnsi="Times New Roman"/>
          <w:szCs w:val="24"/>
        </w:rPr>
        <w:t>.</w:t>
      </w:r>
    </w:p>
    <w:p w:rsidR="00004A2D" w:rsidRDefault="00004A2D" w:rsidP="00004A2D">
      <w:pPr>
        <w:pStyle w:val="BodyTextIndent"/>
        <w:spacing w:line="240" w:lineRule="auto"/>
        <w:rPr>
          <w:rFonts w:ascii="Times New Roman" w:hAnsi="Times New Roman"/>
          <w:szCs w:val="24"/>
        </w:rPr>
      </w:pPr>
    </w:p>
    <w:p w:rsidR="00004A2D" w:rsidRDefault="00004A2D" w:rsidP="007C303B">
      <w:pPr>
        <w:pStyle w:val="BodyText"/>
        <w:numPr>
          <w:ilvl w:val="0"/>
          <w:numId w:val="8"/>
        </w:numPr>
        <w:tabs>
          <w:tab w:val="clear" w:pos="360"/>
          <w:tab w:val="num" w:pos="0"/>
        </w:tabs>
        <w:spacing w:line="480" w:lineRule="auto"/>
        <w:rPr>
          <w:rFonts w:ascii="Times New Roman" w:hAnsi="Times New Roman"/>
          <w:b/>
          <w:szCs w:val="24"/>
        </w:rPr>
      </w:pPr>
      <w:r>
        <w:rPr>
          <w:rFonts w:ascii="Times New Roman" w:hAnsi="Times New Roman"/>
          <w:b/>
          <w:szCs w:val="24"/>
        </w:rPr>
        <w:t>B. Perumusan Masalah</w:t>
      </w:r>
    </w:p>
    <w:p w:rsidR="00004A2D" w:rsidRDefault="00004A2D" w:rsidP="00004A2D">
      <w:pPr>
        <w:pStyle w:val="BodyText"/>
        <w:spacing w:line="480" w:lineRule="auto"/>
        <w:ind w:firstLine="748"/>
        <w:rPr>
          <w:rFonts w:ascii="Times New Roman" w:hAnsi="Times New Roman"/>
          <w:szCs w:val="24"/>
        </w:rPr>
      </w:pPr>
      <w:r>
        <w:rPr>
          <w:rFonts w:ascii="Times New Roman" w:hAnsi="Times New Roman"/>
          <w:szCs w:val="24"/>
        </w:rPr>
        <w:t>Permasalahan dalam penelitian ini adalah sebagai berikut :</w:t>
      </w:r>
    </w:p>
    <w:p w:rsidR="00004A2D" w:rsidRDefault="00004A2D" w:rsidP="007C303B">
      <w:pPr>
        <w:pStyle w:val="BodyText"/>
        <w:numPr>
          <w:ilvl w:val="0"/>
          <w:numId w:val="9"/>
        </w:numPr>
        <w:spacing w:line="480" w:lineRule="auto"/>
        <w:ind w:left="360"/>
        <w:rPr>
          <w:rFonts w:ascii="Times New Roman" w:hAnsi="Times New Roman"/>
          <w:szCs w:val="24"/>
        </w:rPr>
      </w:pPr>
      <w:r>
        <w:rPr>
          <w:rFonts w:ascii="Times New Roman" w:hAnsi="Times New Roman"/>
          <w:szCs w:val="24"/>
        </w:rPr>
        <w:t xml:space="preserve">Bagaimana </w:t>
      </w:r>
      <w:r>
        <w:rPr>
          <w:rFonts w:ascii="Times New Roman" w:hAnsi="Times New Roman"/>
          <w:szCs w:val="24"/>
          <w:lang w:val="sv-SE"/>
        </w:rPr>
        <w:t xml:space="preserve">pengaturan hukum pidana mati </w:t>
      </w:r>
      <w:r>
        <w:rPr>
          <w:rFonts w:ascii="Times New Roman" w:hAnsi="Times New Roman"/>
          <w:szCs w:val="24"/>
          <w:lang w:val="fi-FI"/>
        </w:rPr>
        <w:t xml:space="preserve">permufakatan jahat </w:t>
      </w:r>
      <w:r>
        <w:rPr>
          <w:rFonts w:ascii="Times New Roman" w:hAnsi="Times New Roman"/>
          <w:i/>
          <w:szCs w:val="24"/>
          <w:lang w:val="fi-FI"/>
        </w:rPr>
        <w:t>(samenspanning)</w:t>
      </w:r>
      <w:r>
        <w:rPr>
          <w:rFonts w:ascii="Times New Roman" w:hAnsi="Times New Roman"/>
          <w:szCs w:val="24"/>
          <w:lang w:val="fi-FI"/>
        </w:rPr>
        <w:t xml:space="preserve"> dalam </w:t>
      </w:r>
      <w:r>
        <w:rPr>
          <w:rFonts w:ascii="Times New Roman" w:hAnsi="Times New Roman"/>
          <w:szCs w:val="24"/>
          <w:lang w:val="sv-SE"/>
        </w:rPr>
        <w:t>tindak pidana narkotika ?</w:t>
      </w:r>
    </w:p>
    <w:p w:rsidR="00004A2D" w:rsidRDefault="00004A2D" w:rsidP="007C303B">
      <w:pPr>
        <w:pStyle w:val="BodyText"/>
        <w:numPr>
          <w:ilvl w:val="0"/>
          <w:numId w:val="9"/>
        </w:numPr>
        <w:spacing w:line="480" w:lineRule="auto"/>
        <w:ind w:left="360"/>
        <w:rPr>
          <w:rFonts w:ascii="Times New Roman" w:hAnsi="Times New Roman"/>
          <w:szCs w:val="24"/>
        </w:rPr>
      </w:pPr>
      <w:r>
        <w:rPr>
          <w:rFonts w:ascii="Times New Roman" w:hAnsi="Times New Roman"/>
          <w:szCs w:val="24"/>
          <w:lang w:val="sv-SE"/>
        </w:rPr>
        <w:lastRenderedPageBreak/>
        <w:t xml:space="preserve">Bagaimana pertanggunjawaban </w:t>
      </w:r>
      <w:r>
        <w:rPr>
          <w:rFonts w:ascii="Times New Roman" w:hAnsi="Times New Roman"/>
          <w:szCs w:val="24"/>
          <w:lang w:val="fi-FI"/>
        </w:rPr>
        <w:t xml:space="preserve">permufakatan jahat </w:t>
      </w:r>
      <w:r>
        <w:rPr>
          <w:rFonts w:ascii="Times New Roman" w:hAnsi="Times New Roman"/>
          <w:i/>
          <w:szCs w:val="24"/>
          <w:lang w:val="fi-FI"/>
        </w:rPr>
        <w:t>(samenspanning)</w:t>
      </w:r>
      <w:r>
        <w:rPr>
          <w:rFonts w:ascii="Times New Roman" w:hAnsi="Times New Roman"/>
          <w:szCs w:val="24"/>
          <w:lang w:val="fi-FI"/>
        </w:rPr>
        <w:t xml:space="preserve"> dalam </w:t>
      </w:r>
      <w:r>
        <w:rPr>
          <w:rFonts w:ascii="Times New Roman" w:hAnsi="Times New Roman"/>
          <w:szCs w:val="24"/>
          <w:lang w:val="sv-SE"/>
        </w:rPr>
        <w:t>tindak pidana narkotika ?</w:t>
      </w:r>
    </w:p>
    <w:p w:rsidR="00004A2D" w:rsidRDefault="00004A2D" w:rsidP="007C303B">
      <w:pPr>
        <w:pStyle w:val="BodyText"/>
        <w:numPr>
          <w:ilvl w:val="0"/>
          <w:numId w:val="9"/>
        </w:numPr>
        <w:spacing w:line="480" w:lineRule="auto"/>
        <w:ind w:left="360"/>
        <w:rPr>
          <w:rFonts w:ascii="Times New Roman" w:hAnsi="Times New Roman"/>
          <w:szCs w:val="24"/>
        </w:rPr>
      </w:pPr>
      <w:r>
        <w:rPr>
          <w:rFonts w:ascii="Times New Roman" w:hAnsi="Times New Roman"/>
          <w:szCs w:val="24"/>
          <w:lang w:val="sv-SE"/>
        </w:rPr>
        <w:t xml:space="preserve">Bagaimana pertimbangan hakim dalam </w:t>
      </w:r>
      <w:r>
        <w:rPr>
          <w:rFonts w:ascii="Times New Roman" w:hAnsi="Times New Roman"/>
          <w:color w:val="000000"/>
          <w:szCs w:val="24"/>
        </w:rPr>
        <w:t>menjatuhkan  putusan pidana mati terhadap</w:t>
      </w:r>
      <w:r>
        <w:rPr>
          <w:rFonts w:ascii="Times New Roman" w:hAnsi="Times New Roman"/>
          <w:szCs w:val="24"/>
          <w:lang w:val="sv-SE"/>
        </w:rPr>
        <w:t xml:space="preserve"> permufakatan jahat </w:t>
      </w:r>
      <w:r>
        <w:rPr>
          <w:rFonts w:ascii="Times New Roman" w:hAnsi="Times New Roman"/>
          <w:i/>
          <w:szCs w:val="24"/>
          <w:lang w:val="sv-SE"/>
        </w:rPr>
        <w:t>(samenspanning)</w:t>
      </w:r>
      <w:r>
        <w:rPr>
          <w:rFonts w:ascii="Times New Roman" w:hAnsi="Times New Roman"/>
          <w:szCs w:val="24"/>
          <w:lang w:val="sv-SE"/>
        </w:rPr>
        <w:t xml:space="preserve"> dalam tindak pidana narkotika </w:t>
      </w:r>
      <w:r>
        <w:rPr>
          <w:rFonts w:ascii="Times New Roman" w:hAnsi="Times New Roman"/>
          <w:color w:val="000000"/>
          <w:szCs w:val="24"/>
        </w:rPr>
        <w:t>menurut putusan</w:t>
      </w:r>
      <w:r>
        <w:rPr>
          <w:rFonts w:ascii="Times New Roman" w:hAnsi="Times New Roman"/>
          <w:szCs w:val="24"/>
          <w:lang w:val="fi-FI"/>
        </w:rPr>
        <w:t>Pengadilan Negeri Medan Nomor 1957/Pid.Sus/2023/PN Mdn ?</w:t>
      </w:r>
    </w:p>
    <w:p w:rsidR="00004A2D" w:rsidRDefault="00004A2D" w:rsidP="00004A2D">
      <w:pPr>
        <w:pStyle w:val="BodyText"/>
        <w:ind w:left="360"/>
        <w:rPr>
          <w:rFonts w:ascii="Times New Roman" w:hAnsi="Times New Roman"/>
          <w:szCs w:val="24"/>
        </w:rPr>
      </w:pPr>
    </w:p>
    <w:p w:rsidR="00004A2D" w:rsidRDefault="00004A2D" w:rsidP="007C303B">
      <w:pPr>
        <w:pStyle w:val="Heading3"/>
        <w:numPr>
          <w:ilvl w:val="0"/>
          <w:numId w:val="10"/>
        </w:numPr>
        <w:tabs>
          <w:tab w:val="left" w:pos="709"/>
        </w:tabs>
        <w:spacing w:line="480" w:lineRule="auto"/>
        <w:rPr>
          <w:rFonts w:ascii="Times New Roman" w:hAnsi="Times New Roman"/>
          <w:szCs w:val="24"/>
        </w:rPr>
      </w:pPr>
      <w:r>
        <w:rPr>
          <w:rFonts w:ascii="Times New Roman" w:hAnsi="Times New Roman"/>
          <w:szCs w:val="24"/>
        </w:rPr>
        <w:t>Tujuan Penelitian</w:t>
      </w:r>
    </w:p>
    <w:p w:rsidR="00004A2D" w:rsidRDefault="00004A2D" w:rsidP="00004A2D">
      <w:pPr>
        <w:spacing w:line="480" w:lineRule="auto"/>
        <w:ind w:firstLine="748"/>
        <w:jc w:val="both"/>
      </w:pPr>
      <w:r>
        <w:t>Adapun yang menjadi tujuan dalam penelitian ini adalah :</w:t>
      </w:r>
    </w:p>
    <w:p w:rsidR="00004A2D" w:rsidRDefault="00004A2D" w:rsidP="007C303B">
      <w:pPr>
        <w:numPr>
          <w:ilvl w:val="0"/>
          <w:numId w:val="11"/>
        </w:numPr>
        <w:spacing w:line="480" w:lineRule="auto"/>
        <w:ind w:left="360"/>
        <w:jc w:val="both"/>
      </w:pPr>
      <w:r>
        <w:t xml:space="preserve">Untuk mengetahui </w:t>
      </w:r>
      <w:r>
        <w:rPr>
          <w:lang w:val="sv-SE"/>
        </w:rPr>
        <w:t xml:space="preserve">pengaturan hukum pidana mati </w:t>
      </w:r>
      <w:r>
        <w:rPr>
          <w:lang w:val="fi-FI"/>
        </w:rPr>
        <w:t xml:space="preserve">permufakatan jahat </w:t>
      </w:r>
      <w:r>
        <w:rPr>
          <w:i/>
          <w:lang w:val="fi-FI"/>
        </w:rPr>
        <w:t>(samenspanning)</w:t>
      </w:r>
      <w:r>
        <w:rPr>
          <w:lang w:val="fi-FI"/>
        </w:rPr>
        <w:t xml:space="preserve"> dalam </w:t>
      </w:r>
      <w:r>
        <w:rPr>
          <w:lang w:val="sv-SE"/>
        </w:rPr>
        <w:t>tindak pidana narkotika</w:t>
      </w:r>
      <w:r>
        <w:t>.</w:t>
      </w:r>
    </w:p>
    <w:p w:rsidR="00004A2D" w:rsidRDefault="00004A2D" w:rsidP="007C303B">
      <w:pPr>
        <w:numPr>
          <w:ilvl w:val="0"/>
          <w:numId w:val="11"/>
        </w:numPr>
        <w:spacing w:line="480" w:lineRule="auto"/>
        <w:ind w:left="360"/>
        <w:jc w:val="both"/>
      </w:pPr>
      <w:r>
        <w:t xml:space="preserve">Untuk mengetahui </w:t>
      </w:r>
      <w:r>
        <w:rPr>
          <w:lang w:val="sv-SE"/>
        </w:rPr>
        <w:t xml:space="preserve">pertanggunjawaban </w:t>
      </w:r>
      <w:r>
        <w:rPr>
          <w:lang w:val="fi-FI"/>
        </w:rPr>
        <w:t xml:space="preserve">permufakatan jahat </w:t>
      </w:r>
      <w:r>
        <w:rPr>
          <w:i/>
          <w:lang w:val="fi-FI"/>
        </w:rPr>
        <w:t>(samenspanning)</w:t>
      </w:r>
      <w:r>
        <w:rPr>
          <w:lang w:val="fi-FI"/>
        </w:rPr>
        <w:t xml:space="preserve"> dalam </w:t>
      </w:r>
      <w:r>
        <w:rPr>
          <w:lang w:val="sv-SE"/>
        </w:rPr>
        <w:t>tindak pidana narkotika</w:t>
      </w:r>
    </w:p>
    <w:p w:rsidR="00004A2D" w:rsidRDefault="00004A2D" w:rsidP="007C303B">
      <w:pPr>
        <w:numPr>
          <w:ilvl w:val="0"/>
          <w:numId w:val="11"/>
        </w:numPr>
        <w:spacing w:line="480" w:lineRule="auto"/>
        <w:ind w:left="360"/>
        <w:jc w:val="both"/>
      </w:pPr>
      <w:r>
        <w:t xml:space="preserve">Untuk mengetahui </w:t>
      </w:r>
      <w:r>
        <w:rPr>
          <w:lang w:val="sv-SE"/>
        </w:rPr>
        <w:t xml:space="preserve">pertimbangan hakim dalam </w:t>
      </w:r>
      <w:r>
        <w:rPr>
          <w:color w:val="000000"/>
        </w:rPr>
        <w:t>menjatuhkan  putusan pidana mati terhadap</w:t>
      </w:r>
      <w:r>
        <w:rPr>
          <w:lang w:val="sv-SE"/>
        </w:rPr>
        <w:t xml:space="preserve"> permufakatan jahat </w:t>
      </w:r>
      <w:r>
        <w:rPr>
          <w:i/>
          <w:lang w:val="sv-SE"/>
        </w:rPr>
        <w:t>(samenspanning)</w:t>
      </w:r>
      <w:r>
        <w:rPr>
          <w:lang w:val="sv-SE"/>
        </w:rPr>
        <w:t xml:space="preserve"> dalam tindak pidana narkotika </w:t>
      </w:r>
      <w:r>
        <w:rPr>
          <w:color w:val="000000"/>
        </w:rPr>
        <w:t>menurut putusan</w:t>
      </w:r>
      <w:r>
        <w:rPr>
          <w:lang w:val="fi-FI"/>
        </w:rPr>
        <w:t>Pengadilan Negeri Medan Nomor 1957/Pid.Sus/2023/PN Mdn</w:t>
      </w:r>
      <w:r>
        <w:t>.</w:t>
      </w:r>
    </w:p>
    <w:p w:rsidR="00004A2D" w:rsidRDefault="00004A2D" w:rsidP="00004A2D">
      <w:pPr>
        <w:jc w:val="both"/>
      </w:pPr>
    </w:p>
    <w:p w:rsidR="00004A2D" w:rsidRDefault="00004A2D" w:rsidP="007C303B">
      <w:pPr>
        <w:pStyle w:val="Heading3"/>
        <w:numPr>
          <w:ilvl w:val="0"/>
          <w:numId w:val="10"/>
        </w:numPr>
        <w:tabs>
          <w:tab w:val="left" w:pos="709"/>
        </w:tabs>
        <w:spacing w:line="480" w:lineRule="auto"/>
        <w:rPr>
          <w:rFonts w:ascii="Times New Roman" w:hAnsi="Times New Roman"/>
          <w:szCs w:val="24"/>
        </w:rPr>
      </w:pPr>
      <w:r>
        <w:rPr>
          <w:rFonts w:ascii="Times New Roman" w:hAnsi="Times New Roman"/>
          <w:szCs w:val="24"/>
        </w:rPr>
        <w:t>Kegunaan Penelitian</w:t>
      </w:r>
    </w:p>
    <w:p w:rsidR="00004A2D" w:rsidRDefault="00004A2D" w:rsidP="00004A2D">
      <w:pPr>
        <w:spacing w:line="480" w:lineRule="auto"/>
        <w:ind w:left="374" w:firstLine="748"/>
        <w:jc w:val="both"/>
      </w:pPr>
      <w:r>
        <w:t>Adapun kegunaan dalam penelitian  ini adalah sebagai berikut :</w:t>
      </w:r>
    </w:p>
    <w:p w:rsidR="00004A2D" w:rsidRDefault="00004A2D" w:rsidP="007C303B">
      <w:pPr>
        <w:numPr>
          <w:ilvl w:val="0"/>
          <w:numId w:val="4"/>
        </w:numPr>
        <w:spacing w:line="480" w:lineRule="auto"/>
        <w:jc w:val="both"/>
      </w:pPr>
      <w:r>
        <w:t>Secara teoritis penelitian ini dapat dijadikan sebagai bahan literatur bagi pihak-pihak yang ingin mengetahui dan memperdalam tentang masalah hukuman mati terhadap pelaku tindak pidana narkotika.</w:t>
      </w:r>
    </w:p>
    <w:p w:rsidR="00004A2D" w:rsidRDefault="00004A2D" w:rsidP="007C303B">
      <w:pPr>
        <w:numPr>
          <w:ilvl w:val="0"/>
          <w:numId w:val="4"/>
        </w:numPr>
        <w:spacing w:line="480" w:lineRule="auto"/>
        <w:jc w:val="both"/>
      </w:pPr>
      <w:r>
        <w:lastRenderedPageBreak/>
        <w:t>Secara praktis diharapkan dapat memberikan manfaat kepada masyarakat dan juga aparat penegak hukum tentang hukuman mati terhadap pelaku tindak pidana narkotika.</w:t>
      </w:r>
    </w:p>
    <w:p w:rsidR="00004A2D" w:rsidRDefault="00004A2D" w:rsidP="00004A2D">
      <w:pPr>
        <w:spacing w:line="480" w:lineRule="auto"/>
        <w:jc w:val="both"/>
      </w:pPr>
    </w:p>
    <w:p w:rsidR="00004A2D" w:rsidRDefault="00004A2D" w:rsidP="00004A2D">
      <w:pPr>
        <w:ind w:left="748"/>
        <w:jc w:val="both"/>
      </w:pPr>
    </w:p>
    <w:p w:rsidR="00CE7FEB" w:rsidRPr="00004A2D" w:rsidRDefault="00CE7FEB" w:rsidP="00004A2D">
      <w:bookmarkStart w:id="5" w:name="_GoBack"/>
      <w:bookmarkEnd w:id="5"/>
    </w:p>
    <w:sectPr w:rsidR="00CE7FEB" w:rsidRPr="00004A2D"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073" w:rsidRDefault="00DE1073" w:rsidP="002D79FF">
      <w:r>
        <w:separator/>
      </w:r>
    </w:p>
  </w:endnote>
  <w:endnote w:type="continuationSeparator" w:id="1">
    <w:p w:rsidR="00DE1073" w:rsidRDefault="00DE1073"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DE1073">
    <w:pPr>
      <w:pStyle w:val="Footer"/>
      <w:jc w:val="center"/>
    </w:pPr>
  </w:p>
  <w:p w:rsidR="00630637" w:rsidRDefault="00DE10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073" w:rsidRDefault="00DE1073" w:rsidP="002D79FF">
      <w:r>
        <w:separator/>
      </w:r>
    </w:p>
  </w:footnote>
  <w:footnote w:type="continuationSeparator" w:id="1">
    <w:p w:rsidR="00DE1073" w:rsidRDefault="00DE1073" w:rsidP="002D79FF">
      <w:r>
        <w:continuationSeparator/>
      </w:r>
    </w:p>
  </w:footnote>
  <w:footnote w:id="2">
    <w:p w:rsidR="00004A2D" w:rsidRDefault="00004A2D" w:rsidP="00004A2D">
      <w:pPr>
        <w:pStyle w:val="FootnoteText"/>
        <w:ind w:firstLine="709"/>
        <w:jc w:val="both"/>
      </w:pPr>
      <w:r>
        <w:rPr>
          <w:rStyle w:val="FootnoteReference"/>
        </w:rPr>
        <w:footnoteRef/>
      </w:r>
      <w:bookmarkStart w:id="0" w:name="_Hlk181051949"/>
      <w:r>
        <w:t xml:space="preserve">Sulaiman, “Peredaran Narkotika”, melalui </w:t>
      </w:r>
      <w:r>
        <w:rPr>
          <w:i/>
        </w:rPr>
        <w:t>http://www.liputan6.com/tag</w:t>
      </w:r>
      <w:r>
        <w:t>, diakses Senin, 3 Maret 2025 Pukul 21.</w:t>
      </w:r>
      <w:r>
        <w:rPr>
          <w:vertAlign w:val="superscript"/>
        </w:rPr>
        <w:t>00</w:t>
      </w:r>
      <w:r>
        <w:t xml:space="preserve"> Wib</w:t>
      </w:r>
      <w:bookmarkEnd w:id="0"/>
      <w:r>
        <w:t>.</w:t>
      </w:r>
    </w:p>
  </w:footnote>
  <w:footnote w:id="3">
    <w:p w:rsidR="00004A2D" w:rsidRDefault="00004A2D" w:rsidP="00004A2D">
      <w:pPr>
        <w:autoSpaceDE w:val="0"/>
        <w:autoSpaceDN w:val="0"/>
        <w:adjustRightInd w:val="0"/>
        <w:ind w:firstLine="709"/>
        <w:jc w:val="both"/>
        <w:rPr>
          <w:sz w:val="20"/>
          <w:szCs w:val="20"/>
        </w:rPr>
      </w:pPr>
      <w:r>
        <w:rPr>
          <w:rStyle w:val="FootnoteReference"/>
          <w:sz w:val="20"/>
        </w:rPr>
        <w:footnoteRef/>
      </w:r>
      <w:bookmarkStart w:id="1" w:name="_Hlk181051973"/>
      <w:r>
        <w:rPr>
          <w:sz w:val="20"/>
          <w:szCs w:val="20"/>
        </w:rPr>
        <w:t xml:space="preserve">Arief Barda Nawawi, </w:t>
      </w:r>
      <w:r>
        <w:rPr>
          <w:i/>
          <w:sz w:val="20"/>
          <w:szCs w:val="20"/>
        </w:rPr>
        <w:t>Pembaharuan Hukum Pidana Dalam Perspektif Kajian Perbandingan</w:t>
      </w:r>
      <w:r>
        <w:rPr>
          <w:sz w:val="20"/>
          <w:szCs w:val="20"/>
        </w:rPr>
        <w:t>,Citra Aditya Bakti, Bandung, 2011</w:t>
      </w:r>
      <w:bookmarkEnd w:id="1"/>
      <w:r>
        <w:rPr>
          <w:sz w:val="20"/>
          <w:szCs w:val="20"/>
        </w:rPr>
        <w:t>, h.306</w:t>
      </w:r>
    </w:p>
  </w:footnote>
  <w:footnote w:id="4">
    <w:p w:rsidR="00004A2D" w:rsidRDefault="00004A2D" w:rsidP="00004A2D">
      <w:pPr>
        <w:pStyle w:val="FootnoteText"/>
        <w:ind w:firstLine="709"/>
        <w:jc w:val="both"/>
      </w:pPr>
      <w:r>
        <w:rPr>
          <w:rStyle w:val="FootnoteReference"/>
        </w:rPr>
        <w:footnoteRef/>
      </w:r>
      <w:bookmarkStart w:id="2" w:name="_Hlk181051992"/>
      <w:r>
        <w:t xml:space="preserve">Sarbaini Ghazali, “Masalah Pro dan Kontra Hukuman Mati”, melalui </w:t>
      </w:r>
      <w:r>
        <w:rPr>
          <w:i/>
        </w:rPr>
        <w:t>http/www.kompasiana.com</w:t>
      </w:r>
      <w:r>
        <w:t>,  diakses Senin, 3 Maret 2025 Pukul 21.</w:t>
      </w:r>
      <w:r>
        <w:rPr>
          <w:vertAlign w:val="superscript"/>
        </w:rPr>
        <w:t>00</w:t>
      </w:r>
      <w:r>
        <w:t xml:space="preserve"> Wib</w:t>
      </w:r>
      <w:bookmarkEnd w:id="2"/>
    </w:p>
  </w:footnote>
  <w:footnote w:id="5">
    <w:p w:rsidR="00004A2D" w:rsidRDefault="00004A2D" w:rsidP="00004A2D">
      <w:pPr>
        <w:pStyle w:val="FootnoteText"/>
        <w:ind w:firstLine="709"/>
        <w:jc w:val="both"/>
      </w:pPr>
      <w:r>
        <w:rPr>
          <w:rStyle w:val="FootnoteReference"/>
        </w:rPr>
        <w:footnoteRef/>
      </w:r>
      <w:bookmarkStart w:id="4" w:name="_Hlk181052004"/>
      <w:r>
        <w:t xml:space="preserve">Chairul Huda, “Eksekusi Pidana Mati Pasca Putusan Mahkamah Konstitusi”, melalui </w:t>
      </w:r>
      <w:r>
        <w:rPr>
          <w:i/>
        </w:rPr>
        <w:t>http://huda-drchairulhudashmh.blogspot.co.id</w:t>
      </w:r>
      <w:r>
        <w:t>, diakses Senin 3 Maret 2025 Pukul 21.</w:t>
      </w:r>
      <w:r>
        <w:rPr>
          <w:vertAlign w:val="superscript"/>
        </w:rPr>
        <w:t>00</w:t>
      </w:r>
      <w:r>
        <w:t xml:space="preserve"> Wib </w:t>
      </w:r>
      <w:bookmarkEnd w:id="4"/>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DE1073">
    <w:pPr>
      <w:pStyle w:val="Header"/>
      <w:jc w:val="right"/>
    </w:pPr>
  </w:p>
  <w:p w:rsidR="00630637" w:rsidRPr="007E1322" w:rsidRDefault="007C303B"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DE10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3B24336"/>
    <w:multiLevelType w:val="hybridMultilevel"/>
    <w:tmpl w:val="885A5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D8116F"/>
    <w:multiLevelType w:val="singleLevel"/>
    <w:tmpl w:val="04090015"/>
    <w:lvl w:ilvl="0">
      <w:start w:val="3"/>
      <w:numFmt w:val="upperLetter"/>
      <w:lvlText w:val="%1."/>
      <w:lvlJc w:val="left"/>
      <w:pPr>
        <w:tabs>
          <w:tab w:val="num" w:pos="360"/>
        </w:tabs>
        <w:ind w:left="360" w:hanging="360"/>
      </w:pPr>
    </w:lvl>
  </w:abstractNum>
  <w:abstractNum w:abstractNumId="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4C397D11"/>
    <w:multiLevelType w:val="singleLevel"/>
    <w:tmpl w:val="0409000F"/>
    <w:lvl w:ilvl="0">
      <w:start w:val="1"/>
      <w:numFmt w:val="decimal"/>
      <w:lvlText w:val="%1."/>
      <w:lvlJc w:val="left"/>
      <w:pPr>
        <w:tabs>
          <w:tab w:val="num" w:pos="360"/>
        </w:tabs>
        <w:ind w:left="360" w:hanging="360"/>
      </w:pPr>
    </w:lvl>
  </w:abstractNum>
  <w:abstractNum w:abstractNumId="6">
    <w:nsid w:val="50A10836"/>
    <w:multiLevelType w:val="singleLevel"/>
    <w:tmpl w:val="4120B6C4"/>
    <w:lvl w:ilvl="0">
      <w:start w:val="1"/>
      <w:numFmt w:val="decimal"/>
      <w:lvlText w:val="%1."/>
      <w:lvlJc w:val="left"/>
      <w:pPr>
        <w:tabs>
          <w:tab w:val="num" w:pos="780"/>
        </w:tabs>
        <w:ind w:left="780" w:hanging="360"/>
      </w:pPr>
    </w:lvl>
  </w:abstractNum>
  <w:abstractNum w:abstractNumId="7">
    <w:nsid w:val="5C1A2B2B"/>
    <w:multiLevelType w:val="singleLevel"/>
    <w:tmpl w:val="770A363C"/>
    <w:lvl w:ilvl="0">
      <w:start w:val="2"/>
      <w:numFmt w:val="upperLetter"/>
      <w:lvlText w:val=""/>
      <w:lvlJc w:val="left"/>
      <w:pPr>
        <w:tabs>
          <w:tab w:val="num" w:pos="360"/>
        </w:tabs>
        <w:ind w:left="360" w:hanging="360"/>
      </w:pPr>
      <w:rPr>
        <w:rFonts w:ascii="Times New Roman" w:hAnsi="Times New Roman" w:cs="Times New Roman" w:hint="default"/>
      </w:rPr>
    </w:lvl>
  </w:abstractNum>
  <w:abstractNum w:abstractNumId="8">
    <w:nsid w:val="60363AB6"/>
    <w:multiLevelType w:val="hybridMultilevel"/>
    <w:tmpl w:val="BD866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3C111BB"/>
    <w:multiLevelType w:val="singleLevel"/>
    <w:tmpl w:val="04090015"/>
    <w:lvl w:ilvl="0">
      <w:start w:val="1"/>
      <w:numFmt w:val="upperLetter"/>
      <w:lvlText w:val="%1."/>
      <w:lvlJc w:val="left"/>
      <w:pPr>
        <w:tabs>
          <w:tab w:val="num" w:pos="360"/>
        </w:tabs>
        <w:ind w:left="360" w:hanging="360"/>
      </w:pPr>
    </w:lvl>
  </w:abstractNum>
  <w:abstractNum w:abstractNumId="10">
    <w:nsid w:val="782613F7"/>
    <w:multiLevelType w:val="singleLevel"/>
    <w:tmpl w:val="3D44BF1E"/>
    <w:lvl w:ilvl="0">
      <w:start w:val="1"/>
      <w:numFmt w:val="lowerLetter"/>
      <w:lvlText w:val="%1."/>
      <w:lvlJc w:val="left"/>
      <w:pPr>
        <w:tabs>
          <w:tab w:val="num" w:pos="1230"/>
        </w:tabs>
        <w:ind w:left="1230" w:hanging="450"/>
      </w:pPr>
    </w:lvl>
  </w:abstractNum>
  <w:num w:numId="1">
    <w:abstractNumId w:val="4"/>
  </w:num>
  <w:num w:numId="2">
    <w:abstractNumId w:val="0"/>
  </w:num>
  <w:num w:numId="3">
    <w:abstractNumId w:val="2"/>
  </w:num>
  <w:num w:numId="4">
    <w:abstractNumId w:val="5"/>
    <w:lvlOverride w:ilvl="0">
      <w:startOverride w:val="1"/>
    </w:lvlOverride>
  </w:num>
  <w:num w:numId="5">
    <w:abstractNumId w:val="9"/>
    <w:lvlOverride w:ilvl="0">
      <w:startOverride w:val="1"/>
    </w:lvlOverride>
  </w:num>
  <w:num w:numId="6">
    <w:abstractNumId w:val="6"/>
    <w:lvlOverride w:ilvl="0">
      <w:startOverride w:val="1"/>
    </w:lvlOverride>
  </w:num>
  <w:num w:numId="7">
    <w:abstractNumId w:val="10"/>
    <w:lvlOverride w:ilvl="0">
      <w:startOverride w:val="1"/>
    </w:lvlOverride>
  </w:num>
  <w:num w:numId="8">
    <w:abstractNumId w:val="7"/>
    <w:lvlOverride w:ilvl="0">
      <w:startOverride w:val="2"/>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3"/>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Lil2O0WIBFFf/eBWC7kPFAwVtJI=" w:salt="YOE6xtmQyJEw+g/M7I9ihw=="/>
  <w:defaultTabStop w:val="720"/>
  <w:characterSpacingControl w:val="doNotCompress"/>
  <w:footnotePr>
    <w:footnote w:id="0"/>
    <w:footnote w:id="1"/>
  </w:footnotePr>
  <w:endnotePr>
    <w:endnote w:id="0"/>
    <w:endnote w:id="1"/>
  </w:endnotePr>
  <w:compat/>
  <w:rsids>
    <w:rsidRoot w:val="00CE7FEB"/>
    <w:rsid w:val="00004A2D"/>
    <w:rsid w:val="00050032"/>
    <w:rsid w:val="002D79FF"/>
    <w:rsid w:val="00390270"/>
    <w:rsid w:val="00490063"/>
    <w:rsid w:val="007C303B"/>
    <w:rsid w:val="008538D8"/>
    <w:rsid w:val="00C52FF9"/>
    <w:rsid w:val="00C72C38"/>
    <w:rsid w:val="00C81419"/>
    <w:rsid w:val="00CE7FEB"/>
    <w:rsid w:val="00DE1073"/>
    <w:rsid w:val="00DF67A9"/>
    <w:rsid w:val="00DF6FAA"/>
    <w:rsid w:val="00F17F5D"/>
    <w:rsid w:val="00F21187"/>
    <w:rsid w:val="00F942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2026-04-06T03:55:00Z</dcterms:created>
  <dcterms:modified xsi:type="dcterms:W3CDTF">2026-04-06T03:55:00Z</dcterms:modified>
</cp:coreProperties>
</file>