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98" w:rsidRDefault="00695208" w:rsidP="00CB0398">
      <w:pPr>
        <w:spacing w:line="480" w:lineRule="auto"/>
        <w:jc w:val="center"/>
        <w:rPr>
          <w:b/>
          <w:bCs/>
        </w:rPr>
      </w:pPr>
      <w:r>
        <w:rPr>
          <w:b/>
          <w:bCs/>
          <w:lang w:val="id-ID"/>
        </w:rPr>
        <w:t xml:space="preserve">                                                                                                                                                                                                                                                                                                                                                                                                                                                                                                                                                                                                                                                                                                                                                                                                                                                                                                                                                                                                                                                                                                                                                                                                                                                                                                                                                                                                                                                                                                                                                                                                                                 </w:t>
      </w:r>
      <w:r w:rsidR="00CB0398">
        <w:rPr>
          <w:b/>
          <w:bCs/>
        </w:rPr>
        <w:t>BAB II</w:t>
      </w:r>
    </w:p>
    <w:p w:rsidR="00CB0398" w:rsidRDefault="00CB0398" w:rsidP="00CB0398">
      <w:pPr>
        <w:pStyle w:val="Subtitle"/>
        <w:rPr>
          <w:bCs/>
          <w:szCs w:val="24"/>
        </w:rPr>
      </w:pPr>
      <w:r>
        <w:rPr>
          <w:bCs/>
          <w:szCs w:val="24"/>
        </w:rPr>
        <w:t>TINJAUAN PUSTAKA</w:t>
      </w:r>
    </w:p>
    <w:p w:rsidR="00CB0398" w:rsidRDefault="00CB0398" w:rsidP="00F24A9A">
      <w:pPr>
        <w:numPr>
          <w:ilvl w:val="0"/>
          <w:numId w:val="7"/>
        </w:numPr>
        <w:spacing w:line="480" w:lineRule="auto"/>
        <w:rPr>
          <w:b/>
          <w:bCs/>
        </w:rPr>
      </w:pPr>
      <w:r>
        <w:rPr>
          <w:b/>
          <w:bCs/>
        </w:rPr>
        <w:t xml:space="preserve">Tinjauan Umum Tentang Hukuman Mati </w:t>
      </w:r>
    </w:p>
    <w:p w:rsidR="00CB0398" w:rsidRDefault="00CB0398" w:rsidP="00F24A9A">
      <w:pPr>
        <w:numPr>
          <w:ilvl w:val="5"/>
          <w:numId w:val="8"/>
        </w:numPr>
        <w:tabs>
          <w:tab w:val="num" w:pos="792"/>
        </w:tabs>
        <w:spacing w:line="480" w:lineRule="auto"/>
        <w:ind w:left="792"/>
        <w:rPr>
          <w:b/>
          <w:bCs/>
        </w:rPr>
      </w:pPr>
      <w:r>
        <w:rPr>
          <w:b/>
          <w:bCs/>
        </w:rPr>
        <w:t>Pengertian Hukuman</w:t>
      </w:r>
    </w:p>
    <w:p w:rsidR="00CB0398" w:rsidRDefault="00CB0398" w:rsidP="00CB0398">
      <w:pPr>
        <w:spacing w:line="480" w:lineRule="auto"/>
        <w:ind w:firstLine="709"/>
        <w:jc w:val="both"/>
      </w:pPr>
      <w:r>
        <w:t>Menurut pendapat SR. Sianturi bahwa yang dimaksud dengan hukuman adalah “penamaan umum bagi semua akibat hukum karena melanggar suatu norma hukum”.</w:t>
      </w:r>
      <w:r>
        <w:rPr>
          <w:rStyle w:val="FootnoteReference"/>
        </w:rPr>
        <w:footnoteReference w:customMarkFollows="1" w:id="2"/>
        <w:t>5</w:t>
      </w:r>
    </w:p>
    <w:p w:rsidR="00CB0398" w:rsidRDefault="00CB0398" w:rsidP="00CB0398">
      <w:pPr>
        <w:spacing w:line="480" w:lineRule="auto"/>
        <w:ind w:firstLine="709"/>
        <w:jc w:val="both"/>
      </w:pPr>
      <w:r>
        <w:t>Selanjutnya menurut Roeslan Saleh menyatakan bahwa pidana adalah “reaksi atas delik, dan ini berwujud suatu nestapa yang dengan sengaja ditimpakan negara kepada pembuat delik itu”.</w:t>
      </w:r>
      <w:r>
        <w:rPr>
          <w:rStyle w:val="FootnoteReference"/>
        </w:rPr>
        <w:footnoteReference w:customMarkFollows="1" w:id="3"/>
        <w:t>6</w:t>
      </w:r>
    </w:p>
    <w:p w:rsidR="00CB0398" w:rsidRDefault="00CB0398" w:rsidP="00CB0398">
      <w:pPr>
        <w:spacing w:line="480" w:lineRule="auto"/>
        <w:ind w:firstLine="709"/>
        <w:jc w:val="both"/>
      </w:pPr>
      <w:r>
        <w:t>Menurut  Pompe yang dikutip oleh SR. Sianturi menyebutkan bahwa pidana adalah “semua aturan hukum yang menentukan terhadap tindakan apa yang seharusnya dijatuhkan pidana dan apa macam pidananya yang bersesuaian”.</w:t>
      </w:r>
      <w:r>
        <w:rPr>
          <w:rStyle w:val="FootnoteReference"/>
        </w:rPr>
        <w:footnoteReference w:customMarkFollows="1" w:id="4"/>
        <w:t>7</w:t>
      </w:r>
    </w:p>
    <w:p w:rsidR="00CB0398" w:rsidRDefault="00CB0398" w:rsidP="00CB0398">
      <w:pPr>
        <w:spacing w:line="480" w:lineRule="auto"/>
        <w:ind w:firstLine="709"/>
        <w:jc w:val="both"/>
      </w:pPr>
      <w:r>
        <w:t>Berdasarkan pendapat para ahli yang dikemukakan  di atas, maka pidana harus :</w:t>
      </w:r>
    </w:p>
    <w:p w:rsidR="00CB0398" w:rsidRDefault="00CB0398" w:rsidP="00F24A9A">
      <w:pPr>
        <w:numPr>
          <w:ilvl w:val="0"/>
          <w:numId w:val="4"/>
        </w:numPr>
        <w:tabs>
          <w:tab w:val="clear" w:pos="420"/>
          <w:tab w:val="left" w:pos="1134"/>
        </w:tabs>
        <w:ind w:left="1134" w:hanging="425"/>
        <w:jc w:val="both"/>
      </w:pPr>
      <w:r>
        <w:t>Mengandung penderitaan atau konsekwensi lain yang tidak  menyenangkan.</w:t>
      </w:r>
    </w:p>
    <w:p w:rsidR="00CB0398" w:rsidRDefault="00CB0398" w:rsidP="00F24A9A">
      <w:pPr>
        <w:numPr>
          <w:ilvl w:val="0"/>
          <w:numId w:val="4"/>
        </w:numPr>
        <w:tabs>
          <w:tab w:val="clear" w:pos="420"/>
          <w:tab w:val="left" w:pos="1134"/>
        </w:tabs>
        <w:ind w:left="1134" w:hanging="425"/>
        <w:jc w:val="both"/>
      </w:pPr>
      <w:r>
        <w:t>Dikenakan pada seorang yang benar-benar atau disangka benar melakukan tindak pidana</w:t>
      </w:r>
    </w:p>
    <w:p w:rsidR="00CB0398" w:rsidRDefault="00CB0398" w:rsidP="00F24A9A">
      <w:pPr>
        <w:numPr>
          <w:ilvl w:val="0"/>
          <w:numId w:val="4"/>
        </w:numPr>
        <w:tabs>
          <w:tab w:val="clear" w:pos="420"/>
          <w:tab w:val="left" w:pos="1134"/>
        </w:tabs>
        <w:ind w:left="1134" w:hanging="425"/>
        <w:jc w:val="both"/>
      </w:pPr>
      <w:r>
        <w:t>Dikenakan berhubung suatu tindak pidana yang melanggar ketentuan hukum</w:t>
      </w:r>
    </w:p>
    <w:p w:rsidR="00CB0398" w:rsidRDefault="00CB0398" w:rsidP="00F24A9A">
      <w:pPr>
        <w:numPr>
          <w:ilvl w:val="0"/>
          <w:numId w:val="4"/>
        </w:numPr>
        <w:tabs>
          <w:tab w:val="clear" w:pos="420"/>
          <w:tab w:val="left" w:pos="1134"/>
        </w:tabs>
        <w:ind w:left="1134" w:hanging="425"/>
        <w:jc w:val="both"/>
      </w:pPr>
      <w:r>
        <w:t>Dilakukan dengan sengaja oleh orang selain pelaku tindak pidana.</w:t>
      </w:r>
      <w:r>
        <w:rPr>
          <w:rStyle w:val="FootnoteReference"/>
        </w:rPr>
        <w:footnoteReference w:customMarkFollows="1" w:id="5"/>
        <w:t>8</w:t>
      </w:r>
    </w:p>
    <w:p w:rsidR="00CB0398" w:rsidRDefault="00CB0398" w:rsidP="00CB0398">
      <w:pPr>
        <w:tabs>
          <w:tab w:val="left" w:pos="1134"/>
        </w:tabs>
        <w:ind w:left="1134"/>
        <w:jc w:val="both"/>
      </w:pPr>
    </w:p>
    <w:p w:rsidR="00CB0398" w:rsidRDefault="00CB0398" w:rsidP="00CB0398">
      <w:pPr>
        <w:spacing w:line="528" w:lineRule="auto"/>
        <w:ind w:firstLine="709"/>
        <w:jc w:val="both"/>
      </w:pPr>
      <w:r>
        <w:lastRenderedPageBreak/>
        <w:t>Penjatuhan pidana atau hukuman adalah merupakan suatu reaksi sosial yang :</w:t>
      </w:r>
    </w:p>
    <w:p w:rsidR="00CB0398" w:rsidRDefault="00CB0398" w:rsidP="00F24A9A">
      <w:pPr>
        <w:numPr>
          <w:ilvl w:val="0"/>
          <w:numId w:val="5"/>
        </w:numPr>
        <w:tabs>
          <w:tab w:val="clear" w:pos="360"/>
          <w:tab w:val="left" w:pos="1134"/>
        </w:tabs>
        <w:ind w:left="1134" w:hanging="425"/>
        <w:jc w:val="both"/>
      </w:pPr>
      <w:r>
        <w:t>Terjadi berhubung dengan adanya pelanggaran terhadap suatu aturan hukum.</w:t>
      </w:r>
    </w:p>
    <w:p w:rsidR="00CB0398" w:rsidRDefault="00CB0398" w:rsidP="00F24A9A">
      <w:pPr>
        <w:numPr>
          <w:ilvl w:val="0"/>
          <w:numId w:val="5"/>
        </w:numPr>
        <w:tabs>
          <w:tab w:val="clear" w:pos="360"/>
          <w:tab w:val="left" w:pos="1134"/>
        </w:tabs>
        <w:ind w:left="1134" w:hanging="425"/>
        <w:jc w:val="both"/>
      </w:pPr>
      <w:r>
        <w:t>Dijatuhkan dan dilaksanakan oleh orang-orang yang berkuasa sehubungan dengan tertib hukum yang dilanggar.</w:t>
      </w:r>
    </w:p>
    <w:p w:rsidR="00CB0398" w:rsidRDefault="00CB0398" w:rsidP="00F24A9A">
      <w:pPr>
        <w:numPr>
          <w:ilvl w:val="0"/>
          <w:numId w:val="5"/>
        </w:numPr>
        <w:tabs>
          <w:tab w:val="clear" w:pos="360"/>
          <w:tab w:val="left" w:pos="1134"/>
        </w:tabs>
        <w:ind w:left="1134" w:hanging="425"/>
        <w:jc w:val="both"/>
      </w:pPr>
      <w:r>
        <w:t>Mengandung penderitaan atau paling tidak konsekwensi lain yang tidak menyenangkan.</w:t>
      </w:r>
    </w:p>
    <w:p w:rsidR="00CB0398" w:rsidRDefault="00CB0398" w:rsidP="00F24A9A">
      <w:pPr>
        <w:numPr>
          <w:ilvl w:val="0"/>
          <w:numId w:val="5"/>
        </w:numPr>
        <w:tabs>
          <w:tab w:val="clear" w:pos="360"/>
          <w:tab w:val="left" w:pos="1134"/>
        </w:tabs>
        <w:ind w:left="1134" w:hanging="425"/>
        <w:jc w:val="both"/>
      </w:pPr>
      <w:r>
        <w:t>Menyatakan pencelaan terhadap si pelanggar.</w:t>
      </w:r>
      <w:r>
        <w:rPr>
          <w:rStyle w:val="FootnoteReference"/>
        </w:rPr>
        <w:footnoteReference w:customMarkFollows="1" w:id="6"/>
        <w:t>9</w:t>
      </w:r>
    </w:p>
    <w:p w:rsidR="00CB0398" w:rsidRDefault="00CB0398" w:rsidP="00CB0398">
      <w:pPr>
        <w:tabs>
          <w:tab w:val="left" w:pos="1309"/>
        </w:tabs>
        <w:ind w:firstLine="748"/>
        <w:jc w:val="both"/>
      </w:pPr>
    </w:p>
    <w:p w:rsidR="00CB0398" w:rsidRDefault="00CB0398" w:rsidP="00CB0398">
      <w:pPr>
        <w:tabs>
          <w:tab w:val="left" w:pos="1309"/>
        </w:tabs>
        <w:spacing w:line="480" w:lineRule="auto"/>
        <w:ind w:firstLine="748"/>
        <w:jc w:val="both"/>
      </w:pPr>
      <w:r>
        <w:t>Berdasarkan beberapa pengertian dan ruang lingkup pemidanaan tersebut dapat diketahui bahwa pidana selalu mengandung unsur-unsur :</w:t>
      </w:r>
    </w:p>
    <w:p w:rsidR="00CB0398" w:rsidRDefault="00CB0398" w:rsidP="00F24A9A">
      <w:pPr>
        <w:numPr>
          <w:ilvl w:val="0"/>
          <w:numId w:val="6"/>
        </w:numPr>
        <w:tabs>
          <w:tab w:val="clear" w:pos="765"/>
          <w:tab w:val="left" w:pos="1122"/>
        </w:tabs>
        <w:ind w:left="1134"/>
        <w:jc w:val="both"/>
      </w:pPr>
      <w:r>
        <w:t>Pada hakekatnya merupakan suatu pengenaan penderitaan atau nestapa atau akibat-akibat lain yang tidak menyenangkan.</w:t>
      </w:r>
    </w:p>
    <w:p w:rsidR="00CB0398" w:rsidRDefault="00CB0398" w:rsidP="00F24A9A">
      <w:pPr>
        <w:numPr>
          <w:ilvl w:val="0"/>
          <w:numId w:val="6"/>
        </w:numPr>
        <w:tabs>
          <w:tab w:val="clear" w:pos="765"/>
          <w:tab w:val="left" w:pos="1122"/>
        </w:tabs>
        <w:ind w:left="1134"/>
        <w:jc w:val="both"/>
      </w:pPr>
      <w:r>
        <w:t>Diberikan dengan sengaja oleh orang atau badan yang mempunyai kekuasaan (oleh yang berwenang).</w:t>
      </w:r>
    </w:p>
    <w:p w:rsidR="00CB0398" w:rsidRDefault="00CB0398" w:rsidP="00F24A9A">
      <w:pPr>
        <w:numPr>
          <w:ilvl w:val="0"/>
          <w:numId w:val="6"/>
        </w:numPr>
        <w:tabs>
          <w:tab w:val="clear" w:pos="765"/>
          <w:tab w:val="left" w:pos="1122"/>
        </w:tabs>
        <w:ind w:left="1134"/>
        <w:jc w:val="both"/>
      </w:pPr>
      <w:r>
        <w:t>Dikenakan kepada seseorang yang telah melakukan tindak pidana menurut Undang-undang.</w:t>
      </w:r>
      <w:r>
        <w:rPr>
          <w:rStyle w:val="FootnoteReference"/>
        </w:rPr>
        <w:footnoteReference w:customMarkFollows="1" w:id="7"/>
        <w:t>10</w:t>
      </w:r>
    </w:p>
    <w:p w:rsidR="00CB0398" w:rsidRDefault="00CB0398" w:rsidP="00CB0398">
      <w:pPr>
        <w:tabs>
          <w:tab w:val="left" w:pos="1260"/>
        </w:tabs>
        <w:ind w:left="526"/>
        <w:jc w:val="both"/>
      </w:pPr>
    </w:p>
    <w:p w:rsidR="00CB0398" w:rsidRDefault="00CB0398" w:rsidP="00CB0398">
      <w:pPr>
        <w:spacing w:line="516" w:lineRule="auto"/>
        <w:ind w:firstLine="748"/>
        <w:jc w:val="both"/>
      </w:pPr>
      <w:r>
        <w:t>Sehubungan dengan pengertian pidana tersebut, pada akhir abad ke 19 terlihat adanya perkembangan sanksi di dalam hukum pidana berupa tindakan. Di Indonesia tindakan ini diterapkan di dalam hal-hal tertentu, dengan syarat-syarat yang ditentukan dalam Undang-undang, di samping pidana yang secara sengaja diterapkan sebagai penderitaan. Tindakan-tindakan ini terutama diterapkan kepada anak-anak dan terhadap orang-orang yang jiwanya terbelakang atau terganggu.</w:t>
      </w:r>
      <w:r>
        <w:rPr>
          <w:rStyle w:val="FootnoteReference"/>
        </w:rPr>
        <w:footnoteReference w:customMarkFollows="1" w:id="8"/>
        <w:t>11</w:t>
      </w:r>
    </w:p>
    <w:p w:rsidR="00CB0398" w:rsidRDefault="00CB0398" w:rsidP="00CB0398">
      <w:pPr>
        <w:spacing w:line="516" w:lineRule="auto"/>
        <w:ind w:firstLine="748"/>
        <w:jc w:val="both"/>
      </w:pPr>
      <w:r>
        <w:t>Tindakan-tindakan ini tidak dimaksudkan untuk menerapkan penderitaan melainkan bermaksud untuk memperbaiki, menyembuhkan dan mendidik orang-</w:t>
      </w:r>
      <w:r>
        <w:lastRenderedPageBreak/>
        <w:t>orang tertentu guna melindungi masyarakat. “Jika tindakan ini sampai membawa penderitaan, maka hal ini jelas tidak dimaksudkan”.</w:t>
      </w:r>
      <w:r>
        <w:rPr>
          <w:rStyle w:val="FootnoteReference"/>
        </w:rPr>
        <w:footnoteReference w:customMarkFollows="1" w:id="9"/>
        <w:t>12</w:t>
      </w:r>
    </w:p>
    <w:p w:rsidR="00CB0398" w:rsidRDefault="00CB0398" w:rsidP="00CB0398">
      <w:pPr>
        <w:ind w:left="375" w:firstLine="747"/>
        <w:jc w:val="both"/>
      </w:pPr>
    </w:p>
    <w:p w:rsidR="00CB0398" w:rsidRDefault="00CB0398" w:rsidP="00F24A9A">
      <w:pPr>
        <w:numPr>
          <w:ilvl w:val="5"/>
          <w:numId w:val="8"/>
        </w:numPr>
        <w:tabs>
          <w:tab w:val="num" w:pos="360"/>
        </w:tabs>
        <w:spacing w:line="480" w:lineRule="auto"/>
        <w:ind w:left="360"/>
        <w:rPr>
          <w:b/>
          <w:bCs/>
        </w:rPr>
      </w:pPr>
      <w:r>
        <w:rPr>
          <w:b/>
          <w:bCs/>
        </w:rPr>
        <w:t>Sistem Penghukuman</w:t>
      </w:r>
    </w:p>
    <w:p w:rsidR="00CB0398" w:rsidRDefault="00CB0398" w:rsidP="00CB0398">
      <w:pPr>
        <w:spacing w:line="504" w:lineRule="auto"/>
        <w:ind w:firstLine="720"/>
        <w:jc w:val="both"/>
      </w:pPr>
      <w:r>
        <w:t xml:space="preserve">Titel II Buku I KUH. Pidana yang berjudul ‘hukuman’ </w:t>
      </w:r>
      <w:r>
        <w:rPr>
          <w:i/>
        </w:rPr>
        <w:t>(straffen),</w:t>
      </w:r>
      <w:r>
        <w:t xml:space="preserve"> tergambar sistim hukum pidana yang diturut di Indonesia.</w:t>
      </w:r>
      <w:r>
        <w:rPr>
          <w:rStyle w:val="FootnoteReference"/>
        </w:rPr>
        <w:footnoteReference w:customMarkFollows="1" w:id="10"/>
        <w:t>13</w:t>
      </w:r>
      <w:r>
        <w:t xml:space="preserve"> Sistim ini adalah sederhana, hanya disebutkan dalam Pasal 10 KUH. Pidana 4 (empat) macam hukuman pokok, ditambah dengan 3 macam hukuman tambahan, yaitu :</w:t>
      </w:r>
    </w:p>
    <w:p w:rsidR="00CB0398" w:rsidRDefault="00CB0398" w:rsidP="00F24A9A">
      <w:pPr>
        <w:numPr>
          <w:ilvl w:val="0"/>
          <w:numId w:val="9"/>
        </w:numPr>
        <w:spacing w:line="504" w:lineRule="auto"/>
        <w:ind w:left="360"/>
        <w:jc w:val="both"/>
      </w:pPr>
      <w:r>
        <w:t>Hukuman pokok, terdiri dari :</w:t>
      </w:r>
    </w:p>
    <w:p w:rsidR="00CB0398" w:rsidRDefault="00CB0398" w:rsidP="00F24A9A">
      <w:pPr>
        <w:numPr>
          <w:ilvl w:val="0"/>
          <w:numId w:val="10"/>
        </w:numPr>
        <w:tabs>
          <w:tab w:val="num" w:pos="734"/>
        </w:tabs>
        <w:spacing w:line="504" w:lineRule="auto"/>
        <w:ind w:left="734"/>
        <w:jc w:val="both"/>
      </w:pPr>
      <w:r>
        <w:t>Hukuman mati</w:t>
      </w:r>
    </w:p>
    <w:p w:rsidR="00CB0398" w:rsidRDefault="00CB0398" w:rsidP="00F24A9A">
      <w:pPr>
        <w:numPr>
          <w:ilvl w:val="0"/>
          <w:numId w:val="10"/>
        </w:numPr>
        <w:tabs>
          <w:tab w:val="num" w:pos="734"/>
        </w:tabs>
        <w:spacing w:line="504" w:lineRule="auto"/>
        <w:ind w:left="734"/>
        <w:jc w:val="both"/>
      </w:pPr>
      <w:r>
        <w:t>Hukuman penjara</w:t>
      </w:r>
    </w:p>
    <w:p w:rsidR="00CB0398" w:rsidRDefault="00CB0398" w:rsidP="00F24A9A">
      <w:pPr>
        <w:numPr>
          <w:ilvl w:val="0"/>
          <w:numId w:val="10"/>
        </w:numPr>
        <w:tabs>
          <w:tab w:val="num" w:pos="734"/>
        </w:tabs>
        <w:spacing w:line="504" w:lineRule="auto"/>
        <w:ind w:left="734"/>
        <w:jc w:val="both"/>
      </w:pPr>
      <w:r>
        <w:t>Hukuman kurungan</w:t>
      </w:r>
    </w:p>
    <w:p w:rsidR="00CB0398" w:rsidRDefault="00CB0398" w:rsidP="00F24A9A">
      <w:pPr>
        <w:numPr>
          <w:ilvl w:val="0"/>
          <w:numId w:val="10"/>
        </w:numPr>
        <w:tabs>
          <w:tab w:val="num" w:pos="734"/>
        </w:tabs>
        <w:spacing w:line="504" w:lineRule="auto"/>
        <w:ind w:left="734"/>
        <w:jc w:val="both"/>
      </w:pPr>
      <w:r>
        <w:t>Denda</w:t>
      </w:r>
    </w:p>
    <w:p w:rsidR="00CB0398" w:rsidRDefault="00CB0398" w:rsidP="00F24A9A">
      <w:pPr>
        <w:numPr>
          <w:ilvl w:val="0"/>
          <w:numId w:val="9"/>
        </w:numPr>
        <w:spacing w:line="504" w:lineRule="auto"/>
        <w:ind w:left="360" w:hanging="374"/>
        <w:jc w:val="both"/>
      </w:pPr>
      <w:r>
        <w:t>Hukuman tambahan, yaitu :</w:t>
      </w:r>
    </w:p>
    <w:p w:rsidR="00CB0398" w:rsidRDefault="00CB0398" w:rsidP="00F24A9A">
      <w:pPr>
        <w:numPr>
          <w:ilvl w:val="0"/>
          <w:numId w:val="11"/>
        </w:numPr>
        <w:tabs>
          <w:tab w:val="num" w:pos="734"/>
        </w:tabs>
        <w:spacing w:line="504" w:lineRule="auto"/>
        <w:ind w:left="734"/>
        <w:jc w:val="both"/>
      </w:pPr>
      <w:r>
        <w:t>Pencabuan hak-hak tertentu</w:t>
      </w:r>
    </w:p>
    <w:p w:rsidR="00CB0398" w:rsidRDefault="00CB0398" w:rsidP="00F24A9A">
      <w:pPr>
        <w:numPr>
          <w:ilvl w:val="0"/>
          <w:numId w:val="11"/>
        </w:numPr>
        <w:tabs>
          <w:tab w:val="num" w:pos="734"/>
        </w:tabs>
        <w:spacing w:line="504" w:lineRule="auto"/>
        <w:ind w:left="734"/>
        <w:jc w:val="both"/>
      </w:pPr>
      <w:r>
        <w:t>Perampasan barang-barang tertentu</w:t>
      </w:r>
    </w:p>
    <w:p w:rsidR="00CB0398" w:rsidRDefault="00CB0398" w:rsidP="00F24A9A">
      <w:pPr>
        <w:numPr>
          <w:ilvl w:val="0"/>
          <w:numId w:val="11"/>
        </w:numPr>
        <w:tabs>
          <w:tab w:val="num" w:pos="734"/>
        </w:tabs>
        <w:spacing w:line="504" w:lineRule="auto"/>
        <w:ind w:left="734"/>
        <w:jc w:val="both"/>
      </w:pPr>
      <w:r>
        <w:t>Pengumuman putusan hakim.</w:t>
      </w:r>
    </w:p>
    <w:p w:rsidR="00CB0398" w:rsidRDefault="00CB0398" w:rsidP="00CB0398">
      <w:pPr>
        <w:spacing w:line="504" w:lineRule="auto"/>
        <w:ind w:firstLine="708"/>
        <w:jc w:val="both"/>
      </w:pPr>
      <w:r>
        <w:t>Sifat kesederhanaan ini terletak pada gagasan, bahwa beratnya hukuman pada prinsipnya digantungkan pada sifat berat atau ringannya tidak pidana yang  dilakukan. Jika susunan jenis hukuman sebagaimana diatur dalam Pasal 10 KUH. Pidana itu ditinjau, maka hukuman-hukuman itu dapat diperinci lagi dalam :</w:t>
      </w:r>
    </w:p>
    <w:p w:rsidR="00CB0398" w:rsidRDefault="00CB0398" w:rsidP="00F24A9A">
      <w:pPr>
        <w:numPr>
          <w:ilvl w:val="2"/>
          <w:numId w:val="12"/>
        </w:numPr>
        <w:tabs>
          <w:tab w:val="num" w:pos="360"/>
        </w:tabs>
        <w:spacing w:line="480" w:lineRule="auto"/>
        <w:ind w:left="360"/>
        <w:jc w:val="both"/>
      </w:pPr>
      <w:r>
        <w:lastRenderedPageBreak/>
        <w:t>Hukuman mati</w:t>
      </w:r>
    </w:p>
    <w:p w:rsidR="00CB0398" w:rsidRDefault="00CB0398" w:rsidP="00CB0398">
      <w:pPr>
        <w:spacing w:line="456" w:lineRule="auto"/>
        <w:ind w:left="360" w:firstLine="748"/>
        <w:jc w:val="both"/>
      </w:pPr>
      <w:r>
        <w:t>Hukuman mati diatur dalam Pasal 11 KUHPidana, yang berbunyi : Hukuman mati dijalankan oleh algojo ditempat penggantungan, dengan menggunakan sebuah jerat dileher terhukum dan mengikatkan jerat itu pada tiang penggantungan dan menjatuhkan papan tempat orang itu berdiri.</w:t>
      </w:r>
      <w:r>
        <w:rPr>
          <w:rStyle w:val="FootnoteReference"/>
        </w:rPr>
        <w:footnoteReference w:customMarkFollows="1" w:id="11"/>
        <w:t>14</w:t>
      </w:r>
    </w:p>
    <w:p w:rsidR="00CB0398" w:rsidRDefault="00CB0398" w:rsidP="00CB0398">
      <w:pPr>
        <w:spacing w:line="504" w:lineRule="auto"/>
        <w:ind w:left="388" w:firstLine="748"/>
        <w:jc w:val="both"/>
      </w:pPr>
      <w:r>
        <w:t>Seiring dengan berjalannya waktu, ketentuan tentang tata cara pelaksanaan hukuman mati tersebut tidak sesuai lagi dengan perkembangan keadaan budaya bangsa Indonesia serta jiwa revolusi Indonesia, maka dengan Penpres No. 2/1964 pelaksanaan pidana mati dilakukan dengan ditembak sampai mati di suatu tempat dalam daerah hukum Pengadilan yang menjatuhkan putusan dalam tingkat pertama.</w:t>
      </w:r>
      <w:r>
        <w:rPr>
          <w:rStyle w:val="FootnoteReference"/>
        </w:rPr>
        <w:footnoteReference w:customMarkFollows="1" w:id="12"/>
        <w:t>15</w:t>
      </w:r>
    </w:p>
    <w:p w:rsidR="00CB0398" w:rsidRDefault="00CB0398" w:rsidP="00F24A9A">
      <w:pPr>
        <w:numPr>
          <w:ilvl w:val="2"/>
          <w:numId w:val="12"/>
        </w:numPr>
        <w:tabs>
          <w:tab w:val="num" w:pos="360"/>
        </w:tabs>
        <w:spacing w:line="504" w:lineRule="auto"/>
        <w:ind w:left="360"/>
        <w:jc w:val="both"/>
      </w:pPr>
      <w:r>
        <w:t>Hukuman penjara.</w:t>
      </w:r>
    </w:p>
    <w:p w:rsidR="00CB0398" w:rsidRDefault="00CB0398" w:rsidP="00CB0398">
      <w:pPr>
        <w:spacing w:line="504" w:lineRule="auto"/>
        <w:ind w:left="360" w:firstLine="748"/>
        <w:jc w:val="both"/>
      </w:pPr>
      <w:r>
        <w:t>Hukuman penjara diatur dalam Pasal 12 KUH. Pidana. Jika ditelaah redaksi Pasal 12 KUH.Pidana tersebut akan dijumpai dua macam hukuman penjara berdasarkan lamanya hukuman yaitu pidana penjara seumur hidup dan pidana penjara sementara.</w:t>
      </w:r>
    </w:p>
    <w:p w:rsidR="00CB0398" w:rsidRDefault="00CB0398" w:rsidP="00CB0398">
      <w:pPr>
        <w:spacing w:line="504" w:lineRule="auto"/>
        <w:ind w:left="388" w:firstLine="720"/>
        <w:jc w:val="both"/>
      </w:pPr>
      <w:r>
        <w:t xml:space="preserve">Hukuman penjara seumur hidup berarti si tersalah akan menghabiskan sisa hidupnya dengan menjalani  hukuman  penjara  (dalam penjara). Adapun pidana penjara sementara bersifat sementara, artinya apabila sitersalah selesai menjalani masa hukuman yang harus dijalaninya, ia akan bebas dari penjara dan kembali ke tengah masyarakat. Lama waktu pidana penjara sementara </w:t>
      </w:r>
      <w:r>
        <w:lastRenderedPageBreak/>
        <w:t xml:space="preserve">adalah minimal satu hari dan maksimal lima belas tahun. Namun waktu lima belas tahun tersebut dapat diperpanjang menjadi dua puluh tahun, apabila terdapat sebab-sebab : hukuman ditambah, karena ada gabungan tindak pidana atau karena berulang-ulang membuat kejahatan </w:t>
      </w:r>
      <w:r>
        <w:rPr>
          <w:i/>
        </w:rPr>
        <w:t>(recidive)</w:t>
      </w:r>
      <w:r>
        <w:t xml:space="preserve">  atau karena aturan pasal 52 (Pasal 12 (3) KUH. Pidana).</w:t>
      </w:r>
    </w:p>
    <w:p w:rsidR="00CB0398" w:rsidRDefault="00CB0398" w:rsidP="00F24A9A">
      <w:pPr>
        <w:numPr>
          <w:ilvl w:val="2"/>
          <w:numId w:val="12"/>
        </w:numPr>
        <w:tabs>
          <w:tab w:val="num" w:pos="360"/>
        </w:tabs>
        <w:spacing w:line="480" w:lineRule="auto"/>
        <w:ind w:left="360"/>
        <w:jc w:val="both"/>
      </w:pPr>
      <w:r>
        <w:t>Hukuman kurungan</w:t>
      </w:r>
    </w:p>
    <w:p w:rsidR="00CB0398" w:rsidRDefault="00CB0398" w:rsidP="00CB0398">
      <w:pPr>
        <w:spacing w:line="480" w:lineRule="auto"/>
        <w:ind w:left="360" w:firstLine="720"/>
        <w:jc w:val="both"/>
      </w:pPr>
      <w:r>
        <w:t xml:space="preserve">Hukuman kurungan ini diatur dalam pasal 18 KUH. Pidana. Pada pokoknya hukuman ini hampir sama dengan hukuman penjara, namun terdapat beberapa perbedaan. </w:t>
      </w:r>
    </w:p>
    <w:p w:rsidR="00CB0398" w:rsidRDefault="00CB0398" w:rsidP="00CB0398">
      <w:pPr>
        <w:spacing w:line="480" w:lineRule="auto"/>
        <w:ind w:left="360" w:firstLine="402"/>
        <w:jc w:val="both"/>
      </w:pPr>
      <w:r>
        <w:t>Perbedaan–perbedaan yang penting dengan hukuman penjara adalah :</w:t>
      </w:r>
    </w:p>
    <w:p w:rsidR="00CB0398" w:rsidRDefault="00CB0398" w:rsidP="00F24A9A">
      <w:pPr>
        <w:numPr>
          <w:ilvl w:val="4"/>
          <w:numId w:val="13"/>
        </w:numPr>
        <w:tabs>
          <w:tab w:val="num" w:pos="1122"/>
        </w:tabs>
        <w:ind w:left="1122"/>
        <w:jc w:val="both"/>
      </w:pPr>
      <w:r>
        <w:t>Hukuman penjara dapat dijalankan dalam penjara dimana saja, sedangkan hukuman kurungan dengan tidak semuanya terhukum tidak dapat dijalankan diluar daerah, dimana ia bertempat tinggal atau berdiam waktu hukuman itu dijatuhkan.</w:t>
      </w:r>
    </w:p>
    <w:p w:rsidR="00CB0398" w:rsidRDefault="00CB0398" w:rsidP="00F24A9A">
      <w:pPr>
        <w:numPr>
          <w:ilvl w:val="4"/>
          <w:numId w:val="13"/>
        </w:numPr>
        <w:tabs>
          <w:tab w:val="num" w:pos="1122"/>
        </w:tabs>
        <w:ind w:left="1122"/>
        <w:jc w:val="both"/>
      </w:pPr>
      <w:r>
        <w:t>Orang yang dihukum penjara pekerjaannya lebih berat dari pada yang dihukum kurungan.</w:t>
      </w:r>
    </w:p>
    <w:p w:rsidR="00CB0398" w:rsidRDefault="00CB0398" w:rsidP="00F24A9A">
      <w:pPr>
        <w:numPr>
          <w:ilvl w:val="4"/>
          <w:numId w:val="13"/>
        </w:numPr>
        <w:tabs>
          <w:tab w:val="num" w:pos="1122"/>
        </w:tabs>
        <w:ind w:left="1122"/>
        <w:jc w:val="both"/>
      </w:pPr>
      <w:r>
        <w:t>Orang yang dihukum kurungan mempunyai hak pistole, hak untuk memperbaiki keadaannya di rumah penjara dengan ongkos sendiri, sedang yang dihukum penjara tidak punya. “Pistole”  adalah uang lama Perancis, yang dapat dipakai untuk membeli barang-barang.</w:t>
      </w:r>
      <w:r>
        <w:rPr>
          <w:rStyle w:val="FootnoteReference"/>
        </w:rPr>
        <w:footnoteReference w:customMarkFollows="1" w:id="13"/>
        <w:t>16</w:t>
      </w:r>
    </w:p>
    <w:p w:rsidR="00CB0398" w:rsidRDefault="00CB0398" w:rsidP="00CB0398">
      <w:pPr>
        <w:ind w:left="1122"/>
        <w:jc w:val="both"/>
      </w:pPr>
    </w:p>
    <w:p w:rsidR="00CB0398" w:rsidRDefault="00CB0398" w:rsidP="00CB0398">
      <w:pPr>
        <w:spacing w:line="480" w:lineRule="auto"/>
        <w:ind w:left="426" w:firstLine="720"/>
        <w:jc w:val="both"/>
      </w:pPr>
      <w:r>
        <w:t xml:space="preserve">Hukuman kurungan ini lamanya minimal satu hari dan maksimal satu tahun. Akan tetapi waktu yang satu tahun tersebut dapat diperpanjang menjadi satu tahun empat bulan apabiola terdapat sebab-sebab : hukuman ditambah, karena ada gabungan tindak pidana atau karena berulang-ulang membuat kejahatan </w:t>
      </w:r>
      <w:r>
        <w:rPr>
          <w:i/>
        </w:rPr>
        <w:t>(recidive)</w:t>
      </w:r>
      <w:r>
        <w:t xml:space="preserve">  atau karena aturan pasal 52 (Pasal 18 (2) KUH.Pidana).</w:t>
      </w:r>
    </w:p>
    <w:p w:rsidR="00CB0398" w:rsidRDefault="00CB0398" w:rsidP="00F24A9A">
      <w:pPr>
        <w:numPr>
          <w:ilvl w:val="4"/>
          <w:numId w:val="13"/>
        </w:numPr>
        <w:tabs>
          <w:tab w:val="num" w:pos="360"/>
        </w:tabs>
        <w:spacing w:line="480" w:lineRule="auto"/>
        <w:ind w:left="360"/>
        <w:jc w:val="both"/>
      </w:pPr>
      <w:r>
        <w:t>Hukuman denda</w:t>
      </w:r>
    </w:p>
    <w:p w:rsidR="00CB0398" w:rsidRDefault="00CB0398" w:rsidP="00CB0398">
      <w:pPr>
        <w:spacing w:line="480" w:lineRule="auto"/>
        <w:ind w:left="360" w:firstLine="720"/>
        <w:jc w:val="both"/>
      </w:pPr>
      <w:r>
        <w:lastRenderedPageBreak/>
        <w:t>Hukuman denda merupakan hukuman yang dikenakan kepada harta kekayaan. Hukuman ini diatur pdalam Pasal 30 KUH.Pidana yang lengkapnya berbunyi sebagai berikut :</w:t>
      </w:r>
    </w:p>
    <w:p w:rsidR="00CB0398" w:rsidRDefault="00CB0398" w:rsidP="00CB0398">
      <w:pPr>
        <w:spacing w:line="480" w:lineRule="auto"/>
        <w:ind w:left="360" w:firstLine="720"/>
        <w:jc w:val="both"/>
      </w:pPr>
      <w:r>
        <w:t>Pasal 30 KUHPidana menyebutkan :</w:t>
      </w:r>
    </w:p>
    <w:p w:rsidR="00CB0398" w:rsidRDefault="00CB0398" w:rsidP="00F24A9A">
      <w:pPr>
        <w:numPr>
          <w:ilvl w:val="0"/>
          <w:numId w:val="14"/>
        </w:numPr>
        <w:spacing w:line="504" w:lineRule="auto"/>
        <w:jc w:val="both"/>
      </w:pPr>
      <w:r>
        <w:t>Banyaknya denda sekurang-kurangnya dua puluh lima sen</w:t>
      </w:r>
    </w:p>
    <w:p w:rsidR="00CB0398" w:rsidRDefault="00CB0398" w:rsidP="00F24A9A">
      <w:pPr>
        <w:numPr>
          <w:ilvl w:val="0"/>
          <w:numId w:val="14"/>
        </w:numPr>
        <w:spacing w:line="504" w:lineRule="auto"/>
        <w:jc w:val="both"/>
      </w:pPr>
      <w:r>
        <w:t>Jika dijatuhkan hukuman denda, dan denda tidak dibayar, maka diganti dengan hukuman kurungan.</w:t>
      </w:r>
    </w:p>
    <w:p w:rsidR="00CB0398" w:rsidRDefault="00CB0398" w:rsidP="00F24A9A">
      <w:pPr>
        <w:numPr>
          <w:ilvl w:val="0"/>
          <w:numId w:val="14"/>
        </w:numPr>
        <w:spacing w:line="504" w:lineRule="auto"/>
        <w:jc w:val="both"/>
      </w:pPr>
      <w:r>
        <w:t>Lamanya hukuman kurungan pengganti ini sekurang-kurangnya satu hari dan selama-lamanya enam bulan.</w:t>
      </w:r>
    </w:p>
    <w:p w:rsidR="00CB0398" w:rsidRDefault="00CB0398" w:rsidP="00F24A9A">
      <w:pPr>
        <w:numPr>
          <w:ilvl w:val="0"/>
          <w:numId w:val="14"/>
        </w:numPr>
        <w:spacing w:line="504" w:lineRule="auto"/>
        <w:jc w:val="both"/>
      </w:pPr>
      <w:r>
        <w:t>Dalam keputusan hakim ditentukan,bagi denda setengah rupiah atau kurang, lamanya hukuman kurungan pengganti denda itu satu hari, bagi denda yang lebih besar dari pada itu, maka bagi tiap-tiap setengah rupiah diganti tidak lebih dari satuhari, dan bagi sisanya yang tidak cukup setengah rupiah lamanya pun satu hari.</w:t>
      </w:r>
    </w:p>
    <w:p w:rsidR="00CB0398" w:rsidRDefault="00CB0398" w:rsidP="00F24A9A">
      <w:pPr>
        <w:numPr>
          <w:ilvl w:val="0"/>
          <w:numId w:val="14"/>
        </w:numPr>
        <w:spacing w:line="504" w:lineRule="auto"/>
        <w:jc w:val="both"/>
      </w:pPr>
      <w:r>
        <w:t>Hukuman kurungan itu boleh dijatuhkan selama-lamanya delapan bulan, dalam hal mana maksimum denda itu dinaikan, karena berapa kejahatan yang dilakukan, karena berulang melakukan kejahatan atau lantaran hal-hal yang ditentukan pada pasal 52.</w:t>
      </w:r>
    </w:p>
    <w:p w:rsidR="00CB0398" w:rsidRDefault="00CB0398" w:rsidP="00F24A9A">
      <w:pPr>
        <w:numPr>
          <w:ilvl w:val="0"/>
          <w:numId w:val="14"/>
        </w:numPr>
        <w:spacing w:line="504" w:lineRule="auto"/>
        <w:jc w:val="both"/>
      </w:pPr>
      <w:r>
        <w:t>Hukuman itu sekali-kali tidak boleh lebih dari delapan bulan.</w:t>
      </w:r>
    </w:p>
    <w:p w:rsidR="00CB0398" w:rsidRDefault="00CB0398" w:rsidP="00CB0398">
      <w:pPr>
        <w:ind w:left="1134"/>
        <w:jc w:val="both"/>
      </w:pPr>
      <w:r>
        <w:t xml:space="preserve">Dengan Peraturan Pemerintah Pengganti Undang-Undang Nomor 18 Tahun 1960 ditentukan, bahwa mulai 14 April 1960 tiap-tiap jumlah hukuman denda  yang diancamkan baik dalam KUH. Pidana, sebagaimana beberapa kali telah ditambah dan diubah dan terakhir dengan Undang-Undang Nomor 1 Tahun1960 (LN Tahun 1960 No. 1), maupun dalam ketentuan-ketentuan pidana lainnya yang dikeluarkan sebelum 17 Agustus 1945, sebagaimana telah diubah </w:t>
      </w:r>
      <w:r>
        <w:lastRenderedPageBreak/>
        <w:t>sebelum hari mulai berlakunya Peraturan Pengganti Undang-Undang ini, harus dibaca dalam mata uang rupiah dan dilipatgandakan menjadi lima belas kali. Hukuman denda paling tinggi yang diancamkan dalam KUH. Pidana terdapat dalam Pasal 403, yaitu 150.000 rupiah.</w:t>
      </w:r>
      <w:r>
        <w:rPr>
          <w:rStyle w:val="FootnoteReference"/>
        </w:rPr>
        <w:footnoteReference w:customMarkFollows="1" w:id="14"/>
        <w:t>17</w:t>
      </w:r>
    </w:p>
    <w:p w:rsidR="00CB0398" w:rsidRDefault="00CB0398" w:rsidP="00CB0398">
      <w:pPr>
        <w:spacing w:line="504" w:lineRule="auto"/>
        <w:ind w:firstLine="720"/>
        <w:jc w:val="both"/>
      </w:pPr>
      <w:r>
        <w:t>Hukuman tambahan terdiri dari :</w:t>
      </w:r>
    </w:p>
    <w:p w:rsidR="00CB0398" w:rsidRDefault="00CB0398" w:rsidP="00F24A9A">
      <w:pPr>
        <w:numPr>
          <w:ilvl w:val="4"/>
          <w:numId w:val="12"/>
        </w:numPr>
        <w:tabs>
          <w:tab w:val="num" w:pos="360"/>
        </w:tabs>
        <w:spacing w:line="504" w:lineRule="auto"/>
        <w:ind w:left="360"/>
        <w:jc w:val="both"/>
      </w:pPr>
      <w:r>
        <w:t>Pencabutan hak-hak tertentu</w:t>
      </w:r>
    </w:p>
    <w:p w:rsidR="00CB0398" w:rsidRDefault="00CB0398" w:rsidP="00CB0398">
      <w:pPr>
        <w:spacing w:line="504" w:lineRule="auto"/>
        <w:ind w:left="374"/>
        <w:jc w:val="both"/>
      </w:pPr>
      <w:r>
        <w:t>Pencabutan hak tidak dengan suatu tindakan eksekusi. Ayat penghabiasan dari Pasal 38 KUHP menentukan bahwa pidana tambahan mulai berlaku pada hari putusan hakim dapat dijalankan. Diatur dalam Pasal 38 KUHP.</w:t>
      </w:r>
    </w:p>
    <w:p w:rsidR="00CB0398" w:rsidRDefault="00CB0398" w:rsidP="00F24A9A">
      <w:pPr>
        <w:numPr>
          <w:ilvl w:val="4"/>
          <w:numId w:val="12"/>
        </w:numPr>
        <w:tabs>
          <w:tab w:val="num" w:pos="360"/>
        </w:tabs>
        <w:spacing w:line="504" w:lineRule="auto"/>
        <w:ind w:left="360"/>
        <w:jc w:val="both"/>
      </w:pPr>
      <w:r>
        <w:t>Penyitaan barang-barang tertentu</w:t>
      </w:r>
    </w:p>
    <w:p w:rsidR="00CB0398" w:rsidRDefault="00CB0398" w:rsidP="00CB0398">
      <w:pPr>
        <w:spacing w:line="504" w:lineRule="auto"/>
        <w:ind w:left="374"/>
        <w:jc w:val="both"/>
      </w:pPr>
      <w:r>
        <w:t>Pidana tambahan hanya ditambahkan pada pidana pokok, tetapi inipun ada pengecualiannya. Penyitaan barang-barang tertentu, misalnya dapat dilakukan terhadap anak yang diserahkan kepada pemerintah tetapi hanya mengenai barang-barang yang disita (diatur dalam Pasal 39 KUHP)</w:t>
      </w:r>
    </w:p>
    <w:p w:rsidR="00CB0398" w:rsidRDefault="00CB0398" w:rsidP="00F24A9A">
      <w:pPr>
        <w:numPr>
          <w:ilvl w:val="4"/>
          <w:numId w:val="12"/>
        </w:numPr>
        <w:tabs>
          <w:tab w:val="num" w:pos="360"/>
        </w:tabs>
        <w:spacing w:line="504" w:lineRule="auto"/>
        <w:ind w:left="360"/>
        <w:jc w:val="both"/>
      </w:pPr>
      <w:r>
        <w:t>Pengumuman putusan hakim</w:t>
      </w:r>
    </w:p>
    <w:p w:rsidR="00CB0398" w:rsidRDefault="00CB0398" w:rsidP="00CB0398">
      <w:pPr>
        <w:spacing w:line="504" w:lineRule="auto"/>
        <w:ind w:left="360"/>
        <w:jc w:val="both"/>
      </w:pPr>
      <w:r>
        <w:t xml:space="preserve">Pidana tambahan tidak mempunyai sifat keharusan. Jika hakim yakin akan perbuatan pidana dan kesalahannya tedakwa harus dijatuhi pidana pokok. Tetapi dalam menggunakan pidana tambahan hakim merdeka. Dia boleh menjatuhkan pidana tambahan, dan boleh pula tidak. </w:t>
      </w:r>
    </w:p>
    <w:p w:rsidR="00CB0398" w:rsidRDefault="00CB0398" w:rsidP="00F24A9A">
      <w:pPr>
        <w:numPr>
          <w:ilvl w:val="2"/>
          <w:numId w:val="12"/>
        </w:numPr>
        <w:tabs>
          <w:tab w:val="num" w:pos="360"/>
        </w:tabs>
        <w:spacing w:line="504" w:lineRule="auto"/>
        <w:ind w:left="360"/>
        <w:jc w:val="both"/>
      </w:pPr>
      <w:r>
        <w:t>Pidana tutupan.</w:t>
      </w:r>
    </w:p>
    <w:p w:rsidR="00CB0398" w:rsidRDefault="00CB0398" w:rsidP="00CB0398">
      <w:pPr>
        <w:spacing w:line="504" w:lineRule="auto"/>
        <w:ind w:firstLine="720"/>
        <w:jc w:val="both"/>
      </w:pPr>
      <w:r>
        <w:t xml:space="preserve">Pidana tutupan ini merupakan suatu pidana pokok yang telah dimasukan dalam KUH.Pidana dengan Undang-Undang Nomor 20 Tahun 1946 tanggal 31 Oktober 1946, Berita Negara Republik Indonesia II No. 24 halaman 287 dan 288. </w:t>
      </w:r>
      <w:r>
        <w:lastRenderedPageBreak/>
        <w:t>Badan Pembinaan Hukum Nasional Departemen Kehakiman telah memasukan pidana tutupan tersebut pada urutan kelima dari jenis-jenis pidana pokok seperti yang telah diatur dalam Pasal 10 huruf a KUHP.</w:t>
      </w:r>
    </w:p>
    <w:p w:rsidR="00CB0398" w:rsidRDefault="00CB0398" w:rsidP="00F24A9A">
      <w:pPr>
        <w:numPr>
          <w:ilvl w:val="2"/>
          <w:numId w:val="12"/>
        </w:numPr>
        <w:tabs>
          <w:tab w:val="num" w:pos="360"/>
        </w:tabs>
        <w:spacing w:line="504" w:lineRule="auto"/>
        <w:ind w:left="360"/>
        <w:jc w:val="both"/>
      </w:pPr>
      <w:r>
        <w:t>Pidana Bersyarat.</w:t>
      </w:r>
    </w:p>
    <w:p w:rsidR="00CB0398" w:rsidRDefault="00CB0398" w:rsidP="00CB0398">
      <w:pPr>
        <w:spacing w:line="504" w:lineRule="auto"/>
        <w:ind w:firstLine="720"/>
        <w:jc w:val="both"/>
      </w:pPr>
      <w:r>
        <w:t xml:space="preserve">Pidana bersyarat ataupun yang oleh praktisi hukum di Indonesia juag sering disebut sebagai hukuman percobaan itu berasal dari perkataan </w:t>
      </w:r>
      <w:r>
        <w:rPr>
          <w:i/>
        </w:rPr>
        <w:t xml:space="preserve"> voorcarelijke veroordeling</w:t>
      </w:r>
      <w:r>
        <w:t xml:space="preserve"> yang sebenarnya adalah lebih baik apabila perkataan tersebut diterjemahkan sebagai pemidanaan bersyarat.</w:t>
      </w:r>
      <w:r>
        <w:rPr>
          <w:rStyle w:val="FootnoteReference"/>
        </w:rPr>
        <w:footnoteReference w:customMarkFollows="1" w:id="15"/>
        <w:t>18</w:t>
      </w:r>
    </w:p>
    <w:p w:rsidR="00CB0398" w:rsidRDefault="00CB0398" w:rsidP="00CB0398">
      <w:pPr>
        <w:spacing w:line="504" w:lineRule="auto"/>
        <w:ind w:firstLine="720"/>
        <w:jc w:val="both"/>
      </w:pPr>
      <w:r>
        <w:t>Ketentuan-ketentuan yang mengatur masalah pidana bersyarat di dalam pasal-pasal 14a-14f KUHP itu telah ditambahkan ke dalam Kitab Undang-Undang Hukum Pidana dengan Staatblad tahun 1925 Nomor 251 jo. Nomor 486 dan mulai diberlakukan di Indonesia pada tanggal 1 Januari 1927. Pasal pertama yang mengatur masalah pidana bersyarat di dalam Kitab Undang-Undang Hukum Pidana itu adalah Pasal 14 a KUHP.</w:t>
      </w:r>
      <w:r>
        <w:rPr>
          <w:rStyle w:val="FootnoteReference"/>
        </w:rPr>
        <w:footnoteReference w:customMarkFollows="1" w:id="16"/>
        <w:t>19</w:t>
      </w:r>
    </w:p>
    <w:p w:rsidR="00CB0398" w:rsidRDefault="00CB0398" w:rsidP="00CB0398">
      <w:pPr>
        <w:ind w:left="1122"/>
        <w:jc w:val="both"/>
      </w:pPr>
    </w:p>
    <w:p w:rsidR="00CB0398" w:rsidRDefault="00CB0398" w:rsidP="00F24A9A">
      <w:pPr>
        <w:numPr>
          <w:ilvl w:val="0"/>
          <w:numId w:val="15"/>
        </w:numPr>
        <w:tabs>
          <w:tab w:val="num" w:pos="360"/>
        </w:tabs>
        <w:spacing w:line="456" w:lineRule="auto"/>
        <w:ind w:left="360"/>
        <w:rPr>
          <w:b/>
          <w:bCs/>
        </w:rPr>
      </w:pPr>
      <w:r>
        <w:rPr>
          <w:b/>
          <w:bCs/>
        </w:rPr>
        <w:t>Hukuman Mati</w:t>
      </w:r>
    </w:p>
    <w:p w:rsidR="00CB0398" w:rsidRDefault="00CB0398" w:rsidP="00CB0398">
      <w:pPr>
        <w:pStyle w:val="BodyTextIndent"/>
        <w:rPr>
          <w:rFonts w:ascii="Times New Roman" w:hAnsi="Times New Roman"/>
          <w:szCs w:val="24"/>
        </w:rPr>
      </w:pPr>
      <w:r>
        <w:rPr>
          <w:rFonts w:ascii="Times New Roman" w:hAnsi="Times New Roman"/>
          <w:szCs w:val="24"/>
        </w:rPr>
        <w:t>Hidup pasti berakhir dengan kematian. Itu suatu fakta yang tidak dapat dibantah.meskipun tampaknya menakutkan, kematian kerapkali tidak menakutkan. Ungkapan di atas secara tidak berkelebihan dapat pula diterapkan terhadap ancaman pidana mati.</w:t>
      </w:r>
      <w:r>
        <w:rPr>
          <w:rStyle w:val="FootnoteReference"/>
          <w:rFonts w:ascii="Times New Roman" w:hAnsi="Times New Roman"/>
          <w:szCs w:val="24"/>
        </w:rPr>
        <w:footnoteReference w:customMarkFollows="1" w:id="17"/>
        <w:t>20</w:t>
      </w:r>
    </w:p>
    <w:p w:rsidR="00CB0398" w:rsidRDefault="00CB0398" w:rsidP="00CB0398">
      <w:pPr>
        <w:spacing w:line="480" w:lineRule="auto"/>
        <w:ind w:left="1" w:firstLine="708"/>
        <w:jc w:val="both"/>
      </w:pPr>
      <w:r>
        <w:lastRenderedPageBreak/>
        <w:t>Pengertian hukuman mati tersebut secara sangat sederhana, yaitu hukuman yang dijatuhkan oleh hakim pengadilan terhadap seorang terpidana dengan menghilangkan nyawa si terdakwa menurut cara yang telah ditentukan oleh peraturan perundang-undangan yang berlaku. Dengan demikian hukuman mati ini merupakan hukuman pokok yang paling berat dalam sistem pemidanaan di Indonesia.</w:t>
      </w:r>
    </w:p>
    <w:p w:rsidR="00CB0398" w:rsidRDefault="00CB0398" w:rsidP="00CB0398">
      <w:pPr>
        <w:spacing w:line="456" w:lineRule="auto"/>
        <w:ind w:firstLine="709"/>
        <w:jc w:val="both"/>
      </w:pPr>
      <w:r>
        <w:t>Tujuan menjatuhkan dan menjalankan hukuman mati, selalu diarahkan kepada khalayak ramai, agar mereka dengan ancaman hukuman mati akan takut melakukan perbuatan-perbuatan kejam yang akan mengakibatkan mereka  dihukum mati. Berhubung dengan inilah, pada zaman dahulu hukuman mati dilaksanakan di muka umum.</w:t>
      </w:r>
    </w:p>
    <w:p w:rsidR="00CB0398" w:rsidRDefault="00CB0398" w:rsidP="00CB0398">
      <w:pPr>
        <w:spacing w:line="456" w:lineRule="auto"/>
        <w:ind w:firstLine="709"/>
        <w:jc w:val="both"/>
      </w:pPr>
      <w:r>
        <w:t xml:space="preserve">Terkenal ialah cerita-cerita yang menggambarkan keadaan di Perancis revolusinya pada penghabisan abaad ke-18, dimana beberapa orang dalam suatu lapangan di muka umum menjalani hukuman mati dengan dipergunakan </w:t>
      </w:r>
      <w:r>
        <w:rPr>
          <w:i/>
        </w:rPr>
        <w:t>“guillotine”,</w:t>
      </w:r>
      <w:r>
        <w:t xml:space="preserve"> yaitu suatu barang tajam berat, yang dijatuhkan dari atas kepada leher seseorang.</w:t>
      </w:r>
      <w:r>
        <w:rPr>
          <w:rStyle w:val="FootnoteReference"/>
        </w:rPr>
        <w:footnoteReference w:customMarkFollows="1" w:id="18"/>
        <w:t>21</w:t>
      </w:r>
    </w:p>
    <w:p w:rsidR="00CB0398" w:rsidRDefault="00CB0398" w:rsidP="00CB0398">
      <w:pPr>
        <w:spacing w:line="456" w:lineRule="auto"/>
        <w:ind w:firstLine="709"/>
        <w:jc w:val="both"/>
      </w:pPr>
      <w:r>
        <w:t xml:space="preserve">Menurut R.Wirjono Prodjodikoro menyebutkan hukuman mati berturut-turut dihapuskan tahun 1847 di Michigan, 1848 di San Mario, 1849 di Venezuela, 1852 di Rhode Islan,m 1853 di Weschounsin, 1859 di Toskane, 1864 di Columbia dan Rumania, 1870 di Belanda, 1880 di Costa Rica, 1887 di Maine, 1890 di Italia, 1922 di Lithania, 1926 di Uruguay, 1930 di Chili, 1933 di Denmark dan 1941 di New Zeland. Beberapa darinegara ini kemudian mengadakan kembali hukuman mati. Di Negara Belanda tahun 1870 hukuman matihanya ditiadakan bagi </w:t>
      </w:r>
      <w:r>
        <w:lastRenderedPageBreak/>
        <w:t>Peradilan Pidana Sipil. Peradilan Pidana Militer masih tetap mengenal hukuman mati untuk kejahatan-kejahatan berat dengan syarat, bahwa menurut pendapat hakim keamanan Negara perlu dijatuhkan hukuman mati pada peristiwa tertentu.</w:t>
      </w:r>
      <w:r>
        <w:rPr>
          <w:rStyle w:val="FootnoteReference"/>
        </w:rPr>
        <w:footnoteReference w:customMarkFollows="1" w:id="19"/>
        <w:t>22</w:t>
      </w:r>
    </w:p>
    <w:p w:rsidR="00CB0398" w:rsidRDefault="00CB0398" w:rsidP="00CB0398">
      <w:pPr>
        <w:ind w:left="1276" w:hanging="1"/>
        <w:jc w:val="both"/>
      </w:pPr>
    </w:p>
    <w:p w:rsidR="00CB0398" w:rsidRDefault="00CB0398" w:rsidP="00CB0398">
      <w:pPr>
        <w:pStyle w:val="BodyTextIndent"/>
        <w:rPr>
          <w:rFonts w:ascii="Times New Roman" w:hAnsi="Times New Roman"/>
          <w:szCs w:val="24"/>
        </w:rPr>
      </w:pPr>
      <w:r>
        <w:rPr>
          <w:rFonts w:ascii="Times New Roman" w:hAnsi="Times New Roman"/>
          <w:szCs w:val="24"/>
        </w:rPr>
        <w:t>Tahun 1943 Pemerintah Belanda mengadakan lagi hukuman mati dalam Peradilan Pidana Sipil, khusus untuk kejahatan-kejahatan berat yang   dilakukan oleh penjahat perang di wilayah negeri Belanda di Eropa Daratan selama wilayah itu diduduki Tentara Jerman.</w:t>
      </w:r>
      <w:r>
        <w:rPr>
          <w:rStyle w:val="FootnoteReference"/>
          <w:rFonts w:ascii="Times New Roman" w:hAnsi="Times New Roman"/>
          <w:szCs w:val="24"/>
        </w:rPr>
        <w:footnoteReference w:customMarkFollows="1" w:id="20"/>
        <w:t>23</w:t>
      </w:r>
    </w:p>
    <w:p w:rsidR="00CB0398" w:rsidRDefault="00CB0398" w:rsidP="00CB0398">
      <w:pPr>
        <w:ind w:left="709"/>
        <w:jc w:val="both"/>
      </w:pPr>
      <w:r>
        <w:t>Tahun 1952 di Negeri Belanda dikeluarkan undang-undang tentang Hukum Pidana pada waktu perang, yang mempertahankan hukuman mati bagi kejahatan-kejahatan tertentu yang dilakukan selama perang atau yang hanya merupakana tindak pidana pada waktu perang. Ditentukan pula bahwa hukuman mati hanya dapat dijatuhkan oleh Pengadilan dengan suara bulat hakim, tetapi tidak lagi dengan syarat, bahwa Hakim Keamanan Negara menuntutnya.</w:t>
      </w:r>
      <w:r>
        <w:rPr>
          <w:rStyle w:val="FootnoteReference"/>
        </w:rPr>
        <w:footnoteReference w:customMarkFollows="1" w:id="21"/>
        <w:t>24</w:t>
      </w:r>
    </w:p>
    <w:p w:rsidR="00CB0398" w:rsidRDefault="00CB0398" w:rsidP="00CB0398">
      <w:pPr>
        <w:ind w:left="748"/>
        <w:jc w:val="both"/>
      </w:pPr>
    </w:p>
    <w:p w:rsidR="00CB0398" w:rsidRDefault="00CB0398" w:rsidP="00CB0398">
      <w:pPr>
        <w:pStyle w:val="BodyTextIndent"/>
        <w:rPr>
          <w:rFonts w:ascii="Times New Roman" w:hAnsi="Times New Roman"/>
          <w:szCs w:val="24"/>
        </w:rPr>
      </w:pPr>
      <w:r>
        <w:rPr>
          <w:rFonts w:ascii="Times New Roman" w:hAnsi="Times New Roman"/>
          <w:szCs w:val="24"/>
        </w:rPr>
        <w:t>Di Indonesia Pemerintah Kolonial Belanda pada waktu membentuk KUHP pada tahun 1915 menyimpang dari sikapnya di negaranya sendiri dan mempertahankan hukuman mati di Indonesia untuk kejahatan-kejahatan berat.</w:t>
      </w:r>
    </w:p>
    <w:p w:rsidR="00CB0398" w:rsidRDefault="00CB0398" w:rsidP="00CB0398">
      <w:pPr>
        <w:ind w:left="709"/>
        <w:jc w:val="both"/>
      </w:pPr>
      <w:r>
        <w:t xml:space="preserve">Menurut JE. Jonkers dalam buku karangannya </w:t>
      </w:r>
      <w:r>
        <w:rPr>
          <w:i/>
        </w:rPr>
        <w:t>“Het Nederlandsch-Indisch Strafstelsel“</w:t>
      </w:r>
      <w:r>
        <w:t xml:space="preserve"> halaman 11 sebagaimana dikutip R. Wirjono Prodjodikoro menyebutkan dalam surat penjelasan atas rancangan KUHP Indonesia di muka Dewan Perwakilan Rakyat Belanda, hukuman mati bagi Indonesia masih dianggap perlu dengan mengutip kata-kata dari Menteri Kehakiman Belanda Modderman di depan Parlemen Belanda </w:t>
      </w:r>
      <w:r>
        <w:rPr>
          <w:i/>
        </w:rPr>
        <w:t>(Tweede Kamer)</w:t>
      </w:r>
      <w:r>
        <w:t xml:space="preserve"> pada waktu itu membicarakan rancangan KUHP  Belanda, bahwa : “Negara mempunyai segala hak,  negara tidak dapat memenuhi kewajiban-kewajiban, termasuk pertama-tama mempertajamkan tertib hukum.”</w:t>
      </w:r>
      <w:r>
        <w:rPr>
          <w:rStyle w:val="FootnoteReference"/>
        </w:rPr>
        <w:footnoteReference w:customMarkFollows="1" w:id="22"/>
        <w:t>25</w:t>
      </w:r>
    </w:p>
    <w:p w:rsidR="00CB0398" w:rsidRDefault="00CB0398" w:rsidP="00CB0398">
      <w:pPr>
        <w:ind w:left="935"/>
        <w:jc w:val="both"/>
      </w:pPr>
    </w:p>
    <w:p w:rsidR="00CB0398" w:rsidRDefault="00CB0398" w:rsidP="00CB0398">
      <w:pPr>
        <w:spacing w:line="480" w:lineRule="auto"/>
        <w:ind w:firstLine="708"/>
        <w:jc w:val="both"/>
      </w:pPr>
      <w:r>
        <w:t xml:space="preserve">Meskipun diakui adanya banyak keberatan terhadap hukuman mati, dipertahankannya didukung sebagai suatu </w:t>
      </w:r>
      <w:r>
        <w:rPr>
          <w:i/>
        </w:rPr>
        <w:t>“noodrecht</w:t>
      </w:r>
      <w:r>
        <w:t xml:space="preserve">” (hukum darurat) terhadap </w:t>
      </w:r>
      <w:r>
        <w:lastRenderedPageBreak/>
        <w:t>oknum-oknum yang sangat membahayakan masyarakat, oknum-oknum tersebut untuk kepentingan masyarakat harus dimusnahkan secara radikal.</w:t>
      </w:r>
    </w:p>
    <w:p w:rsidR="00CB0398" w:rsidRDefault="00CB0398" w:rsidP="00CB0398">
      <w:pPr>
        <w:spacing w:line="480" w:lineRule="auto"/>
        <w:ind w:firstLine="708"/>
        <w:jc w:val="both"/>
      </w:pPr>
      <w:r>
        <w:t>Dipertimbangkan pula secara khusus, bahwa pada umumnya para penduduk asli di Indonesia dan juga orang-orang Timur Asing seperti Cina, Arab, India dan lain-lain takut dimatikan secara kekerasan, maka dari ancaman hukuman mati, baik dari sudut prevensi umum maupun prevensi khusus diharapkan ada lebih daya pencegah untuk melakukan kejahatan berat dari pada hukuman penjara seumur hidup.</w:t>
      </w:r>
      <w:r>
        <w:rPr>
          <w:rStyle w:val="FootnoteReference"/>
        </w:rPr>
        <w:footnoteReference w:customMarkFollows="1" w:id="23"/>
        <w:t>26</w:t>
      </w:r>
    </w:p>
    <w:p w:rsidR="00CB0398" w:rsidRDefault="00CB0398" w:rsidP="00CB0398">
      <w:pPr>
        <w:spacing w:line="528" w:lineRule="auto"/>
        <w:ind w:firstLine="709"/>
        <w:jc w:val="both"/>
      </w:pPr>
      <w:r>
        <w:t>Keberatan yang terang dirasakan oleh umum terhadap hukuman mati, ialah bahwa hukuman ini tidak dapat diperbaiki lagi, apalagi kemudian terbukti bahwa putusan hakim yang menjatuhkan hukuman mati itu, berdasarkan atas kekeliruan atau keterangan-keterangan yang ternyata tidak benar. Tetapi sekiranya kekeliruan ini jarang terjadi. Justru karena tentunya para hakim sudah sangat berhati-hati dalam menjatuhkan hukuman mati. Lain dari pada itu di Indonesia hukuman mati masih perlu diperlukan sebagai alat pencegah bagi orang-orang agar tidak melakukan kejahatan-kejahatan berat.</w:t>
      </w:r>
    </w:p>
    <w:p w:rsidR="00CB0398" w:rsidRDefault="00CB0398" w:rsidP="00CB0398">
      <w:pPr>
        <w:spacing w:line="480" w:lineRule="auto"/>
        <w:ind w:firstLine="708"/>
        <w:jc w:val="both"/>
      </w:pPr>
      <w:r>
        <w:t xml:space="preserve">Seperti diketahui bahwa di dalam Kitab Undang-Undang Hukum Pidana ternyata bahwa pidan mati itu hanya diancamkan terhadap kejahatan-kejahatan berat kejahatan yang ditujukan terhadap kepala negara dan wakil kepala negara termasuk golongan ini makar terhadap Presiden dan wakil Presiden seperti yang diatur dalam Pasal 104 KUH. Pidana, kejahatan terhadap jiwa orang yaitu pembunuhan dengan berencana (Pasal 340 KUH. Pidana). Sedangkan terhadap </w:t>
      </w:r>
      <w:r>
        <w:lastRenderedPageBreak/>
        <w:t>tindak pidana di luar KUH. Pidana yang dapat dijatuhi hukuman mati adalah dalam kasus narkotika dan psikotropika, terorisme dan tindak pidana dibidang ekonomi.</w:t>
      </w:r>
    </w:p>
    <w:p w:rsidR="00CB0398" w:rsidRDefault="00CB0398" w:rsidP="00CB0398">
      <w:pPr>
        <w:jc w:val="both"/>
      </w:pPr>
    </w:p>
    <w:p w:rsidR="00CB0398" w:rsidRDefault="00CB0398" w:rsidP="00F24A9A">
      <w:pPr>
        <w:numPr>
          <w:ilvl w:val="0"/>
          <w:numId w:val="16"/>
        </w:numPr>
        <w:spacing w:line="480" w:lineRule="auto"/>
        <w:ind w:left="360"/>
        <w:rPr>
          <w:b/>
        </w:rPr>
      </w:pPr>
      <w:bookmarkStart w:id="6" w:name="_Hlk181052713"/>
      <w:r>
        <w:rPr>
          <w:b/>
          <w:lang w:val="fi-FI"/>
        </w:rPr>
        <w:t>Tinjauan Umum Tentang Permufakatan Jahat</w:t>
      </w:r>
    </w:p>
    <w:p w:rsidR="00CB0398" w:rsidRDefault="00CB0398" w:rsidP="00F24A9A">
      <w:pPr>
        <w:pStyle w:val="Default"/>
        <w:numPr>
          <w:ilvl w:val="0"/>
          <w:numId w:val="17"/>
        </w:numPr>
        <w:spacing w:line="480" w:lineRule="auto"/>
        <w:ind w:left="720"/>
      </w:pPr>
      <w:r>
        <w:rPr>
          <w:b/>
          <w:bCs/>
        </w:rPr>
        <w:t>Pengertian Permufakatan Jahat</w:t>
      </w:r>
      <w:bookmarkEnd w:id="6"/>
    </w:p>
    <w:p w:rsidR="00CB0398" w:rsidRDefault="00CB0398" w:rsidP="00CB0398">
      <w:pPr>
        <w:pStyle w:val="Default"/>
        <w:spacing w:line="480" w:lineRule="auto"/>
        <w:ind w:firstLine="709"/>
        <w:jc w:val="both"/>
      </w:pPr>
      <w:r>
        <w:t>Permufakatan jahat dalam Undang-undang Republik Indonesia Nomor 35 Tahun 2009 tentang Narkotika, diatur dalam Pasal 1 angka 18 yang menyebutkan sebagai berikut : “Permufakatan jahat adalah perbuatan dua orang atau lebih yang bersekongkol atau bersepakat untuk melakukan, melaksanakan, membantu, serta melakukan, menyuruh, menganjurkan, organisasi kejahatan Narkotika, atau mengorganisasikan suatu tindak pidana Narkotika”.</w:t>
      </w:r>
    </w:p>
    <w:p w:rsidR="00CB0398" w:rsidRDefault="00CB0398" w:rsidP="00CB0398">
      <w:pPr>
        <w:pStyle w:val="Default"/>
        <w:spacing w:line="480" w:lineRule="auto"/>
        <w:ind w:firstLine="709"/>
        <w:jc w:val="both"/>
      </w:pPr>
      <w:r>
        <w:t>Permufakatan jahat dalam Kitab Undang-Undang Hukum Pidana (KUHP)  diatur dalam Pasal 88 yang menyebutkan : Permufakatan jahat (</w:t>
      </w:r>
      <w:r>
        <w:rPr>
          <w:i/>
          <w:iCs/>
        </w:rPr>
        <w:t>samenspanning</w:t>
      </w:r>
      <w:r>
        <w:t>) dianggap ada bila saja dua orang atau lebih bermufakat untuk melakukan kejahatan itu.</w:t>
      </w:r>
      <w:r>
        <w:rPr>
          <w:rStyle w:val="FootnoteReference"/>
        </w:rPr>
        <w:footnoteReference w:id="24"/>
      </w:r>
      <w:r>
        <w:t xml:space="preserve"> Sedangakan apa yang masuk dalam pengertian Permufakatan jahat ialah permufakatan untuk berbuat kejahatan. Segala pembicaraan atau rundingan untuk mengadakan permufakatan itu belum masuk dalam pengertian permufakatan jahat.</w:t>
      </w:r>
    </w:p>
    <w:p w:rsidR="00CB0398" w:rsidRDefault="00CB0398" w:rsidP="00CB0398">
      <w:pPr>
        <w:pStyle w:val="Default"/>
        <w:spacing w:line="480" w:lineRule="auto"/>
        <w:ind w:firstLine="709"/>
        <w:jc w:val="both"/>
      </w:pPr>
      <w:r>
        <w:t xml:space="preserve">Permufakatan jahat merupakan suatu perencanaan disertai kesepakatan untuk melakukan suatu kejahatan, dapat dikatakan tindak </w:t>
      </w:r>
      <w:r>
        <w:lastRenderedPageBreak/>
        <w:t>pidana yang disepakati, dipersiapkan atau direncanakan tersebut belum terjadinya tindak pidana.</w:t>
      </w:r>
    </w:p>
    <w:p w:rsidR="00CB0398" w:rsidRDefault="00CB0398" w:rsidP="00CB0398">
      <w:pPr>
        <w:pStyle w:val="Default"/>
      </w:pPr>
    </w:p>
    <w:p w:rsidR="00CB0398" w:rsidRDefault="00CB0398" w:rsidP="00F24A9A">
      <w:pPr>
        <w:pStyle w:val="Default"/>
        <w:numPr>
          <w:ilvl w:val="0"/>
          <w:numId w:val="17"/>
        </w:numPr>
        <w:spacing w:line="480" w:lineRule="auto"/>
        <w:ind w:left="360"/>
      </w:pPr>
      <w:bookmarkStart w:id="8" w:name="_Hlk181052730"/>
      <w:r>
        <w:rPr>
          <w:b/>
          <w:bCs/>
        </w:rPr>
        <w:t>Unsur Permufakatan Jahat</w:t>
      </w:r>
      <w:bookmarkEnd w:id="8"/>
    </w:p>
    <w:p w:rsidR="00CB0398" w:rsidRDefault="00CB0398" w:rsidP="00CB0398">
      <w:pPr>
        <w:pStyle w:val="Default"/>
        <w:spacing w:line="516" w:lineRule="auto"/>
        <w:ind w:firstLine="709"/>
        <w:jc w:val="both"/>
      </w:pPr>
      <w:r>
        <w:t xml:space="preserve">Unsur penting dalam Permufakatan jahat adalah adanya dua orang, adanya kesepakatan dan niat, maksud atau tujuan melakukan tindak pidana narkotika, jika salah satu unsur tidak terpenuhi dari pasal pokok yang didakwakan, maka penerapan pasal mengarah kepada keikutsertaan </w:t>
      </w:r>
      <w:r>
        <w:rPr>
          <w:i/>
          <w:iCs/>
        </w:rPr>
        <w:t xml:space="preserve">(deelneming) </w:t>
      </w:r>
      <w:r>
        <w:t xml:space="preserve">Pasal 55 KUHP atau Pasal 56 KUHP. </w:t>
      </w:r>
    </w:p>
    <w:p w:rsidR="00CB0398" w:rsidRDefault="00CB0398" w:rsidP="00CB0398">
      <w:pPr>
        <w:pStyle w:val="Default"/>
        <w:spacing w:line="480" w:lineRule="auto"/>
        <w:ind w:firstLine="709"/>
        <w:jc w:val="both"/>
      </w:pPr>
      <w:r>
        <w:t>Adapun maksud ketentuan pidana dalam Pasal 55 KUHP dengan sengaja telah dibentuk oleh pembentuk undang-undang dengan maksud untuk mengatur pertanggungjawaban menurut hukum pidana dari setiap orang yang terlibat di dalam suatu tindak pidana-kecuali pelakunya sendiri, oleh karena tanpa adanya ketentuan pidana seperti yang telah diatur dalam Pasal 55 KUHP itu, orang-orang tersebut menjadi tidak dihukum.</w:t>
      </w:r>
      <w:r>
        <w:rPr>
          <w:rStyle w:val="FootnoteReference"/>
        </w:rPr>
        <w:footnoteReference w:id="25"/>
      </w:r>
    </w:p>
    <w:p w:rsidR="00CB0398" w:rsidRDefault="00CB0398" w:rsidP="00CB0398">
      <w:pPr>
        <w:pStyle w:val="Default"/>
        <w:spacing w:line="480" w:lineRule="auto"/>
        <w:ind w:firstLine="709"/>
        <w:jc w:val="both"/>
      </w:pPr>
      <w:r>
        <w:t>Pasal 55 ayat (1) KUHP, menyebutkan sebagai berikut :</w:t>
      </w:r>
    </w:p>
    <w:p w:rsidR="00CB0398" w:rsidRDefault="00CB0398" w:rsidP="00F24A9A">
      <w:pPr>
        <w:pStyle w:val="Default"/>
        <w:numPr>
          <w:ilvl w:val="3"/>
          <w:numId w:val="16"/>
        </w:numPr>
        <w:ind w:left="1080"/>
        <w:jc w:val="both"/>
      </w:pPr>
      <w:r>
        <w:t xml:space="preserve">Dipidana sebagai pelaku tindak pidana yakni : </w:t>
      </w:r>
    </w:p>
    <w:p w:rsidR="00CB0398" w:rsidRDefault="00CB0398" w:rsidP="00F24A9A">
      <w:pPr>
        <w:pStyle w:val="Default"/>
        <w:numPr>
          <w:ilvl w:val="7"/>
          <w:numId w:val="13"/>
        </w:numPr>
        <w:tabs>
          <w:tab w:val="num" w:pos="1440"/>
        </w:tabs>
        <w:ind w:left="1440"/>
        <w:jc w:val="both"/>
      </w:pPr>
      <w:r>
        <w:t xml:space="preserve">Mereka yang melakukan, yang menyuruh melakukan dan turut serta melakukan perbuatan. </w:t>
      </w:r>
    </w:p>
    <w:p w:rsidR="00CB0398" w:rsidRDefault="00CB0398" w:rsidP="00F24A9A">
      <w:pPr>
        <w:pStyle w:val="Default"/>
        <w:numPr>
          <w:ilvl w:val="7"/>
          <w:numId w:val="13"/>
        </w:numPr>
        <w:tabs>
          <w:tab w:val="num" w:pos="1440"/>
        </w:tabs>
        <w:ind w:left="1440"/>
        <w:jc w:val="both"/>
      </w:pPr>
      <w:r>
        <w:t xml:space="preserve">Mereka yang dengan memberi atau menjanjikan sesuatu dengan menyalahgunakan kekuasaan atau martabat, dengan kekerasan, ancaman atau penyesatan, atau dengan memberi kesempatan, sarana atau keterangan, sengaja menganjurkan orang lain supaya melakukan perbuatan. </w:t>
      </w:r>
    </w:p>
    <w:p w:rsidR="00CB0398" w:rsidRDefault="00CB0398" w:rsidP="00F24A9A">
      <w:pPr>
        <w:pStyle w:val="Default"/>
        <w:numPr>
          <w:ilvl w:val="3"/>
          <w:numId w:val="13"/>
        </w:numPr>
        <w:jc w:val="both"/>
      </w:pPr>
      <w:r>
        <w:t xml:space="preserve">Terhadap penganjur, hanya perbuatan yang sengaja dianjurkan saja yang diperhitungkan beserta akibat. </w:t>
      </w:r>
    </w:p>
    <w:p w:rsidR="00CB0398" w:rsidRDefault="00CB0398" w:rsidP="00CB0398">
      <w:pPr>
        <w:pStyle w:val="Default"/>
        <w:ind w:left="1440"/>
        <w:jc w:val="both"/>
      </w:pPr>
    </w:p>
    <w:p w:rsidR="00CB0398" w:rsidRDefault="00CB0398" w:rsidP="00CB0398">
      <w:pPr>
        <w:pStyle w:val="Default"/>
        <w:spacing w:line="480" w:lineRule="auto"/>
        <w:ind w:firstLine="709"/>
        <w:jc w:val="both"/>
      </w:pPr>
      <w:r>
        <w:t xml:space="preserve">Selanjutnya Pasal 56 KUHP, menyebutkan sebagai berikut : Dipidana sebagai pembantu kejahatan yakni : </w:t>
      </w:r>
    </w:p>
    <w:p w:rsidR="00CB0398" w:rsidRDefault="00CB0398" w:rsidP="00F24A9A">
      <w:pPr>
        <w:pStyle w:val="Default"/>
        <w:numPr>
          <w:ilvl w:val="0"/>
          <w:numId w:val="18"/>
        </w:numPr>
        <w:jc w:val="both"/>
      </w:pPr>
      <w:r>
        <w:t xml:space="preserve">Mereka yang sengaja memberi bantuan pada waktu kejahatan dilakukan. </w:t>
      </w:r>
    </w:p>
    <w:p w:rsidR="00CB0398" w:rsidRDefault="00CB0398" w:rsidP="00F24A9A">
      <w:pPr>
        <w:pStyle w:val="Default"/>
        <w:numPr>
          <w:ilvl w:val="0"/>
          <w:numId w:val="18"/>
        </w:numPr>
        <w:jc w:val="both"/>
      </w:pPr>
      <w:r>
        <w:t xml:space="preserve">Mereka yang sengaja memberi kesempatan, sarana atau keterangan untuk melakukan kejahatan. </w:t>
      </w:r>
    </w:p>
    <w:p w:rsidR="00CB0398" w:rsidRDefault="00CB0398" w:rsidP="00CB0398">
      <w:pPr>
        <w:pStyle w:val="Default"/>
        <w:ind w:firstLine="709"/>
        <w:jc w:val="both"/>
        <w:rPr>
          <w:b/>
        </w:rPr>
      </w:pPr>
    </w:p>
    <w:p w:rsidR="00CB0398" w:rsidRDefault="00CB0398" w:rsidP="00CB0398">
      <w:pPr>
        <w:pStyle w:val="Default"/>
        <w:spacing w:line="480" w:lineRule="auto"/>
        <w:ind w:firstLine="709"/>
        <w:jc w:val="both"/>
        <w:rPr>
          <w:lang w:val="id-ID"/>
        </w:rPr>
      </w:pPr>
      <w:r>
        <w:t xml:space="preserve">Sebagai peserta pelaku perbuatan pidana yang dapat dipidana ditentukan dalam Pasal 55 ke-1 KUHP dan Pasal 55 ayat (1) ke-2 KUHP yaitu mereka yang disebut lebih lanjut dalam Pasal 56 ke-1 dan ke-2 KUHP yang disebut sebagai pembantu dalam tindak pidana. </w:t>
      </w:r>
    </w:p>
    <w:p w:rsidR="00CB0398" w:rsidRDefault="00CB0398" w:rsidP="00CB0398">
      <w:pPr>
        <w:pStyle w:val="Default"/>
        <w:spacing w:line="480" w:lineRule="auto"/>
        <w:ind w:firstLine="709"/>
        <w:jc w:val="both"/>
      </w:pPr>
      <w:r>
        <w:t xml:space="preserve">Apabila ditinjau pasal-pasal tersebut diatas, dapatlah dikatakan bahwa adanya penyertaan, bukan hanya satu orang saja yang perbuatan perbuatan pidana, akan tetapi beberapa orang, meskipun demikian tidak setiap orang yang tersangkut dalam terjadinya perbuatan pidana dapat dinamakan peserta dalam perbuatan pidana sebagaimana maksud dalam Pasal 55 dan Pasal 56 KUHP. </w:t>
      </w:r>
    </w:p>
    <w:p w:rsidR="00CB0398" w:rsidRDefault="00CB0398" w:rsidP="00CB0398">
      <w:pPr>
        <w:pStyle w:val="Default"/>
        <w:ind w:left="709"/>
        <w:jc w:val="both"/>
      </w:pPr>
      <w:r>
        <w:t>Untuk memenuhi syarat-syarat sebagai peserta dalam perbuatan pidana, yaitu sebagai orang yang melakukan (</w:t>
      </w:r>
      <w:r>
        <w:rPr>
          <w:i/>
          <w:iCs/>
        </w:rPr>
        <w:t>pleger</w:t>
      </w:r>
      <w:r>
        <w:t>), orang yang menyuruh melakukan (</w:t>
      </w:r>
      <w:r>
        <w:rPr>
          <w:i/>
          <w:iCs/>
        </w:rPr>
        <w:t>doen plegen</w:t>
      </w:r>
      <w:r>
        <w:t>), orang yang turut melakukan (</w:t>
      </w:r>
      <w:r>
        <w:rPr>
          <w:i/>
          <w:iCs/>
        </w:rPr>
        <w:t>medeplege</w:t>
      </w:r>
      <w:r>
        <w:t>r), dengan sengaja membujuk melakukan perbuatan (</w:t>
      </w:r>
      <w:r>
        <w:rPr>
          <w:i/>
          <w:iCs/>
        </w:rPr>
        <w:t>uitlokker</w:t>
      </w:r>
      <w:r>
        <w:t>), dan membantu melakukan (</w:t>
      </w:r>
      <w:r>
        <w:rPr>
          <w:i/>
          <w:iCs/>
        </w:rPr>
        <w:t>medeplichtig</w:t>
      </w:r>
      <w:r>
        <w:t>), diluar 5 (lima) jenis peserta ini menurut system KUHPidana tidak ada peserta lain yang dapat dipidana.</w:t>
      </w:r>
      <w:r>
        <w:rPr>
          <w:rStyle w:val="FootnoteReference"/>
        </w:rPr>
        <w:footnoteReference w:id="26"/>
      </w:r>
    </w:p>
    <w:p w:rsidR="00CB0398" w:rsidRDefault="00CB0398" w:rsidP="00CB0398">
      <w:pPr>
        <w:pStyle w:val="Default"/>
        <w:ind w:left="709"/>
        <w:jc w:val="both"/>
      </w:pPr>
    </w:p>
    <w:p w:rsidR="00CB0398" w:rsidRDefault="00CB0398" w:rsidP="00CB0398">
      <w:pPr>
        <w:pStyle w:val="Default"/>
        <w:spacing w:line="480" w:lineRule="auto"/>
        <w:ind w:firstLine="709"/>
        <w:jc w:val="both"/>
      </w:pPr>
      <w:r>
        <w:t xml:space="preserve">Unsur-unsur perbuatan pidana permufakatan jahat dalam Undang-undang Nomor 35 tahun 2009 tentang Narkotika, diatur dalam Pasal 132 ayat (1) yang menyebutkan “Percobaan atau permufakatan jahat untuk </w:t>
      </w:r>
      <w:r>
        <w:lastRenderedPageBreak/>
        <w:t>melakukan tindak pidana Narkotika dan Prekusor Narkotika sebagaimana dimaksudkan dalam Pasal 111, Pasal 112, Pasal 113, 114, Pasal 115, Pasal 116, Pasal 117, Pasal 118, Pasal 119, Pasal 120, Pasal 121, Pasal 122, Pasal 123, Pasal 124, Pasal 125, Pasal 126, Pasal 127 dan Pasal 129 pelakuknya dipidana sebagaimana dimaksudkan dalam Pasal-Pasal tersebut”.</w:t>
      </w:r>
    </w:p>
    <w:p w:rsidR="00CB0398" w:rsidRDefault="00CB0398" w:rsidP="00CB0398">
      <w:pPr>
        <w:pStyle w:val="Default"/>
        <w:spacing w:line="480" w:lineRule="auto"/>
        <w:ind w:firstLine="709"/>
        <w:jc w:val="both"/>
      </w:pPr>
      <w:r>
        <w:t>Permufakatan jahat menurut ketentuan normative Pasal 132 ayat (1) Undang-undang Nomor 35 tahun 2009 tentang Narkotika, sifatnya eksepsional yaitu suatu perbuatan dianggap sebagai kejahatan dalam tindak pidana yang disebutkan dalam Undang-undang Nomor 35 tahun 2009 tentang Narkotika saja, hal ini diatur dalam Pasal 111 sampai dengan Pasal 126 kemudian Pasal 129 dimana permufakatan jahat dihukum sama dengan kejahatan.</w:t>
      </w:r>
    </w:p>
    <w:p w:rsidR="00CB0398" w:rsidRDefault="00CB0398" w:rsidP="00CB0398">
      <w:pPr>
        <w:pStyle w:val="Default"/>
        <w:spacing w:line="480" w:lineRule="auto"/>
        <w:ind w:firstLine="709"/>
        <w:jc w:val="both"/>
      </w:pPr>
      <w:r>
        <w:t>Permufakatan jahat mengandung pengertian penyertaan (</w:t>
      </w:r>
      <w:r>
        <w:rPr>
          <w:i/>
          <w:iCs/>
        </w:rPr>
        <w:t>deelneming</w:t>
      </w:r>
      <w:r>
        <w:t xml:space="preserve">) yang dibuat secara pilihan, sehingga pengertian permufakatan jahat diartikan penyertaan dalam Pasal 55 KUHP, dimana pada dasarnya bahwa permufakatan jahat yang didefinisikan dalam Pasal 1 angka 18 Undang-Undang Nomor 35 Tahun 2009 Tentang Narkotika merupakan </w:t>
      </w:r>
      <w:r>
        <w:rPr>
          <w:i/>
          <w:iCs/>
        </w:rPr>
        <w:t xml:space="preserve">lex specialist </w:t>
      </w:r>
      <w:r>
        <w:t>dari pasal 55 KUHP (</w:t>
      </w:r>
      <w:r>
        <w:rPr>
          <w:i/>
          <w:iCs/>
        </w:rPr>
        <w:t>lex generalis</w:t>
      </w:r>
      <w:r>
        <w:t>).</w:t>
      </w:r>
    </w:p>
    <w:p w:rsidR="00CB0398" w:rsidRDefault="00CB0398" w:rsidP="00CB0398">
      <w:pPr>
        <w:pStyle w:val="Default"/>
        <w:ind w:firstLine="709"/>
        <w:jc w:val="both"/>
      </w:pPr>
    </w:p>
    <w:p w:rsidR="00CB0398" w:rsidRDefault="00CB0398" w:rsidP="00F24A9A">
      <w:pPr>
        <w:pStyle w:val="Default"/>
        <w:numPr>
          <w:ilvl w:val="0"/>
          <w:numId w:val="17"/>
        </w:numPr>
        <w:spacing w:line="480" w:lineRule="auto"/>
        <w:ind w:left="360"/>
      </w:pPr>
      <w:bookmarkStart w:id="10" w:name="_Hlk181052745"/>
      <w:r>
        <w:rPr>
          <w:b/>
          <w:bCs/>
        </w:rPr>
        <w:t>Bentuk Permufakatan Jahat</w:t>
      </w:r>
      <w:bookmarkEnd w:id="10"/>
    </w:p>
    <w:p w:rsidR="00CB0398" w:rsidRDefault="00CB0398" w:rsidP="00CB0398">
      <w:pPr>
        <w:pStyle w:val="Default"/>
        <w:spacing w:line="480" w:lineRule="auto"/>
        <w:ind w:firstLine="709"/>
        <w:jc w:val="both"/>
      </w:pPr>
      <w:r>
        <w:t>Tindak pidana permufakatan jahat dalam KUHP diatur dalam Pasal 110 ayat (1) sampai dengan ayat (4). Permufakatan jahat (</w:t>
      </w:r>
      <w:r>
        <w:rPr>
          <w:i/>
          <w:iCs/>
        </w:rPr>
        <w:t>samenspanning</w:t>
      </w:r>
      <w:r>
        <w:t>) diatur secara khusus yaitu hanya terhadap kejahatan-</w:t>
      </w:r>
      <w:r>
        <w:lastRenderedPageBreak/>
        <w:t xml:space="preserve">kejahatan sebagaimana diatur dalam Pasal 104, 106, 107 dan 108 KUHP. Artinya tindak pidana Permufakatan Jahat tidak dapat diberlakukan untuk semua tindak pidana yang ada dalam KUHP, jadi bersifat </w:t>
      </w:r>
      <w:r>
        <w:rPr>
          <w:i/>
          <w:iCs/>
        </w:rPr>
        <w:t xml:space="preserve">eksepsional </w:t>
      </w:r>
      <w:r>
        <w:t xml:space="preserve">(pengeculian) sebagaimana yang disebutkan dalam Pasal 110 KUHP tersebut. </w:t>
      </w:r>
    </w:p>
    <w:p w:rsidR="00CB0398" w:rsidRDefault="00CB0398" w:rsidP="00CB0398">
      <w:pPr>
        <w:pStyle w:val="Default"/>
        <w:spacing w:line="480" w:lineRule="auto"/>
        <w:ind w:firstLine="709"/>
        <w:jc w:val="both"/>
      </w:pPr>
      <w:r>
        <w:t xml:space="preserve">Permufakatan jahat dalam KUHP dapat dilihat dalam Pasal 88 KUHP yang merupakan penafsiran otentik mengenai permufakatan jahat tersebut. Pasal 88 KUHP menyebutkan pengertian permufakatan jahat sebagai berikut :”Dikatakan ada permufakatan jahat, apabila dua orang atau lebih telah sepakat akan melakukan kejahatan” </w:t>
      </w:r>
    </w:p>
    <w:p w:rsidR="00CB0398" w:rsidRDefault="00CB0398" w:rsidP="00CB0398">
      <w:pPr>
        <w:pStyle w:val="Default"/>
        <w:spacing w:line="480" w:lineRule="auto"/>
        <w:ind w:firstLine="709"/>
        <w:jc w:val="both"/>
      </w:pPr>
      <w:r>
        <w:t xml:space="preserve">Merujuk kepada pengertian permufakatan jahat sebagaimana disebutkan dalam Pasal 88 KUHP tersebut, dapatlah disimpulkan bahwa suatu permufakatan jahat dianggap telah terjadi yakni segera setelah dua orang atau lebih mencapai suatu kesepakatan untuk melakukan kejahatan tersebut. Disini permufakatan jahat merupakan tindak pidana sendiri, artinya orang telah dapat dinyatakan melakukan tindak pidana permufakatan jahat dengan adanya kesepakatan untuk melakukan tindak pidana-tindak pidana sebagaimana yang disebutkan dalam Pasal 104,106, 107 dan 108 KUHP. </w:t>
      </w:r>
    </w:p>
    <w:p w:rsidR="00CB0398" w:rsidRDefault="00CB0398" w:rsidP="00CB0398">
      <w:pPr>
        <w:pStyle w:val="Default"/>
        <w:spacing w:line="480" w:lineRule="auto"/>
        <w:ind w:firstLine="709"/>
        <w:jc w:val="both"/>
      </w:pPr>
      <w:r>
        <w:t xml:space="preserve">R. Wirjono Prodjodikoro mengatakan permufakatan jahat sebagai </w:t>
      </w:r>
      <w:r>
        <w:rPr>
          <w:i/>
          <w:iCs/>
        </w:rPr>
        <w:t xml:space="preserve">bijzondere deelneming </w:t>
      </w:r>
      <w:r>
        <w:t xml:space="preserve">atau sebagai keturutsertaan yang sifatnya khusus. Permufakatan jahat tersebut memiliki kemiripan dengan keturut sertaan sebagaimana yang diatur dalam Pasal 55 KUHP, akan tetapi lebih bersifit </w:t>
      </w:r>
      <w:r>
        <w:lastRenderedPageBreak/>
        <w:t>khusus. Perbedaannya bahwa keturut sertaan dalam Pasal 55 KUHP para pelaku telah melakukan tindak pidana yang dilarang tersebut, sedangkan dalam permufakatan jahat tindak pidana belum dilakukan oleh pelaku. Jadi yang dihukum atau yang merupakan tindak pidana disini adalah niat yang ditandai adanya kata sepakat dari dua orang atau lebih untuk melakukan tindak pidana dalam ketentuan Pasal 104,106,107 dan 108 KUHP.</w:t>
      </w:r>
      <w:r>
        <w:rPr>
          <w:rStyle w:val="FootnoteReference"/>
        </w:rPr>
        <w:footnoteReference w:id="27"/>
      </w:r>
    </w:p>
    <w:p w:rsidR="00CB0398" w:rsidRDefault="00CB0398" w:rsidP="00CB0398">
      <w:pPr>
        <w:pStyle w:val="Default"/>
        <w:spacing w:line="480" w:lineRule="auto"/>
        <w:ind w:firstLine="709"/>
        <w:jc w:val="both"/>
      </w:pPr>
      <w:r>
        <w:t>Meskipun tindak pidana belum terlaksana tidak berarti permufakatan jahat sama dengan tindak pidana percobaan (</w:t>
      </w:r>
      <w:r>
        <w:rPr>
          <w:i/>
          <w:iCs/>
        </w:rPr>
        <w:t>poging</w:t>
      </w:r>
      <w:r>
        <w:t>) sebagaimana yang diatur dalam Pasal 53 KUHP. Dalam tindak pidana percobaan harus memenuhi 3 unsur yaitu niat, permulaan pelaksaan dan perbuatan tersebut tidak jadi selesai diluar kehendak pelaku. Apabila melihat rumusan tindak pidana permufakatan jahat, maka niat dalam permufakatan jahat telah dapat dihukum, karena perbuatan persiapan (</w:t>
      </w:r>
      <w:r>
        <w:rPr>
          <w:i/>
          <w:iCs/>
        </w:rPr>
        <w:t>voorbereiding</w:t>
      </w:r>
      <w:r>
        <w:t>) dalam permufakatan jahat sendiri belum ada.</w:t>
      </w:r>
    </w:p>
    <w:p w:rsidR="00CB0398" w:rsidRDefault="00CB0398" w:rsidP="00CB0398">
      <w:pPr>
        <w:pStyle w:val="Default"/>
        <w:ind w:left="709"/>
        <w:jc w:val="both"/>
        <w:rPr>
          <w:b/>
        </w:rPr>
      </w:pPr>
      <w:r>
        <w:t xml:space="preserve">Melihat bentuk dari permufakatan jahat tersebut,  maka permufakatan jahat terhadap ketentuan-ketentuan dalam Pasal 104,106,107 dan 108 KUHP harus dijatuhi hukuman. Hal ini dikarenakan pembuat undang-undang memandang kejahatan-kejahatan (tindak pidana) sebagaimana yang diatur dalam Pasal 104,106,107 dan 108 KUHP tersebut telah dipandang sebagai kejahatan yang serius dan sangat berbahaya terutama terhadap keselamatan negara. Oleh karena itu kejahatan yang disebut </w:t>
      </w:r>
      <w:r>
        <w:rPr>
          <w:i/>
          <w:iCs/>
        </w:rPr>
        <w:t xml:space="preserve">staatsgevaarlijke misdrijven </w:t>
      </w:r>
      <w:r>
        <w:t xml:space="preserve">(kejahatan terhadap keselamatan Negara), sudah harus dicegah atau diberantas pada waktu kejahatan itu masih pada tingkat persiapan atau masih berada pada </w:t>
      </w:r>
      <w:r>
        <w:rPr>
          <w:i/>
          <w:iCs/>
        </w:rPr>
        <w:t>voorbereidingsstadium</w:t>
      </w:r>
      <w:r>
        <w:t>.</w:t>
      </w:r>
      <w:r>
        <w:rPr>
          <w:rStyle w:val="FootnoteReference"/>
        </w:rPr>
        <w:footnoteReference w:id="28"/>
      </w:r>
    </w:p>
    <w:p w:rsidR="00CB0398" w:rsidRDefault="00CB0398" w:rsidP="00CB0398">
      <w:pPr>
        <w:pStyle w:val="Default"/>
        <w:ind w:firstLine="709"/>
        <w:jc w:val="both"/>
        <w:rPr>
          <w:b/>
        </w:rPr>
      </w:pPr>
    </w:p>
    <w:p w:rsidR="00CB0398" w:rsidRDefault="00CB0398" w:rsidP="00CB0398">
      <w:pPr>
        <w:pStyle w:val="Default"/>
        <w:spacing w:line="480" w:lineRule="auto"/>
        <w:ind w:firstLine="709"/>
        <w:jc w:val="both"/>
        <w:rPr>
          <w:lang w:val="id-ID"/>
        </w:rPr>
      </w:pPr>
      <w:r>
        <w:t xml:space="preserve">Sesungguhnya dalam hukum pidana bahwa niat saja tidaklah dapat dihukum, akan tetapi karena kejahatan seperti yang disebutkan dalam Pasal 104,106,107 dan 108 dianggap sebagai kejahatan yang serius, maka dibuatlah tindak pidana permufakatan jahat terhadap pasal-pasal tersebut sebagai tindak pidana. </w:t>
      </w:r>
    </w:p>
    <w:p w:rsidR="00CB0398" w:rsidRDefault="00CB0398" w:rsidP="00CB0398">
      <w:pPr>
        <w:pStyle w:val="Default"/>
        <w:ind w:left="709"/>
        <w:jc w:val="both"/>
      </w:pPr>
      <w:r>
        <w:t xml:space="preserve">Ketentuan ini yaitu permufakatan jahat dapatlah dikategorikan sebagai </w:t>
      </w:r>
      <w:r>
        <w:rPr>
          <w:i/>
          <w:iCs/>
        </w:rPr>
        <w:t xml:space="preserve">Tatbestandausdehnungsgrund </w:t>
      </w:r>
      <w:r>
        <w:t>yang artinya dasar yang memperluas rumusan delik atau memperbanyak jumlah delik16. Karena delik pokoknya adalah ketentuan dalam pasal 104,106, 107 dan 108 KUHP, sedangkan permufakatan adalah delik tambahan atau perluasan dari delik pokok tersebut dan sama halnya dengan tindak pidana percobaan (</w:t>
      </w:r>
      <w:r>
        <w:rPr>
          <w:i/>
          <w:iCs/>
        </w:rPr>
        <w:t>poging</w:t>
      </w:r>
      <w:r>
        <w:t xml:space="preserve">) juga merupakan </w:t>
      </w:r>
      <w:r>
        <w:rPr>
          <w:i/>
          <w:iCs/>
        </w:rPr>
        <w:t xml:space="preserve">Tatbestandausdehnungsgrund </w:t>
      </w:r>
      <w:r>
        <w:t>dari delik pokoknya. Misalnya percobaan dalam tindak pidana pencurian, disini pidana pokoknya adalah pencurian Pasal 362 KUHP sedangkan percobaan terhadap pencurian tersebut telah pula dianggap sebagai delik, inilah yang dimaksud dengan perluasan delik tersebut.</w:t>
      </w:r>
      <w:r>
        <w:rPr>
          <w:rStyle w:val="FootnoteReference"/>
        </w:rPr>
        <w:footnoteReference w:id="29"/>
      </w:r>
    </w:p>
    <w:p w:rsidR="00CB0398" w:rsidRDefault="00CB0398" w:rsidP="00CB0398">
      <w:pPr>
        <w:pStyle w:val="Default"/>
        <w:ind w:left="709"/>
        <w:jc w:val="both"/>
      </w:pPr>
    </w:p>
    <w:p w:rsidR="00CB0398" w:rsidRDefault="00CB0398" w:rsidP="00CB0398">
      <w:pPr>
        <w:pStyle w:val="Default"/>
        <w:spacing w:line="480" w:lineRule="auto"/>
        <w:ind w:firstLine="709"/>
        <w:jc w:val="both"/>
        <w:rPr>
          <w:lang w:val="id-ID"/>
        </w:rPr>
      </w:pPr>
      <w:r>
        <w:t>Ternyata dalam ketentuan Undang-Undang Nomor 35 Tahun 2009 Tentang Narkotika bahwa pasal yang dapat dikenakan permufakatan jahat juga dibatasi, yaitu pasal-pasal seperti yang telah disebutkan diatas. Dimasukannya ketentuan permufakatan jahat sebagai tindak pidana dikarenakan tindak pidana Narkotika sebagaimana yang diatur dalam ketentuan Pasal 78,79,80,81 dan 82 dipandang sebagai kejahatan yang serius dan sangat membahayakan, terutama bagi kehidupan warga negara Indonesia.</w:t>
      </w:r>
    </w:p>
    <w:p w:rsidR="00CB0398" w:rsidRDefault="00CB0398" w:rsidP="00CB0398">
      <w:pPr>
        <w:pStyle w:val="Default"/>
        <w:ind w:firstLine="709"/>
        <w:jc w:val="both"/>
        <w:rPr>
          <w:b/>
        </w:rPr>
      </w:pPr>
    </w:p>
    <w:p w:rsidR="00CB0398" w:rsidRDefault="00CB0398" w:rsidP="00F24A9A">
      <w:pPr>
        <w:numPr>
          <w:ilvl w:val="0"/>
          <w:numId w:val="16"/>
        </w:numPr>
        <w:tabs>
          <w:tab w:val="num" w:pos="360"/>
        </w:tabs>
        <w:spacing w:line="480" w:lineRule="auto"/>
        <w:ind w:left="360"/>
        <w:jc w:val="both"/>
        <w:rPr>
          <w:b/>
        </w:rPr>
      </w:pPr>
      <w:bookmarkStart w:id="12" w:name="_Hlk181052757"/>
      <w:r>
        <w:rPr>
          <w:b/>
        </w:rPr>
        <w:t>Tinjauan Umum Tentang Tindak Pidana Narkotika</w:t>
      </w:r>
    </w:p>
    <w:p w:rsidR="00CB0398" w:rsidRDefault="00CB0398" w:rsidP="00F24A9A">
      <w:pPr>
        <w:numPr>
          <w:ilvl w:val="1"/>
          <w:numId w:val="16"/>
        </w:numPr>
        <w:spacing w:line="480" w:lineRule="auto"/>
        <w:ind w:left="720"/>
        <w:jc w:val="both"/>
        <w:rPr>
          <w:b/>
        </w:rPr>
      </w:pPr>
      <w:r>
        <w:rPr>
          <w:b/>
          <w:snapToGrid w:val="0"/>
        </w:rPr>
        <w:lastRenderedPageBreak/>
        <w:t xml:space="preserve">Pengertian </w:t>
      </w:r>
      <w:r>
        <w:rPr>
          <w:b/>
          <w:lang w:val="id-ID"/>
        </w:rPr>
        <w:t xml:space="preserve">Narkotika </w:t>
      </w:r>
      <w:bookmarkEnd w:id="12"/>
    </w:p>
    <w:p w:rsidR="00CB0398" w:rsidRDefault="00CB0398" w:rsidP="00CB0398">
      <w:pPr>
        <w:pStyle w:val="BodyTextIndent3"/>
        <w:spacing w:line="516" w:lineRule="auto"/>
        <w:ind w:left="0" w:firstLine="748"/>
        <w:rPr>
          <w:rFonts w:ascii="Times New Roman" w:hAnsi="Times New Roman"/>
          <w:szCs w:val="24"/>
        </w:rPr>
      </w:pPr>
      <w:r>
        <w:rPr>
          <w:rFonts w:ascii="Times New Roman" w:hAnsi="Times New Roman"/>
          <w:szCs w:val="24"/>
        </w:rPr>
        <w:t>Peredaran gelap dan penyalahgunaan narkotika melibatkan sebuah sistem yang kompleks dan berpengaruh secara global serta dapat berkaitan erat dengan ketahanan nasional sebuah bangsa.</w:t>
      </w:r>
      <w:r>
        <w:rPr>
          <w:rStyle w:val="FootnoteReference"/>
          <w:rFonts w:ascii="Times New Roman" w:hAnsi="Times New Roman"/>
          <w:szCs w:val="24"/>
        </w:rPr>
        <w:footnoteReference w:id="30"/>
      </w:r>
      <w:r>
        <w:rPr>
          <w:rFonts w:ascii="Times New Roman" w:hAnsi="Times New Roman"/>
          <w:szCs w:val="24"/>
        </w:rPr>
        <w:t xml:space="preserve"> Kasus narkotika di Indonesia sudah menyebar ke seluruh wilayah, terutama di kota-kota besar, bahkan dikatakan bahwa saat ini di kota-kota besar tidak ada wilayah yang terbebas dari bahaya narkotika seperti kelurahan RW bahkan pada level RT.</w:t>
      </w:r>
      <w:r>
        <w:rPr>
          <w:rStyle w:val="FootnoteReference"/>
          <w:rFonts w:ascii="Times New Roman" w:hAnsi="Times New Roman"/>
          <w:szCs w:val="24"/>
        </w:rPr>
        <w:footnoteReference w:id="31"/>
      </w:r>
    </w:p>
    <w:p w:rsidR="00CB0398" w:rsidRDefault="00CB0398" w:rsidP="00CB0398">
      <w:pPr>
        <w:pStyle w:val="BodyTextIndent3"/>
        <w:spacing w:line="516" w:lineRule="auto"/>
        <w:ind w:left="0" w:firstLine="748"/>
        <w:rPr>
          <w:rFonts w:ascii="Times New Roman" w:hAnsi="Times New Roman"/>
          <w:iCs/>
          <w:snapToGrid w:val="0"/>
          <w:szCs w:val="24"/>
        </w:rPr>
      </w:pPr>
      <w:r>
        <w:rPr>
          <w:rFonts w:ascii="Times New Roman" w:hAnsi="Times New Roman"/>
          <w:szCs w:val="24"/>
        </w:rPr>
        <w:t>Pengertian  tentang narkotika di  berbagai  negara di dunia   adalah berbeda-beda satu sama lainnya, umumnya berkisar  kepada pengertian yang  dasarnya diperluas tentang   bahan-bahannya.</w:t>
      </w:r>
      <w:r>
        <w:rPr>
          <w:rFonts w:ascii="Times New Roman" w:hAnsi="Times New Roman"/>
          <w:snapToGrid w:val="0"/>
          <w:szCs w:val="24"/>
        </w:rPr>
        <w:t>Dalam   dunia kedok</w:t>
      </w:r>
      <w:r>
        <w:rPr>
          <w:rFonts w:ascii="Times New Roman" w:hAnsi="Times New Roman"/>
          <w:szCs w:val="24"/>
        </w:rPr>
        <w:t xml:space="preserve">teran  yang disebut dengan </w:t>
      </w:r>
      <w:r>
        <w:rPr>
          <w:rFonts w:ascii="Times New Roman" w:hAnsi="Times New Roman"/>
          <w:snapToGrid w:val="0"/>
          <w:szCs w:val="24"/>
        </w:rPr>
        <w:t>narkotika adalah   suatu</w:t>
      </w:r>
      <w:r>
        <w:rPr>
          <w:rFonts w:ascii="Times New Roman" w:hAnsi="Times New Roman"/>
          <w:szCs w:val="24"/>
        </w:rPr>
        <w:t xml:space="preserve">  obat yang berguna untuk </w:t>
      </w:r>
      <w:r>
        <w:rPr>
          <w:rFonts w:ascii="Times New Roman" w:hAnsi="Times New Roman"/>
          <w:snapToGrid w:val="0"/>
          <w:szCs w:val="24"/>
        </w:rPr>
        <w:t>kepentingan kedokteran yan</w:t>
      </w:r>
      <w:r>
        <w:rPr>
          <w:rFonts w:ascii="Times New Roman" w:hAnsi="Times New Roman"/>
          <w:szCs w:val="24"/>
        </w:rPr>
        <w:t xml:space="preserve">g bahannya berasal dari candu </w:t>
      </w:r>
      <w:r>
        <w:rPr>
          <w:rFonts w:ascii="Times New Roman" w:hAnsi="Times New Roman"/>
          <w:snapToGrid w:val="0"/>
          <w:szCs w:val="24"/>
        </w:rPr>
        <w:t xml:space="preserve">dan bahan-bahan yang lain </w:t>
      </w:r>
      <w:r>
        <w:rPr>
          <w:rFonts w:ascii="Times New Roman" w:hAnsi="Times New Roman"/>
          <w:szCs w:val="24"/>
        </w:rPr>
        <w:t xml:space="preserve">yang berasal dari candu   baik </w:t>
      </w:r>
      <w:r>
        <w:rPr>
          <w:rFonts w:ascii="Times New Roman" w:hAnsi="Times New Roman"/>
          <w:snapToGrid w:val="0"/>
          <w:szCs w:val="24"/>
        </w:rPr>
        <w:t xml:space="preserve">berupa campuran alami maupun sintesis </w:t>
      </w:r>
      <w:r>
        <w:rPr>
          <w:rFonts w:ascii="Times New Roman" w:hAnsi="Times New Roman"/>
          <w:i/>
          <w:iCs/>
          <w:snapToGrid w:val="0"/>
          <w:szCs w:val="24"/>
        </w:rPr>
        <w:t>(cemis).</w:t>
      </w:r>
    </w:p>
    <w:p w:rsidR="00CB0398" w:rsidRDefault="00CB0398" w:rsidP="00CB0398">
      <w:pPr>
        <w:spacing w:line="456" w:lineRule="auto"/>
        <w:ind w:firstLine="720"/>
        <w:jc w:val="both"/>
      </w:pPr>
      <w:r>
        <w:t>Secara harafiah narkotika sebagaimana di ungkapkan oleh Wilson Nadaek merumuskan sebagai berikut : Narkotika berasal dari bahasa Yunani, dari kata Narke, yang berarti beku, lumpuh, dan dungu.</w:t>
      </w:r>
      <w:r>
        <w:rPr>
          <w:rStyle w:val="FootnoteReference"/>
        </w:rPr>
        <w:footnoteReference w:customMarkFollows="1" w:id="32"/>
        <w:t>29</w:t>
      </w:r>
      <w:r>
        <w:t xml:space="preserve">  Menurut Farmakologi medis, yaitu “Narkotika adalah obat yang dapat menghilangkan (terutama) rasa nyeri </w:t>
      </w:r>
      <w:r>
        <w:lastRenderedPageBreak/>
        <w:t>yang berasal dari daerah Visceral dan dapat menimbulkan efek stupor (bengong masih sadar namun masih haruis di gertak) serta adiksi.</w:t>
      </w:r>
      <w:r>
        <w:rPr>
          <w:rStyle w:val="FootnoteReference"/>
        </w:rPr>
        <w:footnoteReference w:customMarkFollows="1" w:id="33"/>
        <w:t>30</w:t>
      </w:r>
    </w:p>
    <w:p w:rsidR="00CB0398" w:rsidRDefault="00CB0398" w:rsidP="00CB0398">
      <w:pPr>
        <w:spacing w:line="456" w:lineRule="auto"/>
        <w:ind w:firstLine="720"/>
        <w:jc w:val="both"/>
      </w:pPr>
      <w:r>
        <w:t>Soedjono D. menyatakan bahwa yang dimaksud dengan narkotika adalah sejenis zat, yang bila dipergunakan (dimasukkan dalam tubuh) akan membawa pengaruh terhadap tubuh si pemakai. Pengaruh tersebut berupa : menenangkan, merangsang, dan menimbulkan khayalan (halusinasi).</w:t>
      </w:r>
      <w:r>
        <w:rPr>
          <w:rStyle w:val="FootnoteReference"/>
        </w:rPr>
        <w:footnoteReference w:customMarkFollows="1" w:id="34"/>
        <w:t>31</w:t>
      </w:r>
      <w:r>
        <w:t xml:space="preserve"> Sedangkan menurut Elijah Adams memberikan definisi narkotika adalah sebagai berikut, “Narkotika adalah : terdiri dari zat sintesis dan semi sintesis yang terkenal adalah heroin yang terbuat dari morfhine yang tidak dipergunakan, tetapi banyak nampak dalam perdagangan-perdagangan gelap, selain juga terkenal istilah </w:t>
      </w:r>
      <w:r>
        <w:rPr>
          <w:i/>
        </w:rPr>
        <w:t>dihydo morfhine</w:t>
      </w:r>
      <w:r>
        <w:t>.</w:t>
      </w:r>
      <w:r>
        <w:rPr>
          <w:rStyle w:val="FootnoteReference"/>
        </w:rPr>
        <w:footnoteReference w:customMarkFollows="1" w:id="35"/>
        <w:t>32</w:t>
      </w:r>
      <w:r>
        <w:t xml:space="preserve"> Selain definisi yang diberikan oleh para ahli, terdapat juga pengertian narkotika dalam undang-undang. </w:t>
      </w:r>
    </w:p>
    <w:p w:rsidR="00CB0398" w:rsidRDefault="00CB0398" w:rsidP="00CB0398">
      <w:pPr>
        <w:spacing w:line="480" w:lineRule="auto"/>
        <w:ind w:firstLine="720"/>
        <w:jc w:val="both"/>
      </w:pPr>
      <w:r>
        <w:t>Pasal 1 Undang-Undang Nomor 35 tahun 2009 menyebutkan bahwa narkotika merupakan zat atau obat yang berasal dari tanaman atau bukan tanaman, baik sintetis maupun semi sintetis, yang dapat menyebabkan penurunan atau perubahan kesadaran, hilangnya rasa sakit, mengurangi sampai menghilangkan rasa ngeri dan dapat menimbulkan ketergantungan. Prekursor Narkotika merupakan zat atau bahan pemula atau kimia yang dapat digunakan dalam pembuatan Narkotika.</w:t>
      </w:r>
    </w:p>
    <w:p w:rsidR="00CB0398" w:rsidRDefault="00CB0398" w:rsidP="00CB0398">
      <w:pPr>
        <w:spacing w:line="480" w:lineRule="auto"/>
        <w:ind w:firstLine="720"/>
        <w:jc w:val="both"/>
      </w:pPr>
      <w:r>
        <w:t xml:space="preserve">Narkotika dan psikotropika dalam pergaulan sehari-hari cendrung disamakan, masyarakat lebih mengenal pada zat tersebut sebagai narkoba </w:t>
      </w:r>
      <w:r>
        <w:lastRenderedPageBreak/>
        <w:t>(narkotika dan obat-obat terlarang/psikotropika) atau NAPZA, narkoba menrut proses pembuatannya terbagi menjadi 3 (tiga) golongan yaitu :</w:t>
      </w:r>
    </w:p>
    <w:p w:rsidR="00CB0398" w:rsidRDefault="00CB0398" w:rsidP="00F24A9A">
      <w:pPr>
        <w:numPr>
          <w:ilvl w:val="0"/>
          <w:numId w:val="19"/>
        </w:numPr>
        <w:tabs>
          <w:tab w:val="clear" w:pos="720"/>
          <w:tab w:val="left" w:pos="1134"/>
        </w:tabs>
        <w:ind w:left="1134"/>
        <w:jc w:val="both"/>
      </w:pPr>
      <w:r>
        <w:t>Alamai, adalah jenis zat/obat yang diambil langsung dai alam, tanpa ada proses fermentasi, contohnya : Ganja, Kokain dan lain-lain</w:t>
      </w:r>
    </w:p>
    <w:p w:rsidR="00CB0398" w:rsidRDefault="00CB0398" w:rsidP="00F24A9A">
      <w:pPr>
        <w:numPr>
          <w:ilvl w:val="0"/>
          <w:numId w:val="19"/>
        </w:numPr>
        <w:tabs>
          <w:tab w:val="clear" w:pos="720"/>
          <w:tab w:val="left" w:pos="1134"/>
        </w:tabs>
        <w:ind w:left="1134"/>
        <w:jc w:val="both"/>
      </w:pPr>
      <w:r>
        <w:t>Semi Sintesis, jenis zat/obat yang diproses sedemikian rupa melalui proses fermentasi, contohnya : morfein, heroin, kodein, crack dan lain-lain.</w:t>
      </w:r>
    </w:p>
    <w:p w:rsidR="00CB0398" w:rsidRDefault="00CB0398" w:rsidP="00F24A9A">
      <w:pPr>
        <w:numPr>
          <w:ilvl w:val="0"/>
          <w:numId w:val="19"/>
        </w:numPr>
        <w:tabs>
          <w:tab w:val="clear" w:pos="720"/>
          <w:tab w:val="left" w:pos="1134"/>
        </w:tabs>
        <w:ind w:left="1134"/>
        <w:jc w:val="both"/>
      </w:pPr>
      <w:r>
        <w:t xml:space="preserve">Sintesis, merupakan obat zat yang mulai dikembangkan sejak tahun 1930-an untuk keperluan medis dan penelitian digunakan sebagai penghilang rasa sakit </w:t>
      </w:r>
      <w:r>
        <w:rPr>
          <w:i/>
        </w:rPr>
        <w:t>(analgesic)</w:t>
      </w:r>
      <w:r>
        <w:t xml:space="preserve"> dan penekan batuk </w:t>
      </w:r>
      <w:r>
        <w:rPr>
          <w:i/>
        </w:rPr>
        <w:t>(antitusik)</w:t>
      </w:r>
      <w:r>
        <w:t xml:space="preserve"> seperti : </w:t>
      </w:r>
      <w:r>
        <w:rPr>
          <w:i/>
        </w:rPr>
        <w:t>amphetamine, deksamfitamin, pethadin, meperidin, metadon, dipopanon</w:t>
      </w:r>
      <w:r>
        <w:t>, dan lain-lain. Zat/obat sintesis juga dipakai oleh para dokter untuk terapi bagi para pecandu narkoba.</w:t>
      </w:r>
      <w:r>
        <w:rPr>
          <w:rStyle w:val="FootnoteReference"/>
        </w:rPr>
        <w:footnoteReference w:customMarkFollows="1" w:id="36"/>
        <w:t>33</w:t>
      </w:r>
    </w:p>
    <w:p w:rsidR="00CB0398" w:rsidRDefault="00CB0398" w:rsidP="00CB0398">
      <w:pPr>
        <w:ind w:left="709"/>
        <w:jc w:val="both"/>
      </w:pPr>
    </w:p>
    <w:p w:rsidR="00CB0398" w:rsidRDefault="00CB0398" w:rsidP="00CB0398">
      <w:pPr>
        <w:spacing w:line="480" w:lineRule="auto"/>
        <w:ind w:firstLine="720"/>
        <w:jc w:val="both"/>
      </w:pPr>
      <w:r>
        <w:t xml:space="preserve">Menurut pengaruh penggunaannya </w:t>
      </w:r>
      <w:r>
        <w:rPr>
          <w:i/>
        </w:rPr>
        <w:t>(effect),</w:t>
      </w:r>
      <w:r>
        <w:t xml:space="preserve"> akibat kelebihan dosis </w:t>
      </w:r>
      <w:r>
        <w:rPr>
          <w:i/>
        </w:rPr>
        <w:t>(overdosis)</w:t>
      </w:r>
      <w:r>
        <w:t xml:space="preserve"> dan gejala bebas pengaruhnya </w:t>
      </w:r>
      <w:r>
        <w:rPr>
          <w:i/>
        </w:rPr>
        <w:t>(Withdrawal Syndrome)</w:t>
      </w:r>
      <w:r>
        <w:t xml:space="preserve"> dan kalangan medis, obat- obatan yang sering disalahgunakan itu dibagi ke dalam 2 (dua) kelompok yaitu:</w:t>
      </w:r>
    </w:p>
    <w:p w:rsidR="00CB0398" w:rsidRDefault="00CB0398" w:rsidP="00F24A9A">
      <w:pPr>
        <w:numPr>
          <w:ilvl w:val="0"/>
          <w:numId w:val="20"/>
        </w:numPr>
        <w:tabs>
          <w:tab w:val="clear" w:pos="720"/>
          <w:tab w:val="left" w:pos="1134"/>
        </w:tabs>
        <w:ind w:left="1134"/>
        <w:jc w:val="both"/>
      </w:pPr>
      <w:r>
        <w:t>Kelompok Narkotika, pengaruhnya menimbulkan euphurina, rasa ngantuk berat, penciutan pupil mata, dan sesak napas. Kelebihan dosis akan mengakibatkan kejang – kejang, koma, napas lambat dan pendek-pendek. Gejala bebas pengaruhnya adalah gambapng marah, gemetaran, panik serta berkeringat, obatnya seperti : metadon, kodein, dan hidrimorfon.</w:t>
      </w:r>
    </w:p>
    <w:p w:rsidR="00CB0398" w:rsidRDefault="00CB0398" w:rsidP="00F24A9A">
      <w:pPr>
        <w:numPr>
          <w:ilvl w:val="0"/>
          <w:numId w:val="20"/>
        </w:numPr>
        <w:tabs>
          <w:tab w:val="clear" w:pos="720"/>
          <w:tab w:val="left" w:pos="1134"/>
        </w:tabs>
        <w:ind w:left="1134"/>
        <w:jc w:val="both"/>
      </w:pPr>
      <w:r>
        <w:t>Kelompok Depresent, adalah jenis obat yang brefungsi mengurangi aktivitas fungsional tubuh. Obat ini dapat membuat si pemakai merasa tenang dan bahkan membuatnya tertidur atau tidak sadarkan diri.</w:t>
      </w:r>
      <w:r>
        <w:rPr>
          <w:rStyle w:val="FootnoteReference"/>
        </w:rPr>
        <w:footnoteReference w:customMarkFollows="1" w:id="37"/>
        <w:t>35</w:t>
      </w:r>
    </w:p>
    <w:p w:rsidR="00CB0398" w:rsidRDefault="00CB0398" w:rsidP="00CB0398">
      <w:pPr>
        <w:ind w:left="720"/>
        <w:jc w:val="both"/>
      </w:pPr>
    </w:p>
    <w:p w:rsidR="00CB0398" w:rsidRDefault="00CB0398" w:rsidP="00CB0398">
      <w:pPr>
        <w:pStyle w:val="BodyTextIndent3"/>
        <w:ind w:left="0" w:firstLine="748"/>
        <w:rPr>
          <w:rFonts w:ascii="Times New Roman" w:hAnsi="Times New Roman"/>
          <w:snapToGrid w:val="0"/>
          <w:szCs w:val="24"/>
        </w:rPr>
      </w:pPr>
      <w:r>
        <w:rPr>
          <w:rFonts w:ascii="Times New Roman" w:hAnsi="Times New Roman"/>
          <w:snapToGrid w:val="0"/>
          <w:szCs w:val="24"/>
        </w:rPr>
        <w:t xml:space="preserve">Sejak tahun 1971 di Indonesia seolah-olah  terjadi perubahan yang mencolok dalam   lingkungan   sosial, terutama  di kota-kota besar, yakni akan  adanya  bahaya yang    mengancam    kehidupan masyarakat tentang penyalahgunaan  obat yang berguna untuk dunia kedokteran tersebut. Dengan adanya bahaya yang mengancam tersebut maka pemerintah membuat suatu </w:t>
      </w:r>
      <w:r>
        <w:rPr>
          <w:rFonts w:ascii="Times New Roman" w:hAnsi="Times New Roman"/>
          <w:snapToGrid w:val="0"/>
          <w:szCs w:val="24"/>
        </w:rPr>
        <w:lastRenderedPageBreak/>
        <w:t>kebijaksanaan, yaitu dengan mengeluarkan INPRES  No.6  Tahun   1971   yang sekaligus membentuk badan pelaksana inpres tersebut.</w:t>
      </w:r>
    </w:p>
    <w:p w:rsidR="00CB0398" w:rsidRDefault="00CB0398" w:rsidP="00CB0398">
      <w:pPr>
        <w:spacing w:line="480" w:lineRule="auto"/>
        <w:ind w:firstLine="720"/>
        <w:jc w:val="both"/>
        <w:rPr>
          <w:snapToGrid w:val="0"/>
        </w:rPr>
      </w:pPr>
      <w:r>
        <w:rPr>
          <w:snapToGrid w:val="0"/>
        </w:rPr>
        <w:t>Adapun  badan  tersebut disingkat  dengan  Bakolak (Badan Koordinasi Pelaksana) Inpres  No.  6 Tahun 1971  yang sasaran kegiatannya adalah  mengurangi  enam masalah nasional,   yaitu kenakalan remaja,   penyalahgunaan narkotika,   uang  palsu, penyelundupan, subversi   dan pengawasan orang asing.Kemudian pada tahun 1976 dikeluarkan suatu undang-undang yang  mengatur khusus untuk  narkotika,  yakni Undang-Undang No.9 Tahun 1976 dan dicabut serta diganti dengan  UU No. 22 Tahun 1997 Tentang  Narkotika kemudian dicabut dan diganti lagi dengan UU No. 35 Tahun 2009 tentang Narkotika.  Adapun alasan pertimbangan dikeluarkannya  undang-undang tersebut  adalah karena peraturan yang mengatur  tentang obat  bius dirasakan tidak memadai lagi karena  kemajuan zaman tekhnologi modern sekarang ini.</w:t>
      </w:r>
    </w:p>
    <w:p w:rsidR="00CB0398" w:rsidRDefault="00CB0398" w:rsidP="00CB0398">
      <w:pPr>
        <w:spacing w:line="480" w:lineRule="auto"/>
        <w:ind w:firstLine="720"/>
        <w:jc w:val="both"/>
        <w:rPr>
          <w:bCs/>
        </w:rPr>
      </w:pPr>
      <w:r>
        <w:rPr>
          <w:bCs/>
        </w:rPr>
        <w:t>Sesuai dengan pengertian Pasal 1 angka 1 Undang-Undang No.</w:t>
      </w:r>
      <w:r>
        <w:rPr>
          <w:snapToGrid w:val="0"/>
        </w:rPr>
        <w:t xml:space="preserve"> 35 Tahun 2009</w:t>
      </w:r>
      <w:r>
        <w:rPr>
          <w:bCs/>
        </w:rPr>
        <w:t>, bahwa yang dimaksud dengan narkotika adalah “</w:t>
      </w:r>
      <w:r>
        <w:t>adalah zat atau obat yang berasal dari tanaman atau bukan tanaman, baik sintetis maupun semisintetis, yang dapat menyebabkan penurunan atau perubahan kesadaran, hilangnya rasa, mengurangi sampai menghilangkan rasa nyeri, dan dapat menimbulkan ketergantungan, yang dibedakan ke dalam golongan-golongan sebagaimana terlampir dalam undang-undang ini</w:t>
      </w:r>
      <w:r>
        <w:rPr>
          <w:bCs/>
        </w:rPr>
        <w:t>”.</w:t>
      </w:r>
    </w:p>
    <w:p w:rsidR="00CB0398" w:rsidRDefault="00CB0398" w:rsidP="00CB0398">
      <w:pPr>
        <w:ind w:firstLine="720"/>
        <w:jc w:val="both"/>
        <w:rPr>
          <w:bCs/>
        </w:rPr>
      </w:pPr>
    </w:p>
    <w:p w:rsidR="00CB0398" w:rsidRDefault="00CB0398" w:rsidP="00F24A9A">
      <w:pPr>
        <w:pStyle w:val="BodyText"/>
        <w:numPr>
          <w:ilvl w:val="1"/>
          <w:numId w:val="16"/>
        </w:numPr>
        <w:spacing w:line="456" w:lineRule="auto"/>
        <w:ind w:left="360"/>
        <w:rPr>
          <w:rFonts w:ascii="Times New Roman" w:hAnsi="Times New Roman"/>
          <w:b/>
          <w:szCs w:val="24"/>
        </w:rPr>
      </w:pPr>
      <w:bookmarkStart w:id="18" w:name="_Hlk181052775"/>
      <w:r>
        <w:rPr>
          <w:rFonts w:ascii="Times New Roman" w:hAnsi="Times New Roman"/>
          <w:b/>
          <w:szCs w:val="24"/>
        </w:rPr>
        <w:t>Jenis-Jenis Narkotika</w:t>
      </w:r>
      <w:bookmarkEnd w:id="18"/>
    </w:p>
    <w:p w:rsidR="00CB0398" w:rsidRDefault="00CB0398" w:rsidP="00CB0398">
      <w:pPr>
        <w:pStyle w:val="BodyText"/>
        <w:spacing w:line="456" w:lineRule="auto"/>
        <w:ind w:firstLine="748"/>
        <w:rPr>
          <w:rFonts w:ascii="Times New Roman" w:hAnsi="Times New Roman"/>
          <w:szCs w:val="24"/>
        </w:rPr>
      </w:pPr>
      <w:r>
        <w:rPr>
          <w:rFonts w:ascii="Times New Roman" w:hAnsi="Times New Roman"/>
          <w:szCs w:val="24"/>
        </w:rPr>
        <w:t>Menurut  Pasal  5 ayat (1)  </w:t>
      </w:r>
      <w:r>
        <w:rPr>
          <w:rFonts w:ascii="Times New Roman" w:hAnsi="Times New Roman"/>
          <w:bCs/>
          <w:szCs w:val="24"/>
        </w:rPr>
        <w:t>Undang-Undang No.</w:t>
      </w:r>
      <w:r>
        <w:rPr>
          <w:rFonts w:ascii="Times New Roman" w:hAnsi="Times New Roman"/>
          <w:snapToGrid w:val="0"/>
          <w:szCs w:val="24"/>
        </w:rPr>
        <w:t xml:space="preserve"> 35 Tahun 2009 </w:t>
      </w:r>
      <w:r>
        <w:rPr>
          <w:rFonts w:ascii="Times New Roman" w:hAnsi="Times New Roman"/>
          <w:szCs w:val="24"/>
        </w:rPr>
        <w:t>narkotika digolongkan menjadi :</w:t>
      </w:r>
    </w:p>
    <w:p w:rsidR="00CB0398" w:rsidRDefault="00CB0398" w:rsidP="00F24A9A">
      <w:pPr>
        <w:numPr>
          <w:ilvl w:val="0"/>
          <w:numId w:val="21"/>
        </w:numPr>
        <w:tabs>
          <w:tab w:val="num" w:pos="360"/>
        </w:tabs>
        <w:autoSpaceDE w:val="0"/>
        <w:autoSpaceDN w:val="0"/>
        <w:adjustRightInd w:val="0"/>
        <w:spacing w:line="456" w:lineRule="auto"/>
        <w:ind w:left="360"/>
        <w:jc w:val="both"/>
      </w:pPr>
      <w:r>
        <w:lastRenderedPageBreak/>
        <w:t>Narkotika golongan I</w:t>
      </w:r>
    </w:p>
    <w:p w:rsidR="00CB0398" w:rsidRDefault="00CB0398" w:rsidP="00F24A9A">
      <w:pPr>
        <w:numPr>
          <w:ilvl w:val="0"/>
          <w:numId w:val="21"/>
        </w:numPr>
        <w:autoSpaceDE w:val="0"/>
        <w:autoSpaceDN w:val="0"/>
        <w:adjustRightInd w:val="0"/>
        <w:spacing w:line="456" w:lineRule="auto"/>
        <w:ind w:left="360"/>
        <w:jc w:val="both"/>
      </w:pPr>
      <w:r>
        <w:t>Narkotika golongan II</w:t>
      </w:r>
    </w:p>
    <w:p w:rsidR="00CB0398" w:rsidRDefault="00CB0398" w:rsidP="00F24A9A">
      <w:pPr>
        <w:numPr>
          <w:ilvl w:val="0"/>
          <w:numId w:val="21"/>
        </w:numPr>
        <w:autoSpaceDE w:val="0"/>
        <w:autoSpaceDN w:val="0"/>
        <w:adjustRightInd w:val="0"/>
        <w:spacing w:line="456" w:lineRule="auto"/>
        <w:ind w:left="360"/>
        <w:jc w:val="both"/>
      </w:pPr>
      <w:r>
        <w:t>Narkotika golongan III.</w:t>
      </w:r>
    </w:p>
    <w:p w:rsidR="00CB0398" w:rsidRDefault="00CB0398" w:rsidP="00CB0398">
      <w:pPr>
        <w:pStyle w:val="BodyTextIndent3"/>
        <w:autoSpaceDE w:val="0"/>
        <w:autoSpaceDN w:val="0"/>
        <w:adjustRightInd w:val="0"/>
        <w:ind w:left="0" w:firstLine="748"/>
        <w:rPr>
          <w:rFonts w:ascii="Times New Roman" w:hAnsi="Times New Roman"/>
          <w:szCs w:val="24"/>
        </w:rPr>
      </w:pPr>
      <w:r>
        <w:rPr>
          <w:rFonts w:ascii="Times New Roman" w:hAnsi="Times New Roman"/>
          <w:szCs w:val="24"/>
        </w:rPr>
        <w:t>Narkotika golongan I  adalah yang hanya  dapat digunakan untuk  tujuan  pengembangan ilmu pengetahuan dan tidak digunakan dalam terapi, serta mempunyai potensi   sangat    tinggi    mengakibatkan ketergantungan.</w:t>
      </w:r>
    </w:p>
    <w:p w:rsidR="00CB0398" w:rsidRDefault="00CB0398" w:rsidP="00CB0398">
      <w:pPr>
        <w:pStyle w:val="BodyTextIndent3"/>
        <w:autoSpaceDE w:val="0"/>
        <w:autoSpaceDN w:val="0"/>
        <w:adjustRightInd w:val="0"/>
        <w:ind w:left="0" w:firstLine="748"/>
        <w:rPr>
          <w:rFonts w:ascii="Times New Roman" w:hAnsi="Times New Roman"/>
          <w:szCs w:val="24"/>
        </w:rPr>
      </w:pPr>
      <w:r>
        <w:rPr>
          <w:rFonts w:ascii="Times New Roman" w:hAnsi="Times New Roman"/>
          <w:szCs w:val="24"/>
        </w:rPr>
        <w:t>Narkotika golongan II adalah narkotika yang berkhasiat  di dalam pengobatan yang  digunakan  sebagai pilihan  terakhir  dan dapat digunakan dalam terapi atau untuk tujuan pengembangan ilmu pengetahuan serta mempunyai potensi tinggi mengakibatkan ketergantungan.</w:t>
      </w:r>
    </w:p>
    <w:p w:rsidR="00CB0398" w:rsidRDefault="00CB0398" w:rsidP="00CB0398">
      <w:pPr>
        <w:pStyle w:val="BodyTextIndent3"/>
        <w:autoSpaceDE w:val="0"/>
        <w:autoSpaceDN w:val="0"/>
        <w:adjustRightInd w:val="0"/>
        <w:ind w:left="0" w:firstLine="748"/>
        <w:rPr>
          <w:rFonts w:ascii="Times New Roman" w:hAnsi="Times New Roman"/>
          <w:szCs w:val="24"/>
        </w:rPr>
      </w:pPr>
      <w:r>
        <w:rPr>
          <w:rFonts w:ascii="Times New Roman" w:hAnsi="Times New Roman"/>
          <w:szCs w:val="24"/>
        </w:rPr>
        <w:t>Narkotika  golongan  III  adalah  narkotika   yang berkhasiat pengobatan dan banyak digunakan dalam  terapi dan/atau  untuk tujuan pengembangan  ilmu pengetahuan serta    mempunyai potensi    ringan mengakibatkan ketergantungan.</w:t>
      </w:r>
    </w:p>
    <w:p w:rsidR="00CB0398" w:rsidRDefault="00CB0398" w:rsidP="00CB0398">
      <w:pPr>
        <w:pStyle w:val="BodyTextIndent3"/>
        <w:autoSpaceDE w:val="0"/>
        <w:autoSpaceDN w:val="0"/>
        <w:adjustRightInd w:val="0"/>
        <w:ind w:left="0" w:firstLine="748"/>
        <w:rPr>
          <w:rFonts w:ascii="Times New Roman" w:hAnsi="Times New Roman"/>
          <w:szCs w:val="24"/>
        </w:rPr>
      </w:pPr>
      <w:r>
        <w:rPr>
          <w:rFonts w:ascii="Times New Roman" w:hAnsi="Times New Roman"/>
          <w:szCs w:val="24"/>
        </w:rPr>
        <w:t xml:space="preserve">Dalam  lampiran </w:t>
      </w:r>
      <w:r>
        <w:rPr>
          <w:rFonts w:ascii="Times New Roman" w:hAnsi="Times New Roman"/>
          <w:bCs/>
          <w:szCs w:val="24"/>
        </w:rPr>
        <w:t>Undang-Undang No.</w:t>
      </w:r>
      <w:r>
        <w:rPr>
          <w:rFonts w:ascii="Times New Roman" w:hAnsi="Times New Roman"/>
          <w:snapToGrid w:val="0"/>
          <w:szCs w:val="24"/>
        </w:rPr>
        <w:t xml:space="preserve"> 35 Tahun 2009 </w:t>
      </w:r>
      <w:r>
        <w:rPr>
          <w:rFonts w:ascii="Times New Roman" w:hAnsi="Times New Roman"/>
          <w:szCs w:val="24"/>
        </w:rPr>
        <w:t>bahan pokok narkotika golongan I terdiri  dari  antara lain :</w:t>
      </w:r>
    </w:p>
    <w:p w:rsidR="00CB0398" w:rsidRDefault="00CB0398" w:rsidP="00F24A9A">
      <w:pPr>
        <w:numPr>
          <w:ilvl w:val="0"/>
          <w:numId w:val="22"/>
        </w:numPr>
        <w:tabs>
          <w:tab w:val="num" w:pos="360"/>
        </w:tabs>
        <w:autoSpaceDE w:val="0"/>
        <w:autoSpaceDN w:val="0"/>
        <w:adjustRightInd w:val="0"/>
        <w:spacing w:line="480" w:lineRule="auto"/>
        <w:ind w:left="360"/>
        <w:jc w:val="both"/>
      </w:pPr>
      <w:r>
        <w:t>Tanaman  papaver dan semua bagian-bagiannya  termasuk buah  dan jeraminya kecuali bijinya.</w:t>
      </w:r>
    </w:p>
    <w:p w:rsidR="00CB0398" w:rsidRDefault="00CB0398" w:rsidP="00F24A9A">
      <w:pPr>
        <w:numPr>
          <w:ilvl w:val="0"/>
          <w:numId w:val="22"/>
        </w:numPr>
        <w:tabs>
          <w:tab w:val="num" w:pos="-916"/>
        </w:tabs>
        <w:autoSpaceDE w:val="0"/>
        <w:autoSpaceDN w:val="0"/>
        <w:adjustRightInd w:val="0"/>
        <w:spacing w:line="480" w:lineRule="auto"/>
        <w:ind w:left="360"/>
        <w:jc w:val="both"/>
      </w:pPr>
      <w:r>
        <w:rPr>
          <w:i/>
        </w:rPr>
        <w:t>Opium</w:t>
      </w:r>
      <w:r>
        <w:t xml:space="preserve">  mentah  yaitu  getah  yang  membeku   sendiri, diperoleh dari buah tanaman </w:t>
      </w:r>
      <w:r>
        <w:rPr>
          <w:i/>
        </w:rPr>
        <w:t>Papaver Somniferum L</w:t>
      </w:r>
      <w:r>
        <w:t xml:space="preserve"> yang hanya  mengalami pengolahan sekedar untuk  pembungkus dan pengangkutan tanpa memperhatikan kadar morfinnya.</w:t>
      </w:r>
    </w:p>
    <w:p w:rsidR="00CB0398" w:rsidRDefault="00CB0398" w:rsidP="00F24A9A">
      <w:pPr>
        <w:numPr>
          <w:ilvl w:val="0"/>
          <w:numId w:val="22"/>
        </w:numPr>
        <w:tabs>
          <w:tab w:val="num" w:pos="-916"/>
        </w:tabs>
        <w:autoSpaceDE w:val="0"/>
        <w:autoSpaceDN w:val="0"/>
        <w:adjustRightInd w:val="0"/>
        <w:spacing w:line="480" w:lineRule="auto"/>
        <w:ind w:left="360"/>
        <w:jc w:val="both"/>
      </w:pPr>
      <w:r>
        <w:rPr>
          <w:i/>
        </w:rPr>
        <w:t>Opium</w:t>
      </w:r>
      <w:r>
        <w:t xml:space="preserve">  masak terdiri dari :</w:t>
      </w:r>
    </w:p>
    <w:p w:rsidR="00CB0398" w:rsidRDefault="00CB0398" w:rsidP="00F24A9A">
      <w:pPr>
        <w:numPr>
          <w:ilvl w:val="1"/>
          <w:numId w:val="22"/>
        </w:numPr>
        <w:tabs>
          <w:tab w:val="num" w:pos="720"/>
        </w:tabs>
        <w:autoSpaceDE w:val="0"/>
        <w:autoSpaceDN w:val="0"/>
        <w:adjustRightInd w:val="0"/>
        <w:spacing w:line="480" w:lineRule="auto"/>
        <w:ind w:left="720"/>
        <w:jc w:val="both"/>
      </w:pPr>
      <w:r>
        <w:t>Candu,  hasil  yang diperoleh  dari  </w:t>
      </w:r>
      <w:r>
        <w:rPr>
          <w:i/>
        </w:rPr>
        <w:t>opium</w:t>
      </w:r>
      <w:r>
        <w:t xml:space="preserve">  mentah melalui suatu rentetan pengolahan khususnya dengan pelarutan, pemanasan,  dan  peragian </w:t>
      </w:r>
      <w:r>
        <w:lastRenderedPageBreak/>
        <w:t> dengan atau penambahan  bahan-bahan   lain   dengan    maksud mengubahkan menjadi suatu ekstrak yang cocok untuk pemadatan.</w:t>
      </w:r>
    </w:p>
    <w:p w:rsidR="00CB0398" w:rsidRDefault="00CB0398" w:rsidP="00F24A9A">
      <w:pPr>
        <w:numPr>
          <w:ilvl w:val="1"/>
          <w:numId w:val="22"/>
        </w:numPr>
        <w:tabs>
          <w:tab w:val="num" w:pos="-556"/>
        </w:tabs>
        <w:autoSpaceDE w:val="0"/>
        <w:autoSpaceDN w:val="0"/>
        <w:adjustRightInd w:val="0"/>
        <w:spacing w:line="480" w:lineRule="auto"/>
        <w:ind w:left="720"/>
        <w:jc w:val="both"/>
      </w:pPr>
      <w:r>
        <w:rPr>
          <w:i/>
        </w:rPr>
        <w:t>Jicing</w:t>
      </w:r>
      <w:r>
        <w:t>,  sisa-sisa  dari  candu  setelah  dihisap, tanpa memperhatikan  apakah candu  itu  dicampur dengan daun atau bahan lain.</w:t>
      </w:r>
    </w:p>
    <w:p w:rsidR="00CB0398" w:rsidRDefault="00CB0398" w:rsidP="00F24A9A">
      <w:pPr>
        <w:numPr>
          <w:ilvl w:val="1"/>
          <w:numId w:val="22"/>
        </w:numPr>
        <w:tabs>
          <w:tab w:val="num" w:pos="-556"/>
        </w:tabs>
        <w:autoSpaceDE w:val="0"/>
        <w:autoSpaceDN w:val="0"/>
        <w:adjustRightInd w:val="0"/>
        <w:spacing w:line="480" w:lineRule="auto"/>
        <w:ind w:left="720"/>
        <w:jc w:val="both"/>
      </w:pPr>
      <w:r>
        <w:rPr>
          <w:i/>
        </w:rPr>
        <w:t>Jicingko,</w:t>
      </w:r>
      <w:r>
        <w:t xml:space="preserve">  hasil  yang diperoleh  dari  pengolahan jicing.</w:t>
      </w:r>
    </w:p>
    <w:p w:rsidR="00CB0398" w:rsidRDefault="00CB0398" w:rsidP="00F24A9A">
      <w:pPr>
        <w:numPr>
          <w:ilvl w:val="0"/>
          <w:numId w:val="22"/>
        </w:numPr>
        <w:tabs>
          <w:tab w:val="num" w:pos="-916"/>
        </w:tabs>
        <w:autoSpaceDE w:val="0"/>
        <w:autoSpaceDN w:val="0"/>
        <w:adjustRightInd w:val="0"/>
        <w:spacing w:line="480" w:lineRule="auto"/>
        <w:ind w:left="360"/>
        <w:jc w:val="both"/>
      </w:pPr>
      <w:r>
        <w:t>Tanaman  koka, tanaman dari semua  genus  </w:t>
      </w:r>
      <w:r>
        <w:rPr>
          <w:i/>
          <w:iCs/>
        </w:rPr>
        <w:t xml:space="preserve">Erythoxlyon </w:t>
      </w:r>
      <w:r>
        <w:t xml:space="preserve">dari keluarga daun  </w:t>
      </w:r>
      <w:r>
        <w:rPr>
          <w:i/>
          <w:iCs/>
        </w:rPr>
        <w:t>Erythroxlaceae</w:t>
      </w:r>
      <w:r>
        <w:t xml:space="preserve"> termasuk buah  dan bijinya. </w:t>
      </w:r>
    </w:p>
    <w:p w:rsidR="00CB0398" w:rsidRDefault="00CB0398" w:rsidP="00F24A9A">
      <w:pPr>
        <w:numPr>
          <w:ilvl w:val="0"/>
          <w:numId w:val="22"/>
        </w:numPr>
        <w:tabs>
          <w:tab w:val="num" w:pos="-916"/>
        </w:tabs>
        <w:autoSpaceDE w:val="0"/>
        <w:autoSpaceDN w:val="0"/>
        <w:adjustRightInd w:val="0"/>
        <w:spacing w:line="480" w:lineRule="auto"/>
        <w:ind w:left="360"/>
        <w:jc w:val="both"/>
      </w:pPr>
      <w:r>
        <w:t>Daun koka, daun yang belum atau sudah dikeringkn atau dalam bentuk serbuk dari  semua   tanaman   </w:t>
      </w:r>
      <w:r>
        <w:rPr>
          <w:i/>
        </w:rPr>
        <w:t>genus Erythoxlyon</w:t>
      </w:r>
      <w:r>
        <w:t xml:space="preserve">   dari keluarga </w:t>
      </w:r>
      <w:r>
        <w:rPr>
          <w:i/>
          <w:iCs/>
        </w:rPr>
        <w:t>Erytrhoxylaceae   </w:t>
      </w:r>
      <w:r>
        <w:t>yang menghasilkan  kokain  secara langsung atau  melalui perubahan kimia.</w:t>
      </w:r>
    </w:p>
    <w:p w:rsidR="00CB0398" w:rsidRDefault="00CB0398" w:rsidP="00F24A9A">
      <w:pPr>
        <w:numPr>
          <w:ilvl w:val="0"/>
          <w:numId w:val="22"/>
        </w:numPr>
        <w:tabs>
          <w:tab w:val="num" w:pos="-916"/>
        </w:tabs>
        <w:autoSpaceDE w:val="0"/>
        <w:autoSpaceDN w:val="0"/>
        <w:adjustRightInd w:val="0"/>
        <w:spacing w:line="480" w:lineRule="auto"/>
        <w:ind w:left="360"/>
        <w:jc w:val="both"/>
      </w:pPr>
      <w:r>
        <w:t>Kokain  mentah, semua hasil-hasil yang diperoleh  dari daun koka yang dapat diolah secara  langsung  untuk mendapatkan kokaina.</w:t>
      </w:r>
    </w:p>
    <w:p w:rsidR="00CB0398" w:rsidRDefault="00CB0398" w:rsidP="00F24A9A">
      <w:pPr>
        <w:numPr>
          <w:ilvl w:val="0"/>
          <w:numId w:val="22"/>
        </w:numPr>
        <w:tabs>
          <w:tab w:val="num" w:pos="-916"/>
        </w:tabs>
        <w:autoSpaceDE w:val="0"/>
        <w:autoSpaceDN w:val="0"/>
        <w:adjustRightInd w:val="0"/>
        <w:spacing w:line="480" w:lineRule="auto"/>
        <w:ind w:left="360"/>
        <w:jc w:val="both"/>
      </w:pPr>
      <w:r>
        <w:rPr>
          <w:i/>
        </w:rPr>
        <w:t>Kokaina, metil seter-I bensoil ekgonina</w:t>
      </w:r>
      <w:r>
        <w:t>.</w:t>
      </w:r>
    </w:p>
    <w:p w:rsidR="00CB0398" w:rsidRDefault="00CB0398" w:rsidP="00F24A9A">
      <w:pPr>
        <w:numPr>
          <w:ilvl w:val="0"/>
          <w:numId w:val="22"/>
        </w:numPr>
        <w:tabs>
          <w:tab w:val="num" w:pos="-916"/>
        </w:tabs>
        <w:autoSpaceDE w:val="0"/>
        <w:autoSpaceDN w:val="0"/>
        <w:adjustRightInd w:val="0"/>
        <w:spacing w:line="480" w:lineRule="auto"/>
        <w:ind w:left="360"/>
        <w:jc w:val="both"/>
      </w:pPr>
      <w:r>
        <w:t xml:space="preserve">Tanaman ganja, semua tanaman </w:t>
      </w:r>
      <w:r>
        <w:rPr>
          <w:i/>
        </w:rPr>
        <w:t>genus cannabis</w:t>
      </w:r>
      <w:r>
        <w:t xml:space="preserve"> dan semua bagian dari tanaman termasuk biji, buah jerami,  hasil olahan tanaman  ganja  atau  bagian  tanaman ganja termasuk damar ganja dan hasis.</w:t>
      </w:r>
    </w:p>
    <w:p w:rsidR="00CB0398" w:rsidRDefault="00CB0398" w:rsidP="00CB0398">
      <w:pPr>
        <w:pStyle w:val="BodyTextIndent3"/>
        <w:autoSpaceDE w:val="0"/>
        <w:autoSpaceDN w:val="0"/>
        <w:adjustRightInd w:val="0"/>
        <w:spacing w:line="456" w:lineRule="auto"/>
        <w:ind w:left="0" w:firstLine="748"/>
        <w:rPr>
          <w:rFonts w:ascii="Times New Roman" w:hAnsi="Times New Roman"/>
          <w:szCs w:val="24"/>
        </w:rPr>
      </w:pPr>
      <w:r>
        <w:rPr>
          <w:rFonts w:ascii="Times New Roman" w:hAnsi="Times New Roman"/>
          <w:szCs w:val="24"/>
        </w:rPr>
        <w:t>Sedangkan yang termasuk narkotika golongan II adalah :</w:t>
      </w:r>
    </w:p>
    <w:p w:rsidR="00CB0398" w:rsidRDefault="00CB0398" w:rsidP="00F24A9A">
      <w:pPr>
        <w:pStyle w:val="BodyTextIndent3"/>
        <w:numPr>
          <w:ilvl w:val="0"/>
          <w:numId w:val="23"/>
        </w:numPr>
        <w:tabs>
          <w:tab w:val="clear" w:pos="930"/>
          <w:tab w:val="left" w:pos="374"/>
          <w:tab w:val="left" w:pos="1134"/>
        </w:tabs>
        <w:autoSpaceDE w:val="0"/>
        <w:autoSpaceDN w:val="0"/>
        <w:adjustRightInd w:val="0"/>
        <w:ind w:left="425" w:hanging="425"/>
        <w:rPr>
          <w:rFonts w:ascii="Times New Roman" w:hAnsi="Times New Roman"/>
          <w:szCs w:val="24"/>
        </w:rPr>
      </w:pPr>
      <w:r>
        <w:rPr>
          <w:rFonts w:ascii="Times New Roman" w:hAnsi="Times New Roman"/>
          <w:i/>
          <w:szCs w:val="24"/>
        </w:rPr>
        <w:t>Alfasetilmetadol : Alfa 3-asetoksi-6-dimetil amino-4, 4 difenilheptana</w:t>
      </w:r>
      <w:r>
        <w:rPr>
          <w:rFonts w:ascii="Times New Roman" w:hAnsi="Times New Roman"/>
          <w:szCs w:val="24"/>
        </w:rPr>
        <w:t>.</w:t>
      </w:r>
    </w:p>
    <w:p w:rsidR="00CB0398" w:rsidRDefault="00CB0398" w:rsidP="00F24A9A">
      <w:pPr>
        <w:pStyle w:val="BodyTextIndent3"/>
        <w:numPr>
          <w:ilvl w:val="0"/>
          <w:numId w:val="23"/>
        </w:numPr>
        <w:tabs>
          <w:tab w:val="clear" w:pos="930"/>
          <w:tab w:val="left" w:pos="374"/>
          <w:tab w:val="left" w:pos="1134"/>
        </w:tabs>
        <w:autoSpaceDE w:val="0"/>
        <w:autoSpaceDN w:val="0"/>
        <w:adjustRightInd w:val="0"/>
        <w:ind w:left="425" w:hanging="425"/>
        <w:rPr>
          <w:rFonts w:ascii="Times New Roman" w:hAnsi="Times New Roman"/>
          <w:szCs w:val="24"/>
        </w:rPr>
      </w:pPr>
      <w:r>
        <w:rPr>
          <w:rFonts w:ascii="Times New Roman" w:hAnsi="Times New Roman"/>
          <w:i/>
          <w:szCs w:val="24"/>
        </w:rPr>
        <w:t>Alfameprodina : alfa-3-etil-1-metil-4-fenil-4-propionoksiperidina</w:t>
      </w:r>
      <w:r>
        <w:rPr>
          <w:rFonts w:ascii="Times New Roman" w:hAnsi="Times New Roman"/>
          <w:szCs w:val="24"/>
        </w:rPr>
        <w:t>.</w:t>
      </w:r>
    </w:p>
    <w:p w:rsidR="00CB0398" w:rsidRDefault="00CB0398" w:rsidP="00F24A9A">
      <w:pPr>
        <w:pStyle w:val="BodyTextIndent3"/>
        <w:numPr>
          <w:ilvl w:val="0"/>
          <w:numId w:val="23"/>
        </w:numPr>
        <w:tabs>
          <w:tab w:val="clear" w:pos="930"/>
          <w:tab w:val="left" w:pos="374"/>
          <w:tab w:val="left" w:pos="1134"/>
        </w:tabs>
        <w:autoSpaceDE w:val="0"/>
        <w:autoSpaceDN w:val="0"/>
        <w:adjustRightInd w:val="0"/>
        <w:ind w:left="425" w:hanging="425"/>
        <w:rPr>
          <w:rFonts w:ascii="Times New Roman" w:hAnsi="Times New Roman"/>
          <w:szCs w:val="24"/>
        </w:rPr>
      </w:pPr>
      <w:r>
        <w:rPr>
          <w:rFonts w:ascii="Times New Roman" w:hAnsi="Times New Roman"/>
          <w:i/>
          <w:szCs w:val="24"/>
        </w:rPr>
        <w:t>Alfametadol : alfa 6-dimetilamino-4,4-difenil-3-heptanol</w:t>
      </w:r>
      <w:r>
        <w:rPr>
          <w:rFonts w:ascii="Times New Roman" w:hAnsi="Times New Roman"/>
          <w:szCs w:val="24"/>
        </w:rPr>
        <w:t>.</w:t>
      </w:r>
    </w:p>
    <w:p w:rsidR="00CB0398" w:rsidRDefault="00CB0398" w:rsidP="00CB0398">
      <w:pPr>
        <w:pStyle w:val="BodyTextIndent3"/>
        <w:tabs>
          <w:tab w:val="left" w:pos="1134"/>
        </w:tabs>
        <w:autoSpaceDE w:val="0"/>
        <w:autoSpaceDN w:val="0"/>
        <w:adjustRightInd w:val="0"/>
        <w:ind w:left="1134" w:hanging="425"/>
        <w:rPr>
          <w:rFonts w:ascii="Times New Roman" w:hAnsi="Times New Roman"/>
          <w:szCs w:val="24"/>
        </w:rPr>
      </w:pPr>
      <w:r>
        <w:rPr>
          <w:rFonts w:ascii="Times New Roman" w:hAnsi="Times New Roman"/>
          <w:szCs w:val="24"/>
        </w:rPr>
        <w:t>Selanjutnya narkotika golongan III terdiri dari :</w:t>
      </w:r>
    </w:p>
    <w:p w:rsidR="00CB0398" w:rsidRDefault="00CB0398" w:rsidP="00F24A9A">
      <w:pPr>
        <w:pStyle w:val="BodyTextIndent3"/>
        <w:numPr>
          <w:ilvl w:val="0"/>
          <w:numId w:val="24"/>
        </w:numPr>
        <w:tabs>
          <w:tab w:val="clear" w:pos="720"/>
          <w:tab w:val="num" w:pos="360"/>
          <w:tab w:val="left" w:pos="1134"/>
          <w:tab w:val="left" w:pos="1276"/>
          <w:tab w:val="left" w:pos="1560"/>
          <w:tab w:val="left" w:pos="1701"/>
        </w:tabs>
        <w:autoSpaceDE w:val="0"/>
        <w:autoSpaceDN w:val="0"/>
        <w:adjustRightInd w:val="0"/>
        <w:ind w:left="360"/>
        <w:rPr>
          <w:rFonts w:ascii="Times New Roman" w:hAnsi="Times New Roman"/>
          <w:szCs w:val="24"/>
        </w:rPr>
      </w:pPr>
      <w:r>
        <w:rPr>
          <w:rFonts w:ascii="Times New Roman" w:hAnsi="Times New Roman"/>
          <w:i/>
          <w:szCs w:val="24"/>
        </w:rPr>
        <w:t>Asetildihidrokedima</w:t>
      </w:r>
      <w:r>
        <w:rPr>
          <w:rFonts w:ascii="Times New Roman" w:hAnsi="Times New Roman"/>
          <w:szCs w:val="24"/>
        </w:rPr>
        <w:t>.</w:t>
      </w:r>
    </w:p>
    <w:p w:rsidR="00CB0398" w:rsidRDefault="00CB0398" w:rsidP="00F24A9A">
      <w:pPr>
        <w:pStyle w:val="BodyTextIndent3"/>
        <w:numPr>
          <w:ilvl w:val="0"/>
          <w:numId w:val="24"/>
        </w:numPr>
        <w:tabs>
          <w:tab w:val="clear" w:pos="720"/>
          <w:tab w:val="num" w:pos="360"/>
          <w:tab w:val="left" w:pos="1134"/>
          <w:tab w:val="left" w:pos="1276"/>
          <w:tab w:val="left" w:pos="1560"/>
          <w:tab w:val="left" w:pos="1701"/>
        </w:tabs>
        <w:autoSpaceDE w:val="0"/>
        <w:autoSpaceDN w:val="0"/>
        <w:adjustRightInd w:val="0"/>
        <w:ind w:left="360"/>
        <w:rPr>
          <w:rFonts w:ascii="Times New Roman" w:hAnsi="Times New Roman"/>
          <w:szCs w:val="24"/>
        </w:rPr>
      </w:pPr>
      <w:r>
        <w:rPr>
          <w:rFonts w:ascii="Times New Roman" w:hAnsi="Times New Roman"/>
          <w:i/>
          <w:szCs w:val="24"/>
        </w:rPr>
        <w:t>Deksropropoksifena</w:t>
      </w:r>
      <w:r>
        <w:rPr>
          <w:rFonts w:ascii="Times New Roman" w:hAnsi="Times New Roman"/>
          <w:szCs w:val="24"/>
        </w:rPr>
        <w:t xml:space="preserve">. </w:t>
      </w:r>
    </w:p>
    <w:p w:rsidR="00CB0398" w:rsidRDefault="00CB0398" w:rsidP="00F24A9A">
      <w:pPr>
        <w:pStyle w:val="BodyTextIndent3"/>
        <w:numPr>
          <w:ilvl w:val="0"/>
          <w:numId w:val="24"/>
        </w:numPr>
        <w:tabs>
          <w:tab w:val="clear" w:pos="720"/>
          <w:tab w:val="num" w:pos="360"/>
          <w:tab w:val="left" w:pos="1134"/>
          <w:tab w:val="left" w:pos="1276"/>
          <w:tab w:val="left" w:pos="1560"/>
          <w:tab w:val="left" w:pos="1701"/>
        </w:tabs>
        <w:autoSpaceDE w:val="0"/>
        <w:autoSpaceDN w:val="0"/>
        <w:adjustRightInd w:val="0"/>
        <w:ind w:left="360"/>
        <w:rPr>
          <w:rFonts w:ascii="Times New Roman" w:hAnsi="Times New Roman"/>
          <w:szCs w:val="24"/>
        </w:rPr>
      </w:pPr>
      <w:r>
        <w:rPr>
          <w:rFonts w:ascii="Times New Roman" w:hAnsi="Times New Roman"/>
          <w:i/>
          <w:szCs w:val="24"/>
        </w:rPr>
        <w:lastRenderedPageBreak/>
        <w:t>Dihidrokodeina</w:t>
      </w:r>
      <w:r>
        <w:rPr>
          <w:rFonts w:ascii="Times New Roman" w:hAnsi="Times New Roman"/>
          <w:szCs w:val="24"/>
        </w:rPr>
        <w:t>.</w:t>
      </w:r>
    </w:p>
    <w:p w:rsidR="00CB0398" w:rsidRDefault="00CB0398" w:rsidP="00F24A9A">
      <w:pPr>
        <w:pStyle w:val="BodyTextIndent3"/>
        <w:numPr>
          <w:ilvl w:val="0"/>
          <w:numId w:val="24"/>
        </w:numPr>
        <w:tabs>
          <w:tab w:val="clear" w:pos="720"/>
          <w:tab w:val="num" w:pos="360"/>
          <w:tab w:val="left" w:pos="1134"/>
          <w:tab w:val="left" w:pos="1276"/>
          <w:tab w:val="left" w:pos="1560"/>
          <w:tab w:val="left" w:pos="1701"/>
        </w:tabs>
        <w:autoSpaceDE w:val="0"/>
        <w:autoSpaceDN w:val="0"/>
        <w:adjustRightInd w:val="0"/>
        <w:ind w:left="360"/>
        <w:rPr>
          <w:rFonts w:ascii="Times New Roman" w:hAnsi="Times New Roman"/>
          <w:szCs w:val="24"/>
        </w:rPr>
      </w:pPr>
      <w:r>
        <w:rPr>
          <w:rFonts w:ascii="Times New Roman" w:hAnsi="Times New Roman"/>
          <w:i/>
          <w:szCs w:val="24"/>
        </w:rPr>
        <w:t>Etilmorfina</w:t>
      </w:r>
      <w:r>
        <w:rPr>
          <w:rFonts w:ascii="Times New Roman" w:hAnsi="Times New Roman"/>
          <w:szCs w:val="24"/>
        </w:rPr>
        <w:t>.</w:t>
      </w:r>
    </w:p>
    <w:p w:rsidR="00CB0398" w:rsidRDefault="00CB0398" w:rsidP="00F24A9A">
      <w:pPr>
        <w:pStyle w:val="BodyTextIndent3"/>
        <w:numPr>
          <w:ilvl w:val="0"/>
          <w:numId w:val="24"/>
        </w:numPr>
        <w:tabs>
          <w:tab w:val="clear" w:pos="720"/>
          <w:tab w:val="num" w:pos="360"/>
          <w:tab w:val="left" w:pos="1134"/>
          <w:tab w:val="left" w:pos="1276"/>
          <w:tab w:val="left" w:pos="1560"/>
          <w:tab w:val="left" w:pos="1701"/>
        </w:tabs>
        <w:autoSpaceDE w:val="0"/>
        <w:autoSpaceDN w:val="0"/>
        <w:adjustRightInd w:val="0"/>
        <w:ind w:left="360"/>
        <w:rPr>
          <w:rFonts w:ascii="Times New Roman" w:hAnsi="Times New Roman"/>
          <w:szCs w:val="24"/>
        </w:rPr>
      </w:pPr>
      <w:r>
        <w:rPr>
          <w:rFonts w:ascii="Times New Roman" w:hAnsi="Times New Roman"/>
          <w:i/>
          <w:szCs w:val="24"/>
        </w:rPr>
        <w:t>Kodeina</w:t>
      </w:r>
      <w:r>
        <w:rPr>
          <w:rFonts w:ascii="Times New Roman" w:hAnsi="Times New Roman"/>
          <w:szCs w:val="24"/>
        </w:rPr>
        <w:t>.</w:t>
      </w:r>
    </w:p>
    <w:p w:rsidR="00CB0398" w:rsidRDefault="00CB0398" w:rsidP="00F24A9A">
      <w:pPr>
        <w:pStyle w:val="BodyTextIndent3"/>
        <w:numPr>
          <w:ilvl w:val="0"/>
          <w:numId w:val="24"/>
        </w:numPr>
        <w:tabs>
          <w:tab w:val="clear" w:pos="720"/>
          <w:tab w:val="num" w:pos="360"/>
          <w:tab w:val="left" w:pos="1134"/>
          <w:tab w:val="left" w:pos="1276"/>
          <w:tab w:val="left" w:pos="1560"/>
          <w:tab w:val="left" w:pos="1701"/>
        </w:tabs>
        <w:autoSpaceDE w:val="0"/>
        <w:autoSpaceDN w:val="0"/>
        <w:adjustRightInd w:val="0"/>
        <w:ind w:left="360"/>
        <w:rPr>
          <w:rFonts w:ascii="Times New Roman" w:hAnsi="Times New Roman"/>
          <w:szCs w:val="24"/>
        </w:rPr>
      </w:pPr>
      <w:r>
        <w:rPr>
          <w:rFonts w:ascii="Times New Roman" w:hAnsi="Times New Roman"/>
          <w:i/>
          <w:szCs w:val="24"/>
        </w:rPr>
        <w:t>Nikodikodina</w:t>
      </w:r>
      <w:r>
        <w:rPr>
          <w:rFonts w:ascii="Times New Roman" w:hAnsi="Times New Roman"/>
          <w:szCs w:val="24"/>
        </w:rPr>
        <w:t>.</w:t>
      </w:r>
    </w:p>
    <w:p w:rsidR="00CB0398" w:rsidRDefault="00CB0398" w:rsidP="00F24A9A">
      <w:pPr>
        <w:pStyle w:val="BodyTextIndent3"/>
        <w:numPr>
          <w:ilvl w:val="0"/>
          <w:numId w:val="24"/>
        </w:numPr>
        <w:tabs>
          <w:tab w:val="clear" w:pos="720"/>
          <w:tab w:val="num" w:pos="360"/>
          <w:tab w:val="left" w:pos="1134"/>
          <w:tab w:val="left" w:pos="1276"/>
          <w:tab w:val="left" w:pos="1560"/>
          <w:tab w:val="left" w:pos="1701"/>
        </w:tabs>
        <w:autoSpaceDE w:val="0"/>
        <w:autoSpaceDN w:val="0"/>
        <w:adjustRightInd w:val="0"/>
        <w:ind w:left="360"/>
        <w:rPr>
          <w:rFonts w:ascii="Times New Roman" w:hAnsi="Times New Roman"/>
          <w:szCs w:val="24"/>
        </w:rPr>
      </w:pPr>
      <w:r>
        <w:rPr>
          <w:rFonts w:ascii="Times New Roman" w:hAnsi="Times New Roman"/>
          <w:i/>
          <w:szCs w:val="24"/>
        </w:rPr>
        <w:t>Nikokodina</w:t>
      </w:r>
      <w:r>
        <w:rPr>
          <w:rFonts w:ascii="Times New Roman" w:hAnsi="Times New Roman"/>
          <w:szCs w:val="24"/>
        </w:rPr>
        <w:t>.</w:t>
      </w:r>
    </w:p>
    <w:p w:rsidR="00CB0398" w:rsidRDefault="00CB0398" w:rsidP="00F24A9A">
      <w:pPr>
        <w:pStyle w:val="BodyTextIndent3"/>
        <w:numPr>
          <w:ilvl w:val="0"/>
          <w:numId w:val="24"/>
        </w:numPr>
        <w:tabs>
          <w:tab w:val="clear" w:pos="720"/>
          <w:tab w:val="num" w:pos="360"/>
          <w:tab w:val="left" w:pos="1134"/>
          <w:tab w:val="left" w:pos="1276"/>
          <w:tab w:val="left" w:pos="1560"/>
          <w:tab w:val="left" w:pos="1701"/>
        </w:tabs>
        <w:autoSpaceDE w:val="0"/>
        <w:autoSpaceDN w:val="0"/>
        <w:adjustRightInd w:val="0"/>
        <w:ind w:left="360"/>
        <w:rPr>
          <w:rFonts w:ascii="Times New Roman" w:hAnsi="Times New Roman"/>
          <w:szCs w:val="24"/>
        </w:rPr>
      </w:pPr>
      <w:r>
        <w:rPr>
          <w:rFonts w:ascii="Times New Roman" w:hAnsi="Times New Roman"/>
          <w:i/>
          <w:szCs w:val="24"/>
        </w:rPr>
        <w:t>Norkodeina</w:t>
      </w:r>
      <w:r>
        <w:rPr>
          <w:rFonts w:ascii="Times New Roman" w:hAnsi="Times New Roman"/>
          <w:szCs w:val="24"/>
        </w:rPr>
        <w:t>.</w:t>
      </w:r>
    </w:p>
    <w:p w:rsidR="00CB0398" w:rsidRDefault="00CB0398" w:rsidP="00F24A9A">
      <w:pPr>
        <w:pStyle w:val="BodyTextIndent3"/>
        <w:numPr>
          <w:ilvl w:val="0"/>
          <w:numId w:val="24"/>
        </w:numPr>
        <w:tabs>
          <w:tab w:val="clear" w:pos="720"/>
          <w:tab w:val="num" w:pos="360"/>
          <w:tab w:val="left" w:pos="1134"/>
          <w:tab w:val="left" w:pos="1276"/>
          <w:tab w:val="left" w:pos="1560"/>
          <w:tab w:val="left" w:pos="1701"/>
        </w:tabs>
        <w:autoSpaceDE w:val="0"/>
        <w:autoSpaceDN w:val="0"/>
        <w:adjustRightInd w:val="0"/>
        <w:ind w:left="360"/>
        <w:rPr>
          <w:rFonts w:ascii="Times New Roman" w:hAnsi="Times New Roman"/>
          <w:szCs w:val="24"/>
        </w:rPr>
      </w:pPr>
      <w:r>
        <w:rPr>
          <w:rFonts w:ascii="Times New Roman" w:hAnsi="Times New Roman"/>
          <w:i/>
          <w:szCs w:val="24"/>
        </w:rPr>
        <w:t>Polkodina</w:t>
      </w:r>
      <w:r>
        <w:rPr>
          <w:rFonts w:ascii="Times New Roman" w:hAnsi="Times New Roman"/>
          <w:szCs w:val="24"/>
        </w:rPr>
        <w:t>.</w:t>
      </w:r>
    </w:p>
    <w:p w:rsidR="00CB0398" w:rsidRDefault="00CB0398" w:rsidP="00F24A9A">
      <w:pPr>
        <w:pStyle w:val="BodyTextIndent3"/>
        <w:numPr>
          <w:ilvl w:val="0"/>
          <w:numId w:val="24"/>
        </w:numPr>
        <w:tabs>
          <w:tab w:val="clear" w:pos="720"/>
          <w:tab w:val="num" w:pos="360"/>
          <w:tab w:val="left" w:pos="1134"/>
          <w:tab w:val="left" w:pos="1276"/>
          <w:tab w:val="left" w:pos="1560"/>
          <w:tab w:val="left" w:pos="1701"/>
        </w:tabs>
        <w:autoSpaceDE w:val="0"/>
        <w:autoSpaceDN w:val="0"/>
        <w:adjustRightInd w:val="0"/>
        <w:ind w:left="360"/>
        <w:rPr>
          <w:rFonts w:ascii="Times New Roman" w:hAnsi="Times New Roman"/>
          <w:szCs w:val="24"/>
        </w:rPr>
      </w:pPr>
      <w:r>
        <w:rPr>
          <w:rFonts w:ascii="Times New Roman" w:hAnsi="Times New Roman"/>
          <w:i/>
          <w:szCs w:val="24"/>
        </w:rPr>
        <w:t>Propiram</w:t>
      </w:r>
      <w:r>
        <w:rPr>
          <w:rFonts w:ascii="Times New Roman" w:hAnsi="Times New Roman"/>
          <w:szCs w:val="24"/>
        </w:rPr>
        <w:t>.</w:t>
      </w:r>
    </w:p>
    <w:p w:rsidR="00CB0398" w:rsidRDefault="00CB0398" w:rsidP="00F24A9A">
      <w:pPr>
        <w:pStyle w:val="BodyTextIndent3"/>
        <w:numPr>
          <w:ilvl w:val="0"/>
          <w:numId w:val="24"/>
        </w:numPr>
        <w:tabs>
          <w:tab w:val="clear" w:pos="720"/>
          <w:tab w:val="num" w:pos="360"/>
          <w:tab w:val="left" w:pos="1134"/>
          <w:tab w:val="left" w:pos="1276"/>
          <w:tab w:val="left" w:pos="1560"/>
          <w:tab w:val="left" w:pos="1701"/>
        </w:tabs>
        <w:autoSpaceDE w:val="0"/>
        <w:autoSpaceDN w:val="0"/>
        <w:adjustRightInd w:val="0"/>
        <w:ind w:left="360"/>
        <w:rPr>
          <w:rFonts w:ascii="Times New Roman" w:hAnsi="Times New Roman"/>
          <w:szCs w:val="24"/>
        </w:rPr>
      </w:pPr>
      <w:r>
        <w:rPr>
          <w:rFonts w:ascii="Times New Roman" w:hAnsi="Times New Roman"/>
          <w:szCs w:val="24"/>
        </w:rPr>
        <w:t>Garam-garam dari narkotika dalam golongan tersebut di atas.</w:t>
      </w:r>
    </w:p>
    <w:p w:rsidR="00CB0398" w:rsidRDefault="00CB0398" w:rsidP="00F24A9A">
      <w:pPr>
        <w:pStyle w:val="BodyTextIndent3"/>
        <w:numPr>
          <w:ilvl w:val="0"/>
          <w:numId w:val="24"/>
        </w:numPr>
        <w:tabs>
          <w:tab w:val="clear" w:pos="720"/>
          <w:tab w:val="num" w:pos="360"/>
          <w:tab w:val="left" w:pos="1134"/>
          <w:tab w:val="left" w:pos="1276"/>
          <w:tab w:val="left" w:pos="1560"/>
          <w:tab w:val="left" w:pos="1701"/>
        </w:tabs>
        <w:autoSpaceDE w:val="0"/>
        <w:autoSpaceDN w:val="0"/>
        <w:adjustRightInd w:val="0"/>
        <w:ind w:left="360"/>
        <w:rPr>
          <w:rFonts w:ascii="Times New Roman" w:hAnsi="Times New Roman"/>
          <w:szCs w:val="24"/>
        </w:rPr>
      </w:pPr>
      <w:r>
        <w:rPr>
          <w:rFonts w:ascii="Times New Roman" w:hAnsi="Times New Roman"/>
          <w:szCs w:val="24"/>
        </w:rPr>
        <w:t>Campuran atau sediaan opium dengan bahan lain buka narkotika</w:t>
      </w:r>
    </w:p>
    <w:p w:rsidR="00CB0398" w:rsidRDefault="00CB0398" w:rsidP="00F24A9A">
      <w:pPr>
        <w:pStyle w:val="BodyTextIndent3"/>
        <w:numPr>
          <w:ilvl w:val="0"/>
          <w:numId w:val="24"/>
        </w:numPr>
        <w:tabs>
          <w:tab w:val="clear" w:pos="720"/>
          <w:tab w:val="num" w:pos="360"/>
          <w:tab w:val="left" w:pos="1134"/>
          <w:tab w:val="left" w:pos="1276"/>
          <w:tab w:val="left" w:pos="1560"/>
          <w:tab w:val="left" w:pos="1701"/>
        </w:tabs>
        <w:autoSpaceDE w:val="0"/>
        <w:autoSpaceDN w:val="0"/>
        <w:adjustRightInd w:val="0"/>
        <w:ind w:left="360"/>
        <w:rPr>
          <w:rFonts w:ascii="Times New Roman" w:hAnsi="Times New Roman"/>
          <w:szCs w:val="24"/>
        </w:rPr>
      </w:pPr>
      <w:r>
        <w:rPr>
          <w:rFonts w:ascii="Times New Roman" w:hAnsi="Times New Roman"/>
          <w:szCs w:val="24"/>
        </w:rPr>
        <w:t>Campuran atau sediaan difenoksin dengan bahan lain bukan narkotika.</w:t>
      </w:r>
    </w:p>
    <w:p w:rsidR="00CB0398" w:rsidRDefault="00CB0398" w:rsidP="00F24A9A">
      <w:pPr>
        <w:pStyle w:val="BodyTextIndent3"/>
        <w:numPr>
          <w:ilvl w:val="0"/>
          <w:numId w:val="24"/>
        </w:numPr>
        <w:tabs>
          <w:tab w:val="clear" w:pos="720"/>
          <w:tab w:val="num" w:pos="360"/>
          <w:tab w:val="left" w:pos="1134"/>
          <w:tab w:val="left" w:pos="1276"/>
          <w:tab w:val="left" w:pos="1560"/>
          <w:tab w:val="left" w:pos="1701"/>
        </w:tabs>
        <w:autoSpaceDE w:val="0"/>
        <w:autoSpaceDN w:val="0"/>
        <w:adjustRightInd w:val="0"/>
        <w:ind w:left="360"/>
        <w:rPr>
          <w:rFonts w:ascii="Times New Roman" w:hAnsi="Times New Roman"/>
          <w:szCs w:val="24"/>
        </w:rPr>
      </w:pPr>
      <w:r>
        <w:rPr>
          <w:rFonts w:ascii="Times New Roman" w:hAnsi="Times New Roman"/>
          <w:szCs w:val="24"/>
        </w:rPr>
        <w:t>Campuran atau sediaan difenoksilat dengan bahan lain bukan narkotika.</w:t>
      </w:r>
    </w:p>
    <w:p w:rsidR="00CE7FEB" w:rsidRPr="00CB0398" w:rsidRDefault="00CE7FEB" w:rsidP="00CB0398">
      <w:bookmarkStart w:id="19" w:name="_GoBack"/>
      <w:bookmarkEnd w:id="19"/>
    </w:p>
    <w:sectPr w:rsidR="00CE7FEB" w:rsidRPr="00CB0398"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2C2" w:rsidRDefault="00DC52C2" w:rsidP="002D79FF">
      <w:r>
        <w:separator/>
      </w:r>
    </w:p>
  </w:endnote>
  <w:endnote w:type="continuationSeparator" w:id="1">
    <w:p w:rsidR="00DC52C2" w:rsidRDefault="00DC52C2"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DC52C2">
    <w:pPr>
      <w:pStyle w:val="Footer"/>
      <w:jc w:val="center"/>
    </w:pPr>
  </w:p>
  <w:p w:rsidR="00630637" w:rsidRDefault="00DC5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2C2" w:rsidRDefault="00DC52C2" w:rsidP="002D79FF">
      <w:r>
        <w:separator/>
      </w:r>
    </w:p>
  </w:footnote>
  <w:footnote w:type="continuationSeparator" w:id="1">
    <w:p w:rsidR="00DC52C2" w:rsidRDefault="00DC52C2" w:rsidP="002D79FF">
      <w:r>
        <w:continuationSeparator/>
      </w:r>
    </w:p>
  </w:footnote>
  <w:footnote w:id="2">
    <w:p w:rsidR="00CB0398" w:rsidRDefault="00CB0398" w:rsidP="00CB0398">
      <w:pPr>
        <w:pStyle w:val="FootnoteText"/>
        <w:ind w:firstLine="709"/>
        <w:jc w:val="both"/>
      </w:pPr>
      <w:r>
        <w:rPr>
          <w:rStyle w:val="FootnoteReference"/>
        </w:rPr>
        <w:t>5</w:t>
      </w:r>
      <w:bookmarkStart w:id="0" w:name="_Hlk181052109"/>
      <w:r>
        <w:t>SR.Sianturi</w:t>
      </w:r>
      <w:r>
        <w:rPr>
          <w:i/>
        </w:rPr>
        <w:t>., Asas-Asas Hukum Pidana Di Indonesia dan Penerapannya</w:t>
      </w:r>
      <w:r>
        <w:t>, Alumni Ahaem Petehaem, Jakarta, 2016</w:t>
      </w:r>
      <w:bookmarkEnd w:id="0"/>
      <w:r>
        <w:rPr>
          <w:i/>
        </w:rPr>
        <w:t>,</w:t>
      </w:r>
      <w:r>
        <w:t xml:space="preserve"> h.12</w:t>
      </w:r>
    </w:p>
  </w:footnote>
  <w:footnote w:id="3">
    <w:p w:rsidR="00CB0398" w:rsidRDefault="00CB0398" w:rsidP="00CB0398">
      <w:pPr>
        <w:pStyle w:val="FootnoteText"/>
        <w:ind w:firstLine="709"/>
        <w:jc w:val="both"/>
      </w:pPr>
      <w:r>
        <w:rPr>
          <w:rStyle w:val="FootnoteReference"/>
        </w:rPr>
        <w:t>6</w:t>
      </w:r>
      <w:bookmarkStart w:id="1" w:name="_Hlk181052119"/>
      <w:r>
        <w:t xml:space="preserve">Roeslan Saleh., </w:t>
      </w:r>
      <w:r>
        <w:rPr>
          <w:i/>
        </w:rPr>
        <w:t>Stelsel Pidana Indonesia</w:t>
      </w:r>
      <w:r>
        <w:t>, Aksara Baru, Jakarta, 2006</w:t>
      </w:r>
      <w:bookmarkEnd w:id="1"/>
      <w:r>
        <w:t xml:space="preserve">, h.5. </w:t>
      </w:r>
    </w:p>
  </w:footnote>
  <w:footnote w:id="4">
    <w:p w:rsidR="00CB0398" w:rsidRDefault="00CB0398" w:rsidP="00CB0398">
      <w:pPr>
        <w:pStyle w:val="FootnoteText"/>
        <w:ind w:firstLine="709"/>
        <w:jc w:val="both"/>
      </w:pPr>
      <w:r>
        <w:rPr>
          <w:rStyle w:val="FootnoteReference"/>
        </w:rPr>
        <w:t>7</w:t>
      </w:r>
      <w:r>
        <w:t xml:space="preserve"> SR.Sianturi., </w:t>
      </w:r>
      <w:r>
        <w:rPr>
          <w:i/>
        </w:rPr>
        <w:t>Op.Cit</w:t>
      </w:r>
      <w:r>
        <w:t xml:space="preserve">, h.14. </w:t>
      </w:r>
    </w:p>
  </w:footnote>
  <w:footnote w:id="5">
    <w:p w:rsidR="00CB0398" w:rsidRDefault="00CB0398" w:rsidP="00CB0398">
      <w:pPr>
        <w:tabs>
          <w:tab w:val="left" w:pos="709"/>
        </w:tabs>
        <w:jc w:val="both"/>
        <w:rPr>
          <w:sz w:val="20"/>
          <w:szCs w:val="20"/>
        </w:rPr>
      </w:pPr>
      <w:r>
        <w:rPr>
          <w:sz w:val="20"/>
          <w:szCs w:val="20"/>
        </w:rPr>
        <w:tab/>
      </w:r>
      <w:r>
        <w:rPr>
          <w:rStyle w:val="FootnoteReference"/>
          <w:sz w:val="20"/>
          <w:szCs w:val="20"/>
        </w:rPr>
        <w:t>8</w:t>
      </w:r>
      <w:bookmarkStart w:id="2" w:name="_Hlk181052130"/>
      <w:r>
        <w:rPr>
          <w:sz w:val="20"/>
          <w:szCs w:val="20"/>
        </w:rPr>
        <w:t xml:space="preserve">Muladi., </w:t>
      </w:r>
      <w:r>
        <w:rPr>
          <w:bCs/>
          <w:i/>
          <w:iCs/>
          <w:sz w:val="20"/>
          <w:szCs w:val="20"/>
        </w:rPr>
        <w:t>Lembaga Pidana Bersyarat</w:t>
      </w:r>
      <w:r>
        <w:rPr>
          <w:sz w:val="20"/>
          <w:szCs w:val="20"/>
        </w:rPr>
        <w:t>, Alumni, Bandung, 2012</w:t>
      </w:r>
      <w:bookmarkEnd w:id="2"/>
      <w:r>
        <w:rPr>
          <w:sz w:val="20"/>
          <w:szCs w:val="20"/>
        </w:rPr>
        <w:t>, h.22</w:t>
      </w:r>
    </w:p>
  </w:footnote>
  <w:footnote w:id="6">
    <w:p w:rsidR="00CB0398" w:rsidRDefault="00CB0398" w:rsidP="00CB0398">
      <w:pPr>
        <w:pStyle w:val="FootnoteText"/>
        <w:ind w:firstLine="709"/>
        <w:jc w:val="both"/>
      </w:pPr>
      <w:r>
        <w:rPr>
          <w:rStyle w:val="FootnoteReference"/>
        </w:rPr>
        <w:t>9</w:t>
      </w:r>
      <w:r>
        <w:rPr>
          <w:i/>
        </w:rPr>
        <w:t>Ibid</w:t>
      </w:r>
      <w:r>
        <w:t xml:space="preserve">., h.22 </w:t>
      </w:r>
    </w:p>
  </w:footnote>
  <w:footnote w:id="7">
    <w:p w:rsidR="00CB0398" w:rsidRDefault="00CB0398" w:rsidP="00CB0398">
      <w:pPr>
        <w:pStyle w:val="FootnoteText"/>
        <w:ind w:firstLine="709"/>
        <w:jc w:val="both"/>
      </w:pPr>
      <w:r>
        <w:rPr>
          <w:rStyle w:val="FootnoteReference"/>
        </w:rPr>
        <w:t>10</w:t>
      </w:r>
      <w:r>
        <w:rPr>
          <w:i/>
        </w:rPr>
        <w:t>Ibid</w:t>
      </w:r>
      <w:r>
        <w:t xml:space="preserve">., h.23 </w:t>
      </w:r>
    </w:p>
  </w:footnote>
  <w:footnote w:id="8">
    <w:p w:rsidR="00CB0398" w:rsidRDefault="00CB0398" w:rsidP="00CB0398">
      <w:pPr>
        <w:pStyle w:val="FootnoteText"/>
        <w:ind w:firstLine="709"/>
        <w:jc w:val="both"/>
      </w:pPr>
      <w:r>
        <w:rPr>
          <w:rStyle w:val="FootnoteReference"/>
        </w:rPr>
        <w:t>11</w:t>
      </w:r>
      <w:r>
        <w:rPr>
          <w:i/>
        </w:rPr>
        <w:t>Ibid</w:t>
      </w:r>
      <w:r>
        <w:t xml:space="preserve">., h.24 </w:t>
      </w:r>
    </w:p>
  </w:footnote>
  <w:footnote w:id="9">
    <w:p w:rsidR="00CB0398" w:rsidRDefault="00CB0398" w:rsidP="00CB0398">
      <w:pPr>
        <w:pStyle w:val="FootnoteText"/>
        <w:ind w:firstLine="709"/>
      </w:pPr>
      <w:r>
        <w:rPr>
          <w:rStyle w:val="FootnoteReference"/>
        </w:rPr>
        <w:t>12</w:t>
      </w:r>
      <w:r>
        <w:rPr>
          <w:i/>
        </w:rPr>
        <w:t>Ibid</w:t>
      </w:r>
      <w:r>
        <w:t>., h.25</w:t>
      </w:r>
    </w:p>
  </w:footnote>
  <w:footnote w:id="10">
    <w:p w:rsidR="00CB0398" w:rsidRDefault="00CB0398" w:rsidP="00CB0398">
      <w:pPr>
        <w:pStyle w:val="FootnoteText"/>
        <w:ind w:firstLine="709"/>
      </w:pPr>
      <w:r>
        <w:rPr>
          <w:rStyle w:val="FootnoteReference"/>
        </w:rPr>
        <w:t>13</w:t>
      </w:r>
      <w:r>
        <w:t xml:space="preserve"> SR.Sianturi, </w:t>
      </w:r>
      <w:r>
        <w:rPr>
          <w:i/>
        </w:rPr>
        <w:t>Op.Cit</w:t>
      </w:r>
      <w:r>
        <w:t>, h. 21</w:t>
      </w:r>
    </w:p>
  </w:footnote>
  <w:footnote w:id="11">
    <w:p w:rsidR="00CB0398" w:rsidRDefault="00CB0398" w:rsidP="00CB0398">
      <w:pPr>
        <w:pStyle w:val="FootnoteText"/>
        <w:ind w:firstLine="709"/>
        <w:jc w:val="both"/>
      </w:pPr>
      <w:bookmarkStart w:id="3" w:name="_Hlk181052146"/>
      <w:r>
        <w:rPr>
          <w:rStyle w:val="FootnoteReference"/>
        </w:rPr>
        <w:t>14</w:t>
      </w:r>
      <w:r>
        <w:t xml:space="preserve">R. Sosesilo., </w:t>
      </w:r>
      <w:r>
        <w:rPr>
          <w:i/>
        </w:rPr>
        <w:t>KUH.Pidana Serta Komentar-Komentarnya Lengkap Pasal Demi Pasal</w:t>
      </w:r>
      <w:r>
        <w:t>, Politea, Bogor, 2014</w:t>
      </w:r>
      <w:bookmarkEnd w:id="3"/>
      <w:r>
        <w:t>, h.36.</w:t>
      </w:r>
    </w:p>
  </w:footnote>
  <w:footnote w:id="12">
    <w:p w:rsidR="00CB0398" w:rsidRDefault="00CB0398" w:rsidP="00CB0398">
      <w:pPr>
        <w:pStyle w:val="FootnoteText"/>
        <w:ind w:firstLine="709"/>
        <w:jc w:val="both"/>
      </w:pPr>
      <w:r>
        <w:rPr>
          <w:rStyle w:val="FootnoteReference"/>
        </w:rPr>
        <w:t>15</w:t>
      </w:r>
      <w:r>
        <w:rPr>
          <w:i/>
        </w:rPr>
        <w:t>Ibid</w:t>
      </w:r>
      <w:r>
        <w:t xml:space="preserve">, h.37. </w:t>
      </w:r>
    </w:p>
  </w:footnote>
  <w:footnote w:id="13">
    <w:p w:rsidR="00CB0398" w:rsidRDefault="00CB0398" w:rsidP="00CB0398">
      <w:pPr>
        <w:pStyle w:val="FootnoteText"/>
        <w:ind w:firstLine="709"/>
        <w:jc w:val="both"/>
      </w:pPr>
      <w:r>
        <w:rPr>
          <w:rStyle w:val="FootnoteReference"/>
        </w:rPr>
        <w:t>16</w:t>
      </w:r>
      <w:r>
        <w:rPr>
          <w:i/>
        </w:rPr>
        <w:t>Ibid</w:t>
      </w:r>
      <w:r>
        <w:t xml:space="preserve">., h.47 </w:t>
      </w:r>
    </w:p>
  </w:footnote>
  <w:footnote w:id="14">
    <w:p w:rsidR="00CB0398" w:rsidRDefault="00CB0398" w:rsidP="00CB0398">
      <w:pPr>
        <w:pStyle w:val="FootnoteText"/>
        <w:ind w:firstLine="709"/>
        <w:jc w:val="both"/>
      </w:pPr>
      <w:r>
        <w:rPr>
          <w:rStyle w:val="FootnoteReference"/>
        </w:rPr>
        <w:t>17</w:t>
      </w:r>
      <w:r>
        <w:rPr>
          <w:i/>
        </w:rPr>
        <w:t>Ibid</w:t>
      </w:r>
      <w:r>
        <w:t xml:space="preserve">., h.52 </w:t>
      </w:r>
    </w:p>
  </w:footnote>
  <w:footnote w:id="15">
    <w:p w:rsidR="00CB0398" w:rsidRDefault="00CB0398" w:rsidP="00CB0398">
      <w:pPr>
        <w:pStyle w:val="FootnoteText"/>
        <w:ind w:firstLine="709"/>
        <w:jc w:val="both"/>
      </w:pPr>
      <w:r>
        <w:rPr>
          <w:rStyle w:val="FootnoteReference"/>
        </w:rPr>
        <w:t>18</w:t>
      </w:r>
      <w:r>
        <w:t xml:space="preserve"> Muladi., </w:t>
      </w:r>
      <w:r>
        <w:rPr>
          <w:i/>
        </w:rPr>
        <w:t>Op.Cit</w:t>
      </w:r>
      <w:r>
        <w:t xml:space="preserve">, h.38 </w:t>
      </w:r>
    </w:p>
  </w:footnote>
  <w:footnote w:id="16">
    <w:p w:rsidR="00CB0398" w:rsidRDefault="00CB0398" w:rsidP="00CB0398">
      <w:pPr>
        <w:pStyle w:val="FootnoteText"/>
        <w:ind w:firstLine="709"/>
        <w:jc w:val="both"/>
      </w:pPr>
      <w:r>
        <w:rPr>
          <w:rStyle w:val="FootnoteReference"/>
        </w:rPr>
        <w:t>19</w:t>
      </w:r>
      <w:r>
        <w:rPr>
          <w:i/>
        </w:rPr>
        <w:t>Ibid</w:t>
      </w:r>
      <w:r>
        <w:t xml:space="preserve">., h.39. </w:t>
      </w:r>
    </w:p>
  </w:footnote>
  <w:footnote w:id="17">
    <w:p w:rsidR="00CB0398" w:rsidRDefault="00CB0398" w:rsidP="00CB0398">
      <w:pPr>
        <w:pStyle w:val="FootnoteText"/>
        <w:ind w:firstLine="709"/>
        <w:jc w:val="both"/>
      </w:pPr>
      <w:bookmarkStart w:id="4" w:name="_Hlk181052169"/>
      <w:r>
        <w:rPr>
          <w:rStyle w:val="FootnoteReference"/>
        </w:rPr>
        <w:t>20</w:t>
      </w:r>
      <w:r>
        <w:t xml:space="preserve">Djoko Prakoso., </w:t>
      </w:r>
      <w:r>
        <w:rPr>
          <w:i/>
        </w:rPr>
        <w:t xml:space="preserve">Studi Tentang Pendapat-Pendapat Mengenai Pidana Mati Di Indonesia Dewasa </w:t>
      </w:r>
      <w:r>
        <w:t>Ini, Ghalia Indonesia, Jakarta, 2014</w:t>
      </w:r>
      <w:bookmarkEnd w:id="4"/>
      <w:r>
        <w:t>, h.59.</w:t>
      </w:r>
    </w:p>
  </w:footnote>
  <w:footnote w:id="18">
    <w:p w:rsidR="00CB0398" w:rsidRDefault="00CB0398" w:rsidP="00CB0398">
      <w:pPr>
        <w:pStyle w:val="FootnoteText"/>
        <w:ind w:firstLine="709"/>
        <w:jc w:val="both"/>
      </w:pPr>
      <w:bookmarkStart w:id="5" w:name="_Hlk181052185"/>
      <w:r>
        <w:rPr>
          <w:rStyle w:val="FootnoteReference"/>
        </w:rPr>
        <w:t>21</w:t>
      </w:r>
      <w:r>
        <w:t xml:space="preserve">R.Wirjono Prodjodikoro., </w:t>
      </w:r>
      <w:r>
        <w:rPr>
          <w:i/>
        </w:rPr>
        <w:t>Asas-Asas Hukum Pidana Di Indonesia</w:t>
      </w:r>
      <w:r>
        <w:t>, PT. Eresco, Bandung, 2011</w:t>
      </w:r>
      <w:bookmarkEnd w:id="5"/>
      <w:r>
        <w:t>, h.148.</w:t>
      </w:r>
    </w:p>
  </w:footnote>
  <w:footnote w:id="19">
    <w:p w:rsidR="00CB0398" w:rsidRDefault="00CB0398" w:rsidP="00CB0398">
      <w:pPr>
        <w:pStyle w:val="FootnoteText"/>
        <w:ind w:firstLine="709"/>
        <w:jc w:val="both"/>
      </w:pPr>
      <w:r>
        <w:rPr>
          <w:rStyle w:val="FootnoteReference"/>
        </w:rPr>
        <w:t>22</w:t>
      </w:r>
      <w:r>
        <w:rPr>
          <w:i/>
        </w:rPr>
        <w:t>Ibid</w:t>
      </w:r>
      <w:r>
        <w:t>, h.148.</w:t>
      </w:r>
    </w:p>
  </w:footnote>
  <w:footnote w:id="20">
    <w:p w:rsidR="00CB0398" w:rsidRDefault="00CB0398" w:rsidP="00CB0398">
      <w:pPr>
        <w:pStyle w:val="FootnoteText"/>
        <w:ind w:firstLine="709"/>
        <w:jc w:val="both"/>
      </w:pPr>
      <w:r>
        <w:rPr>
          <w:rStyle w:val="FootnoteReference"/>
        </w:rPr>
        <w:t>23</w:t>
      </w:r>
      <w:r>
        <w:rPr>
          <w:i/>
        </w:rPr>
        <w:t>Ibid</w:t>
      </w:r>
      <w:r>
        <w:t>, h.149.</w:t>
      </w:r>
    </w:p>
  </w:footnote>
  <w:footnote w:id="21">
    <w:p w:rsidR="00CB0398" w:rsidRDefault="00CB0398" w:rsidP="00CB0398">
      <w:pPr>
        <w:pStyle w:val="FootnoteText"/>
        <w:ind w:firstLine="709"/>
        <w:jc w:val="both"/>
      </w:pPr>
      <w:r>
        <w:rPr>
          <w:rStyle w:val="FootnoteReference"/>
        </w:rPr>
        <w:t>24</w:t>
      </w:r>
      <w:r>
        <w:rPr>
          <w:i/>
        </w:rPr>
        <w:t>Ibid</w:t>
      </w:r>
      <w:r>
        <w:t>.,h.150.</w:t>
      </w:r>
    </w:p>
  </w:footnote>
  <w:footnote w:id="22">
    <w:p w:rsidR="00CB0398" w:rsidRDefault="00CB0398" w:rsidP="00CB0398">
      <w:pPr>
        <w:pStyle w:val="FootnoteText"/>
        <w:ind w:firstLine="709"/>
        <w:jc w:val="both"/>
      </w:pPr>
      <w:r>
        <w:rPr>
          <w:rStyle w:val="FootnoteReference"/>
        </w:rPr>
        <w:t>25</w:t>
      </w:r>
      <w:r>
        <w:rPr>
          <w:i/>
        </w:rPr>
        <w:t>Ibid</w:t>
      </w:r>
      <w:r>
        <w:t>., h.150.</w:t>
      </w:r>
    </w:p>
  </w:footnote>
  <w:footnote w:id="23">
    <w:p w:rsidR="00CB0398" w:rsidRDefault="00CB0398" w:rsidP="00CB0398">
      <w:pPr>
        <w:pStyle w:val="FootnoteText"/>
        <w:ind w:firstLine="709"/>
        <w:jc w:val="both"/>
      </w:pPr>
      <w:r>
        <w:rPr>
          <w:rStyle w:val="FootnoteReference"/>
        </w:rPr>
        <w:t>26</w:t>
      </w:r>
      <w:r>
        <w:rPr>
          <w:i/>
        </w:rPr>
        <w:t>Ibid</w:t>
      </w:r>
      <w:r>
        <w:t>., h.151.</w:t>
      </w:r>
    </w:p>
  </w:footnote>
  <w:footnote w:id="24">
    <w:p w:rsidR="00CB0398" w:rsidRDefault="00CB0398" w:rsidP="00CB0398">
      <w:pPr>
        <w:pStyle w:val="FootnoteText"/>
        <w:ind w:firstLine="709"/>
        <w:jc w:val="both"/>
      </w:pPr>
      <w:r>
        <w:rPr>
          <w:rStyle w:val="FootnoteReference"/>
        </w:rPr>
        <w:footnoteRef/>
      </w:r>
      <w:r>
        <w:t xml:space="preserve"> R. Soesilo,  </w:t>
      </w:r>
      <w:bookmarkStart w:id="7" w:name="_Hlk181052209"/>
      <w:r>
        <w:rPr>
          <w:i/>
          <w:iCs/>
        </w:rPr>
        <w:t xml:space="preserve">Kriminologi Pengetahuan Tentang Sebab-Sebab Kejahatan, </w:t>
      </w:r>
      <w:r>
        <w:t>Politeia, Bogor, 2015</w:t>
      </w:r>
      <w:bookmarkEnd w:id="7"/>
      <w:r>
        <w:t xml:space="preserve">, h.97.  </w:t>
      </w:r>
    </w:p>
  </w:footnote>
  <w:footnote w:id="25">
    <w:p w:rsidR="00CB0398" w:rsidRDefault="00CB0398" w:rsidP="00CB0398">
      <w:pPr>
        <w:pStyle w:val="FootnoteText"/>
        <w:ind w:firstLine="709"/>
        <w:jc w:val="both"/>
      </w:pPr>
      <w:r>
        <w:rPr>
          <w:rStyle w:val="FootnoteReference"/>
        </w:rPr>
        <w:footnoteRef/>
      </w:r>
      <w:bookmarkStart w:id="9" w:name="_Hlk181052221"/>
      <w:r>
        <w:t xml:space="preserve">Airi Safrijal dan Riza Chatias Pratama, </w:t>
      </w:r>
      <w:r>
        <w:rPr>
          <w:i/>
          <w:iCs/>
        </w:rPr>
        <w:t xml:space="preserve">Asas-Asas Hukum Pidana Dan Delik-Delik Tertentu, </w:t>
      </w:r>
      <w:r>
        <w:t>Rajwali Press, Jakarta,  2017</w:t>
      </w:r>
      <w:bookmarkEnd w:id="9"/>
      <w:r>
        <w:t xml:space="preserve">, h.106  </w:t>
      </w:r>
    </w:p>
  </w:footnote>
  <w:footnote w:id="26">
    <w:p w:rsidR="00CB0398" w:rsidRDefault="00CB0398" w:rsidP="00CB0398">
      <w:pPr>
        <w:pStyle w:val="FootnoteText"/>
        <w:ind w:firstLine="709"/>
        <w:jc w:val="both"/>
      </w:pPr>
      <w:r>
        <w:rPr>
          <w:rStyle w:val="FootnoteReference"/>
        </w:rPr>
        <w:footnoteRef/>
      </w:r>
      <w:r>
        <w:t xml:space="preserve">Moeljatno, </w:t>
      </w:r>
      <w:r>
        <w:rPr>
          <w:i/>
          <w:iCs/>
        </w:rPr>
        <w:t>Hukum Pidana Delik-Delik Percobaan Delik-Delik Penyertaan</w:t>
      </w:r>
      <w:r>
        <w:t xml:space="preserve">, Bina Aksara, Jakarta, 2018, h. 63.  </w:t>
      </w:r>
    </w:p>
  </w:footnote>
  <w:footnote w:id="27">
    <w:p w:rsidR="00CB0398" w:rsidRDefault="00CB0398" w:rsidP="00CB0398">
      <w:pPr>
        <w:pStyle w:val="FootnoteText"/>
        <w:ind w:firstLine="709"/>
        <w:jc w:val="both"/>
      </w:pPr>
      <w:r>
        <w:rPr>
          <w:rStyle w:val="FootnoteReference"/>
        </w:rPr>
        <w:footnoteRef/>
      </w:r>
      <w:r>
        <w:t xml:space="preserve">R. Wirjono Prodjodikoro, </w:t>
      </w:r>
      <w:bookmarkStart w:id="11" w:name="_Hlk181052268"/>
      <w:r>
        <w:rPr>
          <w:i/>
        </w:rPr>
        <w:t>Tindak-Tindak Pidana Tertentu di Indonesia,</w:t>
      </w:r>
      <w:r>
        <w:t xml:space="preserve"> Refika Aditama, Bandung, 2013</w:t>
      </w:r>
      <w:bookmarkEnd w:id="11"/>
      <w:r>
        <w:t xml:space="preserve">, h.202.  </w:t>
      </w:r>
    </w:p>
  </w:footnote>
  <w:footnote w:id="28">
    <w:p w:rsidR="00CB0398" w:rsidRDefault="00CB0398" w:rsidP="00CB0398">
      <w:pPr>
        <w:pStyle w:val="FootnoteText"/>
        <w:ind w:firstLine="709"/>
        <w:jc w:val="both"/>
      </w:pPr>
      <w:r>
        <w:rPr>
          <w:rStyle w:val="FootnoteReference"/>
        </w:rPr>
        <w:footnoteRef/>
      </w:r>
      <w:r>
        <w:t xml:space="preserve">P.A.F.Lamintang, </w:t>
      </w:r>
      <w:r>
        <w:rPr>
          <w:i/>
          <w:iCs/>
        </w:rPr>
        <w:t>Delik-Delik Khusus Kejahatan-kejahatan Terhadap Kepentingan Hukum Negara</w:t>
      </w:r>
      <w:r>
        <w:t xml:space="preserve">, Sinar Baru, Bandung, 2016, h.90.  </w:t>
      </w:r>
    </w:p>
  </w:footnote>
  <w:footnote w:id="29">
    <w:p w:rsidR="00CB0398" w:rsidRDefault="00CB0398" w:rsidP="00CB0398">
      <w:pPr>
        <w:pStyle w:val="FootnoteText"/>
        <w:ind w:firstLine="709"/>
        <w:jc w:val="both"/>
      </w:pPr>
      <w:r>
        <w:rPr>
          <w:rStyle w:val="FootnoteReference"/>
        </w:rPr>
        <w:footnoteRef/>
      </w:r>
      <w:r>
        <w:t xml:space="preserve">A.Z.Abidin Farid dan Andi Hamzah, </w:t>
      </w:r>
      <w:r>
        <w:rPr>
          <w:i/>
          <w:iCs/>
        </w:rPr>
        <w:t>Bentuk-bentuk Khusus Perwujuduan Delik dan Hukum Penintensier</w:t>
      </w:r>
      <w:r>
        <w:t xml:space="preserve">,Raja Grafindi, Jakarta, 2016, h.25.  </w:t>
      </w:r>
    </w:p>
  </w:footnote>
  <w:footnote w:id="30">
    <w:p w:rsidR="00CB0398" w:rsidRDefault="00CB0398" w:rsidP="00CB0398">
      <w:pPr>
        <w:pStyle w:val="FootnoteText"/>
        <w:ind w:firstLine="709"/>
        <w:jc w:val="both"/>
      </w:pPr>
      <w:r>
        <w:rPr>
          <w:rStyle w:val="FootnoteReference"/>
        </w:rPr>
        <w:footnoteRef/>
      </w:r>
      <w:bookmarkStart w:id="13" w:name="_Hlk182415057"/>
      <w:r>
        <w:t xml:space="preserve">Indra Manik, Marzuki, Indra Gunawan Purba, “Penegakan Hukum Dalam Penindakan Pengedar Dan Pemakai Narkotika Jenis Shabu Shabu Di Kota Medan (Studi Penelitian Sat Reserse Narkoba Polrestabes Medan)”, </w:t>
      </w:r>
      <w:r>
        <w:rPr>
          <w:i/>
        </w:rPr>
        <w:t>Jurnal Ilmiah Metadata</w:t>
      </w:r>
      <w:r>
        <w:t>, Vol.6 No.1, Edisi Januari 2024</w:t>
      </w:r>
      <w:bookmarkEnd w:id="13"/>
      <w:r>
        <w:t>,  h.283</w:t>
      </w:r>
    </w:p>
  </w:footnote>
  <w:footnote w:id="31">
    <w:p w:rsidR="00CB0398" w:rsidRDefault="00CB0398" w:rsidP="00CB0398">
      <w:pPr>
        <w:pStyle w:val="FootnoteText"/>
        <w:ind w:firstLine="709"/>
        <w:jc w:val="both"/>
      </w:pPr>
      <w:r>
        <w:rPr>
          <w:rStyle w:val="FootnoteReference"/>
        </w:rPr>
        <w:footnoteRef/>
      </w:r>
      <w:bookmarkStart w:id="14" w:name="_Hlk182415617"/>
      <w:r>
        <w:t xml:space="preserve">Gilza Azzahra Lukman dan Anisa Putri Alifa, “Kasus Narkoba Di Indonesia Dan Upaya Pencegahannya Di Kalangan Remaja”, </w:t>
      </w:r>
      <w:r>
        <w:rPr>
          <w:i/>
        </w:rPr>
        <w:t>Jurnal Penelitian dan Pengabdian Kepada Masyarakat (JPPM)</w:t>
      </w:r>
      <w:r>
        <w:t>, Vol. 2 No. 3 Desember 2021</w:t>
      </w:r>
      <w:bookmarkEnd w:id="14"/>
      <w:r>
        <w:t>, h.407.</w:t>
      </w:r>
    </w:p>
  </w:footnote>
  <w:footnote w:id="32">
    <w:p w:rsidR="00CB0398" w:rsidRDefault="00CB0398" w:rsidP="00CB0398">
      <w:pPr>
        <w:pStyle w:val="FootnoteText"/>
        <w:ind w:firstLine="709"/>
        <w:jc w:val="both"/>
      </w:pPr>
      <w:r>
        <w:rPr>
          <w:rStyle w:val="FootnoteReference"/>
        </w:rPr>
        <w:t>29</w:t>
      </w:r>
      <w:bookmarkStart w:id="15" w:name="_Hlk181052315"/>
      <w:r>
        <w:t xml:space="preserve">Wison Nadack, </w:t>
      </w:r>
      <w:r>
        <w:rPr>
          <w:i/>
        </w:rPr>
        <w:t xml:space="preserve">Korban Ganja dan Masalah Narkotika, Indonesia </w:t>
      </w:r>
      <w:r>
        <w:t>Publishing House, Bandung, 2013</w:t>
      </w:r>
      <w:bookmarkEnd w:id="15"/>
      <w:r>
        <w:t>, h. 122.</w:t>
      </w:r>
    </w:p>
  </w:footnote>
  <w:footnote w:id="33">
    <w:p w:rsidR="00CB0398" w:rsidRDefault="00CB0398" w:rsidP="00CB0398">
      <w:pPr>
        <w:pStyle w:val="FootnoteText"/>
        <w:ind w:firstLine="709"/>
        <w:jc w:val="both"/>
      </w:pPr>
      <w:r>
        <w:rPr>
          <w:rStyle w:val="FootnoteReference"/>
        </w:rPr>
        <w:t>30</w:t>
      </w:r>
      <w:r>
        <w:t xml:space="preserve">Wijaya A.W., </w:t>
      </w:r>
      <w:r>
        <w:rPr>
          <w:i/>
        </w:rPr>
        <w:t>Masalah Kenakan Remaja dan Penyalahgunaan Narkotika</w:t>
      </w:r>
      <w:r>
        <w:t>, Armico, Bandung, 2015, h. 145.</w:t>
      </w:r>
    </w:p>
  </w:footnote>
  <w:footnote w:id="34">
    <w:p w:rsidR="00CB0398" w:rsidRDefault="00CB0398" w:rsidP="00CB0398">
      <w:pPr>
        <w:pStyle w:val="FootnoteText"/>
        <w:ind w:firstLine="709"/>
        <w:jc w:val="both"/>
      </w:pPr>
      <w:r>
        <w:rPr>
          <w:rStyle w:val="FootnoteReference"/>
        </w:rPr>
        <w:t>31</w:t>
      </w:r>
      <w:r>
        <w:t xml:space="preserve">Soedjono D. </w:t>
      </w:r>
      <w:r>
        <w:rPr>
          <w:i/>
        </w:rPr>
        <w:t>Segi Hukum tentang Narkotika di Indonesia</w:t>
      </w:r>
      <w:r>
        <w:t>, Karya Nusantara, Bandung, 2017, h. 5.</w:t>
      </w:r>
    </w:p>
  </w:footnote>
  <w:footnote w:id="35">
    <w:p w:rsidR="00CB0398" w:rsidRDefault="00CB0398" w:rsidP="00CB0398">
      <w:pPr>
        <w:pStyle w:val="FootnoteText"/>
        <w:ind w:firstLine="709"/>
        <w:jc w:val="both"/>
      </w:pPr>
      <w:r>
        <w:rPr>
          <w:rStyle w:val="FootnoteReference"/>
        </w:rPr>
        <w:t>32</w:t>
      </w:r>
      <w:r>
        <w:t xml:space="preserve"> Wison Nadack, </w:t>
      </w:r>
      <w:r>
        <w:rPr>
          <w:i/>
        </w:rPr>
        <w:t>Op.Cit</w:t>
      </w:r>
      <w:r>
        <w:t>., h. 124</w:t>
      </w:r>
    </w:p>
  </w:footnote>
  <w:footnote w:id="36">
    <w:p w:rsidR="00CB0398" w:rsidRDefault="00CB0398" w:rsidP="00CB0398">
      <w:pPr>
        <w:pStyle w:val="FootnoteText"/>
        <w:ind w:firstLine="709"/>
        <w:jc w:val="both"/>
      </w:pPr>
      <w:r>
        <w:rPr>
          <w:rStyle w:val="FootnoteReference"/>
        </w:rPr>
        <w:t>33</w:t>
      </w:r>
      <w:bookmarkStart w:id="16" w:name="_Hlk181052369"/>
      <w:r>
        <w:t xml:space="preserve">F Asya, </w:t>
      </w:r>
      <w:r>
        <w:rPr>
          <w:i/>
        </w:rPr>
        <w:t>Narkotika dan Psikotropika</w:t>
      </w:r>
      <w:r>
        <w:t>, Asa Mandiri, Jakarta, 2019</w:t>
      </w:r>
      <w:bookmarkEnd w:id="16"/>
      <w:r>
        <w:t xml:space="preserve">, h. 3 </w:t>
      </w:r>
    </w:p>
  </w:footnote>
  <w:footnote w:id="37">
    <w:p w:rsidR="00CB0398" w:rsidRDefault="00CB0398" w:rsidP="00CB0398">
      <w:pPr>
        <w:pStyle w:val="FootnoteText"/>
        <w:ind w:firstLine="709"/>
        <w:jc w:val="both"/>
      </w:pPr>
      <w:r>
        <w:rPr>
          <w:rStyle w:val="FootnoteReference"/>
        </w:rPr>
        <w:t>35</w:t>
      </w:r>
      <w:bookmarkStart w:id="17" w:name="_Hlk181052384"/>
      <w:r>
        <w:t xml:space="preserve">Andi Hamzah dan R.M. Surachman, </w:t>
      </w:r>
      <w:r>
        <w:rPr>
          <w:i/>
        </w:rPr>
        <w:t>Kejahatan Narkotika dan Psikotropika</w:t>
      </w:r>
      <w:r>
        <w:t>, Sinar Grafika, Jakarta, 2019</w:t>
      </w:r>
      <w:bookmarkEnd w:id="17"/>
      <w:r>
        <w:t xml:space="preserve">, h. 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DC52C2">
    <w:pPr>
      <w:pStyle w:val="Header"/>
      <w:jc w:val="right"/>
    </w:pPr>
  </w:p>
  <w:p w:rsidR="00630637" w:rsidRPr="007E1322" w:rsidRDefault="00F24A9A"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DC52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A84200C"/>
    <w:multiLevelType w:val="multilevel"/>
    <w:tmpl w:val="FAE60C7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rFonts w:ascii="Times New Roman" w:eastAsia="Times New Roman" w:hAnsi="Times New Roman"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6A207B3"/>
    <w:multiLevelType w:val="hybridMultilevel"/>
    <w:tmpl w:val="2DFA2F84"/>
    <w:lvl w:ilvl="0" w:tplc="38AEBE82">
      <w:start w:val="1"/>
      <w:numFmt w:val="lowerLetter"/>
      <w:lvlText w:val="(%1)"/>
      <w:lvlJc w:val="left"/>
      <w:pPr>
        <w:tabs>
          <w:tab w:val="num" w:pos="1146"/>
        </w:tabs>
        <w:ind w:left="1146" w:hanging="360"/>
      </w:pPr>
    </w:lvl>
    <w:lvl w:ilvl="1" w:tplc="84A2B016">
      <w:start w:val="1"/>
      <w:numFmt w:val="decimal"/>
      <w:lvlText w:val="%2."/>
      <w:lvlJc w:val="left"/>
      <w:pPr>
        <w:tabs>
          <w:tab w:val="num" w:pos="1866"/>
        </w:tabs>
        <w:ind w:left="1866" w:hanging="360"/>
      </w:pPr>
    </w:lvl>
    <w:lvl w:ilvl="2" w:tplc="A2EA8154">
      <w:start w:val="1"/>
      <w:numFmt w:val="lowerLetter"/>
      <w:lvlText w:val="%3."/>
      <w:lvlJc w:val="left"/>
      <w:pPr>
        <w:tabs>
          <w:tab w:val="num" w:pos="2766"/>
        </w:tabs>
        <w:ind w:left="2766" w:hanging="360"/>
      </w:pPr>
    </w:lvl>
    <w:lvl w:ilvl="3" w:tplc="3132D65C">
      <w:start w:val="1"/>
      <w:numFmt w:val="decimal"/>
      <w:lvlText w:val="(%4)"/>
      <w:lvlJc w:val="left"/>
      <w:pPr>
        <w:tabs>
          <w:tab w:val="num" w:pos="3306"/>
        </w:tabs>
        <w:ind w:left="3306" w:hanging="360"/>
      </w:pPr>
    </w:lvl>
    <w:lvl w:ilvl="4" w:tplc="04090019">
      <w:start w:val="1"/>
      <w:numFmt w:val="lowerLetter"/>
      <w:lvlText w:val="%5."/>
      <w:lvlJc w:val="left"/>
      <w:pPr>
        <w:tabs>
          <w:tab w:val="num" w:pos="4026"/>
        </w:tabs>
        <w:ind w:left="4026" w:hanging="360"/>
      </w:pPr>
    </w:lvl>
    <w:lvl w:ilvl="5" w:tplc="0409001B">
      <w:start w:val="1"/>
      <w:numFmt w:val="lowerRoman"/>
      <w:lvlText w:val="%6."/>
      <w:lvlJc w:val="right"/>
      <w:pPr>
        <w:tabs>
          <w:tab w:val="num" w:pos="4746"/>
        </w:tabs>
        <w:ind w:left="4746" w:hanging="180"/>
      </w:pPr>
    </w:lvl>
    <w:lvl w:ilvl="6" w:tplc="0409000F">
      <w:start w:val="1"/>
      <w:numFmt w:val="decimal"/>
      <w:lvlText w:val="%7."/>
      <w:lvlJc w:val="left"/>
      <w:pPr>
        <w:tabs>
          <w:tab w:val="num" w:pos="5466"/>
        </w:tabs>
        <w:ind w:left="5466" w:hanging="360"/>
      </w:pPr>
    </w:lvl>
    <w:lvl w:ilvl="7" w:tplc="04090019">
      <w:start w:val="1"/>
      <w:numFmt w:val="lowerLetter"/>
      <w:lvlText w:val="%8."/>
      <w:lvlJc w:val="left"/>
      <w:pPr>
        <w:tabs>
          <w:tab w:val="num" w:pos="6186"/>
        </w:tabs>
        <w:ind w:left="6186" w:hanging="360"/>
      </w:pPr>
    </w:lvl>
    <w:lvl w:ilvl="8" w:tplc="0409001B">
      <w:start w:val="1"/>
      <w:numFmt w:val="lowerRoman"/>
      <w:lvlText w:val="%9."/>
      <w:lvlJc w:val="right"/>
      <w:pPr>
        <w:tabs>
          <w:tab w:val="num" w:pos="6906"/>
        </w:tabs>
        <w:ind w:left="6906" w:hanging="180"/>
      </w:pPr>
    </w:lvl>
  </w:abstractNum>
  <w:abstractNum w:abstractNumId="3">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93CD9"/>
    <w:multiLevelType w:val="hybridMultilevel"/>
    <w:tmpl w:val="2CFE58BE"/>
    <w:lvl w:ilvl="0" w:tplc="0186B256">
      <w:start w:val="1"/>
      <w:numFmt w:val="decimal"/>
      <w:lvlText w:val="%1."/>
      <w:lvlJc w:val="left"/>
      <w:pPr>
        <w:tabs>
          <w:tab w:val="num" w:pos="765"/>
        </w:tabs>
        <w:ind w:left="765" w:hanging="39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28527F29"/>
    <w:multiLevelType w:val="singleLevel"/>
    <w:tmpl w:val="4FC0DC62"/>
    <w:lvl w:ilvl="0">
      <w:start w:val="1"/>
      <w:numFmt w:val="decimal"/>
      <w:lvlText w:val="%1)"/>
      <w:lvlJc w:val="left"/>
      <w:pPr>
        <w:tabs>
          <w:tab w:val="num" w:pos="1211"/>
        </w:tabs>
        <w:ind w:left="1211" w:hanging="360"/>
      </w:pPr>
    </w:lvl>
  </w:abstractNum>
  <w:abstractNum w:abstractNumId="6">
    <w:nsid w:val="2963786A"/>
    <w:multiLevelType w:val="hybridMultilevel"/>
    <w:tmpl w:val="84DC8F26"/>
    <w:lvl w:ilvl="0" w:tplc="50A4F916">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3DDA0EC0"/>
    <w:multiLevelType w:val="hybridMultilevel"/>
    <w:tmpl w:val="8968EB1E"/>
    <w:lvl w:ilvl="0" w:tplc="8C5414CA">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0A24832"/>
    <w:multiLevelType w:val="hybridMultilevel"/>
    <w:tmpl w:val="771CFA3A"/>
    <w:lvl w:ilvl="0" w:tplc="161CAEB6">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0">
    <w:nsid w:val="4678363F"/>
    <w:multiLevelType w:val="hybridMultilevel"/>
    <w:tmpl w:val="3030107E"/>
    <w:lvl w:ilvl="0" w:tplc="85A4793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65407CE">
      <w:start w:val="1"/>
      <w:numFmt w:val="decimal"/>
      <w:lvlText w:val="%2)"/>
      <w:lvlJc w:val="left"/>
      <w:pPr>
        <w:tabs>
          <w:tab w:val="num" w:pos="1440"/>
        </w:tabs>
        <w:ind w:left="1440" w:hanging="360"/>
      </w:pPr>
      <w:rPr>
        <w:rFonts w:ascii="Times New Roman" w:eastAsia="Times New Roman" w:hAnsi="Times New Roman" w:cs="Times New Roman" w:hint="default"/>
      </w:rPr>
    </w:lvl>
    <w:lvl w:ilvl="2" w:tplc="5C06DC24">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8216BBB"/>
    <w:multiLevelType w:val="hybridMultilevel"/>
    <w:tmpl w:val="764A8E0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CA2350A"/>
    <w:multiLevelType w:val="hybridMultilevel"/>
    <w:tmpl w:val="F004663C"/>
    <w:lvl w:ilvl="0" w:tplc="7F9C041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E316887"/>
    <w:multiLevelType w:val="hybridMultilevel"/>
    <w:tmpl w:val="619CF89E"/>
    <w:lvl w:ilvl="0" w:tplc="52B43B40">
      <w:start w:val="1"/>
      <w:numFmt w:val="lowerLetter"/>
      <w:lvlText w:val="%1."/>
      <w:lvlJc w:val="left"/>
      <w:pPr>
        <w:tabs>
          <w:tab w:val="num" w:pos="930"/>
        </w:tabs>
        <w:ind w:left="930" w:hanging="570"/>
      </w:pPr>
      <w:rPr>
        <w:rFonts w:ascii="Times New Roman" w:eastAsia="Times New Roman" w:hAnsi="Times New Roman" w:cs="Times New Roman" w:hint="default"/>
      </w:rPr>
    </w:lvl>
    <w:lvl w:ilvl="1" w:tplc="4A70023C">
      <w:start w:val="1"/>
      <w:numFmt w:val="lowerLetter"/>
      <w:lvlText w:val="%2."/>
      <w:lvlJc w:val="left"/>
      <w:pPr>
        <w:tabs>
          <w:tab w:val="num" w:pos="1440"/>
        </w:tabs>
        <w:ind w:left="1440" w:hanging="360"/>
      </w:pPr>
    </w:lvl>
    <w:lvl w:ilvl="2" w:tplc="507E64AA">
      <w:start w:val="2"/>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F7A055FE">
      <w:start w:val="1"/>
      <w:numFmt w:val="decimal"/>
      <w:lvlText w:val="(%5)"/>
      <w:lvlJc w:val="left"/>
      <w:pPr>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54F7E52"/>
    <w:multiLevelType w:val="singleLevel"/>
    <w:tmpl w:val="C7B27470"/>
    <w:lvl w:ilvl="0">
      <w:start w:val="1"/>
      <w:numFmt w:val="decimal"/>
      <w:lvlText w:val="%1)"/>
      <w:lvlJc w:val="left"/>
      <w:pPr>
        <w:tabs>
          <w:tab w:val="num" w:pos="1211"/>
        </w:tabs>
        <w:ind w:left="1211" w:hanging="360"/>
      </w:pPr>
    </w:lvl>
  </w:abstractNum>
  <w:abstractNum w:abstractNumId="15">
    <w:nsid w:val="55E8749A"/>
    <w:multiLevelType w:val="hybridMultilevel"/>
    <w:tmpl w:val="638A3864"/>
    <w:lvl w:ilvl="0" w:tplc="C5E43F30">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8D23CEB"/>
    <w:multiLevelType w:val="hybridMultilevel"/>
    <w:tmpl w:val="C1068EA6"/>
    <w:lvl w:ilvl="0" w:tplc="E40C4776">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63B56A52"/>
    <w:multiLevelType w:val="multilevel"/>
    <w:tmpl w:val="2792894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b/>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nsid w:val="64CC3534"/>
    <w:multiLevelType w:val="hybridMultilevel"/>
    <w:tmpl w:val="59523484"/>
    <w:lvl w:ilvl="0" w:tplc="69CE8A9A">
      <w:start w:val="2"/>
      <w:numFmt w:val="upperLetter"/>
      <w:lvlText w:val="%1."/>
      <w:lvlJc w:val="left"/>
      <w:pPr>
        <w:tabs>
          <w:tab w:val="num" w:pos="720"/>
        </w:tabs>
        <w:ind w:left="720" w:hanging="360"/>
      </w:pPr>
    </w:lvl>
    <w:lvl w:ilvl="1" w:tplc="261ECF70">
      <w:start w:val="1"/>
      <w:numFmt w:val="decimal"/>
      <w:lvlText w:val="%2."/>
      <w:lvlJc w:val="left"/>
      <w:pPr>
        <w:tabs>
          <w:tab w:val="num" w:pos="1440"/>
        </w:tabs>
        <w:ind w:left="1440" w:hanging="360"/>
      </w:pPr>
    </w:lvl>
    <w:lvl w:ilvl="2" w:tplc="511030CA">
      <w:start w:val="1"/>
      <w:numFmt w:val="lowerLetter"/>
      <w:lvlText w:val="%3."/>
      <w:lvlJc w:val="left"/>
      <w:pPr>
        <w:ind w:left="2340" w:hanging="360"/>
      </w:pPr>
    </w:lvl>
    <w:lvl w:ilvl="3" w:tplc="3080285E">
      <w:start w:val="1"/>
      <w:numFmt w:val="decimal"/>
      <w:lvlText w:val="(%4)"/>
      <w:lvlJc w:val="left"/>
      <w:pPr>
        <w:ind w:left="2880" w:hanging="360"/>
      </w:pPr>
    </w:lvl>
    <w:lvl w:ilvl="4" w:tplc="F3A83302">
      <w:start w:val="1"/>
      <w:numFmt w:val="decimal"/>
      <w:lvlText w:val="%5)"/>
      <w:lvlJc w:val="left"/>
      <w:pPr>
        <w:ind w:left="3600" w:hanging="360"/>
      </w:pPr>
      <w:rPr>
        <w:i w:val="0"/>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65610FB3"/>
    <w:multiLevelType w:val="hybridMultilevel"/>
    <w:tmpl w:val="E8686F82"/>
    <w:lvl w:ilvl="0" w:tplc="9B708F38">
      <w:start w:val="3"/>
      <w:numFmt w:val="decimal"/>
      <w:lvlText w:val="%1."/>
      <w:lvlJc w:val="left"/>
      <w:pPr>
        <w:tabs>
          <w:tab w:val="num" w:pos="1866"/>
        </w:tabs>
        <w:ind w:left="186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6BC24510"/>
    <w:multiLevelType w:val="singleLevel"/>
    <w:tmpl w:val="82F461DC"/>
    <w:lvl w:ilvl="0">
      <w:start w:val="1"/>
      <w:numFmt w:val="upperLetter"/>
      <w:lvlText w:val="%1."/>
      <w:lvlJc w:val="left"/>
      <w:pPr>
        <w:tabs>
          <w:tab w:val="num" w:pos="432"/>
        </w:tabs>
        <w:ind w:left="432" w:hanging="432"/>
      </w:pPr>
    </w:lvl>
  </w:abstractNum>
  <w:abstractNum w:abstractNumId="21">
    <w:nsid w:val="75E1061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nsid w:val="7AE7422A"/>
    <w:multiLevelType w:val="singleLevel"/>
    <w:tmpl w:val="EEE2077E"/>
    <w:lvl w:ilvl="0">
      <w:start w:val="1"/>
      <w:numFmt w:val="decimal"/>
      <w:lvlText w:val="%1."/>
      <w:lvlJc w:val="left"/>
      <w:pPr>
        <w:tabs>
          <w:tab w:val="num" w:pos="420"/>
        </w:tabs>
        <w:ind w:left="420" w:hanging="420"/>
      </w:pPr>
      <w:rPr>
        <w:rFonts w:cs="Times New Roman"/>
      </w:rPr>
    </w:lvl>
  </w:abstractNum>
  <w:abstractNum w:abstractNumId="23">
    <w:nsid w:val="7FEE1076"/>
    <w:multiLevelType w:val="singleLevel"/>
    <w:tmpl w:val="7DBC00D8"/>
    <w:lvl w:ilvl="0">
      <w:start w:val="1"/>
      <w:numFmt w:val="lowerLetter"/>
      <w:lvlText w:val="%1."/>
      <w:lvlJc w:val="left"/>
      <w:pPr>
        <w:tabs>
          <w:tab w:val="num" w:pos="1146"/>
        </w:tabs>
        <w:ind w:left="1146" w:hanging="360"/>
      </w:pPr>
    </w:lvl>
  </w:abstractNum>
  <w:num w:numId="1">
    <w:abstractNumId w:val="9"/>
  </w:num>
  <w:num w:numId="2">
    <w:abstractNumId w:val="0"/>
  </w:num>
  <w:num w:numId="3">
    <w:abstractNumId w:val="3"/>
  </w:num>
  <w:num w:numId="4">
    <w:abstractNumId w:val="22"/>
    <w:lvlOverride w:ilvl="0">
      <w:startOverride w:val="1"/>
    </w:lvlOverride>
  </w:num>
  <w:num w:numId="5">
    <w:abstractNumId w:val="21"/>
    <w:lvlOverride w:ilvl="0">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num>
  <w:num w:numId="10">
    <w:abstractNumId w:val="14"/>
    <w:lvlOverride w:ilvl="0">
      <w:startOverride w:val="1"/>
    </w:lvlOverride>
  </w:num>
  <w:num w:numId="11">
    <w:abstractNumId w:val="5"/>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20"/>
  <w:characterSpacingControl w:val="doNotCompress"/>
  <w:footnotePr>
    <w:footnote w:id="0"/>
    <w:footnote w:id="1"/>
  </w:footnotePr>
  <w:endnotePr>
    <w:endnote w:id="0"/>
    <w:endnote w:id="1"/>
  </w:endnotePr>
  <w:compat/>
  <w:rsids>
    <w:rsidRoot w:val="00CE7FEB"/>
    <w:rsid w:val="00004A2D"/>
    <w:rsid w:val="00050032"/>
    <w:rsid w:val="002D79FF"/>
    <w:rsid w:val="0038453C"/>
    <w:rsid w:val="00390270"/>
    <w:rsid w:val="00490063"/>
    <w:rsid w:val="00695208"/>
    <w:rsid w:val="00826A34"/>
    <w:rsid w:val="008538D8"/>
    <w:rsid w:val="00C52FF9"/>
    <w:rsid w:val="00C72C38"/>
    <w:rsid w:val="00C81419"/>
    <w:rsid w:val="00CB0398"/>
    <w:rsid w:val="00CE7FEB"/>
    <w:rsid w:val="00DC52C2"/>
    <w:rsid w:val="00F17F5D"/>
    <w:rsid w:val="00F21187"/>
    <w:rsid w:val="00F24A9A"/>
    <w:rsid w:val="00F942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rsid w:val="00C52FF9"/>
    <w:rPr>
      <w:rFonts w:ascii="Bookman Old Style" w:eastAsia="Times New Roman" w:hAnsi="Bookman Old Style" w:cs="Times New Roman"/>
      <w:sz w:val="24"/>
      <w:szCs w:val="20"/>
    </w:rPr>
  </w:style>
  <w:style w:type="paragraph" w:styleId="BodyText">
    <w:name w:val="Body Text"/>
    <w:basedOn w:val="Normal"/>
    <w:link w:val="BodyTextChar"/>
    <w:uiPriority w:val="99"/>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99"/>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rsid w:val="00C52FF9"/>
    <w:rPr>
      <w:rFonts w:ascii="Bookman Old Style" w:eastAsia="Times New Roman" w:hAnsi="Bookman Old Style" w:cs="Times New Roman"/>
      <w:sz w:val="24"/>
      <w:szCs w:val="20"/>
    </w:rPr>
  </w:style>
  <w:style w:type="paragraph" w:styleId="BodyText">
    <w:name w:val="Body Text"/>
    <w:basedOn w:val="Normal"/>
    <w:link w:val="BodyTextChar"/>
    <w:uiPriority w:val="99"/>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99"/>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5331</Words>
  <Characters>30393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2026-04-06T04:30:00Z</dcterms:created>
  <dcterms:modified xsi:type="dcterms:W3CDTF">2026-04-06T04:30:00Z</dcterms:modified>
</cp:coreProperties>
</file>