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4CB" w:rsidRDefault="008374CB" w:rsidP="008374CB">
      <w:pPr>
        <w:spacing w:line="480" w:lineRule="auto"/>
        <w:jc w:val="center"/>
        <w:rPr>
          <w:b/>
        </w:rPr>
      </w:pPr>
      <w:r>
        <w:rPr>
          <w:b/>
        </w:rPr>
        <w:t>BAB III</w:t>
      </w:r>
    </w:p>
    <w:p w:rsidR="008374CB" w:rsidRDefault="008374CB" w:rsidP="008374CB">
      <w:pPr>
        <w:pStyle w:val="Heading2"/>
        <w:tabs>
          <w:tab w:val="left" w:pos="720"/>
        </w:tabs>
        <w:ind w:left="360" w:hanging="360"/>
        <w:rPr>
          <w:rFonts w:ascii="Times New Roman" w:hAnsi="Times New Roman"/>
          <w:szCs w:val="24"/>
        </w:rPr>
      </w:pPr>
      <w:r>
        <w:rPr>
          <w:rFonts w:ascii="Times New Roman" w:hAnsi="Times New Roman"/>
          <w:szCs w:val="24"/>
        </w:rPr>
        <w:t>METODE PENELITIAN</w:t>
      </w:r>
    </w:p>
    <w:p w:rsidR="008374CB" w:rsidRDefault="008374CB" w:rsidP="008374CB"/>
    <w:p w:rsidR="008374CB" w:rsidRDefault="008374CB" w:rsidP="00F22AF2">
      <w:pPr>
        <w:numPr>
          <w:ilvl w:val="3"/>
          <w:numId w:val="5"/>
        </w:numPr>
        <w:tabs>
          <w:tab w:val="num" w:pos="360"/>
        </w:tabs>
        <w:spacing w:line="480" w:lineRule="auto"/>
        <w:ind w:left="360"/>
        <w:jc w:val="both"/>
        <w:rPr>
          <w:b/>
        </w:rPr>
      </w:pPr>
      <w:r>
        <w:rPr>
          <w:b/>
        </w:rPr>
        <w:t xml:space="preserve">Sifat Penelitian </w:t>
      </w:r>
    </w:p>
    <w:p w:rsidR="008374CB" w:rsidRDefault="008374CB" w:rsidP="008374CB">
      <w:pPr>
        <w:pStyle w:val="BodyTextIndent"/>
        <w:ind w:firstLine="720"/>
        <w:rPr>
          <w:rFonts w:ascii="Times New Roman" w:hAnsi="Times New Roman"/>
          <w:szCs w:val="24"/>
        </w:rPr>
      </w:pPr>
      <w:r>
        <w:rPr>
          <w:rFonts w:ascii="Times New Roman" w:hAnsi="Times New Roman"/>
          <w:szCs w:val="24"/>
        </w:rPr>
        <w:t>Sifat penelitian ini adalah deskriptif.Penelitian deskriptif dimaksudkan untuk memberikan data yang seteliti mungkin.</w:t>
      </w:r>
      <w:r>
        <w:rPr>
          <w:rStyle w:val="FootnoteReference"/>
          <w:rFonts w:ascii="Times New Roman" w:hAnsi="Times New Roman"/>
          <w:szCs w:val="24"/>
        </w:rPr>
        <w:footnoteReference w:customMarkFollows="1" w:id="2"/>
        <w:t>36</w:t>
      </w:r>
      <w:r>
        <w:rPr>
          <w:rFonts w:ascii="Times New Roman" w:hAnsi="Times New Roman"/>
          <w:szCs w:val="24"/>
        </w:rPr>
        <w:t xml:space="preserve"> Dalam hal ini akan menggambarkan tentang </w:t>
      </w:r>
      <w:r>
        <w:rPr>
          <w:rFonts w:ascii="Times New Roman" w:hAnsi="Times New Roman"/>
          <w:szCs w:val="24"/>
          <w:lang w:val="fi-FI"/>
        </w:rPr>
        <w:t xml:space="preserve">pidana mati terhadap permufakatan jahat </w:t>
      </w:r>
      <w:r>
        <w:rPr>
          <w:rFonts w:ascii="Times New Roman" w:hAnsi="Times New Roman"/>
          <w:i/>
          <w:szCs w:val="24"/>
          <w:lang w:val="fi-FI"/>
        </w:rPr>
        <w:t>(samenspanning)</w:t>
      </w:r>
      <w:r>
        <w:rPr>
          <w:rFonts w:ascii="Times New Roman" w:hAnsi="Times New Roman"/>
          <w:szCs w:val="24"/>
          <w:lang w:val="fi-FI"/>
        </w:rPr>
        <w:t xml:space="preserve"> dalam kejahatan narkotika. </w:t>
      </w:r>
      <w:r>
        <w:rPr>
          <w:rFonts w:ascii="Times New Roman" w:hAnsi="Times New Roman"/>
          <w:szCs w:val="24"/>
        </w:rPr>
        <w:t xml:space="preserve">Penelitian deskriptif ini dimulai dengan pengumpulan data yang berhubungan dengan pembahasan di atas, lalu menyusun, mengklasifikasikan dan menganalisisnya  serta kemudian menginterprestasikan data, sehingga diperoleh gambaran yang jelas tentang fenomena yang diteliti. </w:t>
      </w:r>
      <w:r>
        <w:rPr>
          <w:rStyle w:val="FootnoteReference"/>
          <w:rFonts w:ascii="Times New Roman" w:hAnsi="Times New Roman"/>
          <w:szCs w:val="24"/>
        </w:rPr>
        <w:footnoteReference w:customMarkFollows="1" w:id="3"/>
        <w:t>37</w:t>
      </w:r>
    </w:p>
    <w:p w:rsidR="008374CB" w:rsidRDefault="008374CB" w:rsidP="00F22AF2">
      <w:pPr>
        <w:numPr>
          <w:ilvl w:val="3"/>
          <w:numId w:val="5"/>
        </w:numPr>
        <w:tabs>
          <w:tab w:val="num" w:pos="360"/>
        </w:tabs>
        <w:spacing w:line="480" w:lineRule="auto"/>
        <w:ind w:left="360"/>
        <w:jc w:val="both"/>
        <w:rPr>
          <w:b/>
        </w:rPr>
      </w:pPr>
      <w:r>
        <w:rPr>
          <w:b/>
        </w:rPr>
        <w:t>Jenis Penelitian</w:t>
      </w:r>
    </w:p>
    <w:p w:rsidR="008374CB" w:rsidRDefault="008374CB" w:rsidP="008374CB">
      <w:pPr>
        <w:pStyle w:val="BodyTextIndent"/>
        <w:rPr>
          <w:rFonts w:ascii="Times New Roman" w:hAnsi="Times New Roman"/>
        </w:rPr>
      </w:pPr>
      <w:r>
        <w:rPr>
          <w:rFonts w:ascii="Times New Roman" w:hAnsi="Times New Roman"/>
        </w:rPr>
        <w:t>Jenis penelitian dalam penulisan ini menggunakan jenis penelitian hukum yuridis normatif. Penelitian hukum yuridis normatif adalah penelitian yang mengacu pada norma-norma hukum yaitu meneliti terhadap bahan pustaka atau bahan sekunder</w:t>
      </w:r>
    </w:p>
    <w:p w:rsidR="008374CB" w:rsidRDefault="008374CB" w:rsidP="008374CB">
      <w:pPr>
        <w:pStyle w:val="BodyTextIndent"/>
        <w:rPr>
          <w:rFonts w:ascii="Times New Roman" w:hAnsi="Times New Roman"/>
        </w:rPr>
      </w:pPr>
      <w:r>
        <w:rPr>
          <w:rFonts w:ascii="Times New Roman" w:hAnsi="Times New Roman"/>
        </w:rPr>
        <w:t>Pendekatan yang digunakan dalam penelitian ini yaitu :</w:t>
      </w:r>
    </w:p>
    <w:p w:rsidR="008374CB" w:rsidRDefault="008374CB" w:rsidP="00F22AF2">
      <w:pPr>
        <w:pStyle w:val="BodyTextIndent"/>
        <w:numPr>
          <w:ilvl w:val="4"/>
          <w:numId w:val="6"/>
        </w:numPr>
        <w:tabs>
          <w:tab w:val="num" w:pos="360"/>
        </w:tabs>
        <w:ind w:left="360"/>
        <w:rPr>
          <w:rFonts w:ascii="Times New Roman" w:hAnsi="Times New Roman"/>
          <w:bCs/>
        </w:rPr>
      </w:pPr>
      <w:r>
        <w:rPr>
          <w:rFonts w:ascii="Times New Roman" w:hAnsi="Times New Roman"/>
        </w:rPr>
        <w:t>Pendekatan kasus (</w:t>
      </w:r>
      <w:r>
        <w:rPr>
          <w:rFonts w:ascii="Times New Roman" w:hAnsi="Times New Roman"/>
          <w:i/>
          <w:iCs/>
        </w:rPr>
        <w:t>case approach</w:t>
      </w:r>
      <w:r>
        <w:rPr>
          <w:rFonts w:ascii="Times New Roman" w:hAnsi="Times New Roman"/>
        </w:rPr>
        <w:t>) dilakukan dengan cara melakukan telaah terhadap kasus-kasus yang berkaitan dengan isu yang dihadapi</w:t>
      </w:r>
      <w:r>
        <w:rPr>
          <w:rStyle w:val="FootnoteReference"/>
          <w:rFonts w:ascii="Times New Roman" w:hAnsi="Times New Roman"/>
        </w:rPr>
        <w:footnoteReference w:id="4"/>
      </w:r>
      <w:r>
        <w:rPr>
          <w:rFonts w:ascii="Times New Roman" w:hAnsi="Times New Roman"/>
        </w:rPr>
        <w:t xml:space="preserve"> yaitu </w:t>
      </w:r>
      <w:r>
        <w:rPr>
          <w:rFonts w:ascii="Times New Roman" w:hAnsi="Times New Roman"/>
          <w:szCs w:val="24"/>
          <w:lang w:val="fi-FI"/>
        </w:rPr>
        <w:t>Putusan Pengadilan Negeri Medan Nomor 1957/Pid.Sus/2023/ PN Mdn</w:t>
      </w:r>
      <w:r>
        <w:rPr>
          <w:rFonts w:ascii="Times New Roman" w:hAnsi="Times New Roman"/>
          <w:bCs/>
          <w:lang w:eastAsia="id-ID"/>
        </w:rPr>
        <w:t>.</w:t>
      </w:r>
    </w:p>
    <w:p w:rsidR="008374CB" w:rsidRDefault="008374CB" w:rsidP="00F22AF2">
      <w:pPr>
        <w:pStyle w:val="BodyTextIndent"/>
        <w:numPr>
          <w:ilvl w:val="4"/>
          <w:numId w:val="6"/>
        </w:numPr>
        <w:tabs>
          <w:tab w:val="num" w:pos="-4530"/>
        </w:tabs>
        <w:spacing w:line="504" w:lineRule="auto"/>
        <w:ind w:left="357"/>
        <w:rPr>
          <w:rFonts w:ascii="Times New Roman" w:hAnsi="Times New Roman"/>
        </w:rPr>
      </w:pPr>
      <w:r>
        <w:rPr>
          <w:rFonts w:ascii="Times New Roman" w:hAnsi="Times New Roman"/>
        </w:rPr>
        <w:lastRenderedPageBreak/>
        <w:t>Pendekatan konseptual (</w:t>
      </w:r>
      <w:r>
        <w:rPr>
          <w:rFonts w:ascii="Times New Roman" w:hAnsi="Times New Roman"/>
          <w:i/>
          <w:iCs/>
        </w:rPr>
        <w:t>copceptual approach</w:t>
      </w:r>
      <w:r>
        <w:rPr>
          <w:rFonts w:ascii="Times New Roman" w:hAnsi="Times New Roman"/>
        </w:rPr>
        <w:t>), dilakukan dengan mempelajari pandangan-pandangan dan doktrin-doktrin di dalam ilmu hukum, yang akan menemukan ide-ide yang dapat melahirkan pengertian-pengertian hukum, konsep-konsep hukum, dan asas-asas hukum yang relevan dengan isu yang dihadapi. Pemahaman akan pandangan-pandangan dan doktrin-doktrin tersebut merupakan sandaran bagi peneliti dalam membangun suatu argumentasi hukum dalam memecahkan isu yang dihadapi.</w:t>
      </w:r>
      <w:r>
        <w:rPr>
          <w:rStyle w:val="FootnoteReference"/>
          <w:rFonts w:ascii="Times New Roman" w:hAnsi="Times New Roman"/>
        </w:rPr>
        <w:footnoteReference w:id="5"/>
      </w:r>
    </w:p>
    <w:p w:rsidR="008374CB" w:rsidRDefault="008374CB" w:rsidP="00F22AF2">
      <w:pPr>
        <w:pStyle w:val="BodyTextIndent"/>
        <w:numPr>
          <w:ilvl w:val="4"/>
          <w:numId w:val="6"/>
        </w:numPr>
        <w:tabs>
          <w:tab w:val="num" w:pos="-4530"/>
        </w:tabs>
        <w:spacing w:line="504" w:lineRule="auto"/>
        <w:ind w:left="357"/>
        <w:rPr>
          <w:rFonts w:ascii="Times New Roman" w:hAnsi="Times New Roman"/>
          <w:i/>
        </w:rPr>
      </w:pPr>
      <w:r>
        <w:rPr>
          <w:rFonts w:ascii="Times New Roman" w:hAnsi="Times New Roman"/>
        </w:rPr>
        <w:t>Pendekatan perundang-undangan (</w:t>
      </w:r>
      <w:r>
        <w:rPr>
          <w:rFonts w:ascii="Times New Roman" w:hAnsi="Times New Roman"/>
          <w:i/>
        </w:rPr>
        <w:t>statute approach)</w:t>
      </w:r>
    </w:p>
    <w:p w:rsidR="008374CB" w:rsidRDefault="008374CB" w:rsidP="008374CB">
      <w:pPr>
        <w:pStyle w:val="BodyTextIndent"/>
        <w:spacing w:line="504" w:lineRule="auto"/>
        <w:ind w:left="357" w:firstLine="0"/>
        <w:rPr>
          <w:rStyle w:val="FootnoteReference"/>
          <w:color w:val="000000"/>
          <w:szCs w:val="24"/>
        </w:rPr>
      </w:pPr>
      <w:r>
        <w:rPr>
          <w:rFonts w:ascii="Times New Roman" w:hAnsi="Times New Roman"/>
        </w:rPr>
        <w:t>Pendekatan perundang-undangan adalah pendekatan yang dilakukandengan menelaah semua peraturan perundang-undangan dan regulasi yangbersangkut paut dengan isu hukum yang ditangani</w:t>
      </w:r>
      <w:r>
        <w:rPr>
          <w:rFonts w:ascii="Times New Roman" w:hAnsi="Times New Roman"/>
          <w:bCs/>
          <w:lang w:eastAsia="id-ID"/>
        </w:rPr>
        <w:t>.</w:t>
      </w:r>
      <w:r>
        <w:rPr>
          <w:rStyle w:val="FootnoteReference"/>
          <w:rFonts w:ascii="Times New Roman" w:hAnsi="Times New Roman"/>
          <w:color w:val="000000"/>
          <w:szCs w:val="24"/>
        </w:rPr>
        <w:footnoteReference w:id="6"/>
      </w:r>
    </w:p>
    <w:p w:rsidR="008374CB" w:rsidRDefault="008374CB" w:rsidP="008374CB">
      <w:pPr>
        <w:pStyle w:val="BodyTextIndent"/>
        <w:spacing w:line="240" w:lineRule="auto"/>
        <w:ind w:left="357" w:firstLine="0"/>
      </w:pPr>
    </w:p>
    <w:p w:rsidR="008374CB" w:rsidRDefault="008374CB" w:rsidP="00F22AF2">
      <w:pPr>
        <w:pStyle w:val="Heading4"/>
        <w:numPr>
          <w:ilvl w:val="3"/>
          <w:numId w:val="5"/>
        </w:numPr>
        <w:tabs>
          <w:tab w:val="num" w:pos="360"/>
        </w:tabs>
        <w:spacing w:line="480" w:lineRule="auto"/>
        <w:ind w:left="360"/>
        <w:rPr>
          <w:szCs w:val="24"/>
        </w:rPr>
      </w:pPr>
      <w:r>
        <w:rPr>
          <w:szCs w:val="24"/>
        </w:rPr>
        <w:t xml:space="preserve">Sumber Data </w:t>
      </w:r>
    </w:p>
    <w:p w:rsidR="008374CB" w:rsidRDefault="008374CB" w:rsidP="008374CB">
      <w:pPr>
        <w:spacing w:line="456" w:lineRule="auto"/>
        <w:ind w:firstLine="748"/>
        <w:jc w:val="both"/>
        <w:rPr>
          <w:lang w:val="id-ID"/>
        </w:rPr>
      </w:pPr>
      <w:r>
        <w:t xml:space="preserve">Sumber data penelitian ini data sekunder, dimana data sekunder dalam penelitian ini bersumber dari </w:t>
      </w:r>
      <w:r>
        <w:rPr>
          <w:lang w:val="id-ID"/>
        </w:rPr>
        <w:t>:</w:t>
      </w:r>
      <w:r>
        <w:t>.</w:t>
      </w:r>
    </w:p>
    <w:p w:rsidR="008374CB" w:rsidRDefault="008374CB" w:rsidP="00F22AF2">
      <w:pPr>
        <w:numPr>
          <w:ilvl w:val="0"/>
          <w:numId w:val="4"/>
        </w:numPr>
        <w:tabs>
          <w:tab w:val="num" w:pos="360"/>
        </w:tabs>
        <w:spacing w:line="480" w:lineRule="auto"/>
        <w:ind w:left="360"/>
        <w:jc w:val="both"/>
      </w:pPr>
      <w:r>
        <w:t xml:space="preserve">Bahan </w:t>
      </w:r>
      <w:r>
        <w:rPr>
          <w:lang w:val="id-ID"/>
        </w:rPr>
        <w:t>hukum</w:t>
      </w:r>
      <w:r>
        <w:t xml:space="preserve"> primer yaitu bahan-bahan hukum yang mengikat antara lain peraturan perundang-undangan</w:t>
      </w:r>
      <w:r>
        <w:rPr>
          <w:rStyle w:val="FootnoteReference"/>
        </w:rPr>
        <w:footnoteReference w:id="7"/>
      </w:r>
      <w:r>
        <w:t xml:space="preserve"> yang berhubungan dengan </w:t>
      </w:r>
      <w:r>
        <w:rPr>
          <w:lang w:val="fi-FI"/>
        </w:rPr>
        <w:t xml:space="preserve">pidana mati terhadap permufakatan jahat </w:t>
      </w:r>
      <w:r>
        <w:rPr>
          <w:i/>
          <w:lang w:val="fi-FI"/>
        </w:rPr>
        <w:t>(samenspanning)</w:t>
      </w:r>
      <w:r>
        <w:rPr>
          <w:lang w:val="fi-FI"/>
        </w:rPr>
        <w:t xml:space="preserve"> dalam kejahatan narkotika</w:t>
      </w:r>
      <w:r>
        <w:rPr>
          <w:bCs/>
        </w:rPr>
        <w:t xml:space="preserve"> seperti </w:t>
      </w:r>
      <w:bookmarkStart w:id="1" w:name="_Hlk181052478"/>
      <w:r>
        <w:rPr>
          <w:bCs/>
        </w:rPr>
        <w:t xml:space="preserve">Kitab Undang-Undang Hukum Pidana, Undang-Undang Nomor </w:t>
      </w:r>
      <w:r>
        <w:t xml:space="preserve">35 Tahun 2009 Tentang Narkotika, Perkapolri 12 Tahun 2010 tentang Tata Cara Pelaksanaan Pidana Mati, putusan Mahkamah Konstitusi Republik Indonesia </w:t>
      </w:r>
      <w:r>
        <w:lastRenderedPageBreak/>
        <w:t xml:space="preserve">Nomor 107/PUU-XIII/2015, </w:t>
      </w:r>
      <w:r>
        <w:rPr>
          <w:lang w:val="fi-FI"/>
        </w:rPr>
        <w:t>Putusan Pengadilan Negeri Medan Nomor 1957/Pid.Sus/2023/PN Mdn</w:t>
      </w:r>
      <w:bookmarkEnd w:id="1"/>
      <w:r>
        <w:rPr>
          <w:lang w:val="fi-FI"/>
        </w:rPr>
        <w:t>.</w:t>
      </w:r>
    </w:p>
    <w:p w:rsidR="008374CB" w:rsidRDefault="008374CB" w:rsidP="00F22AF2">
      <w:pPr>
        <w:numPr>
          <w:ilvl w:val="0"/>
          <w:numId w:val="4"/>
        </w:numPr>
        <w:tabs>
          <w:tab w:val="num" w:pos="374"/>
        </w:tabs>
        <w:spacing w:line="480" w:lineRule="auto"/>
        <w:ind w:left="374" w:hanging="374"/>
        <w:jc w:val="both"/>
      </w:pPr>
      <w:r>
        <w:t>Bahan hukum sekunder yaitu data yang langsung dikumpulkan oleh peneliti sebagai penunjang yang tersusun dalam bentuk dokumen-dokumen</w:t>
      </w:r>
      <w:r>
        <w:rPr>
          <w:rStyle w:val="FootnoteReference"/>
        </w:rPr>
        <w:footnoteReference w:id="8"/>
      </w:r>
      <w:r>
        <w:t xml:space="preserve"> antara lain tulisan atau pendapat pakar hukum pidana mengenai </w:t>
      </w:r>
      <w:r>
        <w:rPr>
          <w:bCs/>
        </w:rPr>
        <w:t>hukuman mati terhadap pelaku tindak pidana narkotika</w:t>
      </w:r>
      <w:r>
        <w:t>.</w:t>
      </w:r>
    </w:p>
    <w:p w:rsidR="008374CB" w:rsidRDefault="008374CB" w:rsidP="00F22AF2">
      <w:pPr>
        <w:numPr>
          <w:ilvl w:val="0"/>
          <w:numId w:val="4"/>
        </w:numPr>
        <w:tabs>
          <w:tab w:val="num" w:pos="374"/>
        </w:tabs>
        <w:spacing w:line="480" w:lineRule="auto"/>
        <w:ind w:left="374" w:hanging="374"/>
        <w:jc w:val="both"/>
      </w:pPr>
      <w:r>
        <w:t>Bahan hukum tersier yaitu bahan yang memberi informasi lebih lanjut mengenai bahan hukum primer dan bahan hukum skunder</w:t>
      </w:r>
      <w:r>
        <w:rPr>
          <w:rStyle w:val="FootnoteReference"/>
          <w:i/>
          <w:color w:val="000000"/>
        </w:rPr>
        <w:footnoteReference w:id="9"/>
      </w:r>
      <w:r>
        <w:t xml:space="preserve"> antara lain kamus besar Bahasa Indonesia, jurnal hukum atau majalah yang berkaitan dengan </w:t>
      </w:r>
      <w:r>
        <w:rPr>
          <w:bCs/>
        </w:rPr>
        <w:t>hukuman mati terhadap pelaku tindak pidana narkotika</w:t>
      </w:r>
      <w:r>
        <w:t>.</w:t>
      </w:r>
    </w:p>
    <w:p w:rsidR="008374CB" w:rsidRDefault="008374CB" w:rsidP="00F22AF2">
      <w:pPr>
        <w:numPr>
          <w:ilvl w:val="3"/>
          <w:numId w:val="5"/>
        </w:numPr>
        <w:tabs>
          <w:tab w:val="num" w:pos="360"/>
        </w:tabs>
        <w:spacing w:line="480" w:lineRule="auto"/>
        <w:ind w:left="360"/>
        <w:rPr>
          <w:b/>
        </w:rPr>
      </w:pPr>
      <w:r>
        <w:rPr>
          <w:b/>
        </w:rPr>
        <w:t>Teknik Pengumpulan Data</w:t>
      </w:r>
    </w:p>
    <w:p w:rsidR="008374CB" w:rsidRDefault="008374CB" w:rsidP="008374CB">
      <w:pPr>
        <w:pStyle w:val="BodyTextIndent2"/>
        <w:ind w:left="0" w:firstLine="709"/>
        <w:rPr>
          <w:color w:val="000000"/>
        </w:rPr>
      </w:pPr>
      <w:r>
        <w:rPr>
          <w:color w:val="000000"/>
        </w:rPr>
        <w:t xml:space="preserve">Sesuai dengan metode penelitian yuridis normatif, maka teknik pengumpulan data yang dilakukan yaitu penelitian studi kepustakaan </w:t>
      </w:r>
      <w:r>
        <w:rPr>
          <w:i/>
          <w:color w:val="000000"/>
        </w:rPr>
        <w:t>(library research).</w:t>
      </w:r>
      <w:r>
        <w:rPr>
          <w:rStyle w:val="FootnoteReference"/>
          <w:i/>
          <w:color w:val="000000"/>
        </w:rPr>
        <w:footnoteReference w:id="10"/>
      </w:r>
      <w:r>
        <w:rPr>
          <w:color w:val="000000"/>
        </w:rPr>
        <w:t xml:space="preserve">Data diperoleh melalui beberapa literatur berupa buku-buku ilmiah, peraturan perundang-undangan dan dokumentasi lainnya seperti majalah, internet, jurnal ilmiahserta sumber-sumber teoritis lainnya yang berhubungan dengan </w:t>
      </w:r>
      <w:r>
        <w:rPr>
          <w:lang w:val="fi-FI"/>
        </w:rPr>
        <w:t xml:space="preserve">pidana mati terhadap permufakatan jahat </w:t>
      </w:r>
      <w:r>
        <w:rPr>
          <w:i/>
          <w:lang w:val="fi-FI"/>
        </w:rPr>
        <w:t>(samenspanning)</w:t>
      </w:r>
      <w:r>
        <w:rPr>
          <w:lang w:val="fi-FI"/>
        </w:rPr>
        <w:t xml:space="preserve"> dalam kejahatan narkotika</w:t>
      </w:r>
      <w:r>
        <w:rPr>
          <w:color w:val="000000"/>
        </w:rPr>
        <w:t>.</w:t>
      </w:r>
    </w:p>
    <w:p w:rsidR="008374CB" w:rsidRDefault="008374CB" w:rsidP="008374CB">
      <w:pPr>
        <w:pStyle w:val="BodyTextIndent2"/>
        <w:ind w:left="0" w:firstLine="709"/>
        <w:rPr>
          <w:color w:val="000000"/>
        </w:rPr>
      </w:pPr>
    </w:p>
    <w:p w:rsidR="008374CB" w:rsidRDefault="008374CB" w:rsidP="00F22AF2">
      <w:pPr>
        <w:numPr>
          <w:ilvl w:val="3"/>
          <w:numId w:val="5"/>
        </w:numPr>
        <w:tabs>
          <w:tab w:val="num" w:pos="360"/>
        </w:tabs>
        <w:spacing w:line="480" w:lineRule="auto"/>
        <w:ind w:left="360"/>
        <w:jc w:val="both"/>
        <w:rPr>
          <w:b/>
        </w:rPr>
      </w:pPr>
      <w:r>
        <w:rPr>
          <w:b/>
        </w:rPr>
        <w:t>Analisis Data.</w:t>
      </w:r>
    </w:p>
    <w:p w:rsidR="008374CB" w:rsidRDefault="008374CB" w:rsidP="008374CB">
      <w:pPr>
        <w:spacing w:line="480" w:lineRule="auto"/>
        <w:ind w:firstLine="720"/>
        <w:jc w:val="both"/>
        <w:rPr>
          <w:i/>
        </w:rPr>
      </w:pPr>
      <w:r>
        <w:rPr>
          <w:rFonts w:eastAsia="MS Mincho"/>
        </w:rPr>
        <w:lastRenderedPageBreak/>
        <w:t>Data yang terkumpul tersebut akan dianalisa dengan seksama dengan menggunakan analisis kualitatif atau dijabarkan dengan kalimat.</w:t>
      </w:r>
      <w:r>
        <w:t>Analisis kualitatif adalah analisa yang didasarkan pada paradigma hubungan dinamis antara teori, konsep-konsep dan data yang merupakan umpan balik atau modifikasi yang tetap dari teori dan konsep yang didasarkan pada data yang dikumpulkan</w:t>
      </w:r>
      <w:r>
        <w:rPr>
          <w:i/>
        </w:rPr>
        <w:t>.</w:t>
      </w:r>
    </w:p>
    <w:p w:rsidR="00CE7FEB" w:rsidRPr="008374CB" w:rsidRDefault="00CE7FEB" w:rsidP="008374CB">
      <w:bookmarkStart w:id="2" w:name="_GoBack"/>
      <w:bookmarkEnd w:id="2"/>
    </w:p>
    <w:sectPr w:rsidR="00CE7FEB" w:rsidRPr="008374CB"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765C" w:rsidRDefault="0000765C" w:rsidP="002D79FF">
      <w:r>
        <w:separator/>
      </w:r>
    </w:p>
  </w:endnote>
  <w:endnote w:type="continuationSeparator" w:id="1">
    <w:p w:rsidR="0000765C" w:rsidRDefault="0000765C"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00765C">
    <w:pPr>
      <w:pStyle w:val="Footer"/>
      <w:jc w:val="center"/>
    </w:pPr>
  </w:p>
  <w:p w:rsidR="00630637" w:rsidRDefault="000076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765C" w:rsidRDefault="0000765C" w:rsidP="002D79FF">
      <w:r>
        <w:separator/>
      </w:r>
    </w:p>
  </w:footnote>
  <w:footnote w:type="continuationSeparator" w:id="1">
    <w:p w:rsidR="0000765C" w:rsidRDefault="0000765C" w:rsidP="002D79FF">
      <w:r>
        <w:continuationSeparator/>
      </w:r>
    </w:p>
  </w:footnote>
  <w:footnote w:id="2">
    <w:p w:rsidR="008374CB" w:rsidRDefault="008374CB" w:rsidP="008374CB">
      <w:pPr>
        <w:pStyle w:val="FootnoteText"/>
        <w:ind w:firstLine="709"/>
        <w:jc w:val="both"/>
      </w:pPr>
      <w:r>
        <w:rPr>
          <w:rStyle w:val="FootnoteReference"/>
        </w:rPr>
        <w:t>36</w:t>
      </w:r>
      <w:r>
        <w:t xml:space="preserve">Soerjono Soekanto, </w:t>
      </w:r>
      <w:r>
        <w:rPr>
          <w:i/>
        </w:rPr>
        <w:t xml:space="preserve">Pengantar Penelitian Hukum, </w:t>
      </w:r>
      <w:r>
        <w:t>Universitas Indonesia, Jakarta, 2014, h.10.</w:t>
      </w:r>
    </w:p>
  </w:footnote>
  <w:footnote w:id="3">
    <w:p w:rsidR="008374CB" w:rsidRDefault="008374CB" w:rsidP="008374CB">
      <w:pPr>
        <w:pStyle w:val="FootnoteText"/>
        <w:ind w:firstLine="709"/>
        <w:jc w:val="both"/>
      </w:pPr>
      <w:r>
        <w:rPr>
          <w:rStyle w:val="FootnoteReference"/>
        </w:rPr>
        <w:t>37</w:t>
      </w:r>
      <w:r>
        <w:t xml:space="preserve">Bambang  Sunggono, </w:t>
      </w:r>
      <w:r>
        <w:rPr>
          <w:i/>
        </w:rPr>
        <w:t>Metode Penelitian Hukum</w:t>
      </w:r>
      <w:r>
        <w:t>, PT. Raja Grafindo Perkasa, Jakarta, 2018, h.36</w:t>
      </w:r>
    </w:p>
  </w:footnote>
  <w:footnote w:id="4">
    <w:p w:rsidR="008374CB" w:rsidRDefault="008374CB" w:rsidP="008374CB">
      <w:pPr>
        <w:pStyle w:val="FootnoteText"/>
        <w:ind w:firstLine="709"/>
        <w:jc w:val="both"/>
      </w:pPr>
      <w:r>
        <w:rPr>
          <w:rStyle w:val="FootnoteReference"/>
        </w:rPr>
        <w:footnoteRef/>
      </w:r>
      <w:bookmarkStart w:id="0" w:name="_Hlk182417594"/>
      <w:r>
        <w:t xml:space="preserve">Peter Marzuki Mahmud, </w:t>
      </w:r>
      <w:r>
        <w:rPr>
          <w:i/>
        </w:rPr>
        <w:t>Penelitian Hukum</w:t>
      </w:r>
      <w:r>
        <w:t>,  Prenada Media Grub, Jakarta, 2014</w:t>
      </w:r>
      <w:bookmarkEnd w:id="0"/>
      <w:r>
        <w:t>, h.133</w:t>
      </w:r>
    </w:p>
  </w:footnote>
  <w:footnote w:id="5">
    <w:p w:rsidR="008374CB" w:rsidRDefault="008374CB" w:rsidP="008374CB">
      <w:pPr>
        <w:pStyle w:val="FootnoteText"/>
        <w:ind w:firstLine="709"/>
      </w:pPr>
      <w:r>
        <w:rPr>
          <w:rStyle w:val="FootnoteReference"/>
        </w:rPr>
        <w:footnoteRef/>
      </w:r>
      <w:r>
        <w:rPr>
          <w:i/>
        </w:rPr>
        <w:t>Ibid</w:t>
      </w:r>
      <w:r>
        <w:t>, h.134.</w:t>
      </w:r>
    </w:p>
  </w:footnote>
  <w:footnote w:id="6">
    <w:p w:rsidR="008374CB" w:rsidRDefault="008374CB" w:rsidP="008374CB">
      <w:pPr>
        <w:pStyle w:val="FootnoteText"/>
        <w:ind w:firstLine="709"/>
        <w:jc w:val="both"/>
      </w:pPr>
      <w:r>
        <w:rPr>
          <w:rStyle w:val="FootnoteReference"/>
        </w:rPr>
        <w:footnoteRef/>
      </w:r>
      <w:r>
        <w:t xml:space="preserve">Eka NAM Sembiring dan Cynthia Hadita, </w:t>
      </w:r>
      <w:r>
        <w:rPr>
          <w:i/>
        </w:rPr>
        <w:t>Penelitian Hukum</w:t>
      </w:r>
      <w:r>
        <w:t>, Malang Setara Press, 2022, h.51.</w:t>
      </w:r>
    </w:p>
  </w:footnote>
  <w:footnote w:id="7">
    <w:p w:rsidR="008374CB" w:rsidRDefault="008374CB" w:rsidP="008374CB">
      <w:pPr>
        <w:pStyle w:val="FootnoteText"/>
        <w:ind w:firstLine="709"/>
      </w:pPr>
      <w:r>
        <w:rPr>
          <w:rStyle w:val="FootnoteReference"/>
        </w:rPr>
        <w:footnoteRef/>
      </w:r>
      <w:r>
        <w:t xml:space="preserve"> Bambang Sunggono, </w:t>
      </w:r>
      <w:r>
        <w:rPr>
          <w:i/>
        </w:rPr>
        <w:t>Op.Cit</w:t>
      </w:r>
      <w:r>
        <w:t xml:space="preserve"> h.49.</w:t>
      </w:r>
    </w:p>
  </w:footnote>
  <w:footnote w:id="8">
    <w:p w:rsidR="008374CB" w:rsidRDefault="008374CB" w:rsidP="008374CB">
      <w:pPr>
        <w:pStyle w:val="FootnoteText"/>
        <w:ind w:firstLine="709"/>
        <w:jc w:val="both"/>
      </w:pPr>
      <w:r>
        <w:rPr>
          <w:rStyle w:val="FootnoteReference"/>
        </w:rPr>
        <w:footnoteRef/>
      </w:r>
      <w:r>
        <w:t>Sandu Siyoto dan Ali Sodik.</w:t>
      </w:r>
      <w:r>
        <w:rPr>
          <w:i/>
          <w:iCs/>
        </w:rPr>
        <w:t>Dasar Metodologi Penelitian,</w:t>
      </w:r>
      <w:r>
        <w:t xml:space="preserve"> Literasi Media Publishing, Yogyakarta, 2015, h.27.  </w:t>
      </w:r>
    </w:p>
  </w:footnote>
  <w:footnote w:id="9">
    <w:p w:rsidR="008374CB" w:rsidRDefault="008374CB" w:rsidP="008374CB">
      <w:pPr>
        <w:pStyle w:val="FootnoteText"/>
        <w:ind w:firstLine="709"/>
        <w:jc w:val="both"/>
      </w:pPr>
      <w:r>
        <w:rPr>
          <w:rStyle w:val="FootnoteReference"/>
        </w:rPr>
        <w:footnoteRef/>
      </w:r>
      <w:r>
        <w:t xml:space="preserve">Eka NAM Sembiring dan Cynthia Hadita, </w:t>
      </w:r>
      <w:r>
        <w:rPr>
          <w:i/>
        </w:rPr>
        <w:t>Op.Cit</w:t>
      </w:r>
      <w:r>
        <w:t>, h.55.</w:t>
      </w:r>
    </w:p>
  </w:footnote>
  <w:footnote w:id="10">
    <w:p w:rsidR="008374CB" w:rsidRDefault="008374CB" w:rsidP="008374CB">
      <w:pPr>
        <w:pStyle w:val="FootnoteText"/>
        <w:ind w:firstLine="709"/>
        <w:jc w:val="both"/>
      </w:pPr>
      <w:r>
        <w:rPr>
          <w:rStyle w:val="FootnoteReference"/>
        </w:rPr>
        <w:footnoteRef/>
      </w:r>
      <w:r>
        <w:rPr>
          <w:i/>
        </w:rPr>
        <w:t>Ibid</w:t>
      </w:r>
      <w:r>
        <w:t>, h.51.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00765C">
    <w:pPr>
      <w:pStyle w:val="Header"/>
      <w:jc w:val="right"/>
    </w:pPr>
  </w:p>
  <w:p w:rsidR="00630637" w:rsidRPr="007E1322" w:rsidRDefault="00F22AF2"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00765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4666DA"/>
    <w:multiLevelType w:val="hybridMultilevel"/>
    <w:tmpl w:val="1CFA07C8"/>
    <w:lvl w:ilvl="0" w:tplc="04090019">
      <w:start w:val="1"/>
      <w:numFmt w:val="lowerLetter"/>
      <w:lvlText w:val="%1."/>
      <w:lvlJc w:val="left"/>
      <w:pPr>
        <w:tabs>
          <w:tab w:val="num" w:pos="1440"/>
        </w:tabs>
        <w:ind w:left="1440" w:hanging="360"/>
      </w:pPr>
      <w:rPr>
        <w:rFonts w:cs="Times New Roman"/>
      </w:rPr>
    </w:lvl>
    <w:lvl w:ilvl="1" w:tplc="04090011">
      <w:start w:val="1"/>
      <w:numFmt w:val="decimal"/>
      <w:lvlText w:val="%2)"/>
      <w:lvlJc w:val="left"/>
      <w:pPr>
        <w:tabs>
          <w:tab w:val="num" w:pos="2160"/>
        </w:tabs>
        <w:ind w:left="2160" w:hanging="360"/>
      </w:pPr>
      <w:rPr>
        <w:rFonts w:cs="Times New Roman"/>
      </w:rPr>
    </w:lvl>
    <w:lvl w:ilvl="2" w:tplc="04090019">
      <w:start w:val="1"/>
      <w:numFmt w:val="lowerLetter"/>
      <w:lvlText w:val="%3."/>
      <w:lvlJc w:val="left"/>
      <w:pPr>
        <w:tabs>
          <w:tab w:val="num" w:pos="3060"/>
        </w:tabs>
        <w:ind w:left="3060" w:hanging="360"/>
      </w:pPr>
      <w:rPr>
        <w:rFonts w:cs="Times New Roman"/>
      </w:rPr>
    </w:lvl>
    <w:lvl w:ilvl="3" w:tplc="1ADA9E1C">
      <w:start w:val="1"/>
      <w:numFmt w:val="decimal"/>
      <w:lvlText w:val="%4."/>
      <w:lvlJc w:val="left"/>
      <w:pPr>
        <w:tabs>
          <w:tab w:val="num" w:pos="3600"/>
        </w:tabs>
        <w:ind w:left="3600" w:hanging="360"/>
      </w:pPr>
      <w:rPr>
        <w:rFonts w:cs="Times New Roman"/>
      </w:rPr>
    </w:lvl>
    <w:lvl w:ilvl="4" w:tplc="F9FE1D06">
      <w:start w:val="1"/>
      <w:numFmt w:val="decimal"/>
      <w:lvlText w:val="%5."/>
      <w:lvlJc w:val="left"/>
      <w:pPr>
        <w:tabs>
          <w:tab w:val="num" w:pos="4320"/>
        </w:tabs>
        <w:ind w:left="4320" w:hanging="360"/>
      </w:pPr>
      <w:rPr>
        <w:rFonts w:ascii="Times New Roman" w:eastAsia="Times New Roman" w:hAnsi="Times New Roman" w:cs="Times New Roman" w:hint="default"/>
        <w:i w:val="0"/>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3">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4">
    <w:nsid w:val="57D67D0E"/>
    <w:multiLevelType w:val="multilevel"/>
    <w:tmpl w:val="91969C0A"/>
    <w:lvl w:ilvl="0">
      <w:start w:val="1"/>
      <w:numFmt w:val="lowerLetter"/>
      <w:lvlText w:val="%1."/>
      <w:lvlJc w:val="left"/>
      <w:pPr>
        <w:tabs>
          <w:tab w:val="num" w:pos="1069"/>
        </w:tabs>
        <w:ind w:left="1069"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upperLetter"/>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690A6F4C"/>
    <w:multiLevelType w:val="hybridMultilevel"/>
    <w:tmpl w:val="F4805492"/>
    <w:lvl w:ilvl="0" w:tplc="D960F4FC">
      <w:start w:val="1"/>
      <w:numFmt w:val="decimal"/>
      <w:lvlText w:val="%1."/>
      <w:lvlJc w:val="left"/>
      <w:pPr>
        <w:tabs>
          <w:tab w:val="num" w:pos="660"/>
        </w:tabs>
        <w:ind w:left="660" w:hanging="36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3"/>
  </w:num>
  <w:num w:numId="2">
    <w:abstractNumId w:val="0"/>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u6ezej00NsTpCWOaXExPbxmt8G0=" w:salt="jM78LcAB9r6P1PXYPWCIkQ=="/>
  <w:defaultTabStop w:val="720"/>
  <w:characterSpacingControl w:val="doNotCompress"/>
  <w:footnotePr>
    <w:footnote w:id="0"/>
    <w:footnote w:id="1"/>
  </w:footnotePr>
  <w:endnotePr>
    <w:endnote w:id="0"/>
    <w:endnote w:id="1"/>
  </w:endnotePr>
  <w:compat/>
  <w:rsids>
    <w:rsidRoot w:val="00CE7FEB"/>
    <w:rsid w:val="00004A2D"/>
    <w:rsid w:val="0000765C"/>
    <w:rsid w:val="00050032"/>
    <w:rsid w:val="002D79FF"/>
    <w:rsid w:val="00390270"/>
    <w:rsid w:val="00490063"/>
    <w:rsid w:val="008374CB"/>
    <w:rsid w:val="008538D8"/>
    <w:rsid w:val="00C52FF9"/>
    <w:rsid w:val="00C72C38"/>
    <w:rsid w:val="00C81419"/>
    <w:rsid w:val="00CA50A6"/>
    <w:rsid w:val="00CB0398"/>
    <w:rsid w:val="00CE7FEB"/>
    <w:rsid w:val="00DE627E"/>
    <w:rsid w:val="00F17F5D"/>
    <w:rsid w:val="00F21187"/>
    <w:rsid w:val="00F22AF2"/>
    <w:rsid w:val="00F9426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99"/>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99"/>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
    <w:basedOn w:val="Normal"/>
    <w:link w:val="FootnoteTextChar"/>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uiPriority w:val="99"/>
    <w:qFormat/>
    <w:rsid w:val="00C72C38"/>
    <w:pPr>
      <w:spacing w:line="480" w:lineRule="auto"/>
      <w:jc w:val="center"/>
    </w:pPr>
    <w:rPr>
      <w:b/>
      <w:szCs w:val="20"/>
    </w:rPr>
  </w:style>
  <w:style w:type="character" w:customStyle="1" w:styleId="SubtitleChar">
    <w:name w:val="Subtitle Char"/>
    <w:basedOn w:val="DefaultParagraphFont"/>
    <w:link w:val="Subtitle"/>
    <w:uiPriority w:val="99"/>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numPr>
        <w:numId w:val="1"/>
      </w:numPr>
      <w:tabs>
        <w:tab w:val="num" w:pos="284"/>
      </w:tabs>
      <w:spacing w:line="480" w:lineRule="auto"/>
      <w:ind w:left="0" w:firstLine="0"/>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numPr>
        <w:numId w:val="2"/>
      </w:numPr>
      <w:jc w:val="both"/>
      <w:outlineLvl w:val="2"/>
    </w:pPr>
    <w:rPr>
      <w:rFonts w:ascii="MS Serif" w:hAnsi="MS Serif"/>
      <w:b/>
      <w:szCs w:val="20"/>
    </w:rPr>
  </w:style>
  <w:style w:type="paragraph" w:styleId="Heading4">
    <w:name w:val="heading 4"/>
    <w:basedOn w:val="Normal"/>
    <w:next w:val="Normal"/>
    <w:link w:val="Heading4Char"/>
    <w:qFormat/>
    <w:rsid w:val="00490063"/>
    <w:pPr>
      <w:keepNext/>
      <w:numPr>
        <w:numId w:val="3"/>
      </w:numPr>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99"/>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99"/>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
    <w:basedOn w:val="Normal"/>
    <w:link w:val="FootnoteTextChar"/>
    <w:qFormat/>
    <w:rsid w:val="002D79FF"/>
    <w:rPr>
      <w:sz w:val="20"/>
      <w:szCs w:val="20"/>
    </w:rPr>
  </w:style>
  <w:style w:type="character" w:customStyle="1" w:styleId="FootnoteTextChar">
    <w:name w:val="Footnote Text Char"/>
    <w:aliases w:val="Char Char, Char Char Char Char Char, Char Char Char Char1,Char Char1, Char Char,Footnote Text Char1 Char,Footnote Text Char Char Char,Char Char Char1 Char,Char Char Char Char Char Char1 Char,Char Char Char Char1 Char,Char Char1 Char"/>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uiPriority w:val="99"/>
    <w:qFormat/>
    <w:rsid w:val="00C72C38"/>
    <w:pPr>
      <w:spacing w:line="480" w:lineRule="auto"/>
      <w:jc w:val="center"/>
    </w:pPr>
    <w:rPr>
      <w:b/>
      <w:szCs w:val="20"/>
    </w:rPr>
  </w:style>
  <w:style w:type="character" w:customStyle="1" w:styleId="SubtitleChar">
    <w:name w:val="Subtitle Char"/>
    <w:basedOn w:val="DefaultParagraphFont"/>
    <w:link w:val="Subtitle"/>
    <w:uiPriority w:val="99"/>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2026-04-06T04:30:00Z</dcterms:created>
  <dcterms:modified xsi:type="dcterms:W3CDTF">2026-04-06T04:30:00Z</dcterms:modified>
</cp:coreProperties>
</file>