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5B9" w:rsidRDefault="00D175B9" w:rsidP="00D175B9">
      <w:pPr>
        <w:pStyle w:val="BodyText"/>
        <w:tabs>
          <w:tab w:val="left" w:pos="8100"/>
        </w:tabs>
        <w:spacing w:line="480" w:lineRule="auto"/>
        <w:jc w:val="center"/>
        <w:rPr>
          <w:rFonts w:ascii="Times New Roman" w:hAnsi="Times New Roman"/>
          <w:b/>
          <w:szCs w:val="24"/>
        </w:rPr>
      </w:pPr>
      <w:r>
        <w:rPr>
          <w:rFonts w:ascii="Times New Roman" w:hAnsi="Times New Roman"/>
          <w:b/>
          <w:szCs w:val="24"/>
        </w:rPr>
        <w:t>BAB IV</w:t>
      </w:r>
    </w:p>
    <w:p w:rsidR="00D175B9" w:rsidRDefault="00D175B9" w:rsidP="00D175B9">
      <w:pPr>
        <w:pStyle w:val="BodyText"/>
        <w:tabs>
          <w:tab w:val="left" w:pos="8100"/>
        </w:tabs>
        <w:spacing w:line="480" w:lineRule="auto"/>
        <w:jc w:val="center"/>
        <w:rPr>
          <w:rFonts w:ascii="Times New Roman" w:hAnsi="Times New Roman"/>
          <w:b/>
          <w:szCs w:val="24"/>
        </w:rPr>
      </w:pPr>
      <w:r>
        <w:rPr>
          <w:rFonts w:ascii="Times New Roman" w:hAnsi="Times New Roman"/>
          <w:b/>
          <w:szCs w:val="24"/>
        </w:rPr>
        <w:t>HASIL PENELITIAN DAN PEMBAHASAN</w:t>
      </w:r>
    </w:p>
    <w:p w:rsidR="00D175B9" w:rsidRDefault="00D175B9" w:rsidP="00DE3A45">
      <w:pPr>
        <w:pStyle w:val="BodyText"/>
        <w:numPr>
          <w:ilvl w:val="2"/>
          <w:numId w:val="5"/>
        </w:numPr>
        <w:tabs>
          <w:tab w:val="num" w:pos="360"/>
        </w:tabs>
        <w:spacing w:line="480" w:lineRule="auto"/>
        <w:ind w:left="360"/>
        <w:rPr>
          <w:rFonts w:ascii="Times New Roman" w:hAnsi="Times New Roman"/>
          <w:b/>
          <w:szCs w:val="24"/>
        </w:rPr>
      </w:pPr>
      <w:r>
        <w:rPr>
          <w:rFonts w:ascii="Times New Roman" w:hAnsi="Times New Roman"/>
          <w:b/>
          <w:szCs w:val="24"/>
          <w:lang w:val="sv-SE"/>
        </w:rPr>
        <w:t xml:space="preserve">Pengaturan Hukum Pidana Mati </w:t>
      </w:r>
      <w:r>
        <w:rPr>
          <w:rFonts w:ascii="Times New Roman" w:hAnsi="Times New Roman"/>
          <w:b/>
          <w:szCs w:val="24"/>
          <w:lang w:val="fi-FI"/>
        </w:rPr>
        <w:t xml:space="preserve">Permufakatan Jahat </w:t>
      </w:r>
      <w:r>
        <w:rPr>
          <w:rFonts w:ascii="Times New Roman" w:hAnsi="Times New Roman"/>
          <w:b/>
          <w:i/>
          <w:szCs w:val="24"/>
          <w:lang w:val="fi-FI"/>
        </w:rPr>
        <w:t>(Samenspanning)</w:t>
      </w:r>
      <w:r>
        <w:rPr>
          <w:rFonts w:ascii="Times New Roman" w:hAnsi="Times New Roman"/>
          <w:b/>
          <w:szCs w:val="24"/>
          <w:lang w:val="fi-FI"/>
        </w:rPr>
        <w:t xml:space="preserve"> Dalam </w:t>
      </w:r>
      <w:r>
        <w:rPr>
          <w:rFonts w:ascii="Times New Roman" w:hAnsi="Times New Roman"/>
          <w:b/>
          <w:szCs w:val="24"/>
          <w:lang w:val="sv-SE"/>
        </w:rPr>
        <w:t xml:space="preserve">Tindak Pidana Narkotika </w:t>
      </w:r>
    </w:p>
    <w:p w:rsidR="00D175B9" w:rsidRDefault="00D175B9" w:rsidP="00DE3A45">
      <w:pPr>
        <w:pStyle w:val="BodyText"/>
        <w:numPr>
          <w:ilvl w:val="4"/>
          <w:numId w:val="6"/>
        </w:numPr>
        <w:tabs>
          <w:tab w:val="clear" w:pos="709"/>
          <w:tab w:val="num" w:pos="720"/>
        </w:tabs>
        <w:spacing w:line="480" w:lineRule="auto"/>
        <w:ind w:left="720"/>
        <w:rPr>
          <w:rFonts w:ascii="Times New Roman" w:hAnsi="Times New Roman"/>
          <w:b/>
          <w:szCs w:val="24"/>
        </w:rPr>
      </w:pPr>
      <w:r>
        <w:rPr>
          <w:rFonts w:ascii="Times New Roman" w:hAnsi="Times New Roman"/>
          <w:b/>
          <w:szCs w:val="24"/>
        </w:rPr>
        <w:t>KUHPidana dan Undang-Undang Nomor 1 Tahun 2023 Tentang KUHP.</w:t>
      </w:r>
    </w:p>
    <w:p w:rsidR="00D175B9" w:rsidRDefault="00D175B9" w:rsidP="00D175B9">
      <w:pPr>
        <w:pStyle w:val="BodyText"/>
        <w:spacing w:line="480" w:lineRule="auto"/>
        <w:ind w:firstLine="709"/>
        <w:rPr>
          <w:rFonts w:ascii="Times New Roman" w:hAnsi="Times New Roman"/>
        </w:rPr>
      </w:pPr>
      <w:r>
        <w:rPr>
          <w:rFonts w:ascii="Times New Roman" w:hAnsi="Times New Roman"/>
        </w:rPr>
        <w:t>Hukuman mati diatur dalam Pasal 10 KUHP sebagai salah satu pidana pokok. Pasal 10 KUHP menyebutkan bahwa pidana pokok terdiri dari pidana mati, pidana penjara, pidana kurungan, pidana denda, dan pidana tutupan. Pidana mati merupakan hukuman terberat yang dapat dijatuhkan oleh pengadilan.</w:t>
      </w:r>
    </w:p>
    <w:p w:rsidR="00D175B9" w:rsidRDefault="00D175B9" w:rsidP="00D175B9">
      <w:pPr>
        <w:pStyle w:val="BodyText"/>
        <w:spacing w:line="480" w:lineRule="auto"/>
        <w:ind w:firstLine="709"/>
        <w:rPr>
          <w:rFonts w:ascii="Times New Roman" w:hAnsi="Times New Roman"/>
        </w:rPr>
      </w:pPr>
      <w:r>
        <w:rPr>
          <w:rFonts w:ascii="Times New Roman" w:hAnsi="Times New Roman"/>
        </w:rPr>
        <w:t>Pasal 10 KUHP menempatkan pidana mati sebagai salah satu jenis pidana pokok. Artinya, pidana mati adalah jenis hukuman utama yang dapat dijatuhkan oleh pengadilan.</w:t>
      </w:r>
      <w:r>
        <w:rPr>
          <w:rStyle w:val="uv3um"/>
          <w:rFonts w:ascii="Times New Roman" w:hAnsi="Times New Roman"/>
        </w:rPr>
        <w:t xml:space="preserve">  </w:t>
      </w:r>
      <w:r>
        <w:rPr>
          <w:rFonts w:ascii="Times New Roman" w:hAnsi="Times New Roman"/>
        </w:rPr>
        <w:t>Pidana mati merupakan hukuman terberat dalam hukum pidana Indonesia. Hukuman ini hanya dapat dijatuhkan dalam kasus-kasus tertentu dengan mempertimbangkan berbagai faktor, seperti keadaan yang memberatkan dan tidak adanya keadaan yang meringankan.</w:t>
      </w:r>
    </w:p>
    <w:p w:rsidR="00D175B9" w:rsidRDefault="00D175B9" w:rsidP="00D175B9">
      <w:pPr>
        <w:pStyle w:val="BodyText"/>
        <w:spacing w:line="480" w:lineRule="auto"/>
        <w:ind w:firstLine="709"/>
        <w:rPr>
          <w:rFonts w:ascii="Times New Roman" w:hAnsi="Times New Roman"/>
        </w:rPr>
      </w:pPr>
      <w:r>
        <w:rPr>
          <w:rFonts w:ascii="Times New Roman" w:hAnsi="Times New Roman"/>
        </w:rPr>
        <w:t xml:space="preserve">KUHP baru yang dimuat dalam </w:t>
      </w:r>
      <w:hyperlink r:id="rId7" w:history="1">
        <w:r>
          <w:rPr>
            <w:rStyle w:val="Hyperlink"/>
            <w:rFonts w:ascii="Times New Roman" w:hAnsi="Times New Roman"/>
            <w:color w:val="000000"/>
          </w:rPr>
          <w:t>UU Nomor 1 Tahun 2023</w:t>
        </w:r>
      </w:hyperlink>
      <w:r>
        <w:rPr>
          <w:rFonts w:ascii="Times New Roman" w:hAnsi="Times New Roman"/>
        </w:rPr>
        <w:t xml:space="preserve"> Tentang KUHP (KUHP 2023) yang mulai berlaku 3 tahun terhitung sejak tanggal diundangkanyakni pada tahun 2026 mengatur pidana mati diancamkan secara alternatif sebagai upaya terakhir untuk mencegah dilakukannya tindak pidana dan mengayomi masyarakat.</w:t>
      </w:r>
    </w:p>
    <w:p w:rsidR="00D175B9" w:rsidRDefault="00D175B9" w:rsidP="00D175B9">
      <w:pPr>
        <w:pStyle w:val="BodyText"/>
        <w:spacing w:line="480" w:lineRule="auto"/>
        <w:ind w:firstLine="709"/>
        <w:rPr>
          <w:rFonts w:ascii="Times New Roman" w:hAnsi="Times New Roman"/>
        </w:rPr>
      </w:pPr>
      <w:r>
        <w:rPr>
          <w:rFonts w:ascii="Times New Roman" w:hAnsi="Times New Roman"/>
        </w:rPr>
        <w:t xml:space="preserve">Pidana mati dalam KUHP 2023 tidak terdapat dalam stelsel pidana pokok. Pidana mati ditentukan dalam pasal tersendiri untuk menunjukkan bahwa jenis </w:t>
      </w:r>
      <w:r>
        <w:rPr>
          <w:rFonts w:ascii="Times New Roman" w:hAnsi="Times New Roman"/>
        </w:rPr>
        <w:lastRenderedPageBreak/>
        <w:t>pidana ini benar-benar bersifat khusus sebagai upaya terakhir untuk mengayomi masyarakat. Pidana mati adalah pidana yang paling berat dan harus selalu diancamkan secara altematif dengan pidana penjara seumur hidup atau pidana penjara paling lama 20 tahun.</w:t>
      </w:r>
    </w:p>
    <w:p w:rsidR="00D175B9" w:rsidRDefault="00D175B9" w:rsidP="00D175B9">
      <w:pPr>
        <w:pStyle w:val="BodyText"/>
        <w:spacing w:line="480" w:lineRule="auto"/>
        <w:ind w:firstLine="709"/>
        <w:rPr>
          <w:rFonts w:ascii="Times New Roman" w:hAnsi="Times New Roman"/>
        </w:rPr>
      </w:pPr>
      <w:r>
        <w:rPr>
          <w:rFonts w:ascii="Times New Roman" w:hAnsi="Times New Roman"/>
        </w:rPr>
        <w:t>Menurut Pasal Pasal 100 ayat (1) KUHP 2023, pidana mati ini dapat dilaksanakan setelah permohonan grasi bagi terpidana ditolak Presiden. Hakim menjatuhkan pidana mati dengan masa percobaan selama 10 tahun dengan memperhatikan:</w:t>
      </w:r>
    </w:p>
    <w:p w:rsidR="00D175B9" w:rsidRDefault="00D175B9" w:rsidP="00DE3A45">
      <w:pPr>
        <w:pStyle w:val="BodyText"/>
        <w:numPr>
          <w:ilvl w:val="0"/>
          <w:numId w:val="8"/>
        </w:numPr>
        <w:tabs>
          <w:tab w:val="num" w:pos="360"/>
        </w:tabs>
        <w:spacing w:line="480" w:lineRule="auto"/>
        <w:ind w:left="360"/>
        <w:rPr>
          <w:rFonts w:ascii="Times New Roman" w:hAnsi="Times New Roman"/>
        </w:rPr>
      </w:pPr>
      <w:r>
        <w:rPr>
          <w:rFonts w:ascii="Times New Roman" w:hAnsi="Times New Roman"/>
        </w:rPr>
        <w:t>Rasa penyesalan terdakwa dan ada harapan untuk memperbaiki diri;</w:t>
      </w:r>
    </w:p>
    <w:p w:rsidR="00D175B9" w:rsidRDefault="00D175B9" w:rsidP="00DE3A45">
      <w:pPr>
        <w:pStyle w:val="BodyText"/>
        <w:numPr>
          <w:ilvl w:val="0"/>
          <w:numId w:val="8"/>
        </w:numPr>
        <w:tabs>
          <w:tab w:val="num" w:pos="360"/>
        </w:tabs>
        <w:spacing w:line="480" w:lineRule="auto"/>
        <w:ind w:left="360"/>
        <w:rPr>
          <w:rFonts w:ascii="Times New Roman" w:hAnsi="Times New Roman"/>
        </w:rPr>
      </w:pPr>
      <w:r>
        <w:rPr>
          <w:rFonts w:ascii="Times New Roman" w:hAnsi="Times New Roman"/>
        </w:rPr>
        <w:t>Peran terdakwa dalam tindak pidana.</w:t>
      </w:r>
    </w:p>
    <w:p w:rsidR="00D175B9" w:rsidRDefault="00D175B9" w:rsidP="00D175B9">
      <w:pPr>
        <w:pStyle w:val="NormalWeb"/>
        <w:spacing w:before="0" w:beforeAutospacing="0" w:after="0" w:afterAutospacing="0" w:line="480" w:lineRule="auto"/>
        <w:ind w:firstLine="709"/>
        <w:jc w:val="both"/>
      </w:pPr>
      <w:r>
        <w:t xml:space="preserve">Pidana mati dengan masa percobaan ini harus dicantumkan dalam putusan pengadilan. Tenggang waktu masa percobaan 10 tahun dimulai 1 hari setelah putusan pengadilan memperoleh kekuatan hukum tetap. apabila terpidana selama masa percobaan menunjukkan sikap dan perbuatan yang terpuji, pidana mati dapat diubah menjadi pidana penjara seumur hidup dengan Keputusan Presiden setelah mendapatkan pertimbangan Mahkamah Agung. Pidana penjara seumur hidup akan dihitung sejak Keputusan Presiden ditetapkan. Sebaliknya jika terpidana selama masa percobaan tidak menunjukkan sikap dan perbuatan yang terpuji serta tidak ada harapan untuk diperbaiki, pidana mati dapat dilaksanakan atas perintah Jaksa Agung. </w:t>
      </w:r>
    </w:p>
    <w:p w:rsidR="00D175B9" w:rsidRDefault="00D175B9" w:rsidP="00D175B9">
      <w:pPr>
        <w:pStyle w:val="BodyText"/>
        <w:spacing w:line="480" w:lineRule="auto"/>
        <w:ind w:firstLine="709"/>
        <w:rPr>
          <w:rFonts w:ascii="Times New Roman" w:hAnsi="Times New Roman"/>
        </w:rPr>
      </w:pPr>
      <w:r>
        <w:rPr>
          <w:rFonts w:ascii="Times New Roman" w:hAnsi="Times New Roman"/>
        </w:rPr>
        <w:t xml:space="preserve">Khusus hukuman mati terhadap pelaku tindak pidana mati,  KUHP mengatur tindak pidana narkotika secara umum dan tidak memiliki pedoman pemidanaan sedangkan dalam  KUHP 2023 pengguna narkotika  dikategorikan </w:t>
      </w:r>
      <w:r>
        <w:rPr>
          <w:rFonts w:ascii="Times New Roman" w:hAnsi="Times New Roman"/>
        </w:rPr>
        <w:lastRenderedPageBreak/>
        <w:t>sebagai korban dan bukan pelaku tindak pidana. Pengguna narkotika tidak lagi akan dipidana penjara, melainkan akan direhabilitasi. KUHP 2023 juga mengatur tentang tindakan rehabilitasi bagi pecandu narkotika dalam Pasal 103 dan 105.</w:t>
      </w:r>
    </w:p>
    <w:p w:rsidR="00D175B9" w:rsidRDefault="00D175B9" w:rsidP="00D175B9">
      <w:pPr>
        <w:pStyle w:val="BodyText"/>
        <w:spacing w:line="480" w:lineRule="auto"/>
        <w:ind w:firstLine="709"/>
        <w:rPr>
          <w:rStyle w:val="uv3um"/>
        </w:rPr>
      </w:pPr>
      <w:r>
        <w:rPr>
          <w:rFonts w:ascii="Times New Roman" w:hAnsi="Times New Roman"/>
        </w:rPr>
        <w:t>KUHP 2023 mengatur pidana mati dengan masa percobaan selama 10 tahun. Jika terpidana menunjukkan sikap dan perbuatan terpuji selama masa percobaan, pidana mati dapat diubah menjadi pidana penjara seumur hidup. Namun, jika terpidana tidak menunjukkan perubahan positif, pidana mati dapat dilaksanakan.</w:t>
      </w:r>
      <w:r>
        <w:rPr>
          <w:rStyle w:val="uv3um"/>
          <w:rFonts w:ascii="Times New Roman" w:hAnsi="Times New Roman"/>
        </w:rPr>
        <w:t> </w:t>
      </w:r>
    </w:p>
    <w:p w:rsidR="00D175B9" w:rsidRDefault="00D175B9" w:rsidP="00D175B9">
      <w:pPr>
        <w:pStyle w:val="BodyText"/>
        <w:spacing w:line="480" w:lineRule="auto"/>
        <w:ind w:firstLine="709"/>
        <w:rPr>
          <w:rStyle w:val="uv3um"/>
          <w:rFonts w:ascii="Times New Roman" w:hAnsi="Times New Roman"/>
        </w:rPr>
      </w:pPr>
      <w:r>
        <w:rPr>
          <w:rFonts w:ascii="Times New Roman" w:hAnsi="Times New Roman"/>
        </w:rPr>
        <w:t xml:space="preserve">Penerapan pidana mati dalam KUHP 2023 bersifat </w:t>
      </w:r>
      <w:r>
        <w:rPr>
          <w:rFonts w:ascii="Times New Roman" w:hAnsi="Times New Roman"/>
          <w:i/>
        </w:rPr>
        <w:t>ultimum remedium</w:t>
      </w:r>
      <w:r>
        <w:rPr>
          <w:rFonts w:ascii="Times New Roman" w:hAnsi="Times New Roman"/>
        </w:rPr>
        <w:t xml:space="preserve"> (alternatif terakhir). Ini berarti pidana mati tidak langsung dilaksanakan, melainkan diberikan kesempatan kepada terpidana untuk memperbaiki diri selama masa percobaan.</w:t>
      </w:r>
      <w:r>
        <w:rPr>
          <w:rStyle w:val="uv3um"/>
          <w:rFonts w:ascii="Times New Roman" w:hAnsi="Times New Roman"/>
        </w:rPr>
        <w:t> </w:t>
      </w:r>
      <w:r>
        <w:rPr>
          <w:rStyle w:val="FootnoteReference"/>
          <w:rFonts w:ascii="Times New Roman" w:hAnsi="Times New Roman"/>
        </w:rPr>
        <w:footnoteReference w:id="2"/>
      </w:r>
    </w:p>
    <w:p w:rsidR="00D175B9" w:rsidRDefault="00D175B9" w:rsidP="00D175B9">
      <w:pPr>
        <w:pStyle w:val="BodyText"/>
        <w:spacing w:line="480" w:lineRule="auto"/>
        <w:ind w:firstLine="709"/>
        <w:rPr>
          <w:rStyle w:val="uv3um"/>
          <w:rFonts w:ascii="Times New Roman" w:hAnsi="Times New Roman"/>
        </w:rPr>
      </w:pPr>
      <w:r>
        <w:rPr>
          <w:rFonts w:ascii="Times New Roman" w:hAnsi="Times New Roman"/>
        </w:rPr>
        <w:t>Hukuman mati juga dapat dikenakan pada pelaku tindak pidana narkotika yang melibatkan eksploitasi anak dalam perdagangan narkotika.</w:t>
      </w:r>
      <w:r>
        <w:rPr>
          <w:rStyle w:val="uv3um"/>
          <w:rFonts w:ascii="Times New Roman" w:hAnsi="Times New Roman"/>
        </w:rPr>
        <w:t> </w:t>
      </w:r>
      <w:r>
        <w:rPr>
          <w:rFonts w:ascii="Times New Roman" w:hAnsi="Times New Roman"/>
        </w:rPr>
        <w:t>UU Narkotika tetap mengatur hukuman mati bagi pelaku tindak pidana narkotika, khususnya pengedar. KUHP 2023 memberikan alternatif dengan masa percobaan.</w:t>
      </w:r>
      <w:r>
        <w:rPr>
          <w:rStyle w:val="uv3um"/>
          <w:rFonts w:ascii="Times New Roman" w:hAnsi="Times New Roman"/>
        </w:rPr>
        <w:t xml:space="preserve">  </w:t>
      </w:r>
      <w:r>
        <w:rPr>
          <w:rFonts w:ascii="Times New Roman" w:hAnsi="Times New Roman"/>
        </w:rPr>
        <w:t>KUHP 2023 mengubah beberapa aspek terkait hukuman mati, termasuk penerapan masa percobaan dan penekanan pada rehabilitasi pengguna narkotika.</w:t>
      </w:r>
      <w:r>
        <w:rPr>
          <w:rStyle w:val="uv3um"/>
          <w:rFonts w:ascii="Times New Roman" w:hAnsi="Times New Roman"/>
        </w:rPr>
        <w:t> </w:t>
      </w:r>
    </w:p>
    <w:p w:rsidR="00D175B9" w:rsidRDefault="00D175B9" w:rsidP="00D175B9">
      <w:pPr>
        <w:pStyle w:val="BodyText"/>
        <w:ind w:left="709"/>
        <w:rPr>
          <w:rStyle w:val="uv3um"/>
          <w:rFonts w:ascii="Times New Roman" w:hAnsi="Times New Roman"/>
          <w:szCs w:val="24"/>
        </w:rPr>
      </w:pPr>
      <w:r>
        <w:rPr>
          <w:rStyle w:val="uv3um"/>
          <w:rFonts w:ascii="Times New Roman" w:hAnsi="Times New Roman"/>
          <w:szCs w:val="24"/>
        </w:rPr>
        <w:t xml:space="preserve">Pelaku tindak pidana narkotika dalam KUHP 2023 tidak serta merta mendapatkan sanksi yang berat, sebab dalam KUHP 2023 juga diatur mengenai sanksi yang lebih ringan bagi pelaku tindak pidana narkotika. Hal ini diatur dalam Pasal 105 KUHP 2023 yang secara tegas disebutkan adanya tindakan rehabilitasi bagi terdakwa. Rehabilitasi diberikan kepada terdakwa yang mengalami ketergantungan pada alkohol, narkotika, </w:t>
      </w:r>
      <w:r>
        <w:rPr>
          <w:rStyle w:val="uv3um"/>
          <w:rFonts w:ascii="Times New Roman" w:hAnsi="Times New Roman"/>
          <w:szCs w:val="24"/>
        </w:rPr>
        <w:lastRenderedPageBreak/>
        <w:t>psikotropika, dan zat adiktif lainnya, serta kepada mereka yang memiliki disabilitas mental dan/atau disabilitas intelektual.</w:t>
      </w:r>
      <w:r>
        <w:rPr>
          <w:rStyle w:val="FootnoteReference"/>
          <w:rFonts w:ascii="Times New Roman" w:hAnsi="Times New Roman"/>
          <w:szCs w:val="24"/>
        </w:rPr>
        <w:footnoteReference w:id="3"/>
      </w:r>
    </w:p>
    <w:p w:rsidR="00D175B9" w:rsidRDefault="00D175B9" w:rsidP="00D175B9">
      <w:pPr>
        <w:pStyle w:val="BodyText"/>
        <w:ind w:left="709"/>
        <w:rPr>
          <w:rStyle w:val="uv3um"/>
          <w:rFonts w:ascii="Times New Roman" w:hAnsi="Times New Roman"/>
          <w:szCs w:val="24"/>
        </w:rPr>
      </w:pPr>
    </w:p>
    <w:p w:rsidR="00D175B9" w:rsidRDefault="00D175B9" w:rsidP="00D175B9">
      <w:pPr>
        <w:pStyle w:val="BodyText"/>
        <w:spacing w:line="480" w:lineRule="auto"/>
        <w:ind w:firstLine="709"/>
        <w:rPr>
          <w:rStyle w:val="uv3um"/>
          <w:rFonts w:ascii="Times New Roman" w:hAnsi="Times New Roman"/>
          <w:szCs w:val="24"/>
        </w:rPr>
      </w:pPr>
      <w:r>
        <w:rPr>
          <w:rStyle w:val="uv3um"/>
          <w:rFonts w:ascii="Times New Roman" w:hAnsi="Times New Roman"/>
          <w:szCs w:val="24"/>
        </w:rPr>
        <w:t>Secara khusus, tindak pidana narkotika pada dasarnya diatur secara tersendiri dalam Pasal 609 sampai dengan Pasal 611 KUHP 2023 sedangkan aturan tentang klasifikasi dan jumlah narkotika didasarkan pada peraturan perundang-undangan yang mengatur tentang Narkotika (UU Narkotika).</w:t>
      </w:r>
    </w:p>
    <w:p w:rsidR="00D175B9" w:rsidRDefault="00D175B9" w:rsidP="00D175B9">
      <w:pPr>
        <w:pStyle w:val="BodyText"/>
        <w:spacing w:line="480" w:lineRule="auto"/>
        <w:ind w:firstLine="709"/>
      </w:pPr>
      <w:r>
        <w:rPr>
          <w:rFonts w:ascii="Times New Roman" w:hAnsi="Times New Roman"/>
        </w:rPr>
        <w:t>Pinsipnya jika melihat secara teoretis maka sistem pemidanaan yang ideal bagi pelaku tindak pidana narkotika dalam hal ini pecandu narkotika sangat tepat jika digunakan pemidanaan secara rehabilitatif yang lebih memfokuskan untuk mereformasi atau memperbaiki pelaku.</w:t>
      </w:r>
    </w:p>
    <w:p w:rsidR="00D175B9" w:rsidRDefault="00D175B9" w:rsidP="00D175B9">
      <w:pPr>
        <w:pStyle w:val="BodyText"/>
        <w:ind w:left="709"/>
        <w:rPr>
          <w:rFonts w:ascii="Times New Roman" w:hAnsi="Times New Roman"/>
        </w:rPr>
      </w:pPr>
      <w:r>
        <w:rPr>
          <w:rFonts w:ascii="Times New Roman" w:hAnsi="Times New Roman"/>
        </w:rPr>
        <w:t>Pelaku tindak pidana narkotika yang secara tidak sah melakukan produksi, impor, ekspor, atau distribusi/menyalurkan Narkotika Golongan I dalam bentuk tanaman yang beratnya melebihi 1 kilogram atau melebihi 5 batang pohon, atau Narkotika Golongan I bukan tanaman yang beratnya melebihi 5 gram akan dikenakan pidana mati, pidana penjara seumur hidup, atau pidana penjara minimal 5 tahun dan maksimal 20 tahun serta denda minimal kategori V dan maksimal kategori M. Serta untuk Narkotika Golongan II yang beratnya melebihi 5 gram akan dikenakan pidana mati, pidana penjara seumur hidup, atau pidana penjara minimal 5 tahun dan maksimal 20 tahun serta denda minimal kategori V dan maksimal kategori VI.</w:t>
      </w:r>
      <w:r>
        <w:rPr>
          <w:rStyle w:val="FootnoteReference"/>
          <w:rFonts w:ascii="Times New Roman" w:hAnsi="Times New Roman"/>
        </w:rPr>
        <w:footnoteReference w:id="4"/>
      </w:r>
    </w:p>
    <w:p w:rsidR="00D175B9" w:rsidRDefault="00D175B9" w:rsidP="00D175B9">
      <w:pPr>
        <w:pStyle w:val="BodyText"/>
        <w:ind w:left="709"/>
        <w:rPr>
          <w:rFonts w:ascii="Times New Roman" w:hAnsi="Times New Roman"/>
        </w:rPr>
      </w:pPr>
    </w:p>
    <w:p w:rsidR="00D175B9" w:rsidRDefault="00D175B9" w:rsidP="00D175B9">
      <w:pPr>
        <w:pStyle w:val="BodyText"/>
        <w:spacing w:line="480" w:lineRule="auto"/>
        <w:ind w:firstLine="709"/>
        <w:rPr>
          <w:rFonts w:ascii="Times New Roman" w:hAnsi="Times New Roman"/>
          <w:szCs w:val="24"/>
        </w:rPr>
      </w:pPr>
      <w:r>
        <w:rPr>
          <w:rFonts w:ascii="Times New Roman" w:hAnsi="Times New Roman"/>
          <w:szCs w:val="24"/>
        </w:rPr>
        <w:t>Adanya pidana mati dalam KUHP 2023 yang diberikan sebagai sanksi untuk tindak pidana yang sangat serius, menunjukkan upaya untuk memberikan perlindungan kepada masyarakat. Namun, hal ini juga diimbangi dengan kemungkinan pemberian sanksi yang lebih ringan, seperti rehabilitasi bagi terdakwa yang mengalami ketergantungan narkotika atau memiliki disabilitas mental.</w:t>
      </w:r>
    </w:p>
    <w:p w:rsidR="00D175B9" w:rsidRDefault="00D175B9" w:rsidP="00DE3A45">
      <w:pPr>
        <w:pStyle w:val="BodyText"/>
        <w:numPr>
          <w:ilvl w:val="4"/>
          <w:numId w:val="6"/>
        </w:numPr>
        <w:tabs>
          <w:tab w:val="num" w:pos="360"/>
        </w:tabs>
        <w:spacing w:line="480" w:lineRule="auto"/>
        <w:ind w:left="360"/>
        <w:rPr>
          <w:rFonts w:ascii="Times New Roman" w:hAnsi="Times New Roman"/>
          <w:b/>
          <w:szCs w:val="24"/>
        </w:rPr>
      </w:pPr>
      <w:r>
        <w:rPr>
          <w:rFonts w:ascii="Times New Roman" w:hAnsi="Times New Roman"/>
          <w:b/>
          <w:szCs w:val="24"/>
        </w:rPr>
        <w:lastRenderedPageBreak/>
        <w:t>Kitab Undang-Undang Hukum Acara Pidana</w:t>
      </w:r>
    </w:p>
    <w:p w:rsidR="00D175B9" w:rsidRDefault="00D175B9" w:rsidP="00D175B9">
      <w:pPr>
        <w:pStyle w:val="BodyText"/>
        <w:spacing w:line="480" w:lineRule="auto"/>
        <w:ind w:firstLine="720"/>
        <w:rPr>
          <w:rFonts w:ascii="Times New Roman" w:hAnsi="Times New Roman"/>
        </w:rPr>
      </w:pPr>
      <w:r>
        <w:rPr>
          <w:rFonts w:ascii="Times New Roman" w:hAnsi="Times New Roman"/>
        </w:rPr>
        <w:t>Penuntutan di dalam KUHAP di dalam Pasal 1 Angka 7 adalah “Tindakan penuntut umum untuk melimpahkan perkara pidana ke pengadilan negeri yang berwenang dalam hal dan menurut cara yang diatur dalam undang-undang ini dengan permintaan supaya diperiksa dan diputus oleh hakim di sidang pengadilan”</w:t>
      </w:r>
    </w:p>
    <w:p w:rsidR="00D175B9" w:rsidRDefault="00D175B9" w:rsidP="00D175B9">
      <w:pPr>
        <w:pStyle w:val="BodyText"/>
        <w:spacing w:line="480" w:lineRule="auto"/>
        <w:ind w:firstLine="720"/>
        <w:rPr>
          <w:rFonts w:ascii="Times New Roman" w:hAnsi="Times New Roman"/>
          <w:szCs w:val="24"/>
          <w:lang w:val="en-ID" w:eastAsia="en-ID"/>
        </w:rPr>
      </w:pPr>
      <w:r>
        <w:rPr>
          <w:rFonts w:ascii="Times New Roman" w:hAnsi="Times New Roman"/>
        </w:rPr>
        <w:t xml:space="preserve">Berdasarkan </w:t>
      </w:r>
      <w:r>
        <w:rPr>
          <w:rStyle w:val="Strong"/>
          <w:rFonts w:ascii="Times New Roman" w:hAnsi="Times New Roman"/>
          <w:b w:val="0"/>
        </w:rPr>
        <w:t>Pasal 14 KUHAP</w:t>
      </w:r>
      <w:r>
        <w:rPr>
          <w:rFonts w:ascii="Times New Roman" w:hAnsi="Times New Roman"/>
        </w:rPr>
        <w:t>, kewenangan penuntut umum adalah sebagai berikut.</w:t>
      </w:r>
    </w:p>
    <w:p w:rsidR="00D175B9" w:rsidRDefault="00D175B9" w:rsidP="00DE3A45">
      <w:pPr>
        <w:numPr>
          <w:ilvl w:val="0"/>
          <w:numId w:val="9"/>
        </w:numPr>
        <w:tabs>
          <w:tab w:val="clear" w:pos="720"/>
          <w:tab w:val="left" w:pos="1134"/>
        </w:tabs>
        <w:ind w:left="1134" w:hanging="425"/>
        <w:jc w:val="both"/>
      </w:pPr>
      <w:r>
        <w:t>Menerima dan memeriksa berkas perkara penyidikan dari penyidik atau penyidik pembantu;</w:t>
      </w:r>
    </w:p>
    <w:p w:rsidR="00D175B9" w:rsidRDefault="00D175B9" w:rsidP="00DE3A45">
      <w:pPr>
        <w:numPr>
          <w:ilvl w:val="0"/>
          <w:numId w:val="9"/>
        </w:numPr>
        <w:tabs>
          <w:tab w:val="clear" w:pos="720"/>
          <w:tab w:val="left" w:pos="1134"/>
        </w:tabs>
        <w:ind w:left="1134" w:hanging="425"/>
        <w:jc w:val="both"/>
      </w:pPr>
      <w:r>
        <w:t>Mengadakan pra penuntutan apabila ada kekurangan pada penyidikan dengan memperhatikan ketentuan Pasal 110 ayat (3) dan ayat (4), dengan memberi petunjuk dalam rangka penyempurnaan penyidikan dari penyidik;</w:t>
      </w:r>
    </w:p>
    <w:p w:rsidR="00D175B9" w:rsidRDefault="00D175B9" w:rsidP="00DE3A45">
      <w:pPr>
        <w:numPr>
          <w:ilvl w:val="0"/>
          <w:numId w:val="9"/>
        </w:numPr>
        <w:tabs>
          <w:tab w:val="clear" w:pos="720"/>
          <w:tab w:val="left" w:pos="1134"/>
        </w:tabs>
        <w:ind w:left="1134" w:hanging="425"/>
        <w:jc w:val="both"/>
      </w:pPr>
      <w:r>
        <w:t>Memberikan perpanjangan penahanan, melakukan penahanan atau penahanan lanjutan dan atau mengubah status tahanan setelah perkaranya dilimpahkan oleh penyidik;</w:t>
      </w:r>
    </w:p>
    <w:p w:rsidR="00D175B9" w:rsidRDefault="00D175B9" w:rsidP="00DE3A45">
      <w:pPr>
        <w:numPr>
          <w:ilvl w:val="0"/>
          <w:numId w:val="9"/>
        </w:numPr>
        <w:tabs>
          <w:tab w:val="clear" w:pos="720"/>
          <w:tab w:val="left" w:pos="1134"/>
        </w:tabs>
        <w:ind w:left="1134" w:hanging="425"/>
        <w:jc w:val="both"/>
      </w:pPr>
      <w:r>
        <w:rPr>
          <w:rStyle w:val="Strong"/>
          <w:b w:val="0"/>
        </w:rPr>
        <w:t>Membuat surat dakwaan</w:t>
      </w:r>
      <w:r>
        <w:t>;</w:t>
      </w:r>
    </w:p>
    <w:p w:rsidR="00D175B9" w:rsidRDefault="00D175B9" w:rsidP="00DE3A45">
      <w:pPr>
        <w:numPr>
          <w:ilvl w:val="0"/>
          <w:numId w:val="9"/>
        </w:numPr>
        <w:tabs>
          <w:tab w:val="clear" w:pos="720"/>
          <w:tab w:val="left" w:pos="1134"/>
        </w:tabs>
        <w:ind w:left="1134" w:hanging="425"/>
        <w:jc w:val="both"/>
      </w:pPr>
      <w:r>
        <w:t>Melimpahkan perkara ke pengadilan;</w:t>
      </w:r>
    </w:p>
    <w:p w:rsidR="00D175B9" w:rsidRDefault="00D175B9" w:rsidP="00DE3A45">
      <w:pPr>
        <w:numPr>
          <w:ilvl w:val="0"/>
          <w:numId w:val="9"/>
        </w:numPr>
        <w:tabs>
          <w:tab w:val="clear" w:pos="720"/>
          <w:tab w:val="left" w:pos="1134"/>
        </w:tabs>
        <w:ind w:left="1134" w:hanging="425"/>
        <w:jc w:val="both"/>
      </w:pPr>
      <w:r>
        <w:t>menyampaikan pemberitahuan kepada terdakwa tentang ketentuan hari dan waktu perkara disidangkan yang disertai surat panggilan, baik kepada terdakwa maupun kepada saksi, untuk datang pada sidang yang telah ditentukan;</w:t>
      </w:r>
    </w:p>
    <w:p w:rsidR="00D175B9" w:rsidRDefault="00D175B9" w:rsidP="00DE3A45">
      <w:pPr>
        <w:numPr>
          <w:ilvl w:val="0"/>
          <w:numId w:val="9"/>
        </w:numPr>
        <w:tabs>
          <w:tab w:val="clear" w:pos="720"/>
          <w:tab w:val="left" w:pos="1134"/>
        </w:tabs>
        <w:ind w:left="1134" w:hanging="425"/>
        <w:jc w:val="both"/>
      </w:pPr>
      <w:r>
        <w:rPr>
          <w:rStyle w:val="Strong"/>
          <w:b w:val="0"/>
        </w:rPr>
        <w:t xml:space="preserve">Melakukan penuntutan; </w:t>
      </w:r>
    </w:p>
    <w:p w:rsidR="00D175B9" w:rsidRDefault="00D175B9" w:rsidP="00DE3A45">
      <w:pPr>
        <w:numPr>
          <w:ilvl w:val="0"/>
          <w:numId w:val="9"/>
        </w:numPr>
        <w:tabs>
          <w:tab w:val="clear" w:pos="720"/>
          <w:tab w:val="left" w:pos="1134"/>
        </w:tabs>
        <w:ind w:left="1134" w:hanging="425"/>
        <w:jc w:val="both"/>
      </w:pPr>
      <w:r>
        <w:t>Menutup perkara demi kepentingan hukum;</w:t>
      </w:r>
    </w:p>
    <w:p w:rsidR="00D175B9" w:rsidRDefault="00D175B9" w:rsidP="00DE3A45">
      <w:pPr>
        <w:numPr>
          <w:ilvl w:val="0"/>
          <w:numId w:val="9"/>
        </w:numPr>
        <w:tabs>
          <w:tab w:val="clear" w:pos="720"/>
          <w:tab w:val="left" w:pos="1134"/>
        </w:tabs>
        <w:ind w:left="1134" w:hanging="425"/>
        <w:jc w:val="both"/>
      </w:pPr>
      <w:r>
        <w:t>Mengadakan tindakan lain dalam lingkup tugas dan tanggung jawab sebagai penuntut umum menurut ketentuan undang-undang ini;</w:t>
      </w:r>
    </w:p>
    <w:p w:rsidR="00D175B9" w:rsidRDefault="00D175B9" w:rsidP="00DE3A45">
      <w:pPr>
        <w:numPr>
          <w:ilvl w:val="0"/>
          <w:numId w:val="10"/>
        </w:numPr>
        <w:tabs>
          <w:tab w:val="clear" w:pos="720"/>
          <w:tab w:val="left" w:pos="1134"/>
        </w:tabs>
        <w:ind w:left="1134" w:hanging="425"/>
        <w:jc w:val="both"/>
      </w:pPr>
      <w:r>
        <w:t>Melaksanakan penetapan hakim</w:t>
      </w:r>
    </w:p>
    <w:p w:rsidR="00D175B9" w:rsidRDefault="00D175B9" w:rsidP="00D175B9">
      <w:pPr>
        <w:ind w:left="720"/>
        <w:jc w:val="both"/>
      </w:pPr>
    </w:p>
    <w:p w:rsidR="00D175B9" w:rsidRDefault="00D175B9" w:rsidP="00D175B9">
      <w:pPr>
        <w:pStyle w:val="NormalWeb"/>
        <w:spacing w:before="0" w:beforeAutospacing="0" w:after="0" w:afterAutospacing="0" w:line="480" w:lineRule="auto"/>
        <w:ind w:firstLine="720"/>
        <w:jc w:val="both"/>
      </w:pPr>
      <w:r>
        <w:t xml:space="preserve">Berdasarkan pasal di atas, maka secara teknik,penuntutan dimulai dengan melimpahkan perkara ke pengadilan yang dilakukan oleh penuntut umum.Namun dalam pengertian administratif penuntutan sudah dimulai sejak diterimannya penyerahan tanggung jawab atas tersangka dan barang bukti (penyerahan tahap II) </w:t>
      </w:r>
      <w:r>
        <w:lastRenderedPageBreak/>
        <w:t>dimana berkas perkara,tersangka, dan barang bukti telah dimasukkan di dalam buku register perkara.</w:t>
      </w:r>
    </w:p>
    <w:p w:rsidR="00D175B9" w:rsidRDefault="00D175B9" w:rsidP="00D175B9">
      <w:pPr>
        <w:pStyle w:val="NormalWeb"/>
        <w:spacing w:before="0" w:beforeAutospacing="0" w:after="0" w:afterAutospacing="0" w:line="480" w:lineRule="auto"/>
        <w:ind w:firstLine="720"/>
        <w:jc w:val="both"/>
      </w:pPr>
      <w:r>
        <w:t>Rusli Muhammad mengemukakan bahwa yang dapat dikatakan sebagai tindakan penuntutan adalah sebagai berikut:</w:t>
      </w:r>
    </w:p>
    <w:p w:rsidR="00D175B9" w:rsidRDefault="00D175B9" w:rsidP="00DE3A45">
      <w:pPr>
        <w:pStyle w:val="NormalWeb"/>
        <w:numPr>
          <w:ilvl w:val="1"/>
          <w:numId w:val="11"/>
        </w:numPr>
        <w:spacing w:before="0" w:beforeAutospacing="0" w:after="0" w:afterAutospacing="0" w:line="480" w:lineRule="auto"/>
        <w:ind w:left="360"/>
        <w:jc w:val="both"/>
      </w:pPr>
      <w:r>
        <w:t>Apabila jaksa telah mengirimkan daftar perkara kepada hakim disertai surat tuntutannya.</w:t>
      </w:r>
    </w:p>
    <w:p w:rsidR="00D175B9" w:rsidRDefault="00D175B9" w:rsidP="00DE3A45">
      <w:pPr>
        <w:pStyle w:val="NormalWeb"/>
        <w:numPr>
          <w:ilvl w:val="1"/>
          <w:numId w:val="11"/>
        </w:numPr>
        <w:spacing w:before="0" w:beforeAutospacing="0" w:after="0" w:afterAutospacing="0" w:line="480" w:lineRule="auto"/>
        <w:ind w:left="360"/>
        <w:jc w:val="both"/>
      </w:pPr>
      <w:r>
        <w:t xml:space="preserve">Apabila terdakwa ditahan dan mengenai tempo penahanan dimintakan perpanjangan kepada hakim sebab apabila sudah lima puluh hari waktu tahanan masih dimintakan perpanjangan secara moril boleh dianggap bahwa jaksa sudah mengaggap cukup alasan menuntut. </w:t>
      </w:r>
    </w:p>
    <w:p w:rsidR="00D175B9" w:rsidRDefault="00D175B9" w:rsidP="00DE3A45">
      <w:pPr>
        <w:pStyle w:val="NormalWeb"/>
        <w:numPr>
          <w:ilvl w:val="1"/>
          <w:numId w:val="11"/>
        </w:numPr>
        <w:spacing w:before="0" w:beforeAutospacing="0" w:after="0" w:afterAutospacing="0" w:line="480" w:lineRule="auto"/>
        <w:ind w:left="360"/>
        <w:jc w:val="both"/>
      </w:pPr>
      <w:r>
        <w:t>Apabila dengan salah satu jalan jaksa memberitahukan kepada hakim bahwa ada perkara yang akan diajukan kepadannya.</w:t>
      </w:r>
      <w:r>
        <w:rPr>
          <w:rStyle w:val="FootnoteReference"/>
        </w:rPr>
        <w:footnoteReference w:id="5"/>
      </w:r>
    </w:p>
    <w:p w:rsidR="00D175B9" w:rsidRDefault="00D175B9" w:rsidP="00D175B9">
      <w:pPr>
        <w:pStyle w:val="NormalWeb"/>
        <w:spacing w:before="0" w:beforeAutospacing="0" w:after="0" w:afterAutospacing="0" w:line="480" w:lineRule="auto"/>
        <w:ind w:firstLine="720"/>
        <w:jc w:val="both"/>
        <w:rPr>
          <w:rStyle w:val="Emphasis"/>
          <w:bCs/>
          <w:i w:val="0"/>
        </w:rPr>
      </w:pPr>
      <w:r>
        <w:rPr>
          <w:rStyle w:val="Strong"/>
          <w:b w:val="0"/>
        </w:rPr>
        <w:t>Pasal 140 ayat (1) KUHAP</w:t>
      </w:r>
      <w:r>
        <w:t xml:space="preserve"> menyatakan bahwa: </w:t>
      </w:r>
      <w:r>
        <w:rPr>
          <w:rStyle w:val="Emphasis"/>
          <w:i w:val="0"/>
        </w:rPr>
        <w:t xml:space="preserve">Dalam hal penuntut umum berpendapat bahwa dari hasil penyidikan dapat dilakukan penuntutan, ia dalam waktu secepatnya membuat </w:t>
      </w:r>
      <w:r>
        <w:rPr>
          <w:rStyle w:val="Emphasis"/>
          <w:bCs/>
          <w:i w:val="0"/>
        </w:rPr>
        <w:t>surat dakwaan.</w:t>
      </w:r>
      <w:r>
        <w:t xml:space="preserve"> Setelah proses pemeriksaan pengadilan selesai, maka berlaku </w:t>
      </w:r>
      <w:r>
        <w:rPr>
          <w:rStyle w:val="Strong"/>
          <w:b w:val="0"/>
        </w:rPr>
        <w:t>Pasal 182 ayat (1) huruf a KUHAP</w:t>
      </w:r>
      <w:r>
        <w:t xml:space="preserve"> yang berbunyi s</w:t>
      </w:r>
      <w:r>
        <w:rPr>
          <w:rStyle w:val="Emphasis"/>
          <w:i w:val="0"/>
        </w:rPr>
        <w:t xml:space="preserve">etelah pemeriksaan dinyatakan selesai, penuntut umum mengajukan </w:t>
      </w:r>
      <w:r>
        <w:rPr>
          <w:rStyle w:val="Emphasis"/>
          <w:bCs/>
          <w:i w:val="0"/>
        </w:rPr>
        <w:t>tuntutan pidana.</w:t>
      </w:r>
    </w:p>
    <w:p w:rsidR="00D175B9" w:rsidRDefault="00D175B9" w:rsidP="00D175B9">
      <w:pPr>
        <w:pStyle w:val="NormalWeb"/>
        <w:spacing w:before="0" w:beforeAutospacing="0" w:after="0" w:afterAutospacing="0" w:line="480" w:lineRule="auto"/>
        <w:ind w:firstLine="720"/>
        <w:jc w:val="both"/>
        <w:rPr>
          <w:rStyle w:val="Emphasis"/>
          <w:bCs/>
          <w:i w:val="0"/>
        </w:rPr>
      </w:pPr>
      <w:r>
        <w:rPr>
          <w:rStyle w:val="Emphasis"/>
          <w:bCs/>
          <w:i w:val="0"/>
        </w:rPr>
        <w:t xml:space="preserve">Setelah Jaksa Penuntut Umum mendapatkan berkas perkara dari penyidik, maka harus segera mempelajari dan meneliti dalam kurun waktu 7 (tujuh) hari wajib memberitahukan kepada penyidik apakah hasil penyidikan itu sudah lengkap atau belum sesuai dengan Pasal 138 ayat (1) KUHAP. </w:t>
      </w:r>
    </w:p>
    <w:p w:rsidR="00D175B9" w:rsidRDefault="00D175B9" w:rsidP="00DE3A45">
      <w:pPr>
        <w:pStyle w:val="BodyText"/>
        <w:numPr>
          <w:ilvl w:val="4"/>
          <w:numId w:val="6"/>
        </w:numPr>
        <w:tabs>
          <w:tab w:val="num" w:pos="360"/>
        </w:tabs>
        <w:spacing w:line="480" w:lineRule="auto"/>
        <w:ind w:left="360"/>
        <w:rPr>
          <w:rFonts w:ascii="Times New Roman" w:hAnsi="Times New Roman"/>
          <w:b/>
          <w:szCs w:val="24"/>
        </w:rPr>
      </w:pPr>
      <w:r>
        <w:rPr>
          <w:rFonts w:ascii="Times New Roman" w:hAnsi="Times New Roman"/>
          <w:b/>
          <w:color w:val="000000"/>
          <w:szCs w:val="24"/>
        </w:rPr>
        <w:lastRenderedPageBreak/>
        <w:t>Undang-Undang Republik Indonesia 11 Tahun 2021 Tentang Perubahan Atas Undang-Undang Nomor 16 Tahun 2004 Tentang Kejaksaan Republik Indonesia</w:t>
      </w:r>
    </w:p>
    <w:p w:rsidR="00D175B9" w:rsidRDefault="00D175B9" w:rsidP="00D175B9">
      <w:pPr>
        <w:spacing w:line="468" w:lineRule="auto"/>
        <w:ind w:firstLine="720"/>
        <w:jc w:val="both"/>
      </w:pPr>
      <w:r>
        <w:t>Jaksa Penuntut Umum dalam pelaksanaan hukum pidana memiliki peranan penting dalam penegakan hukum. Hal ini terlihat dalam proses peradilan pidana dimana penuntut umum berkedudukan dalam perpanjangan hasil pemeriksaan penyidikan. Peranan Jaksa tersebut diaktualisasikan sebagai pejabat fungsional dalam melakukan penuntutan dan dalam pelaksanaan tugas dan wewenang ini Jaksa bertindak dan atas nama negara.</w:t>
      </w:r>
    </w:p>
    <w:p w:rsidR="00D175B9" w:rsidRDefault="00D175B9" w:rsidP="00D175B9">
      <w:pPr>
        <w:spacing w:line="468" w:lineRule="auto"/>
        <w:ind w:firstLine="720"/>
        <w:jc w:val="both"/>
      </w:pPr>
      <w:r>
        <w:t>Jaksa pada saat melaksanakan penuntutan  bertindak untuk dan atas nama negara yang berpedoman pada Pasal 8 ayat (2), (3), dan (4) UU Kejaksaan. Selain itu Jaksa bertanggung jawab menurut saluran hirarki serta selalu berpedoman, keadilan dan kebenaran atau berdasarkan hukum, dengan keyakinan berdasarkan alat bukti yang sah, mengindahkan norma-norma keagamaan, kesopanan, kesusilaan, serta wajib menggali dan menjungjung tinggi nilai-nilai kemanusiaan yang hidup dalam masyarakat, dan senantiasa menjaga kehormatan dan martabat profesinya.</w:t>
      </w:r>
      <w:r>
        <w:rPr>
          <w:rStyle w:val="FootnoteReference"/>
        </w:rPr>
        <w:footnoteReference w:id="6"/>
      </w:r>
    </w:p>
    <w:p w:rsidR="00D175B9" w:rsidRDefault="00D175B9" w:rsidP="00D175B9">
      <w:pPr>
        <w:spacing w:line="468" w:lineRule="auto"/>
        <w:ind w:firstLine="720"/>
        <w:jc w:val="both"/>
      </w:pPr>
      <w:r>
        <w:t>Pasal 30 ayat (1) UU Kejaksaan menjelaskan mengenai tugas dan wewenang Kejaksaan. Hal ini bertujuan agar dalam pelaksaan tugas dan wewenang jaksa tersebut tidak melampaui kompetensi penegak hukum lainnya dalam sistem peradilan pidana.</w:t>
      </w:r>
    </w:p>
    <w:p w:rsidR="00D175B9" w:rsidRDefault="00D175B9" w:rsidP="00D175B9">
      <w:pPr>
        <w:spacing w:line="480" w:lineRule="auto"/>
        <w:ind w:firstLine="720"/>
        <w:jc w:val="both"/>
      </w:pPr>
      <w:r>
        <w:t xml:space="preserve">Salah satu bidang hukum dalam pelaksanaan tugas Kejaksaan menurut Pasal 30 ayat (1) huruf b UU Kejaksaan, melakukan penuntutan dan pelaksana </w:t>
      </w:r>
      <w:r>
        <w:lastRenderedPageBreak/>
        <w:t>(eksekutor) putusan pengadilan yang telah berkekuatan hukum tetap terkait dengan tindak pidana narkotika. UU Narkotika meletakkan dasar bagi Kejaksaan untuk berperan dalam melaksanakan tugasnya di bidang penuntutan yang tidak terlepas dari sistim peradilan pidana.</w:t>
      </w:r>
    </w:p>
    <w:p w:rsidR="00D175B9" w:rsidRDefault="00D175B9" w:rsidP="00DE3A45">
      <w:pPr>
        <w:numPr>
          <w:ilvl w:val="1"/>
          <w:numId w:val="6"/>
        </w:numPr>
        <w:spacing w:line="480" w:lineRule="auto"/>
        <w:ind w:left="360"/>
        <w:jc w:val="both"/>
        <w:rPr>
          <w:b/>
        </w:rPr>
      </w:pPr>
      <w:r>
        <w:rPr>
          <w:b/>
        </w:rPr>
        <w:t>Surat Edaran Kejaksaan Agung Republik Indonesia Nomor 18 Tahun 2021 tentang Pedoman Penanganan Perkara Tindak Pidana Narkotika dan/atau Tindak Pidana Prekursor Narkotika.</w:t>
      </w:r>
    </w:p>
    <w:p w:rsidR="00D175B9" w:rsidRDefault="00D175B9" w:rsidP="00D175B9">
      <w:pPr>
        <w:spacing w:line="480" w:lineRule="auto"/>
        <w:ind w:firstLine="709"/>
        <w:jc w:val="both"/>
      </w:pPr>
      <w:r>
        <w:t>Mengatasi permasalahan inkonsistensi penerapan hukum dan disparitas pemidanaan (</w:t>
      </w:r>
      <w:r>
        <w:rPr>
          <w:i/>
          <w:iCs/>
        </w:rPr>
        <w:t>unwarranted disparity</w:t>
      </w:r>
      <w:r>
        <w:t xml:space="preserve">) pada perkara tindak pidana narkotika, Kejaksaan Republik Indonesia (RI) sebagai pengendali perkara </w:t>
      </w:r>
      <w:r>
        <w:rPr>
          <w:i/>
          <w:iCs/>
        </w:rPr>
        <w:t xml:space="preserve">(dominus litis) </w:t>
      </w:r>
      <w:r>
        <w:t xml:space="preserve">telah memberlakukan </w:t>
      </w:r>
      <w:bookmarkStart w:id="3" w:name="_Hlk196344563"/>
      <w:bookmarkStart w:id="4" w:name="_Hlk196344424"/>
      <w:r>
        <w:t xml:space="preserve">Surat Edaran Kejaksaan Agung Republik IndonesiaNomor 18 Tahun 2021 tentang Pedoman </w:t>
      </w:r>
      <w:bookmarkEnd w:id="3"/>
      <w:r>
        <w:t>Penanganan Perkara Tindak Pidana Narkotika dan/atau Tindak Pidana Prekursor Narkotika</w:t>
      </w:r>
      <w:bookmarkEnd w:id="4"/>
      <w:r>
        <w:t xml:space="preserve">.  Surat Edaran Kejaksaan Agung Republik IndonesiaNomor 18 Tahun 2021 tentang Pedoman Penyelesaian Penanganan Perkara Tindak Pidana Penyalahgunaan Narkotika Melalui Rehabilitasi dengan Pendekatan Keadilan Restoratif Sebagai Pelaksanaan Asas Dominus Litis Jaksa merupakan pedoman yang dirancang sebagai acuan bagi penuntut umum dalam optimalisasi penyelesaian penanganan perkara tindak pidana penyalahgunaan narkotika melalui rehabilitasi dengan pendekatan keadilan restoratif.165 Hal ini bertujuan untuk memulihkan pelaku tindak pidana penyalahgunaan narkotika yang bersifat </w:t>
      </w:r>
      <w:r>
        <w:rPr>
          <w:i/>
          <w:iCs/>
        </w:rPr>
        <w:t>victimless crime</w:t>
      </w:r>
      <w:r>
        <w:t>.</w:t>
      </w:r>
    </w:p>
    <w:p w:rsidR="00D175B9" w:rsidRDefault="00D175B9" w:rsidP="00D175B9">
      <w:pPr>
        <w:spacing w:line="480" w:lineRule="auto"/>
        <w:ind w:firstLine="709"/>
        <w:jc w:val="both"/>
      </w:pPr>
      <w:r>
        <w:t xml:space="preserve">Salah satu tujuan Surat Edaran Kejaksaan Agung Republik IndonesiaNomor 18 Tahun 2021 tentang Pedoman tentang Penanganan Perkara </w:t>
      </w:r>
      <w:r>
        <w:lastRenderedPageBreak/>
        <w:t>Tindak Pidana Narkotika dan/atau Tindak Pidana Prekursor Narkotika adalah  untuk mengatasi persoalan disparitas dalam fakta hukum yang sama dari tuntutan tindak pidana narkotika; bagaimana mengatasi persoalan besaran ancaman pidana dalam UU Narkotika yang beririsan antara barang bukti sedikit, tapi tak ada bedanya dengan barang bukti banyak. Akibatnya, hal ini tidak memberi rasa keadilan. Selain itu, memperbaiki Surat Edaran Jaksa Agung (SE)-013/A/JA/12//2011 tentang Pedoman Tuntutan Pidana Perkara Tindak Pidana Umum.</w:t>
      </w:r>
    </w:p>
    <w:p w:rsidR="00D175B9" w:rsidRDefault="00D175B9" w:rsidP="00D175B9">
      <w:pPr>
        <w:spacing w:line="480" w:lineRule="auto"/>
        <w:ind w:firstLine="709"/>
        <w:jc w:val="both"/>
      </w:pPr>
      <w:r>
        <w:t>Surat Edaran Kejaksaan Agung Republik IndonesiaNomor 18 Tahun 2021 tentang Pedoman Penanganan Perkara Tindak Pidana Narkotika dan/atau Tindak Pidana Prekursor Narkotika mengatur beberapa hal yaitu sebagai berikut :</w:t>
      </w:r>
    </w:p>
    <w:p w:rsidR="00D175B9" w:rsidRDefault="00D175B9" w:rsidP="00DE3A45">
      <w:pPr>
        <w:numPr>
          <w:ilvl w:val="7"/>
          <w:numId w:val="7"/>
        </w:numPr>
        <w:tabs>
          <w:tab w:val="num" w:pos="360"/>
        </w:tabs>
        <w:spacing w:line="480" w:lineRule="auto"/>
        <w:ind w:left="360"/>
        <w:jc w:val="both"/>
      </w:pPr>
      <w:r>
        <w:t xml:space="preserve">Barang bukti tindak pidana narkotika dan/atau tindak pidana prekursor narkotika. </w:t>
      </w:r>
    </w:p>
    <w:p w:rsidR="00D175B9" w:rsidRDefault="00D175B9" w:rsidP="00D175B9">
      <w:pPr>
        <w:tabs>
          <w:tab w:val="num" w:pos="5760"/>
        </w:tabs>
        <w:spacing w:line="480" w:lineRule="auto"/>
        <w:ind w:firstLine="709"/>
        <w:jc w:val="both"/>
      </w:pPr>
      <w:r>
        <w:t xml:space="preserve">Menghitung jumlah barang bukti narkotika, maka digunakan standar satuan berat. Begitu pula menghitung barang bukti narkotika bukan tanaman (narkotika sintetis). Seperti tembakau gorila dikenakan ketentuan pidana narkotika bukan tanaman. Baginya, mengatasi mobilitas barang bukti narkotika dan/atau prekursor narkotika (bahan baku pembuatan narkotika/psikotropika) yang tinggi, kata “setempat” dalam Pasal 38 KUHAP bersifat mutitafsir. Pasal 38 ayat (1) KUHAP menyebutkan </w:t>
      </w:r>
      <w:r>
        <w:rPr>
          <w:rStyle w:val="Emphasis"/>
          <w:i w:val="0"/>
        </w:rPr>
        <w:t xml:space="preserve">“Penyitaan barang bukti hanya dapat dilakukan oleh penyidik dengan surat izin ketua pengadilan negeri </w:t>
      </w:r>
      <w:r>
        <w:rPr>
          <w:rStyle w:val="Strong"/>
          <w:b w:val="0"/>
          <w:iCs/>
        </w:rPr>
        <w:t>setempat</w:t>
      </w:r>
      <w:r>
        <w:rPr>
          <w:rStyle w:val="Emphasis"/>
          <w:b/>
        </w:rPr>
        <w:t>”</w:t>
      </w:r>
      <w:r>
        <w:rPr>
          <w:rStyle w:val="Emphasis"/>
        </w:rPr>
        <w:t xml:space="preserve">. </w:t>
      </w:r>
      <w:r>
        <w:rPr>
          <w:rStyle w:val="Emphasis"/>
          <w:i w:val="0"/>
        </w:rPr>
        <w:t>K</w:t>
      </w:r>
      <w:r>
        <w:t xml:space="preserve">ata “setempat” dalam Pasal 38 ayat (1) KUHAP ini diartikan bagi benda bergerak dan surat izin penyitaan diterbitkan oleh Ketua Pengadilan Negeri (KPN) di wilayah hukum </w:t>
      </w:r>
      <w:r>
        <w:lastRenderedPageBreak/>
        <w:t>sesuai kompetensi relatif yang berwenang memeriksa dan mengadili perkaranya. Sedangkan benda tindak bergerak, surat izin penyitaan diterbitkan oleh KPN di tempat benda yang disita itu berada</w:t>
      </w:r>
    </w:p>
    <w:p w:rsidR="00D175B9" w:rsidRDefault="00D175B9" w:rsidP="00DE3A45">
      <w:pPr>
        <w:numPr>
          <w:ilvl w:val="7"/>
          <w:numId w:val="7"/>
        </w:numPr>
        <w:tabs>
          <w:tab w:val="num" w:pos="360"/>
        </w:tabs>
        <w:spacing w:line="480" w:lineRule="auto"/>
        <w:ind w:left="360"/>
        <w:jc w:val="both"/>
      </w:pPr>
      <w:r>
        <w:t xml:space="preserve">Kualifikasi tersangka. </w:t>
      </w:r>
    </w:p>
    <w:p w:rsidR="00D175B9" w:rsidRDefault="00D175B9" w:rsidP="00D175B9">
      <w:pPr>
        <w:spacing w:line="480" w:lineRule="auto"/>
        <w:ind w:firstLine="567"/>
        <w:jc w:val="both"/>
      </w:pPr>
      <w:r>
        <w:t xml:space="preserve">Berdasarkan hasil </w:t>
      </w:r>
      <w:r>
        <w:rPr>
          <w:i/>
        </w:rPr>
        <w:t xml:space="preserve">asesmen </w:t>
      </w:r>
      <w:r>
        <w:t xml:space="preserve">terpadu, tersangka termasuk dalam kualifikasi sebagai penyalahguna narkotika bisa dijerat Pasal 127 UU Narkotika. Sementara dalam hal tersangka hasil </w:t>
      </w:r>
      <w:r>
        <w:rPr>
          <w:i/>
        </w:rPr>
        <w:t>asesmen</w:t>
      </w:r>
      <w:r>
        <w:t xml:space="preserve"> terpadu direkomendasikan agar direhabilitasi, penuntut umum mempertimbangkannya dalam requisitornya surat tuntutan pidana) dengan catatan penuntut umum memperhatikan fakta persidangan berdasarkan pemeriksaan alat bukti.</w:t>
      </w:r>
    </w:p>
    <w:p w:rsidR="00D175B9" w:rsidRDefault="00D175B9" w:rsidP="00DE3A45">
      <w:pPr>
        <w:numPr>
          <w:ilvl w:val="7"/>
          <w:numId w:val="7"/>
        </w:numPr>
        <w:spacing w:line="480" w:lineRule="auto"/>
        <w:ind w:left="360"/>
        <w:jc w:val="both"/>
      </w:pPr>
      <w:r>
        <w:t xml:space="preserve">Kualifikasi tindak pidana kesesuaian dengan pasal yang disangkakan. </w:t>
      </w:r>
    </w:p>
    <w:p w:rsidR="00D175B9" w:rsidRDefault="00D175B9" w:rsidP="00D175B9">
      <w:pPr>
        <w:spacing w:line="480" w:lineRule="auto"/>
        <w:ind w:firstLine="709"/>
        <w:jc w:val="both"/>
      </w:pPr>
      <w:r>
        <w:t>Permufakatan jahat dalam melakukan kejahatan narkotika dan/atau tindakan pidana prekursor narkotika (Pasal 132 ayat (1) UU Narkotika). Kemudian, penyertaan melakukan pidana narkotika dan/atau tindak pidana prekursor narkotika. Begitu pula tindak pidana narkotika dan/atau tindak pidana prekursor narkotika yang dilakukan secara terorganisasi (Pasal 132 ayat (2) UU Narkotika.</w:t>
      </w:r>
    </w:p>
    <w:p w:rsidR="00D175B9" w:rsidRDefault="00D175B9" w:rsidP="00DE3A45">
      <w:pPr>
        <w:numPr>
          <w:ilvl w:val="7"/>
          <w:numId w:val="7"/>
        </w:numPr>
        <w:tabs>
          <w:tab w:val="num" w:pos="360"/>
        </w:tabs>
        <w:spacing w:line="480" w:lineRule="auto"/>
        <w:ind w:left="360"/>
        <w:jc w:val="both"/>
        <w:rPr>
          <w:lang w:val="en-ID" w:eastAsia="en-ID"/>
        </w:rPr>
      </w:pPr>
      <w:r>
        <w:t>Kesalahan (</w:t>
      </w:r>
      <w:r>
        <w:rPr>
          <w:rStyle w:val="Emphasis"/>
        </w:rPr>
        <w:t xml:space="preserve">mens rea) </w:t>
      </w:r>
      <w:r>
        <w:t xml:space="preserve">pada diri tersangka. </w:t>
      </w:r>
    </w:p>
    <w:p w:rsidR="00D175B9" w:rsidRDefault="00D175B9" w:rsidP="00D175B9">
      <w:pPr>
        <w:spacing w:line="480" w:lineRule="auto"/>
        <w:ind w:firstLine="709"/>
        <w:jc w:val="both"/>
      </w:pPr>
      <w:r>
        <w:t xml:space="preserve">Unsur </w:t>
      </w:r>
      <w:r>
        <w:rPr>
          <w:rStyle w:val="Emphasis"/>
        </w:rPr>
        <w:t>mens rea</w:t>
      </w:r>
      <w:r>
        <w:t xml:space="preserve"> pada diri tersangka dilakukan jaksa sebagai bagian kepentingan penuntutan dan pembuktian terkait pertanggungjawaban pidana. Menurutnya, hukum pidana mengenal konsep dualistis sebagai pengejawantahan asas </w:t>
      </w:r>
      <w:r>
        <w:rPr>
          <w:rStyle w:val="Emphasis"/>
        </w:rPr>
        <w:t>geen straaf zonder schuld</w:t>
      </w:r>
      <w:r>
        <w:t xml:space="preserve">. “Dimana tidak ada pertanggungjawaban pidana </w:t>
      </w:r>
      <w:r>
        <w:lastRenderedPageBreak/>
        <w:t>tanpa kesalahan dan kesalahan tidak otomatis terbukti jika tindak pidananya sudah terbukti.</w:t>
      </w:r>
    </w:p>
    <w:p w:rsidR="00D175B9" w:rsidRDefault="00D175B9" w:rsidP="00DE3A45">
      <w:pPr>
        <w:numPr>
          <w:ilvl w:val="7"/>
          <w:numId w:val="7"/>
        </w:numPr>
        <w:tabs>
          <w:tab w:val="num" w:pos="360"/>
        </w:tabs>
        <w:spacing w:line="480" w:lineRule="auto"/>
        <w:ind w:left="360"/>
        <w:jc w:val="both"/>
      </w:pPr>
      <w:r>
        <w:t xml:space="preserve">Pemeriksaan tersangka. </w:t>
      </w:r>
    </w:p>
    <w:p w:rsidR="00D175B9" w:rsidRDefault="00D175B9" w:rsidP="00D175B9">
      <w:pPr>
        <w:spacing w:line="480" w:lineRule="auto"/>
        <w:ind w:firstLine="709"/>
        <w:jc w:val="both"/>
      </w:pPr>
      <w:r>
        <w:t xml:space="preserve">Tersangka dalam hal mengajukan diri sebagai saksi pelaku yang bekerja sama </w:t>
      </w:r>
      <w:r>
        <w:rPr>
          <w:rStyle w:val="Emphasis"/>
        </w:rPr>
        <w:t>(justice collaborator)</w:t>
      </w:r>
      <w:r>
        <w:t xml:space="preserve"> pada tahap penyidikan, penuntut umum meneliti kelengkapan formal dan kelengkapan materil. Seperti tersangka merupakan salah satu pelaku tindak pidana narkotika dan/atau tindak pidana prekursor narkotika mengakui kejahatan yang dilakukannya, dan bukan pelaku utama dalam kejahatan tersebut. Kemudian tersangka memberi keterangan dan bukti-bukti yang sangat signifikan. Dengan begitu, penyidik dan/atau penuntut umum dapat membongkar tindak pidana tersebut secara efektif. Termasuk mengungkap pelaku lain yang memiliki peran lebih besar. Selanjutnya, tersangka memberikan keterangan sebagai saksi dalam proses peradilan serta membuat surat pernyataan bermeterai yang ditandatanganinya untuk bekerja sama dengan aparat penegak hukum yang terlampir dalam berkas perkara. Kemudian melampirkan surat rekomendasi tertulis dari Lembaga Perlindungan Saksi dan Korban (LPSK).</w:t>
      </w:r>
    </w:p>
    <w:p w:rsidR="00D175B9" w:rsidRDefault="00D175B9" w:rsidP="00DE3A45">
      <w:pPr>
        <w:numPr>
          <w:ilvl w:val="7"/>
          <w:numId w:val="7"/>
        </w:numPr>
        <w:tabs>
          <w:tab w:val="num" w:pos="360"/>
        </w:tabs>
        <w:spacing w:line="480" w:lineRule="auto"/>
        <w:ind w:left="360"/>
        <w:jc w:val="both"/>
      </w:pPr>
      <w:r>
        <w:t xml:space="preserve">Tuntutan pidana. </w:t>
      </w:r>
    </w:p>
    <w:p w:rsidR="00D175B9" w:rsidRDefault="00D175B9" w:rsidP="00D175B9">
      <w:pPr>
        <w:spacing w:line="480" w:lineRule="auto"/>
        <w:ind w:firstLine="709"/>
        <w:jc w:val="both"/>
      </w:pPr>
      <w:r>
        <w:t xml:space="preserve">Tuntutan tindak pidana perkara narkotika dilakukan berdasarkan pedoman tuntutan tindak pidana pidana umum sepanjang tidak ditentukan lain dalam Pedoman Kejaksaan Agung Republik Indonesia Nomor 11 Tahun 2021 tentang Penanganan Perkara Tindak Pidana Narkotika dan/atau Tindak Pidana Prekursor Narkotika ini dan surat edaran ini menjadi rambu-rambu bagi penuntut umum </w:t>
      </w:r>
      <w:r>
        <w:lastRenderedPageBreak/>
        <w:t>dalam memberikan tuntutan terhadap pelaku penyalahguna, pecandu, hingga pengedar narkotika</w:t>
      </w:r>
    </w:p>
    <w:p w:rsidR="00D175B9" w:rsidRDefault="00D175B9" w:rsidP="00D175B9">
      <w:pPr>
        <w:spacing w:line="480" w:lineRule="auto"/>
        <w:ind w:firstLine="709"/>
        <w:jc w:val="both"/>
      </w:pPr>
      <w:r>
        <w:t>Berdasarkan lampiran II Surat Pedoman Indonesia Nomor 18 Tahun 2021 tentang Penanganan Perkara Tindak Pidana Narkotika dan/atau Tindak Pidana Prekursor Narkotika mengatur tuntutan terhadap pelaku penyalahguna, pecandu, hingga pengedar narkotika yaitu sebagai berikut :</w:t>
      </w:r>
    </w:p>
    <w:p w:rsidR="00D175B9" w:rsidRDefault="00D175B9" w:rsidP="00D175B9">
      <w:pPr>
        <w:autoSpaceDE w:val="0"/>
        <w:autoSpaceDN w:val="0"/>
        <w:adjustRightInd w:val="0"/>
        <w:jc w:val="center"/>
        <w:rPr>
          <w:b/>
          <w:lang w:val="en-ID" w:eastAsia="en-ID"/>
        </w:rPr>
      </w:pPr>
      <w:r>
        <w:rPr>
          <w:b/>
          <w:lang w:val="en-ID" w:eastAsia="en-ID"/>
        </w:rPr>
        <w:t>Tabel 1</w:t>
      </w:r>
    </w:p>
    <w:p w:rsidR="00D175B9" w:rsidRDefault="00D175B9" w:rsidP="00D175B9">
      <w:pPr>
        <w:autoSpaceDE w:val="0"/>
        <w:autoSpaceDN w:val="0"/>
        <w:adjustRightInd w:val="0"/>
        <w:jc w:val="center"/>
        <w:rPr>
          <w:b/>
          <w:lang w:val="en-ID" w:eastAsia="en-ID"/>
        </w:rPr>
      </w:pPr>
      <w:r>
        <w:rPr>
          <w:b/>
          <w:lang w:val="en-ID" w:eastAsia="en-ID"/>
        </w:rPr>
        <w:t>Kategori Tindak Pidana Narkotika</w:t>
      </w:r>
    </w:p>
    <w:p w:rsidR="00D175B9" w:rsidRDefault="00D175B9" w:rsidP="00D175B9">
      <w:pPr>
        <w:autoSpaceDE w:val="0"/>
        <w:autoSpaceDN w:val="0"/>
        <w:adjustRightInd w:val="0"/>
        <w:jc w:val="center"/>
        <w:rPr>
          <w:b/>
          <w:lang w:val="en-ID" w:eastAsia="en-I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8"/>
        <w:gridCol w:w="3402"/>
        <w:gridCol w:w="3118"/>
      </w:tblGrid>
      <w:tr w:rsidR="00D175B9" w:rsidTr="00D175B9">
        <w:tc>
          <w:tcPr>
            <w:tcW w:w="1418" w:type="dxa"/>
            <w:vMerge w:val="restart"/>
            <w:tcBorders>
              <w:top w:val="single" w:sz="4" w:space="0" w:color="auto"/>
              <w:left w:val="single" w:sz="4" w:space="0" w:color="auto"/>
              <w:bottom w:val="single" w:sz="4" w:space="0" w:color="auto"/>
              <w:right w:val="single" w:sz="4" w:space="0" w:color="auto"/>
            </w:tcBorders>
          </w:tcPr>
          <w:p w:rsidR="00D175B9" w:rsidRDefault="00D175B9">
            <w:pPr>
              <w:autoSpaceDE w:val="0"/>
              <w:autoSpaceDN w:val="0"/>
              <w:adjustRightInd w:val="0"/>
              <w:jc w:val="center"/>
              <w:rPr>
                <w:b/>
                <w:lang w:val="en-ID" w:eastAsia="en-ID"/>
              </w:rPr>
            </w:pPr>
          </w:p>
          <w:p w:rsidR="00D175B9" w:rsidRDefault="00D175B9">
            <w:pPr>
              <w:autoSpaceDE w:val="0"/>
              <w:autoSpaceDN w:val="0"/>
              <w:adjustRightInd w:val="0"/>
              <w:jc w:val="center"/>
              <w:rPr>
                <w:b/>
                <w:lang w:val="en-ID" w:eastAsia="en-ID"/>
              </w:rPr>
            </w:pPr>
            <w:r>
              <w:rPr>
                <w:b/>
                <w:lang w:val="en-ID" w:eastAsia="en-ID"/>
              </w:rPr>
              <w:t>Kategori</w:t>
            </w:r>
          </w:p>
        </w:tc>
        <w:tc>
          <w:tcPr>
            <w:tcW w:w="6520" w:type="dxa"/>
            <w:gridSpan w:val="2"/>
            <w:tcBorders>
              <w:top w:val="single" w:sz="4" w:space="0" w:color="auto"/>
              <w:left w:val="single" w:sz="4" w:space="0" w:color="auto"/>
              <w:bottom w:val="single" w:sz="4" w:space="0" w:color="auto"/>
              <w:right w:val="single" w:sz="4" w:space="0" w:color="auto"/>
            </w:tcBorders>
            <w:hideMark/>
          </w:tcPr>
          <w:p w:rsidR="00D175B9" w:rsidRDefault="00D175B9">
            <w:pPr>
              <w:autoSpaceDE w:val="0"/>
              <w:autoSpaceDN w:val="0"/>
              <w:adjustRightInd w:val="0"/>
              <w:jc w:val="center"/>
              <w:rPr>
                <w:b/>
                <w:lang w:val="en-ID" w:eastAsia="en-ID"/>
              </w:rPr>
            </w:pPr>
            <w:r>
              <w:rPr>
                <w:b/>
                <w:lang w:val="en-ID" w:eastAsia="en-ID"/>
              </w:rPr>
              <w:t>Barang Bukti Narkotika</w:t>
            </w:r>
          </w:p>
        </w:tc>
      </w:tr>
      <w:tr w:rsidR="00D175B9" w:rsidTr="00D175B9">
        <w:tc>
          <w:tcPr>
            <w:tcW w:w="0" w:type="auto"/>
            <w:vMerge/>
            <w:tcBorders>
              <w:top w:val="single" w:sz="4" w:space="0" w:color="auto"/>
              <w:left w:val="single" w:sz="4" w:space="0" w:color="auto"/>
              <w:bottom w:val="single" w:sz="4" w:space="0" w:color="auto"/>
              <w:right w:val="single" w:sz="4" w:space="0" w:color="auto"/>
            </w:tcBorders>
            <w:vAlign w:val="center"/>
            <w:hideMark/>
          </w:tcPr>
          <w:p w:rsidR="00D175B9" w:rsidRDefault="00D175B9">
            <w:pPr>
              <w:rPr>
                <w:b/>
                <w:lang w:val="en-ID" w:eastAsia="en-ID"/>
              </w:rPr>
            </w:pPr>
          </w:p>
        </w:tc>
        <w:tc>
          <w:tcPr>
            <w:tcW w:w="3402" w:type="dxa"/>
            <w:tcBorders>
              <w:top w:val="single" w:sz="4" w:space="0" w:color="auto"/>
              <w:left w:val="single" w:sz="4" w:space="0" w:color="auto"/>
              <w:bottom w:val="single" w:sz="4" w:space="0" w:color="auto"/>
              <w:right w:val="single" w:sz="4" w:space="0" w:color="auto"/>
            </w:tcBorders>
            <w:hideMark/>
          </w:tcPr>
          <w:p w:rsidR="00D175B9" w:rsidRDefault="00D175B9">
            <w:pPr>
              <w:autoSpaceDE w:val="0"/>
              <w:autoSpaceDN w:val="0"/>
              <w:adjustRightInd w:val="0"/>
              <w:jc w:val="center"/>
              <w:rPr>
                <w:b/>
                <w:lang w:val="en-ID" w:eastAsia="en-ID"/>
              </w:rPr>
            </w:pPr>
            <w:r>
              <w:rPr>
                <w:b/>
                <w:lang w:val="en-ID" w:eastAsia="en-ID"/>
              </w:rPr>
              <w:t>Tanaman</w:t>
            </w:r>
          </w:p>
        </w:tc>
        <w:tc>
          <w:tcPr>
            <w:tcW w:w="3118" w:type="dxa"/>
            <w:tcBorders>
              <w:top w:val="single" w:sz="4" w:space="0" w:color="auto"/>
              <w:left w:val="single" w:sz="4" w:space="0" w:color="auto"/>
              <w:bottom w:val="single" w:sz="4" w:space="0" w:color="auto"/>
              <w:right w:val="single" w:sz="4" w:space="0" w:color="auto"/>
            </w:tcBorders>
            <w:hideMark/>
          </w:tcPr>
          <w:p w:rsidR="00D175B9" w:rsidRDefault="00D175B9">
            <w:pPr>
              <w:autoSpaceDE w:val="0"/>
              <w:autoSpaceDN w:val="0"/>
              <w:adjustRightInd w:val="0"/>
              <w:jc w:val="center"/>
              <w:rPr>
                <w:b/>
                <w:lang w:val="en-ID" w:eastAsia="en-ID"/>
              </w:rPr>
            </w:pPr>
            <w:r>
              <w:rPr>
                <w:b/>
                <w:lang w:val="en-ID" w:eastAsia="en-ID"/>
              </w:rPr>
              <w:t>Bukan tanaman</w:t>
            </w:r>
          </w:p>
        </w:tc>
      </w:tr>
      <w:tr w:rsidR="00D175B9" w:rsidTr="00D175B9">
        <w:tc>
          <w:tcPr>
            <w:tcW w:w="1418" w:type="dxa"/>
            <w:tcBorders>
              <w:top w:val="single" w:sz="4" w:space="0" w:color="auto"/>
              <w:left w:val="single" w:sz="4" w:space="0" w:color="auto"/>
              <w:bottom w:val="single" w:sz="4" w:space="0" w:color="auto"/>
              <w:right w:val="single" w:sz="4" w:space="0" w:color="auto"/>
            </w:tcBorders>
            <w:hideMark/>
          </w:tcPr>
          <w:p w:rsidR="00D175B9" w:rsidRDefault="00D175B9">
            <w:pPr>
              <w:autoSpaceDE w:val="0"/>
              <w:autoSpaceDN w:val="0"/>
              <w:adjustRightInd w:val="0"/>
              <w:spacing w:line="360" w:lineRule="auto"/>
              <w:jc w:val="center"/>
              <w:rPr>
                <w:lang w:val="en-ID" w:eastAsia="en-ID"/>
              </w:rPr>
            </w:pPr>
            <w:r>
              <w:rPr>
                <w:lang w:val="en-ID" w:eastAsia="en-ID"/>
              </w:rPr>
              <w:t>1</w:t>
            </w:r>
          </w:p>
        </w:tc>
        <w:tc>
          <w:tcPr>
            <w:tcW w:w="3402" w:type="dxa"/>
            <w:tcBorders>
              <w:top w:val="single" w:sz="4" w:space="0" w:color="auto"/>
              <w:left w:val="single" w:sz="4" w:space="0" w:color="auto"/>
              <w:bottom w:val="single" w:sz="4" w:space="0" w:color="auto"/>
              <w:right w:val="single" w:sz="4" w:space="0" w:color="auto"/>
            </w:tcBorders>
            <w:hideMark/>
          </w:tcPr>
          <w:p w:rsidR="00D175B9" w:rsidRDefault="00D175B9">
            <w:pPr>
              <w:autoSpaceDE w:val="0"/>
              <w:autoSpaceDN w:val="0"/>
              <w:adjustRightInd w:val="0"/>
              <w:spacing w:line="360" w:lineRule="auto"/>
              <w:jc w:val="center"/>
              <w:rPr>
                <w:lang w:val="en-ID" w:eastAsia="en-ID"/>
              </w:rPr>
            </w:pPr>
            <w:r>
              <w:rPr>
                <w:lang w:val="en-ID" w:eastAsia="en-ID"/>
              </w:rPr>
              <w:t>&gt;60 kilogram</w:t>
            </w:r>
          </w:p>
        </w:tc>
        <w:tc>
          <w:tcPr>
            <w:tcW w:w="3118" w:type="dxa"/>
            <w:tcBorders>
              <w:top w:val="single" w:sz="4" w:space="0" w:color="auto"/>
              <w:left w:val="single" w:sz="4" w:space="0" w:color="auto"/>
              <w:bottom w:val="single" w:sz="4" w:space="0" w:color="auto"/>
              <w:right w:val="single" w:sz="4" w:space="0" w:color="auto"/>
            </w:tcBorders>
            <w:hideMark/>
          </w:tcPr>
          <w:p w:rsidR="00D175B9" w:rsidRDefault="00D175B9">
            <w:pPr>
              <w:autoSpaceDE w:val="0"/>
              <w:autoSpaceDN w:val="0"/>
              <w:adjustRightInd w:val="0"/>
              <w:spacing w:line="360" w:lineRule="auto"/>
              <w:jc w:val="center"/>
              <w:rPr>
                <w:lang w:val="en-ID" w:eastAsia="en-ID"/>
              </w:rPr>
            </w:pPr>
            <w:r>
              <w:rPr>
                <w:lang w:val="en-ID" w:eastAsia="en-ID"/>
              </w:rPr>
              <w:t>&gt;9 kilogram</w:t>
            </w:r>
          </w:p>
        </w:tc>
      </w:tr>
      <w:tr w:rsidR="00D175B9" w:rsidTr="00D175B9">
        <w:tc>
          <w:tcPr>
            <w:tcW w:w="1418" w:type="dxa"/>
            <w:tcBorders>
              <w:top w:val="single" w:sz="4" w:space="0" w:color="auto"/>
              <w:left w:val="single" w:sz="4" w:space="0" w:color="auto"/>
              <w:bottom w:val="single" w:sz="4" w:space="0" w:color="auto"/>
              <w:right w:val="single" w:sz="4" w:space="0" w:color="auto"/>
            </w:tcBorders>
            <w:hideMark/>
          </w:tcPr>
          <w:p w:rsidR="00D175B9" w:rsidRDefault="00D175B9">
            <w:pPr>
              <w:autoSpaceDE w:val="0"/>
              <w:autoSpaceDN w:val="0"/>
              <w:adjustRightInd w:val="0"/>
              <w:spacing w:line="360" w:lineRule="auto"/>
              <w:jc w:val="center"/>
              <w:rPr>
                <w:lang w:val="en-ID" w:eastAsia="en-ID"/>
              </w:rPr>
            </w:pPr>
            <w:r>
              <w:rPr>
                <w:lang w:val="en-ID" w:eastAsia="en-ID"/>
              </w:rPr>
              <w:t>2</w:t>
            </w:r>
          </w:p>
        </w:tc>
        <w:tc>
          <w:tcPr>
            <w:tcW w:w="3402" w:type="dxa"/>
            <w:tcBorders>
              <w:top w:val="single" w:sz="4" w:space="0" w:color="auto"/>
              <w:left w:val="single" w:sz="4" w:space="0" w:color="auto"/>
              <w:bottom w:val="single" w:sz="4" w:space="0" w:color="auto"/>
              <w:right w:val="single" w:sz="4" w:space="0" w:color="auto"/>
            </w:tcBorders>
            <w:hideMark/>
          </w:tcPr>
          <w:p w:rsidR="00D175B9" w:rsidRDefault="00D175B9">
            <w:pPr>
              <w:autoSpaceDE w:val="0"/>
              <w:autoSpaceDN w:val="0"/>
              <w:adjustRightInd w:val="0"/>
              <w:spacing w:line="360" w:lineRule="auto"/>
              <w:jc w:val="center"/>
              <w:rPr>
                <w:lang w:val="en-ID" w:eastAsia="en-ID"/>
              </w:rPr>
            </w:pPr>
            <w:r>
              <w:rPr>
                <w:lang w:val="en-ID" w:eastAsia="en-ID"/>
              </w:rPr>
              <w:t>&gt;20 kilogram - 60 kilogram</w:t>
            </w:r>
          </w:p>
        </w:tc>
        <w:tc>
          <w:tcPr>
            <w:tcW w:w="3118" w:type="dxa"/>
            <w:tcBorders>
              <w:top w:val="single" w:sz="4" w:space="0" w:color="auto"/>
              <w:left w:val="single" w:sz="4" w:space="0" w:color="auto"/>
              <w:bottom w:val="single" w:sz="4" w:space="0" w:color="auto"/>
              <w:right w:val="single" w:sz="4" w:space="0" w:color="auto"/>
            </w:tcBorders>
            <w:hideMark/>
          </w:tcPr>
          <w:p w:rsidR="00D175B9" w:rsidRDefault="00D175B9">
            <w:pPr>
              <w:autoSpaceDE w:val="0"/>
              <w:autoSpaceDN w:val="0"/>
              <w:adjustRightInd w:val="0"/>
              <w:spacing w:line="360" w:lineRule="auto"/>
              <w:jc w:val="center"/>
              <w:rPr>
                <w:lang w:val="en-ID" w:eastAsia="en-ID"/>
              </w:rPr>
            </w:pPr>
            <w:r>
              <w:rPr>
                <w:lang w:val="en-ID" w:eastAsia="en-ID"/>
              </w:rPr>
              <w:t>&gt;3 kilogram - 9 kilogram</w:t>
            </w:r>
          </w:p>
        </w:tc>
      </w:tr>
      <w:tr w:rsidR="00D175B9" w:rsidTr="00D175B9">
        <w:tc>
          <w:tcPr>
            <w:tcW w:w="1418" w:type="dxa"/>
            <w:tcBorders>
              <w:top w:val="single" w:sz="4" w:space="0" w:color="auto"/>
              <w:left w:val="single" w:sz="4" w:space="0" w:color="auto"/>
              <w:bottom w:val="single" w:sz="4" w:space="0" w:color="auto"/>
              <w:right w:val="single" w:sz="4" w:space="0" w:color="auto"/>
            </w:tcBorders>
            <w:hideMark/>
          </w:tcPr>
          <w:p w:rsidR="00D175B9" w:rsidRDefault="00D175B9">
            <w:pPr>
              <w:autoSpaceDE w:val="0"/>
              <w:autoSpaceDN w:val="0"/>
              <w:adjustRightInd w:val="0"/>
              <w:spacing w:line="360" w:lineRule="auto"/>
              <w:jc w:val="center"/>
              <w:rPr>
                <w:lang w:val="en-ID" w:eastAsia="en-ID"/>
              </w:rPr>
            </w:pPr>
            <w:r>
              <w:rPr>
                <w:lang w:val="en-ID" w:eastAsia="en-ID"/>
              </w:rPr>
              <w:t>3</w:t>
            </w:r>
          </w:p>
        </w:tc>
        <w:tc>
          <w:tcPr>
            <w:tcW w:w="3402" w:type="dxa"/>
            <w:tcBorders>
              <w:top w:val="single" w:sz="4" w:space="0" w:color="auto"/>
              <w:left w:val="single" w:sz="4" w:space="0" w:color="auto"/>
              <w:bottom w:val="single" w:sz="4" w:space="0" w:color="auto"/>
              <w:right w:val="single" w:sz="4" w:space="0" w:color="auto"/>
            </w:tcBorders>
            <w:hideMark/>
          </w:tcPr>
          <w:p w:rsidR="00D175B9" w:rsidRDefault="00D175B9">
            <w:pPr>
              <w:autoSpaceDE w:val="0"/>
              <w:autoSpaceDN w:val="0"/>
              <w:adjustRightInd w:val="0"/>
              <w:spacing w:line="360" w:lineRule="auto"/>
              <w:jc w:val="center"/>
              <w:rPr>
                <w:lang w:val="en-ID" w:eastAsia="en-ID"/>
              </w:rPr>
            </w:pPr>
            <w:r>
              <w:rPr>
                <w:lang w:val="en-ID" w:eastAsia="en-ID"/>
              </w:rPr>
              <w:t>&gt;5 kilogram - 20 kilogram</w:t>
            </w:r>
          </w:p>
        </w:tc>
        <w:tc>
          <w:tcPr>
            <w:tcW w:w="3118" w:type="dxa"/>
            <w:tcBorders>
              <w:top w:val="single" w:sz="4" w:space="0" w:color="auto"/>
              <w:left w:val="single" w:sz="4" w:space="0" w:color="auto"/>
              <w:bottom w:val="single" w:sz="4" w:space="0" w:color="auto"/>
              <w:right w:val="single" w:sz="4" w:space="0" w:color="auto"/>
            </w:tcBorders>
            <w:hideMark/>
          </w:tcPr>
          <w:p w:rsidR="00D175B9" w:rsidRDefault="00D175B9">
            <w:pPr>
              <w:autoSpaceDE w:val="0"/>
              <w:autoSpaceDN w:val="0"/>
              <w:adjustRightInd w:val="0"/>
              <w:spacing w:line="360" w:lineRule="auto"/>
              <w:jc w:val="center"/>
              <w:rPr>
                <w:lang w:val="en-ID" w:eastAsia="en-ID"/>
              </w:rPr>
            </w:pPr>
            <w:r>
              <w:rPr>
                <w:lang w:val="en-ID" w:eastAsia="en-ID"/>
              </w:rPr>
              <w:t>&gt;250 gram - 3 kilogram</w:t>
            </w:r>
          </w:p>
        </w:tc>
      </w:tr>
      <w:tr w:rsidR="00D175B9" w:rsidTr="00D175B9">
        <w:tc>
          <w:tcPr>
            <w:tcW w:w="1418" w:type="dxa"/>
            <w:tcBorders>
              <w:top w:val="single" w:sz="4" w:space="0" w:color="auto"/>
              <w:left w:val="single" w:sz="4" w:space="0" w:color="auto"/>
              <w:bottom w:val="single" w:sz="4" w:space="0" w:color="auto"/>
              <w:right w:val="single" w:sz="4" w:space="0" w:color="auto"/>
            </w:tcBorders>
            <w:hideMark/>
          </w:tcPr>
          <w:p w:rsidR="00D175B9" w:rsidRDefault="00D175B9">
            <w:pPr>
              <w:autoSpaceDE w:val="0"/>
              <w:autoSpaceDN w:val="0"/>
              <w:adjustRightInd w:val="0"/>
              <w:spacing w:line="360" w:lineRule="auto"/>
              <w:jc w:val="center"/>
              <w:rPr>
                <w:lang w:val="en-ID" w:eastAsia="en-ID"/>
              </w:rPr>
            </w:pPr>
            <w:r>
              <w:rPr>
                <w:lang w:val="en-ID" w:eastAsia="en-ID"/>
              </w:rPr>
              <w:t>4</w:t>
            </w:r>
          </w:p>
        </w:tc>
        <w:tc>
          <w:tcPr>
            <w:tcW w:w="3402" w:type="dxa"/>
            <w:tcBorders>
              <w:top w:val="single" w:sz="4" w:space="0" w:color="auto"/>
              <w:left w:val="single" w:sz="4" w:space="0" w:color="auto"/>
              <w:bottom w:val="single" w:sz="4" w:space="0" w:color="auto"/>
              <w:right w:val="single" w:sz="4" w:space="0" w:color="auto"/>
            </w:tcBorders>
            <w:hideMark/>
          </w:tcPr>
          <w:p w:rsidR="00D175B9" w:rsidRDefault="00D175B9">
            <w:pPr>
              <w:autoSpaceDE w:val="0"/>
              <w:autoSpaceDN w:val="0"/>
              <w:adjustRightInd w:val="0"/>
              <w:spacing w:line="360" w:lineRule="auto"/>
              <w:jc w:val="center"/>
              <w:rPr>
                <w:lang w:val="en-ID" w:eastAsia="en-ID"/>
              </w:rPr>
            </w:pPr>
            <w:r>
              <w:rPr>
                <w:lang w:val="en-ID" w:eastAsia="en-ID"/>
              </w:rPr>
              <w:t>&gt;1 kilogram - 5 kilogram</w:t>
            </w:r>
          </w:p>
        </w:tc>
        <w:tc>
          <w:tcPr>
            <w:tcW w:w="3118" w:type="dxa"/>
            <w:tcBorders>
              <w:top w:val="single" w:sz="4" w:space="0" w:color="auto"/>
              <w:left w:val="single" w:sz="4" w:space="0" w:color="auto"/>
              <w:bottom w:val="single" w:sz="4" w:space="0" w:color="auto"/>
              <w:right w:val="single" w:sz="4" w:space="0" w:color="auto"/>
            </w:tcBorders>
            <w:hideMark/>
          </w:tcPr>
          <w:p w:rsidR="00D175B9" w:rsidRDefault="00D175B9">
            <w:pPr>
              <w:autoSpaceDE w:val="0"/>
              <w:autoSpaceDN w:val="0"/>
              <w:adjustRightInd w:val="0"/>
              <w:spacing w:line="360" w:lineRule="auto"/>
              <w:jc w:val="center"/>
              <w:rPr>
                <w:lang w:val="en-ID" w:eastAsia="en-ID"/>
              </w:rPr>
            </w:pPr>
            <w:r>
              <w:rPr>
                <w:lang w:val="en-ID" w:eastAsia="en-ID"/>
              </w:rPr>
              <w:t>&gt;5 gram - 250 gram</w:t>
            </w:r>
          </w:p>
        </w:tc>
      </w:tr>
      <w:tr w:rsidR="00D175B9" w:rsidTr="00D175B9">
        <w:tc>
          <w:tcPr>
            <w:tcW w:w="1418" w:type="dxa"/>
            <w:tcBorders>
              <w:top w:val="single" w:sz="4" w:space="0" w:color="auto"/>
              <w:left w:val="single" w:sz="4" w:space="0" w:color="auto"/>
              <w:bottom w:val="single" w:sz="4" w:space="0" w:color="auto"/>
              <w:right w:val="single" w:sz="4" w:space="0" w:color="auto"/>
            </w:tcBorders>
            <w:hideMark/>
          </w:tcPr>
          <w:p w:rsidR="00D175B9" w:rsidRDefault="00D175B9">
            <w:pPr>
              <w:autoSpaceDE w:val="0"/>
              <w:autoSpaceDN w:val="0"/>
              <w:adjustRightInd w:val="0"/>
              <w:spacing w:line="360" w:lineRule="auto"/>
              <w:jc w:val="center"/>
              <w:rPr>
                <w:lang w:val="en-ID" w:eastAsia="en-ID"/>
              </w:rPr>
            </w:pPr>
            <w:r>
              <w:rPr>
                <w:lang w:val="en-ID" w:eastAsia="en-ID"/>
              </w:rPr>
              <w:t>5</w:t>
            </w:r>
          </w:p>
        </w:tc>
        <w:tc>
          <w:tcPr>
            <w:tcW w:w="3402" w:type="dxa"/>
            <w:tcBorders>
              <w:top w:val="single" w:sz="4" w:space="0" w:color="auto"/>
              <w:left w:val="single" w:sz="4" w:space="0" w:color="auto"/>
              <w:bottom w:val="single" w:sz="4" w:space="0" w:color="auto"/>
              <w:right w:val="single" w:sz="4" w:space="0" w:color="auto"/>
            </w:tcBorders>
            <w:hideMark/>
          </w:tcPr>
          <w:p w:rsidR="00D175B9" w:rsidRDefault="00D175B9">
            <w:pPr>
              <w:autoSpaceDE w:val="0"/>
              <w:autoSpaceDN w:val="0"/>
              <w:adjustRightInd w:val="0"/>
              <w:spacing w:line="360" w:lineRule="auto"/>
              <w:jc w:val="center"/>
              <w:rPr>
                <w:lang w:val="en-ID" w:eastAsia="en-ID"/>
              </w:rPr>
            </w:pPr>
            <w:r>
              <w:rPr>
                <w:lang w:val="en-ID" w:eastAsia="en-ID"/>
              </w:rPr>
              <w:t>&gt;250 gram - 1 kilogram</w:t>
            </w:r>
          </w:p>
        </w:tc>
        <w:tc>
          <w:tcPr>
            <w:tcW w:w="3118" w:type="dxa"/>
            <w:tcBorders>
              <w:top w:val="single" w:sz="4" w:space="0" w:color="auto"/>
              <w:left w:val="single" w:sz="4" w:space="0" w:color="auto"/>
              <w:bottom w:val="single" w:sz="4" w:space="0" w:color="auto"/>
              <w:right w:val="single" w:sz="4" w:space="0" w:color="auto"/>
            </w:tcBorders>
            <w:hideMark/>
          </w:tcPr>
          <w:p w:rsidR="00D175B9" w:rsidRDefault="00D175B9">
            <w:pPr>
              <w:autoSpaceDE w:val="0"/>
              <w:autoSpaceDN w:val="0"/>
              <w:adjustRightInd w:val="0"/>
              <w:spacing w:line="360" w:lineRule="auto"/>
              <w:jc w:val="center"/>
              <w:rPr>
                <w:lang w:val="en-ID" w:eastAsia="en-ID"/>
              </w:rPr>
            </w:pPr>
            <w:r>
              <w:rPr>
                <w:lang w:val="en-ID" w:eastAsia="en-ID"/>
              </w:rPr>
              <w:t>&gt;1,5 gram - 5 gram</w:t>
            </w:r>
          </w:p>
        </w:tc>
      </w:tr>
      <w:tr w:rsidR="00D175B9" w:rsidTr="00D175B9">
        <w:tc>
          <w:tcPr>
            <w:tcW w:w="1418" w:type="dxa"/>
            <w:tcBorders>
              <w:top w:val="single" w:sz="4" w:space="0" w:color="auto"/>
              <w:left w:val="single" w:sz="4" w:space="0" w:color="auto"/>
              <w:bottom w:val="nil"/>
              <w:right w:val="single" w:sz="4" w:space="0" w:color="auto"/>
            </w:tcBorders>
            <w:hideMark/>
          </w:tcPr>
          <w:p w:rsidR="00D175B9" w:rsidRDefault="00D175B9">
            <w:pPr>
              <w:autoSpaceDE w:val="0"/>
              <w:autoSpaceDN w:val="0"/>
              <w:adjustRightInd w:val="0"/>
              <w:spacing w:line="360" w:lineRule="auto"/>
              <w:jc w:val="center"/>
              <w:rPr>
                <w:lang w:val="en-ID" w:eastAsia="en-ID"/>
              </w:rPr>
            </w:pPr>
            <w:r>
              <w:rPr>
                <w:lang w:val="en-ID" w:eastAsia="en-ID"/>
              </w:rPr>
              <w:t>6</w:t>
            </w:r>
          </w:p>
        </w:tc>
        <w:tc>
          <w:tcPr>
            <w:tcW w:w="3402" w:type="dxa"/>
            <w:tcBorders>
              <w:top w:val="single" w:sz="4" w:space="0" w:color="auto"/>
              <w:left w:val="single" w:sz="4" w:space="0" w:color="auto"/>
              <w:bottom w:val="nil"/>
              <w:right w:val="single" w:sz="4" w:space="0" w:color="auto"/>
            </w:tcBorders>
            <w:hideMark/>
          </w:tcPr>
          <w:p w:rsidR="00D175B9" w:rsidRDefault="00D175B9">
            <w:pPr>
              <w:autoSpaceDE w:val="0"/>
              <w:autoSpaceDN w:val="0"/>
              <w:adjustRightInd w:val="0"/>
              <w:spacing w:line="360" w:lineRule="auto"/>
              <w:jc w:val="center"/>
              <w:rPr>
                <w:lang w:val="en-ID" w:eastAsia="en-ID"/>
              </w:rPr>
            </w:pPr>
            <w:r>
              <w:rPr>
                <w:lang w:val="en-ID" w:eastAsia="en-ID"/>
              </w:rPr>
              <w:t>≤1250 gram</w:t>
            </w:r>
          </w:p>
        </w:tc>
        <w:tc>
          <w:tcPr>
            <w:tcW w:w="3118" w:type="dxa"/>
            <w:tcBorders>
              <w:top w:val="single" w:sz="4" w:space="0" w:color="auto"/>
              <w:left w:val="single" w:sz="4" w:space="0" w:color="auto"/>
              <w:bottom w:val="nil"/>
              <w:right w:val="single" w:sz="4" w:space="0" w:color="auto"/>
            </w:tcBorders>
            <w:hideMark/>
          </w:tcPr>
          <w:p w:rsidR="00D175B9" w:rsidRDefault="00D175B9">
            <w:pPr>
              <w:autoSpaceDE w:val="0"/>
              <w:autoSpaceDN w:val="0"/>
              <w:adjustRightInd w:val="0"/>
              <w:spacing w:line="360" w:lineRule="auto"/>
              <w:jc w:val="center"/>
              <w:rPr>
                <w:lang w:val="en-ID" w:eastAsia="en-ID"/>
              </w:rPr>
            </w:pPr>
            <w:r>
              <w:rPr>
                <w:lang w:val="en-ID" w:eastAsia="en-ID"/>
              </w:rPr>
              <w:t>≤11,5 Gram</w:t>
            </w:r>
          </w:p>
        </w:tc>
      </w:tr>
    </w:tbl>
    <w:p w:rsidR="00D175B9" w:rsidRDefault="00D175B9" w:rsidP="00D175B9">
      <w:pPr>
        <w:tabs>
          <w:tab w:val="left" w:pos="1134"/>
        </w:tabs>
        <w:autoSpaceDE w:val="0"/>
        <w:autoSpaceDN w:val="0"/>
        <w:adjustRightInd w:val="0"/>
        <w:ind w:left="1134" w:hanging="1134"/>
        <w:jc w:val="both"/>
      </w:pPr>
      <w:r>
        <w:rPr>
          <w:lang w:val="en-ID" w:eastAsia="en-ID"/>
        </w:rPr>
        <w:t xml:space="preserve">Sumber : </w:t>
      </w:r>
      <w:r>
        <w:rPr>
          <w:lang w:val="en-ID" w:eastAsia="en-ID"/>
        </w:rPr>
        <w:tab/>
        <w:t xml:space="preserve">Lampiran II </w:t>
      </w:r>
      <w:r>
        <w:t>Surat Edaran Kejaksaan Agung Republik IndonesiaNomor 18 Tahun 2021 tentang Pedoman Penanganan Perkara Tindak Pidana Narkotika dan/atau Tindak Pidana Prekursor Narkotika.</w:t>
      </w:r>
    </w:p>
    <w:p w:rsidR="00D175B9" w:rsidRDefault="00D175B9" w:rsidP="00D175B9">
      <w:pPr>
        <w:tabs>
          <w:tab w:val="left" w:pos="1134"/>
        </w:tabs>
        <w:autoSpaceDE w:val="0"/>
        <w:autoSpaceDN w:val="0"/>
        <w:adjustRightInd w:val="0"/>
        <w:ind w:left="1134" w:hanging="1134"/>
        <w:jc w:val="both"/>
        <w:rPr>
          <w:lang w:val="en-ID" w:eastAsia="en-ID"/>
        </w:rPr>
      </w:pPr>
    </w:p>
    <w:p w:rsidR="00D175B9" w:rsidRDefault="00D175B9" w:rsidP="00D175B9">
      <w:pPr>
        <w:autoSpaceDE w:val="0"/>
        <w:autoSpaceDN w:val="0"/>
        <w:adjustRightInd w:val="0"/>
        <w:spacing w:line="480" w:lineRule="auto"/>
        <w:ind w:firstLine="709"/>
        <w:jc w:val="both"/>
        <w:rPr>
          <w:lang w:val="en-ID" w:eastAsia="en-ID"/>
        </w:rPr>
      </w:pPr>
      <w:r>
        <w:rPr>
          <w:lang w:val="en-ID" w:eastAsia="en-ID"/>
        </w:rPr>
        <w:t xml:space="preserve">Berdasarkan Lampiran II </w:t>
      </w:r>
      <w:r>
        <w:t xml:space="preserve">Surat Edaran Kejaksaan Agung Republik IndonesiaNomor 18 Tahun 2021 tentang Pedoman Penanganan Perkara Tindak Pidana Narkotika dan/atau Tindak Pidana Prekursor Narkotika, maka </w:t>
      </w:r>
      <w:r>
        <w:rPr>
          <w:lang w:val="en-ID" w:eastAsia="en-ID"/>
        </w:rPr>
        <w:t xml:space="preserve">Jaksa Penuntut Umum menentukan kategori barang bukti narkotika berdasarkan jenis dan berat barang bukti narkotika untuk melakukan tuntutan pidana </w:t>
      </w:r>
      <w:r>
        <w:rPr>
          <w:iCs/>
        </w:rPr>
        <w:t xml:space="preserve">bahwa </w:t>
      </w:r>
      <w:bookmarkStart w:id="5" w:name="_Hlk196347063"/>
      <w:r>
        <w:t>tuntutan pidana perkara psikotropika Golongan I dan ll dilaksanakan oleh :</w:t>
      </w:r>
    </w:p>
    <w:p w:rsidR="00D175B9" w:rsidRDefault="00D175B9" w:rsidP="00DE3A45">
      <w:pPr>
        <w:numPr>
          <w:ilvl w:val="2"/>
          <w:numId w:val="12"/>
        </w:numPr>
        <w:autoSpaceDE w:val="0"/>
        <w:autoSpaceDN w:val="0"/>
        <w:adjustRightInd w:val="0"/>
        <w:spacing w:line="480" w:lineRule="auto"/>
        <w:ind w:left="360"/>
        <w:jc w:val="both"/>
      </w:pPr>
      <w:r>
        <w:t>Untuk barang bukti dalam bentuk tablet/pil :</w:t>
      </w:r>
    </w:p>
    <w:p w:rsidR="00D175B9" w:rsidRDefault="00D175B9" w:rsidP="00DE3A45">
      <w:pPr>
        <w:numPr>
          <w:ilvl w:val="0"/>
          <w:numId w:val="13"/>
        </w:numPr>
        <w:autoSpaceDE w:val="0"/>
        <w:autoSpaceDN w:val="0"/>
        <w:adjustRightInd w:val="0"/>
        <w:spacing w:line="480" w:lineRule="auto"/>
        <w:ind w:left="644" w:hanging="284"/>
        <w:jc w:val="both"/>
      </w:pPr>
      <w:r>
        <w:t>1 s/d 5 butir Kepala Kejaksaan Negeri;</w:t>
      </w:r>
    </w:p>
    <w:p w:rsidR="00D175B9" w:rsidRDefault="00D175B9" w:rsidP="00DE3A45">
      <w:pPr>
        <w:numPr>
          <w:ilvl w:val="0"/>
          <w:numId w:val="13"/>
        </w:numPr>
        <w:autoSpaceDE w:val="0"/>
        <w:autoSpaceDN w:val="0"/>
        <w:adjustRightInd w:val="0"/>
        <w:spacing w:line="480" w:lineRule="auto"/>
        <w:ind w:left="644" w:hanging="284"/>
        <w:jc w:val="both"/>
      </w:pPr>
      <w:r>
        <w:lastRenderedPageBreak/>
        <w:t>Lebih dari 5 s/d 10 butir Kepala Kejaksaan Tinggi;</w:t>
      </w:r>
    </w:p>
    <w:p w:rsidR="00D175B9" w:rsidRDefault="00D175B9" w:rsidP="00DE3A45">
      <w:pPr>
        <w:numPr>
          <w:ilvl w:val="0"/>
          <w:numId w:val="13"/>
        </w:numPr>
        <w:autoSpaceDE w:val="0"/>
        <w:autoSpaceDN w:val="0"/>
        <w:adjustRightInd w:val="0"/>
        <w:spacing w:line="480" w:lineRule="auto"/>
        <w:ind w:left="644" w:hanging="284"/>
        <w:jc w:val="both"/>
      </w:pPr>
      <w:r>
        <w:t>Lebih dari 10 butir Jaksa Agung Cq. Jaksa Agung Muda Tindak Pidana Umum.</w:t>
      </w:r>
    </w:p>
    <w:p w:rsidR="00D175B9" w:rsidRDefault="00D175B9" w:rsidP="00DE3A45">
      <w:pPr>
        <w:numPr>
          <w:ilvl w:val="0"/>
          <w:numId w:val="12"/>
        </w:numPr>
        <w:autoSpaceDE w:val="0"/>
        <w:autoSpaceDN w:val="0"/>
        <w:adjustRightInd w:val="0"/>
        <w:spacing w:line="480" w:lineRule="auto"/>
        <w:ind w:left="360"/>
        <w:jc w:val="both"/>
      </w:pPr>
      <w:r>
        <w:t>Untuk barang bukti dalam bentuk serbuk :</w:t>
      </w:r>
    </w:p>
    <w:p w:rsidR="00D175B9" w:rsidRDefault="00D175B9" w:rsidP="00DE3A45">
      <w:pPr>
        <w:numPr>
          <w:ilvl w:val="0"/>
          <w:numId w:val="14"/>
        </w:numPr>
        <w:autoSpaceDE w:val="0"/>
        <w:autoSpaceDN w:val="0"/>
        <w:adjustRightInd w:val="0"/>
        <w:spacing w:line="480" w:lineRule="auto"/>
        <w:ind w:left="786" w:hanging="426"/>
        <w:jc w:val="both"/>
      </w:pPr>
      <w:r>
        <w:t>0 s/d 0,5 gram : Kepala Kejaksaan Negeri;</w:t>
      </w:r>
    </w:p>
    <w:p w:rsidR="00D175B9" w:rsidRDefault="00D175B9" w:rsidP="00DE3A45">
      <w:pPr>
        <w:numPr>
          <w:ilvl w:val="0"/>
          <w:numId w:val="14"/>
        </w:numPr>
        <w:autoSpaceDE w:val="0"/>
        <w:autoSpaceDN w:val="0"/>
        <w:adjustRightInd w:val="0"/>
        <w:spacing w:line="480" w:lineRule="auto"/>
        <w:ind w:left="786" w:hanging="426"/>
        <w:jc w:val="both"/>
      </w:pPr>
      <w:r>
        <w:t>Lebih dari 0,5 s/d 1 gram: Kepala Kejaksaan Tinggi</w:t>
      </w:r>
    </w:p>
    <w:p w:rsidR="00D175B9" w:rsidRDefault="00D175B9" w:rsidP="00DE3A45">
      <w:pPr>
        <w:numPr>
          <w:ilvl w:val="0"/>
          <w:numId w:val="14"/>
        </w:numPr>
        <w:autoSpaceDE w:val="0"/>
        <w:autoSpaceDN w:val="0"/>
        <w:adjustRightInd w:val="0"/>
        <w:spacing w:line="480" w:lineRule="auto"/>
        <w:ind w:left="786" w:hanging="426"/>
        <w:jc w:val="both"/>
      </w:pPr>
      <w:r>
        <w:t>Lebih dari 1 gram : Jaksa Agung Cq. Jaksa Agung Muda Tindak Pidana Umum.</w:t>
      </w:r>
    </w:p>
    <w:p w:rsidR="00D175B9" w:rsidRDefault="00D175B9" w:rsidP="00D175B9">
      <w:pPr>
        <w:autoSpaceDE w:val="0"/>
        <w:autoSpaceDN w:val="0"/>
        <w:adjustRightInd w:val="0"/>
        <w:ind w:left="786"/>
        <w:jc w:val="both"/>
      </w:pPr>
    </w:p>
    <w:bookmarkEnd w:id="5"/>
    <w:p w:rsidR="00D175B9" w:rsidRDefault="00D175B9" w:rsidP="00DE3A45">
      <w:pPr>
        <w:pStyle w:val="BodyText"/>
        <w:numPr>
          <w:ilvl w:val="2"/>
          <w:numId w:val="5"/>
        </w:numPr>
        <w:tabs>
          <w:tab w:val="num" w:pos="360"/>
        </w:tabs>
        <w:spacing w:line="480" w:lineRule="auto"/>
        <w:ind w:left="360"/>
        <w:rPr>
          <w:rFonts w:ascii="Times New Roman" w:hAnsi="Times New Roman"/>
          <w:b/>
          <w:szCs w:val="24"/>
        </w:rPr>
      </w:pPr>
      <w:r>
        <w:rPr>
          <w:rFonts w:ascii="Times New Roman" w:hAnsi="Times New Roman"/>
          <w:b/>
          <w:szCs w:val="24"/>
          <w:lang w:val="sv-SE"/>
        </w:rPr>
        <w:t xml:space="preserve">Pertanggunjawaban </w:t>
      </w:r>
      <w:r>
        <w:rPr>
          <w:rFonts w:ascii="Times New Roman" w:hAnsi="Times New Roman"/>
          <w:b/>
          <w:szCs w:val="24"/>
          <w:lang w:val="fi-FI"/>
        </w:rPr>
        <w:t xml:space="preserve">Permufakatan Jahat </w:t>
      </w:r>
      <w:r>
        <w:rPr>
          <w:rFonts w:ascii="Times New Roman" w:hAnsi="Times New Roman"/>
          <w:b/>
          <w:i/>
          <w:szCs w:val="24"/>
          <w:lang w:val="fi-FI"/>
        </w:rPr>
        <w:t>(Samenspanning)</w:t>
      </w:r>
      <w:r>
        <w:rPr>
          <w:rFonts w:ascii="Times New Roman" w:hAnsi="Times New Roman"/>
          <w:b/>
          <w:szCs w:val="24"/>
          <w:lang w:val="fi-FI"/>
        </w:rPr>
        <w:t xml:space="preserve"> Dalam </w:t>
      </w:r>
      <w:r>
        <w:rPr>
          <w:rFonts w:ascii="Times New Roman" w:hAnsi="Times New Roman"/>
          <w:b/>
          <w:szCs w:val="24"/>
          <w:lang w:val="sv-SE"/>
        </w:rPr>
        <w:t xml:space="preserve">Tindak Pidana Narkotika </w:t>
      </w:r>
    </w:p>
    <w:p w:rsidR="00D175B9" w:rsidRDefault="00D175B9" w:rsidP="00D175B9">
      <w:pPr>
        <w:autoSpaceDE w:val="0"/>
        <w:autoSpaceDN w:val="0"/>
        <w:adjustRightInd w:val="0"/>
        <w:spacing w:line="480" w:lineRule="auto"/>
        <w:ind w:firstLine="709"/>
        <w:jc w:val="both"/>
        <w:rPr>
          <w:color w:val="000000"/>
          <w:lang w:val="en-ID" w:eastAsia="en-ID"/>
        </w:rPr>
      </w:pPr>
      <w:r>
        <w:rPr>
          <w:color w:val="000000"/>
          <w:lang w:val="en-ID" w:eastAsia="en-ID"/>
        </w:rPr>
        <w:t xml:space="preserve">UU Narkotika telah memberikan ketentuan ketentuan pidana bagi mereka yang terbukti melakukan tindak pidana penyalahgunaan narkotika yang terdapat dalam Bab XV UU Narkotika yaitu ketentuan sebagaimana yang terdapat dalam pasal 111 UU narkotika sampai dengan ketentuan pasal 148 UU Narkotika. Salah satu hal yang memberikan gambaran bahwa negara melihat begitu urgensinya perlindungan bagi masyarakat terhadap penyalahgunaan narkotika adalah ketentuan yang terdapat dalam pasal 132 ayat (1) UU Narkotika, yang berbunyi: “Percobaan atau permufakatan jahat untuk melakukan tindak pidana Narkotika dan Prekursor Narkotika sebagaimana dimaksud dalam Pasal 111, Pasal 112, Pasal 113, Pasal 114, Pasal 115, Pasal 116, Pasal 117, Pasal 118, Pasal 119, Pasal 120, Pasal 121, Pasal 122, Pasal 123, Pasal 124, Pasal 125, Pasal 126, dan Pasal </w:t>
      </w:r>
      <w:r>
        <w:rPr>
          <w:color w:val="000000"/>
          <w:lang w:val="en-ID" w:eastAsia="en-ID"/>
        </w:rPr>
        <w:lastRenderedPageBreak/>
        <w:t xml:space="preserve">129, pelakunya dipidana dengan pidana penjara yang sama sesuai dengan ketentuan sebagaimana dimaksud dalam pasal-pasal tersebut”. </w:t>
      </w:r>
      <w:r>
        <w:rPr>
          <w:rStyle w:val="FootnoteReference"/>
          <w:color w:val="000000"/>
          <w:lang w:val="en-ID" w:eastAsia="en-ID"/>
        </w:rPr>
        <w:footnoteReference w:id="7"/>
      </w:r>
    </w:p>
    <w:p w:rsidR="00D175B9" w:rsidRDefault="00D175B9" w:rsidP="00D175B9">
      <w:pPr>
        <w:autoSpaceDE w:val="0"/>
        <w:autoSpaceDN w:val="0"/>
        <w:adjustRightInd w:val="0"/>
        <w:spacing w:line="480" w:lineRule="auto"/>
        <w:ind w:firstLine="709"/>
        <w:jc w:val="both"/>
        <w:rPr>
          <w:color w:val="000000"/>
          <w:lang w:val="en-ID" w:eastAsia="en-ID"/>
        </w:rPr>
      </w:pPr>
      <w:r>
        <w:rPr>
          <w:color w:val="000000"/>
          <w:lang w:val="en-ID" w:eastAsia="en-ID"/>
        </w:rPr>
        <w:t>Dalam ketentuan pasal tersebut ditegaskan bahwa orang yang melakukan tindak pidana percobaan atau permufakatan jahat dalam tindak pidana narkotika maka pelaku pidana dipidana dengan pidana yang sama sesuai dengan ketentuan sebagaimana pasal-pasal pokoknya, hal ini dapat disimpulkan bahwa UU Narkotika memberikan gambaran bahwa terhadap tindak pidana Narkotika, terdapat suatu antisipatif dari negara yang menilai bahwa penyalahgunaan narkotika sangat dapat mengakibatkan bahaya yang lebih besar bagi kehidupan dan nilai-nilai budaya bangsa, dan tidak dapat dipungkiri bahwa dengan rusaknya generasi bangsa akibat penyalahgunaan narkotika maka pada akhirnya akan dapat melemahkan ketahanan nasional.Dalam ketentuan yang terdapat dalam pasal 132 ayat 1 UU Narkotika, ternyata terdapat suatu hal yang menarik untuk dikaji adalah terkait dengan pemahaman unsur percobaan atau permufakatan jahat dalam ketentuan pasal tersebut.</w:t>
      </w:r>
      <w:r>
        <w:rPr>
          <w:rStyle w:val="FootnoteReference"/>
          <w:color w:val="000000"/>
          <w:lang w:val="en-ID" w:eastAsia="en-ID"/>
        </w:rPr>
        <w:footnoteReference w:id="8"/>
      </w:r>
    </w:p>
    <w:p w:rsidR="00D175B9" w:rsidRDefault="00D175B9" w:rsidP="00D175B9">
      <w:pPr>
        <w:autoSpaceDE w:val="0"/>
        <w:autoSpaceDN w:val="0"/>
        <w:adjustRightInd w:val="0"/>
        <w:spacing w:line="456" w:lineRule="auto"/>
        <w:ind w:firstLine="709"/>
        <w:jc w:val="both"/>
      </w:pPr>
      <w:r>
        <w:t xml:space="preserve">Hukum pidana di Indonesia mengenai pemahaman tentang Permufakatan jahat dalam UU Narkotika diartikan sebagai perbuatan dua orang atau lebih yang bersekongkol atau bersepakat untuk melakukan, melaksanakan, membantu, turut serta melakukan, menyuruh, menganjurkan, memfasilitasi, memberi konsultasi, menjadi anggota suatu organisasi kejahatan Narkotika, atau mengorganisasikan suatu tindak pidana Narkotika. Sedangkan pengertian percobaan menurut UU </w:t>
      </w:r>
      <w:r>
        <w:lastRenderedPageBreak/>
        <w:t>Narkotika adalah adanya unsur unsur niat, adanya permulaan pelaksanaan, dan tidak selesainya pelaksanaan bukan semata-mata disebabkan karena kehendaknya sendiri. Dari kedua pemahaman tersebut hal yang tertarik untuk dianalisa adalah mengapa ketentuan pada pasal 132 ayat 1 UU Narkotika menyatukan kedua hal tersebut dalam satu pasal meskipun terdapat frase kata “atau” yang menjembatani antara unsur kata percobaan dan permufakatan jahat tersebut, bukankah akan lebih mudah memahami dengan mencantumkan tanda koma (,) diantaranya, sehingga menjadikan unsur tersebut bersifat alternatif, sehingga apabila ada fakta hukum yang memenuhi salah satu unsurnya, maka dianggap pasal tersebut telah terpenuhi.</w:t>
      </w:r>
    </w:p>
    <w:p w:rsidR="00D175B9" w:rsidRDefault="00D175B9" w:rsidP="00D175B9">
      <w:pPr>
        <w:autoSpaceDE w:val="0"/>
        <w:autoSpaceDN w:val="0"/>
        <w:adjustRightInd w:val="0"/>
        <w:spacing w:line="480" w:lineRule="auto"/>
        <w:ind w:firstLine="709"/>
        <w:jc w:val="both"/>
        <w:rPr>
          <w:color w:val="000000"/>
          <w:lang w:val="en-ID" w:eastAsia="en-ID"/>
        </w:rPr>
      </w:pPr>
      <w:r>
        <w:rPr>
          <w:color w:val="000000"/>
          <w:lang w:val="en-ID" w:eastAsia="en-ID"/>
        </w:rPr>
        <w:t xml:space="preserve">Hal ini dapat memberikan pemahaman yang tentunya perlu diuraikan lebih dalam apakah ketentuan pasal tersebut memberikan arti kedudukan yang berbeda atau memberikan suatu keterkaitan yang saling berhubungan dalam pengertian hukumnya sehingga pembuat undang- undang menyatukan hal tersebut dalam ketentuan satu pasal yaitu yang terdapat dalam pasal 132 ayat (1) UU narkotika. Permufakatan jahat atau sammenspaning dalam KUHP dinyatakan bahwa apabila terdapat dua orang atau lebih telah sepakat akan melakukan kejahatan. Dari rumusan Pasal 88 KUHP tersebut, maka unsur dari adanya permufakatan jahat (samenspaning) terjadi apabila terdapat: </w:t>
      </w:r>
    </w:p>
    <w:p w:rsidR="00D175B9" w:rsidRDefault="00D175B9" w:rsidP="00DE3A45">
      <w:pPr>
        <w:numPr>
          <w:ilvl w:val="2"/>
          <w:numId w:val="12"/>
        </w:numPr>
        <w:tabs>
          <w:tab w:val="num" w:pos="360"/>
        </w:tabs>
        <w:autoSpaceDE w:val="0"/>
        <w:autoSpaceDN w:val="0"/>
        <w:adjustRightInd w:val="0"/>
        <w:spacing w:line="480" w:lineRule="auto"/>
        <w:ind w:left="360"/>
        <w:rPr>
          <w:color w:val="000000"/>
          <w:lang w:val="en-ID" w:eastAsia="en-ID"/>
        </w:rPr>
      </w:pPr>
      <w:r>
        <w:rPr>
          <w:color w:val="000000"/>
          <w:lang w:val="en-ID" w:eastAsia="en-ID"/>
        </w:rPr>
        <w:t>Dua orang atau lebih</w:t>
      </w:r>
    </w:p>
    <w:p w:rsidR="00D175B9" w:rsidRDefault="00D175B9" w:rsidP="00DE3A45">
      <w:pPr>
        <w:numPr>
          <w:ilvl w:val="2"/>
          <w:numId w:val="12"/>
        </w:numPr>
        <w:tabs>
          <w:tab w:val="num" w:pos="360"/>
        </w:tabs>
        <w:autoSpaceDE w:val="0"/>
        <w:autoSpaceDN w:val="0"/>
        <w:adjustRightInd w:val="0"/>
        <w:spacing w:line="480" w:lineRule="auto"/>
        <w:ind w:left="360"/>
        <w:rPr>
          <w:color w:val="000000"/>
          <w:lang w:val="en-ID" w:eastAsia="en-ID"/>
        </w:rPr>
      </w:pPr>
      <w:r>
        <w:rPr>
          <w:color w:val="000000"/>
          <w:lang w:val="en-ID" w:eastAsia="en-ID"/>
        </w:rPr>
        <w:t>Telah sepakat.</w:t>
      </w:r>
    </w:p>
    <w:p w:rsidR="00D175B9" w:rsidRDefault="00D175B9" w:rsidP="00DE3A45">
      <w:pPr>
        <w:numPr>
          <w:ilvl w:val="2"/>
          <w:numId w:val="12"/>
        </w:numPr>
        <w:tabs>
          <w:tab w:val="num" w:pos="360"/>
        </w:tabs>
        <w:autoSpaceDE w:val="0"/>
        <w:autoSpaceDN w:val="0"/>
        <w:adjustRightInd w:val="0"/>
        <w:spacing w:line="480" w:lineRule="auto"/>
        <w:ind w:left="360"/>
        <w:rPr>
          <w:color w:val="000000"/>
          <w:lang w:val="en-ID" w:eastAsia="en-ID"/>
        </w:rPr>
      </w:pPr>
      <w:r>
        <w:rPr>
          <w:color w:val="000000"/>
          <w:lang w:val="en-ID" w:eastAsia="en-ID"/>
        </w:rPr>
        <w:t>Akan melakukan kejahatan.</w:t>
      </w:r>
      <w:r>
        <w:rPr>
          <w:rStyle w:val="FootnoteReference"/>
          <w:color w:val="000000"/>
          <w:lang w:val="en-ID" w:eastAsia="en-ID"/>
        </w:rPr>
        <w:footnoteReference w:id="9"/>
      </w:r>
    </w:p>
    <w:p w:rsidR="00D175B9" w:rsidRDefault="00D175B9" w:rsidP="00D175B9">
      <w:pPr>
        <w:autoSpaceDE w:val="0"/>
        <w:autoSpaceDN w:val="0"/>
        <w:adjustRightInd w:val="0"/>
        <w:spacing w:line="480" w:lineRule="auto"/>
        <w:ind w:firstLine="709"/>
        <w:jc w:val="both"/>
      </w:pPr>
      <w:r>
        <w:lastRenderedPageBreak/>
        <w:t>UU Narkotika yang menyatakan bahwa permufakatan jahat adalah perbuatan dua orang atau lebih yang bersengkokol atau bersepakat untuk melakukan, melaksanakan, membantu, turut serta melakukan, menyuruh, menganjurkan, memfasilitasi, memberi konsultasi, menjadi anggota suatu organisasi kejahatan narkotika, atau mengorganisasikan suatu tindak pidana narkotika.</w:t>
      </w:r>
    </w:p>
    <w:p w:rsidR="00D175B9" w:rsidRDefault="00D175B9" w:rsidP="00D175B9">
      <w:pPr>
        <w:autoSpaceDE w:val="0"/>
        <w:autoSpaceDN w:val="0"/>
        <w:adjustRightInd w:val="0"/>
        <w:spacing w:line="480" w:lineRule="auto"/>
        <w:ind w:firstLine="709"/>
        <w:jc w:val="both"/>
      </w:pPr>
      <w:r>
        <w:t>Unsur pasal kata permufakatan jahat sebagimana diartikan adanya kesepakatan antara dua orang atau lebih, maka dalam hal ketentuan pasal ini, maka apabila dua orang yang tertangkap sebelum melakukan delik yang selesai sebagaimana dimaksud dalam pasal 132 ayat 1 UU Narkotika, maka hal ini bukanlah dikatakan sebagai percobaan saja tapi sudah merupakan tindak pidana yang selesai apabila ada dua orang atau lebih melakukan kesepakatan sebagaimana tindak pidana yang ditentukan dalam pasal 132 ayat (1) UU Narkotika tersebut.</w:t>
      </w:r>
      <w:r>
        <w:rPr>
          <w:rStyle w:val="FootnoteReference"/>
        </w:rPr>
        <w:footnoteReference w:id="10"/>
      </w:r>
    </w:p>
    <w:p w:rsidR="00D175B9" w:rsidRDefault="00D175B9" w:rsidP="00D175B9">
      <w:pPr>
        <w:autoSpaceDE w:val="0"/>
        <w:autoSpaceDN w:val="0"/>
        <w:adjustRightInd w:val="0"/>
        <w:spacing w:line="480" w:lineRule="auto"/>
        <w:ind w:firstLine="709"/>
        <w:jc w:val="both"/>
        <w:rPr>
          <w:color w:val="000000"/>
          <w:lang w:val="en-ID" w:eastAsia="en-ID"/>
        </w:rPr>
      </w:pPr>
      <w:r>
        <w:rPr>
          <w:color w:val="000000"/>
          <w:lang w:val="en-ID" w:eastAsia="en-ID"/>
        </w:rPr>
        <w:t xml:space="preserve">Pasal 132 ayat (1) dipergunakan bagi tindak pidana narkotika yang dilakukan oleh 2 orang atau lebih yang telah melakukan delik selesai. Contohnya : dua orang telah ditangkap dan didakwa karena membeli, membawa dan selanjutnya menggunakan narkotika jenis shabu. </w:t>
      </w:r>
    </w:p>
    <w:p w:rsidR="00D175B9" w:rsidRDefault="00D175B9" w:rsidP="00D175B9">
      <w:pPr>
        <w:autoSpaceDE w:val="0"/>
        <w:autoSpaceDN w:val="0"/>
        <w:adjustRightInd w:val="0"/>
        <w:spacing w:line="480" w:lineRule="auto"/>
        <w:ind w:firstLine="709"/>
        <w:jc w:val="both"/>
        <w:rPr>
          <w:color w:val="000000"/>
          <w:lang w:val="en-ID" w:eastAsia="en-ID"/>
        </w:rPr>
      </w:pPr>
      <w:r>
        <w:rPr>
          <w:color w:val="000000"/>
          <w:lang w:val="en-ID" w:eastAsia="en-ID"/>
        </w:rPr>
        <w:t xml:space="preserve">Ada anggapan bahwa dengan bermufakatnya mereka untuk membeli narkotika itu masuk dalam katagori pasal 132 ayat (1) padahal perbuatan permufakatan jahat sebagai contoh misalnya “membeli narkotika” sudah selesai, narkotika sudah dibeli dan juga sudah dipergunakan. Jika menggunakan </w:t>
      </w:r>
      <w:r>
        <w:rPr>
          <w:color w:val="000000"/>
          <w:lang w:val="en-ID" w:eastAsia="en-ID"/>
        </w:rPr>
        <w:lastRenderedPageBreak/>
        <w:t>pemahaman sepert ini maka pasal 132 ayat (1) dianggap spesialisasi dari pasal 55 dan 56 KUHP. Sehingga esensi permufakatan jahat dari pasal 132 ayat (1) yang ditujukan bagi perbuatan yang belum selesai ini sendiri tidak dipahami oleh penegak hukum. Hal mana akan berimplikasi di amar tuntutan Penuntut umum atau putusan Hakim selalu akan memuat kata kata seperti contoh ini : “ ……</w:t>
      </w:r>
      <w:r>
        <w:rPr>
          <w:iCs/>
          <w:color w:val="000000"/>
          <w:lang w:val="en-ID" w:eastAsia="en-ID"/>
        </w:rPr>
        <w:t>terbukti secara sah dan meyakinkan bersalah melakukan tindak pidana permufakatan jahat menjadi perantara dalam jual beli narkotika golongan 1</w:t>
      </w:r>
      <w:r>
        <w:rPr>
          <w:color w:val="000000"/>
          <w:lang w:val="en-ID" w:eastAsia="en-ID"/>
        </w:rPr>
        <w:t>”, padahal perbuatan perantara sudah selesai dan narkotika sudah diserah terimakan, demikian ilustrasi tersebut.</w:t>
      </w:r>
    </w:p>
    <w:p w:rsidR="00D175B9" w:rsidRDefault="00D175B9" w:rsidP="00D175B9">
      <w:pPr>
        <w:autoSpaceDE w:val="0"/>
        <w:autoSpaceDN w:val="0"/>
        <w:adjustRightInd w:val="0"/>
        <w:spacing w:line="480" w:lineRule="auto"/>
        <w:ind w:firstLine="709"/>
        <w:jc w:val="both"/>
      </w:pPr>
      <w:r>
        <w:t xml:space="preserve">Hal ini jelas tidak sesuai dengan pengertian permufakatan jahat yang otentik sebagaimana pasal 1 angka 8 UU Narkotika. Alasan penggunaan pasal 132 ayat (1) UU Narkotika tersebut disandarkan pada alasan adanya asas </w:t>
      </w:r>
      <w:r>
        <w:rPr>
          <w:i/>
          <w:iCs/>
        </w:rPr>
        <w:t>lex specialis derogat lex generalis</w:t>
      </w:r>
      <w:r>
        <w:t xml:space="preserve">, mengingat undang-undang narkotika merupakan </w:t>
      </w:r>
      <w:r>
        <w:rPr>
          <w:i/>
          <w:iCs/>
        </w:rPr>
        <w:t xml:space="preserve">lex specialis </w:t>
      </w:r>
      <w:r>
        <w:t xml:space="preserve">dari KUH Pidana. Munculnya pemikiran tersebut karena dalam pengertian permufakatan jahat dalam UU Narkotika terdapat frasa “melakukan, membantu, turut serta melakukan, menyuruh, menganjurkan” yang merupakan jenis </w:t>
      </w:r>
      <w:r>
        <w:rPr>
          <w:i/>
          <w:iCs/>
        </w:rPr>
        <w:t xml:space="preserve">deelneming </w:t>
      </w:r>
      <w:r>
        <w:t>sebagaimana diatur dalam pasal 55 dan pasal 56 KUH Pidana.</w:t>
      </w:r>
      <w:r>
        <w:rPr>
          <w:rStyle w:val="FootnoteReference"/>
        </w:rPr>
        <w:footnoteReference w:id="11"/>
      </w:r>
    </w:p>
    <w:p w:rsidR="00D175B9" w:rsidRDefault="00D175B9" w:rsidP="00D175B9">
      <w:pPr>
        <w:autoSpaceDE w:val="0"/>
        <w:autoSpaceDN w:val="0"/>
        <w:adjustRightInd w:val="0"/>
        <w:spacing w:line="480" w:lineRule="auto"/>
        <w:ind w:firstLine="709"/>
        <w:jc w:val="both"/>
      </w:pPr>
      <w:r>
        <w:t xml:space="preserve">Meskipun dalam pasal 132 (1) UU Narkotika mengatur sifat keturutsertaan namun memiliki sifat yang berbeda, keturutsertaan dalam Pasal 55 KUH Pidana para pelaku telah melakukan tindak pidana yang dilarang tersebut, sedangkan dalam permufakatan jahat tindak pidana belum dilakukan oleh pelaku. Jadi yang </w:t>
      </w:r>
      <w:r>
        <w:lastRenderedPageBreak/>
        <w:t>dihukum atau yang merupakan tindak pidana yang dimaksud dalam pasal 132 ayat (1) disini adalah niat yang ditandai adanya kata sepakat dan persekongkolan dari dua orang atau lebih untuk melakukan tindak pidana narkotika, sehingga apabila diperhatikan pasal 132 ayat (1) adalah bentuk kekhususan dari pasal 55 dan 56 KUHP karena mencantumkan kriteria penyertaan dan pembantuan dan bukan merupakan lex specialis dari pasal 55 dan 56 KUHP karena penegasan dari pasal 132 ayat (1) adalah perbuatan yang belum selesai dari adanya percobaan atau permufakatan jahat yang pemberlakuannya bagi tindak pidana Narkotika yang belum selesai.</w:t>
      </w:r>
    </w:p>
    <w:p w:rsidR="00D175B9" w:rsidRDefault="00D175B9" w:rsidP="00D175B9">
      <w:pPr>
        <w:autoSpaceDE w:val="0"/>
        <w:autoSpaceDN w:val="0"/>
        <w:adjustRightInd w:val="0"/>
        <w:spacing w:line="480" w:lineRule="auto"/>
        <w:ind w:firstLine="709"/>
        <w:jc w:val="both"/>
      </w:pPr>
      <w:r>
        <w:t xml:space="preserve">Berbeda dengan KUHP, permufakatan jahat yang diatur dalam Undang-Undang Nomor 35 Tahun 2009 tentang Narkotika mengatur ketentuan yang sama sesuai dengan ketentuan yang diatur dalam pasal- pasal tindak pidananya. Dalam hal ini tindak pidana permufakatan jahat dalamUndangUndang Narkotika menghukum sama dengan pidana untuk delik selesai dan tidak ada pembedaan ancaman pidana meskipun dilakukan dengan permufakatan jahat. Artinya jika hanya elakukan permufakatan jahat untuk melakukan tindak pidana narkotika diancamkan pidana yang sama dengan jika melakukan tindak pidana narkotika yang sudah dilakukan. Permufakatan jahat dalam Undang-Undang Nomor 35 Tahun 2009 tentang Narkotika mengatur hanya terhadap kejahatan- kejahatan sebagaimana diatur dalam 111, Pasal 112, Pasal 113, Pasal 114, Pasal 115, Pasal 116, Pasal 117, Pasal 118, Pasal 119, Pasal 120, Pasal 121, Pasal 122, Pasal 123, Pasal 124, Pasal 125, Pasal 126, dan Pasal 129. Artinya tindak pidana </w:t>
      </w:r>
      <w:r>
        <w:lastRenderedPageBreak/>
        <w:t>permufakatan jahat tidak dapat diberlakukan untuk semua tindak pidana yang ada dalam undang-undang narkotika tersebut.</w:t>
      </w:r>
      <w:r>
        <w:rPr>
          <w:rStyle w:val="FootnoteReference"/>
        </w:rPr>
        <w:footnoteReference w:id="12"/>
      </w:r>
    </w:p>
    <w:p w:rsidR="00D175B9" w:rsidRDefault="00D175B9" w:rsidP="00D175B9">
      <w:pPr>
        <w:autoSpaceDE w:val="0"/>
        <w:autoSpaceDN w:val="0"/>
        <w:adjustRightInd w:val="0"/>
        <w:spacing w:line="480" w:lineRule="auto"/>
        <w:ind w:firstLine="709"/>
        <w:jc w:val="both"/>
      </w:pPr>
      <w:r>
        <w:t>Perumusan sistem ancaman pidana dalam Undang-Undang Narkotika yaitu sistem pidana minimal khusus. Hal ini tentu berbeda dengan rumusan KUHP yang menjadi induk dari peraturan perundang- undangan pidana di Indonesia, yang mana, rumusan yang digunakan adalah minimum, baik untuk pidana penjara maupun kurungan selama 1 (satu) hari (pasal 12 ayat (2) KUHP dan Pasal 18 ayat (1) KUHP), serta maksimum umum maupun maksimum khusus. Artinya, ada aturan yang berbeda khususnya mengenai “pidana minimal khusus” hal ini dikarenakan dalam KUHP berorientasi pada sistem maksimal dan tidak mengenal minimal khusus dalam hal pemidanaan, oleh karena itu, untuk sistem pidana minimal tidak ada pedoman pemidanaannya. Hal ini juga menunjukkan bahwa rumusan mengenai permufakatan jahat dalam Undang-Undang Nomor 35 Tahun 2009 tentang Narkotika telah menentukan aturan pemidanaan sendiri di luar aturan pemidanaan berkaitan dengan pemufakatan jahat sebagaimana ditentukan KUHP, undang-undang di luar KUHP itu sendiri seperti Undang-Undang Narkotika seharusnya juga dilengkapi dengan pedoman penerapan sistem pidana minimal yang bersifat khusus. Apabila pihak pembuat kebijakan tidak melengkapinya dengan pedoman pemidanaan, maka akan timbul masalah bagi penegak hukum dalam penerapannya.</w:t>
      </w:r>
    </w:p>
    <w:p w:rsidR="00D175B9" w:rsidRDefault="00D175B9" w:rsidP="00D175B9">
      <w:pPr>
        <w:autoSpaceDE w:val="0"/>
        <w:autoSpaceDN w:val="0"/>
        <w:adjustRightInd w:val="0"/>
        <w:spacing w:line="480" w:lineRule="auto"/>
        <w:ind w:firstLine="709"/>
        <w:jc w:val="both"/>
        <w:rPr>
          <w:color w:val="000000"/>
          <w:lang w:val="en-ID" w:eastAsia="en-ID"/>
        </w:rPr>
      </w:pPr>
      <w:r>
        <w:t xml:space="preserve">Kalau pelaku tindak pidana tersebut melakukan delik selesai, maka tidak akan terjadi kesulitan penerapan sistem pidana minimal. Namun, bila tindak </w:t>
      </w:r>
      <w:r>
        <w:lastRenderedPageBreak/>
        <w:t>pidana yang dilakukan diikuti dengan permufakatan jahat, maka kemungkinan besar akan menjadi suatu permasalahan baru yaitu dijatuhkannya pidana dibawah ancaman minimal oleh hakim. Dalam KUHP mengatur ketentuan pidana atau ancaman pidana masing-masing jika tindak pidana itu hanya dilakukan permufakatan jahat saja dan tindak pidana yang diikuti dengan permufakatan jahat. Namun didalam Undang-Undang Narkotika hanya mengatur jika melakukan permufakan jahat untuk melakukan tindak pidana narkotika sebagaimana diatur dalam Pasal 132 ayat (1) UU Narkotika diancam pidana sama dengan tindak pidana itu, namun tidak mengatur jika tindak pidana narkotika diikuti dengan permufakatan jahat. Didalam Pasal 132 ayat (2) dan ayat (3) UndangUndang Narkotika berbunyi a</w:t>
      </w:r>
      <w:r>
        <w:rPr>
          <w:color w:val="000000"/>
          <w:lang w:val="en-ID" w:eastAsia="en-ID"/>
        </w:rPr>
        <w:t xml:space="preserve">yat (2) Dalam hal perbuatan sebagaimana dimaksud dalam Pasal 111, Pasal 112, Pasal 113, Pasal 114, Pasal 115, Pasal 116, Pasal 117, Pasal 118, Pasal 119, Pasal 120, Pasal 121, Pasal 122, Pasal 123, Pasal 124, Pasal 125, Pasal 126, dan Pasal 129 dilakukan secara terorganisasi, pidana penjara dan pidana denda maksimumnya ditambah 1/3 (sepertiga). </w:t>
      </w:r>
    </w:p>
    <w:p w:rsidR="00D175B9" w:rsidRDefault="00D175B9" w:rsidP="00D175B9">
      <w:pPr>
        <w:autoSpaceDE w:val="0"/>
        <w:autoSpaceDN w:val="0"/>
        <w:adjustRightInd w:val="0"/>
        <w:spacing w:line="480" w:lineRule="auto"/>
        <w:ind w:firstLine="709"/>
        <w:jc w:val="both"/>
        <w:rPr>
          <w:color w:val="000000"/>
          <w:lang w:val="en-ID" w:eastAsia="en-ID"/>
        </w:rPr>
      </w:pPr>
      <w:r>
        <w:rPr>
          <w:color w:val="000000"/>
          <w:lang w:val="en-ID" w:eastAsia="en-ID"/>
        </w:rPr>
        <w:t>Ayat (3) Pemberatan pidana sebagaimana dimaksud pada ayat (2) tidak berlaku bagi tindak pidana yang diancam dengan pidana mati, pidana penjara seumur hidup, atau pidana penjara 20 (dua puluh) tahun.Dalam Pasal 132 ayat (2) hanya mengatur jika tindak pidana dilakukan secara “terorganisasi”, namun tidak dijelaskan apakah melakukan permufakatan jahat itu sudah termasuk terorganisasi dan apakah ada pemberatan untuk tindak pidana yang diikuti permufaktan jahat dimana faktor pemberat ancaman pidana terkadang terlalu berat atau berlebihan.</w:t>
      </w:r>
    </w:p>
    <w:p w:rsidR="00D175B9" w:rsidRDefault="00D175B9" w:rsidP="00D175B9">
      <w:pPr>
        <w:autoSpaceDE w:val="0"/>
        <w:autoSpaceDN w:val="0"/>
        <w:adjustRightInd w:val="0"/>
        <w:spacing w:line="480" w:lineRule="auto"/>
        <w:ind w:firstLine="709"/>
        <w:jc w:val="both"/>
      </w:pPr>
      <w:r>
        <w:lastRenderedPageBreak/>
        <w:t>Dengan kata lain, dengan tidak adanya aturan pedoman pemidanaan ini maka tidak begitu jelas apakah pidana minimal itu dapat diperingan (dalam hal ada faktor yang meringankan) atau dapat diperberat (dalam hal ada faktor yang memberatkan). Dikarenakan tidak adanya pedoman mengenai penerapan pidana minimal khusus dalam hal terjadi peringanan atau pemberatan pidana dan dalam KUHP pun tidak memuat ketentuan pidana minimum khusus, oleh karena itu, perlu diatur mengenai pedoman pemidanaan terkait dengan adanya pidana minimal khusus terhadap perbuatan pidana atau kejahatan yang luar biasa sehingga memerlukan batasan (minimum) dalam penjatuhan pidana agar tercapai rasa keadilan dan sekaligus untuk mengurangi disparitas dalam penjatuhan pidana. Dan perumusan ancaman pidana minimum khusus harus ada kriteria atau syarat tertentu yang jelas dan tegas (pasti) agar tercapai tujuan dicantumkan.</w:t>
      </w:r>
    </w:p>
    <w:p w:rsidR="00D175B9" w:rsidRDefault="00D175B9" w:rsidP="00D175B9">
      <w:pPr>
        <w:autoSpaceDE w:val="0"/>
        <w:autoSpaceDN w:val="0"/>
        <w:adjustRightInd w:val="0"/>
        <w:spacing w:line="480" w:lineRule="auto"/>
        <w:ind w:firstLine="709"/>
        <w:jc w:val="both"/>
        <w:rPr>
          <w:color w:val="000000"/>
          <w:lang w:val="en-ID" w:eastAsia="en-ID"/>
        </w:rPr>
      </w:pPr>
      <w:r>
        <w:t xml:space="preserve">Pembuat Undang-undang menganggap pidana narkotika adalah </w:t>
      </w:r>
      <w:r>
        <w:rPr>
          <w:i/>
          <w:iCs/>
        </w:rPr>
        <w:t xml:space="preserve">serious crime </w:t>
      </w:r>
      <w:r>
        <w:t xml:space="preserve">sehingga memandang perlu bahwa percobaan tidak dibuat 1/3 sebagaimana KUHP namun cukup dihilangkan dendanya saja, namun dapat </w:t>
      </w:r>
      <w:r>
        <w:rPr>
          <w:color w:val="000000"/>
          <w:lang w:val="en-ID" w:eastAsia="en-ID"/>
        </w:rPr>
        <w:t xml:space="preserve">dilihat juga dalam pasal 132 ayat (2) tetap menjatuhkan pidana penjara dan denda terhadap pelaku percobaan atau permufakatan jahat, dan bahkan Mahkamah Konstitusi dalam putusannya nomor 44/PUU-XVII/2019 telah menolak permohonan pemohon terkait pasal 132 ayat (1) Undang-undang Narkotika, </w:t>
      </w:r>
    </w:p>
    <w:p w:rsidR="00D175B9" w:rsidRDefault="00D175B9" w:rsidP="00D175B9">
      <w:pPr>
        <w:autoSpaceDE w:val="0"/>
        <w:autoSpaceDN w:val="0"/>
        <w:adjustRightInd w:val="0"/>
        <w:spacing w:line="456" w:lineRule="auto"/>
        <w:ind w:firstLine="709"/>
        <w:jc w:val="both"/>
        <w:rPr>
          <w:color w:val="000000"/>
          <w:lang w:val="en-ID" w:eastAsia="en-ID"/>
        </w:rPr>
      </w:pPr>
      <w:r>
        <w:rPr>
          <w:color w:val="000000"/>
          <w:lang w:val="en-ID" w:eastAsia="en-ID"/>
        </w:rPr>
        <w:t xml:space="preserve">Adapun pendapat Mahkamah konstitusi adalah sebagai berikut  bahwa percobaan dan lebih-lebih permufakatan jahat untuk melakukan tindak pidana sebagaimana diatur dalam Pasal 111, Pasal 112, Pasal 113, Pasal 114, Pasal 115, Pasal 116, Pasal 117, Pasal 118, Pasal 119, Pasal 120, Pasal 121, Pasal 122, Pasal 123, Pasal 124, Pasal 125, Pasal 126, dan Pasal 129 UU Narkotika tidak </w:t>
      </w:r>
      <w:r>
        <w:rPr>
          <w:color w:val="000000"/>
          <w:lang w:val="en-ID" w:eastAsia="en-ID"/>
        </w:rPr>
        <w:lastRenderedPageBreak/>
        <w:t>mengurangi, apalagi meniadakan, ancaman serta bahaya yang ditimbulkan oleh terjadinya penyalahgunaan narkotika dan psikotropika mengingat sifat “</w:t>
      </w:r>
      <w:r>
        <w:rPr>
          <w:i/>
          <w:iCs/>
          <w:color w:val="000000"/>
          <w:lang w:val="en-ID" w:eastAsia="en-ID"/>
        </w:rPr>
        <w:t>particularly serious</w:t>
      </w:r>
      <w:r>
        <w:rPr>
          <w:color w:val="000000"/>
          <w:lang w:val="en-ID" w:eastAsia="en-ID"/>
        </w:rPr>
        <w:t>” tindak pidana atau kejahatan narkotika dan psikotropika dimaksud”.</w:t>
      </w:r>
      <w:r>
        <w:rPr>
          <w:rStyle w:val="FootnoteReference"/>
          <w:color w:val="000000"/>
          <w:lang w:val="en-ID" w:eastAsia="en-ID"/>
        </w:rPr>
        <w:footnoteReference w:id="13"/>
      </w:r>
    </w:p>
    <w:p w:rsidR="00D175B9" w:rsidRDefault="00D175B9" w:rsidP="00D175B9">
      <w:pPr>
        <w:autoSpaceDE w:val="0"/>
        <w:autoSpaceDN w:val="0"/>
        <w:adjustRightInd w:val="0"/>
        <w:spacing w:line="456" w:lineRule="auto"/>
        <w:ind w:firstLine="709"/>
        <w:jc w:val="both"/>
        <w:rPr>
          <w:color w:val="000000"/>
          <w:lang w:val="en-ID" w:eastAsia="en-ID"/>
        </w:rPr>
      </w:pPr>
      <w:r>
        <w:rPr>
          <w:color w:val="000000"/>
          <w:lang w:val="en-ID" w:eastAsia="en-ID"/>
        </w:rPr>
        <w:t xml:space="preserve">Pendapat tersebut menunjukkan keseriusan pemerintah yang diakomodir dalam putusan Mahkamah Konstitusi dalam menanggulangi bahaya narkotika di Indonesia sehingga percobaan dan permufakatan jahat tidak mengadaptasi ketentuan pasal 53 KUHP yang dipotong 1/3 dari pidana pokoknya melainkan hanya mengurangi pidana dendanya saja. </w:t>
      </w:r>
    </w:p>
    <w:p w:rsidR="00D175B9" w:rsidRDefault="00D175B9" w:rsidP="00D175B9">
      <w:pPr>
        <w:autoSpaceDE w:val="0"/>
        <w:autoSpaceDN w:val="0"/>
        <w:adjustRightInd w:val="0"/>
        <w:spacing w:line="456" w:lineRule="auto"/>
        <w:ind w:firstLine="709"/>
        <w:jc w:val="both"/>
        <w:rPr>
          <w:color w:val="000000"/>
          <w:lang w:val="en-ID" w:eastAsia="en-ID"/>
        </w:rPr>
      </w:pPr>
      <w:r>
        <w:rPr>
          <w:color w:val="000000"/>
          <w:lang w:val="en-ID" w:eastAsia="en-ID"/>
        </w:rPr>
        <w:t>Sehingga berdasarkan analisa tersebut mencantumkan denda dalam tuntutan ataupun Putusan Hakim terhadap perkara pidana narkotika pasal 132 ayat (1) yang telah terbukti melakukan percobaan ataupun permufakatan jahat untuk melakukan tindak pidana narkotika adalah tidak tepat. Kecuali terbukti melanggar pasal 132 ayat (2) didalam secara tegas diatur tentang kejahatan terorganisir yang menjatuhkan ancaman pidana penjara dan denda ditambah 1/3 dari pidana maksimumnya.</w:t>
      </w:r>
    </w:p>
    <w:p w:rsidR="00D175B9" w:rsidRDefault="00D175B9" w:rsidP="00DE3A45">
      <w:pPr>
        <w:pStyle w:val="BodyText"/>
        <w:numPr>
          <w:ilvl w:val="2"/>
          <w:numId w:val="5"/>
        </w:numPr>
        <w:tabs>
          <w:tab w:val="num" w:pos="360"/>
        </w:tabs>
        <w:spacing w:line="480" w:lineRule="auto"/>
        <w:ind w:left="360"/>
        <w:rPr>
          <w:rFonts w:ascii="Times New Roman" w:hAnsi="Times New Roman"/>
          <w:b/>
          <w:szCs w:val="24"/>
        </w:rPr>
      </w:pPr>
      <w:r>
        <w:rPr>
          <w:rFonts w:ascii="Times New Roman" w:hAnsi="Times New Roman"/>
          <w:b/>
          <w:szCs w:val="24"/>
          <w:lang w:val="sv-SE"/>
        </w:rPr>
        <w:t xml:space="preserve">Pertimbangan Hakim Dalam </w:t>
      </w:r>
      <w:r>
        <w:rPr>
          <w:rFonts w:ascii="Times New Roman" w:hAnsi="Times New Roman"/>
          <w:b/>
          <w:color w:val="000000"/>
          <w:szCs w:val="24"/>
        </w:rPr>
        <w:t>Menjatuhkan  Putusan Pidana Mati Terhadap</w:t>
      </w:r>
      <w:r>
        <w:rPr>
          <w:rFonts w:ascii="Times New Roman" w:hAnsi="Times New Roman"/>
          <w:b/>
          <w:szCs w:val="24"/>
          <w:lang w:val="sv-SE"/>
        </w:rPr>
        <w:t xml:space="preserve"> Permufakatan Jahat </w:t>
      </w:r>
      <w:r>
        <w:rPr>
          <w:rFonts w:ascii="Times New Roman" w:hAnsi="Times New Roman"/>
          <w:b/>
          <w:i/>
          <w:szCs w:val="24"/>
          <w:lang w:val="sv-SE"/>
        </w:rPr>
        <w:t>(Samenspanning)</w:t>
      </w:r>
      <w:r>
        <w:rPr>
          <w:rFonts w:ascii="Times New Roman" w:hAnsi="Times New Roman"/>
          <w:b/>
          <w:szCs w:val="24"/>
          <w:lang w:val="sv-SE"/>
        </w:rPr>
        <w:t xml:space="preserve"> Dalam Tindak Pidana Narkotika </w:t>
      </w:r>
      <w:r>
        <w:rPr>
          <w:rFonts w:ascii="Times New Roman" w:hAnsi="Times New Roman"/>
          <w:b/>
          <w:color w:val="000000"/>
          <w:szCs w:val="24"/>
        </w:rPr>
        <w:t xml:space="preserve">Menurut Putusan </w:t>
      </w:r>
      <w:r>
        <w:rPr>
          <w:rFonts w:ascii="Times New Roman" w:hAnsi="Times New Roman"/>
          <w:b/>
          <w:szCs w:val="24"/>
          <w:lang w:val="fi-FI"/>
        </w:rPr>
        <w:t xml:space="preserve">Pengadilan Negeri Medan Nomor 1957/Pid.Sus/2023/PN Mdn </w:t>
      </w:r>
    </w:p>
    <w:p w:rsidR="00D175B9" w:rsidRDefault="00D175B9" w:rsidP="00DE3A45">
      <w:pPr>
        <w:pStyle w:val="BodyText"/>
        <w:numPr>
          <w:ilvl w:val="3"/>
          <w:numId w:val="12"/>
        </w:numPr>
        <w:tabs>
          <w:tab w:val="clear" w:pos="709"/>
          <w:tab w:val="num" w:pos="720"/>
        </w:tabs>
        <w:spacing w:line="480" w:lineRule="auto"/>
        <w:ind w:left="720"/>
        <w:rPr>
          <w:rFonts w:ascii="Times New Roman" w:hAnsi="Times New Roman"/>
          <w:b/>
          <w:szCs w:val="24"/>
        </w:rPr>
      </w:pPr>
      <w:r>
        <w:rPr>
          <w:rFonts w:ascii="Times New Roman" w:hAnsi="Times New Roman"/>
          <w:b/>
          <w:szCs w:val="24"/>
        </w:rPr>
        <w:t>Kronologis Kasus</w:t>
      </w:r>
    </w:p>
    <w:p w:rsidR="00D175B9" w:rsidRDefault="00D175B9" w:rsidP="00D175B9">
      <w:pPr>
        <w:pStyle w:val="BodyText"/>
        <w:spacing w:line="480" w:lineRule="auto"/>
        <w:ind w:firstLine="709"/>
        <w:rPr>
          <w:rFonts w:ascii="Times New Roman" w:hAnsi="Times New Roman"/>
          <w:szCs w:val="24"/>
          <w:lang w:val="en-ID" w:eastAsia="en-ID"/>
        </w:rPr>
      </w:pPr>
      <w:r>
        <w:rPr>
          <w:rFonts w:ascii="Times New Roman" w:hAnsi="Times New Roman"/>
          <w:szCs w:val="24"/>
        </w:rPr>
        <w:t xml:space="preserve">Terdakwa dalam kasus ini adalah </w:t>
      </w:r>
      <w:r>
        <w:rPr>
          <w:rFonts w:ascii="Times New Roman" w:hAnsi="Times New Roman"/>
          <w:szCs w:val="24"/>
          <w:lang w:val="en-ID" w:eastAsia="en-ID"/>
        </w:rPr>
        <w:t xml:space="preserve">Wardani Ibrahim Alias Ibrahim bersama-sama dengan </w:t>
      </w:r>
      <w:r>
        <w:rPr>
          <w:rFonts w:ascii="Times New Roman" w:hAnsi="Times New Roman"/>
          <w:bCs/>
          <w:szCs w:val="24"/>
          <w:lang w:val="en-ID" w:eastAsia="en-ID"/>
        </w:rPr>
        <w:t>Sofyan Alias Tulang Bin Yusuf Ibrahim</w:t>
      </w:r>
      <w:r>
        <w:rPr>
          <w:rFonts w:ascii="Times New Roman" w:hAnsi="Times New Roman"/>
          <w:szCs w:val="24"/>
          <w:lang w:val="en-ID" w:eastAsia="en-ID"/>
        </w:rPr>
        <w:t xml:space="preserve">(penuntutan secara </w:t>
      </w:r>
      <w:r>
        <w:rPr>
          <w:rFonts w:ascii="Times New Roman" w:hAnsi="Times New Roman"/>
          <w:szCs w:val="24"/>
          <w:lang w:val="en-ID" w:eastAsia="en-ID"/>
        </w:rPr>
        <w:lastRenderedPageBreak/>
        <w:t xml:space="preserve">terpisah), pada hari Minggu tanggal 10 April 2022 sekira pukul 20.35 Wib atau setidak-tidaknya pada waktu lain dalam bulan April tahun 2022, bertempat di Jalan Kakak Tua Nomor 8, Lingkungan 1, Kelurahan Sei Sikambing B, Kecamatan Medan Sunggal, Kota Medan, Provinsi Sumatera Utara atau setidak-tidaknya bertempat diwilayah hukum Pengadilan Negeri Medan yang berhak dan berwenang memeriksa dan mengadili perkara ini, yang </w:t>
      </w:r>
      <w:r>
        <w:rPr>
          <w:rFonts w:ascii="Times New Roman" w:hAnsi="Times New Roman"/>
          <w:bCs/>
          <w:iCs/>
          <w:szCs w:val="24"/>
          <w:lang w:val="en-ID" w:eastAsia="en-ID"/>
        </w:rPr>
        <w:t>tanpa hak ataumelawan hukum menawarkan untuk dijual, menjual, membeli, menerima, menjadi perantara dalam jual beli, menukar, atau menyerahkan narkotika golongan I jenis sabu – sabu yang beratnya melebihi 5 (lima) gram dengan berat kotor kurang lebih 43.077,6 (empat puluh tiga ribu tujuh puluh tujuh koma enam) gram percobaan atau permufakatan jahat untuk melakukan tindak pidana narkotika dan prekusor narkotika</w:t>
      </w:r>
    </w:p>
    <w:p w:rsidR="00D175B9" w:rsidRDefault="00D175B9" w:rsidP="00D175B9">
      <w:pPr>
        <w:pStyle w:val="BodyText"/>
        <w:spacing w:line="480" w:lineRule="auto"/>
        <w:ind w:firstLine="709"/>
        <w:rPr>
          <w:rFonts w:ascii="Times New Roman" w:hAnsi="Times New Roman"/>
          <w:szCs w:val="24"/>
          <w:lang w:val="en-ID" w:eastAsia="en-ID"/>
        </w:rPr>
      </w:pPr>
      <w:r>
        <w:rPr>
          <w:rFonts w:ascii="Times New Roman" w:hAnsi="Times New Roman"/>
          <w:szCs w:val="24"/>
          <w:lang w:val="en-ID" w:eastAsia="en-ID"/>
        </w:rPr>
        <w:t>Terdakwa melakukan perbuatan dengan cara berawal pada hari Sabtu tanggal 02 April 2022 sekira pukul 22.00 wib, terdakwa Wardani Ibrahim Alias Ibrahim menghubungi saksi Sofyan Alias Tulang bin Yusuf Ibrahim dengan mengatakan “tulang ada orang yang mau menitipkan barang sabu cuma satu malam”, dijawab oleh saksi Sofyan Alias Tulang bin Yusuf Ibrahim “boleh” dan dijawab oleh terdakwa Wardani Ibrahim Alias Ibrahim “nanti kawan saya kan telpon ke tulang karena sudah saya kasih nomor Hpnya”.</w:t>
      </w:r>
    </w:p>
    <w:p w:rsidR="00D175B9" w:rsidRDefault="00D175B9" w:rsidP="00D175B9">
      <w:pPr>
        <w:pStyle w:val="BodyText"/>
        <w:spacing w:line="480" w:lineRule="auto"/>
        <w:ind w:firstLine="709"/>
        <w:rPr>
          <w:rFonts w:ascii="Times New Roman" w:hAnsi="Times New Roman"/>
          <w:szCs w:val="24"/>
          <w:lang w:val="en-ID" w:eastAsia="en-ID"/>
        </w:rPr>
      </w:pPr>
      <w:r>
        <w:rPr>
          <w:rFonts w:ascii="Times New Roman" w:hAnsi="Times New Roman"/>
          <w:szCs w:val="24"/>
          <w:lang w:val="en-ID" w:eastAsia="en-ID"/>
        </w:rPr>
        <w:t xml:space="preserve">Minggu tanggal 03 April 2022 sekira pukul 06.00 wib, saksi Sofyan Alias Tulang bin Yusuf Ibrahim dihubungi oleh seseorang yang tidak dikenal dan bertemu dengan saksi Sofyan Alias Tulang bin Yusuf Ibrahim didepan Masjid Al-Badar, kemudian saksi Sofyan Alias Tulang bin Yusuf Ibrahim bersama-sama </w:t>
      </w:r>
      <w:r>
        <w:rPr>
          <w:rFonts w:ascii="Times New Roman" w:hAnsi="Times New Roman"/>
          <w:szCs w:val="24"/>
          <w:lang w:val="en-ID" w:eastAsia="en-ID"/>
        </w:rPr>
        <w:lastRenderedPageBreak/>
        <w:t>dengan orang tidak dikenal tersebut menuju kerumah saksi Sofyan Alias Tulang bin Yusuf Ibrahim yang berlokasi di Jl. Kakak Tua No. 8 Lingkungan 1 Sei Sikambing B Kec. Medan Sunggal Kota Medan Provinsi Sumatera Utara dan orang tidak dikenal tersebut menurunkan 2 (dua) buah tas jinjing bertuliskan camel mountain berisi narkotika jenis sabu, kemudian pukul 10.00 wib terdakwa Wardani Ibrahim Alias Ibrahim dihubungi oleh orang yang tidak dikenal tersebut yang memberitahukan bahwa barang berupa narkotika jenis sabu sudah diterima saksi Sofyan Alias Tulang bin Yusuf Ibrahim, kemudian terdakwa Wardani Ibrahim Alias Ibrahim menghubungi sdr. Acong (dpo) dan memberitahukan bahwa narkotika jenis sabu sudah diterima oleh saksi Sofyan Alias Tulang bin Yusuf Ibrahim, kemudian terdakwa Wardani Ibrahim Alias Ibrahim diminta oleh sdr. Acong untuk menghitung jumlah narkotika jenis sabu-sabu yang ada didalam 2 (dua) tas jinjing warna biru, kemudian terdakwa Wardani Ibrahim Alias Ibrahim menghubungi saksi Sofyan Alias Tulang bin Yusuf Ibrahim untuk menghitung narkotika jenis sabu yang berada di dalam tas jing jing sehingga diketahui sebanyak 43 (empat puluh tiga) bungkus.</w:t>
      </w:r>
    </w:p>
    <w:p w:rsidR="00D175B9" w:rsidRDefault="00D175B9" w:rsidP="00D175B9">
      <w:pPr>
        <w:pStyle w:val="BodyText"/>
        <w:spacing w:line="480" w:lineRule="auto"/>
        <w:ind w:firstLine="709"/>
        <w:rPr>
          <w:rFonts w:ascii="Times New Roman" w:hAnsi="Times New Roman"/>
          <w:szCs w:val="24"/>
          <w:lang w:val="en-ID" w:eastAsia="en-ID"/>
        </w:rPr>
      </w:pPr>
      <w:r>
        <w:rPr>
          <w:rFonts w:ascii="Times New Roman" w:hAnsi="Times New Roman"/>
          <w:szCs w:val="24"/>
          <w:lang w:val="en-ID" w:eastAsia="en-ID"/>
        </w:rPr>
        <w:t xml:space="preserve">Senin tanggal 04 April 2022 sekira pukul 10.35 wib, saksi Sofyan Alias Tulang bin Yusuf Ibrahim meghubungi terdakwa Wardani Ibrahim Alias Ibrahim dan meminta uang sebesar Rp. 500.000,- (lima ratus ribu rupiah) untuk menyewa mobil yang digunakan untuk mengangkut narkotika jenis sabu yang akan diambil oleh kurir yang sebelumnya diberitahukan oleh terdakwa Wardani Ibrahim Alias Ibrahim, namun tidak jadi diambil, kemudian saksi Sofyan Alias Tulang bin Yusuf Ibrahim menghubungi terdakwa Wardani Ibrahim Alias Ibrahim dan </w:t>
      </w:r>
      <w:r>
        <w:rPr>
          <w:rFonts w:ascii="Times New Roman" w:hAnsi="Times New Roman"/>
          <w:szCs w:val="24"/>
          <w:lang w:val="en-ID" w:eastAsia="en-ID"/>
        </w:rPr>
        <w:lastRenderedPageBreak/>
        <w:t>memberitahu bahwa narkotika jenis sabu tidak jadi diambil kemudian terdakwa Wardani Ibrahim Alias Ibrahim menyuruh saksi Sofyan Alias Tulang bin Yusuf Ibrahim menyimpan narkotika jenis sabu-sabu tersebut.</w:t>
      </w:r>
    </w:p>
    <w:p w:rsidR="00D175B9" w:rsidRDefault="00D175B9" w:rsidP="00D175B9">
      <w:pPr>
        <w:pStyle w:val="BodyText"/>
        <w:spacing w:line="480" w:lineRule="auto"/>
        <w:ind w:firstLine="709"/>
        <w:rPr>
          <w:rFonts w:ascii="Times New Roman" w:hAnsi="Times New Roman"/>
          <w:szCs w:val="24"/>
          <w:lang w:val="en-ID" w:eastAsia="en-ID"/>
        </w:rPr>
      </w:pPr>
      <w:r>
        <w:rPr>
          <w:rFonts w:ascii="Times New Roman" w:hAnsi="Times New Roman"/>
          <w:szCs w:val="24"/>
          <w:lang w:val="en-ID" w:eastAsia="en-ID"/>
        </w:rPr>
        <w:t>Selasa tanggal 05 April 2022 sekira pukul 12.00 wib sdr. Acong (dpo) menghubungi terdakwa Wardani Alias Ibrahim dan menyuruh untuk mengambil 2 (dua) bungkus narkotika jenis sabu untuk diserahkan kepada orang suruhan sdr. Acong, kemudian terdakwa Wardani Ibrahim Alias Ibrahim menghubungi saksi Sofyan Alias Tulang bin Yusuf Ibrahim untuk menyerahkan 2 (dua) bungkus narkotika jenis sabu kepada orang suruhan terdakwa Wardani Ibrahim Alias Ibrahim dan saksi Sofyan Alias Tulang bin Yusuf Ibrahim menyerahkan 2 (dua) bungkus narkotika jenis sabu di pinggir jalan dekat Masjid Al-Badar, tidak lama kemudian terdakwa Wardani Ibrahim Alias Ibrahim dihubungi oleh saksi Sofyan Alias Tulang bin Yusuf Ibrahim yang memberitahukan bahwa narkotika sebanyak 2 (dua) bungkus narkotika jenis sabu sudah diserahkan.</w:t>
      </w:r>
    </w:p>
    <w:p w:rsidR="00D175B9" w:rsidRDefault="00D175B9" w:rsidP="00D175B9">
      <w:pPr>
        <w:pStyle w:val="BodyText"/>
        <w:spacing w:line="480" w:lineRule="auto"/>
        <w:ind w:firstLine="709"/>
        <w:rPr>
          <w:rFonts w:ascii="Times New Roman" w:hAnsi="Times New Roman"/>
          <w:szCs w:val="24"/>
          <w:lang w:val="en-ID" w:eastAsia="en-ID"/>
        </w:rPr>
      </w:pPr>
      <w:r>
        <w:rPr>
          <w:rFonts w:ascii="Times New Roman" w:hAnsi="Times New Roman"/>
          <w:szCs w:val="24"/>
          <w:lang w:val="en-ID" w:eastAsia="en-ID"/>
        </w:rPr>
        <w:t xml:space="preserve">Rabu tanggal 06 April 2022 sekira pukul 22.00 wib, terdakwa Wardani Ibrahim Alias Ibrahim dihubungi oleh saksi Sofyan Alias Tulang bin Yusuf Ibrahim yang meminta uang sewa rumah untuk memindahkan narkotika jenis sabu dari rumah terdakwa dengan menggunakan nomor handphone 08126972288 mengirim nomor rekening 040401001073539 BRI atas nama Sofyan, kemudian terdakwa Wardani Ibrahim Alias Ibrahim melakukan transfer sebesar Rp. 500.000,- (lima ratus ribu rupiah) kepada saksi Sofyan Alias Tulang bin Yusuf Ibrahim. Kemudian saksi Sofyan Alias Tulang bin Yusuf Ibrahim mengatakan kepada terdakwa Wardani Ibrahim Alias Ibrahim jangan sampai kirim orang/ kurir </w:t>
      </w:r>
      <w:r>
        <w:rPr>
          <w:rFonts w:ascii="Times New Roman" w:hAnsi="Times New Roman"/>
          <w:szCs w:val="24"/>
          <w:lang w:val="en-ID" w:eastAsia="en-ID"/>
        </w:rPr>
        <w:lastRenderedPageBreak/>
        <w:t>tidak jelas lagi seperti kemarin, kemudian terdakwa Wardani Ibrahim Alias Ibrahim menghubungi sdr. Acong untuk mengirim orang yang jelas.</w:t>
      </w:r>
    </w:p>
    <w:p w:rsidR="00D175B9" w:rsidRDefault="00D175B9" w:rsidP="00D175B9">
      <w:pPr>
        <w:pStyle w:val="BodyText"/>
        <w:spacing w:line="480" w:lineRule="auto"/>
        <w:ind w:firstLine="709"/>
        <w:rPr>
          <w:rFonts w:ascii="Times New Roman" w:hAnsi="Times New Roman"/>
          <w:szCs w:val="24"/>
          <w:lang w:val="en-ID" w:eastAsia="en-ID"/>
        </w:rPr>
      </w:pPr>
      <w:r>
        <w:rPr>
          <w:rFonts w:ascii="Times New Roman" w:hAnsi="Times New Roman"/>
          <w:szCs w:val="24"/>
          <w:lang w:val="en-ID" w:eastAsia="en-ID"/>
        </w:rPr>
        <w:t>Pada tanggal 09 April 2022 sekira pukul 16.00 wib, saksi Sofyan Alias Tulang bin Yusuf Ibrahim menghubungi sdr. Evi (dpo) berkata “ada yang mau beli sabu ini, saya punya banyak” dijawab sdr. Evi “nanti ada kawan, saya tanyakan dulu”, kemudian sdr. Evi mengirimkan nomor handphone orang yang akan mengambil narkotika jenis sabu, namun setelah dihubungi orang tersebut sanggup akan membeli narkotika jenis sabu seharga Rp. 300.000.000,- (tiga ratus juta rupiah) dan diantarkan kearah marelan lewat jembatan tol, namun orang tersebut tidak punya uang untuk membayar dengan mengatakan ngutang dulu, akhirnya narkotika jenis sabu tersebut tidak jadi dijual oleh saksi Sofyan Alias Tulang bin Yusuf Ibrahim.</w:t>
      </w:r>
    </w:p>
    <w:p w:rsidR="00D175B9" w:rsidRDefault="00D175B9" w:rsidP="00D175B9">
      <w:pPr>
        <w:pStyle w:val="BodyText"/>
        <w:spacing w:line="480" w:lineRule="auto"/>
        <w:ind w:firstLine="709"/>
        <w:rPr>
          <w:rFonts w:ascii="Times New Roman" w:hAnsi="Times New Roman"/>
          <w:szCs w:val="24"/>
          <w:lang w:val="en-ID" w:eastAsia="en-ID"/>
        </w:rPr>
      </w:pPr>
      <w:r>
        <w:rPr>
          <w:rFonts w:ascii="Times New Roman" w:hAnsi="Times New Roman"/>
          <w:szCs w:val="24"/>
          <w:lang w:val="en-ID" w:eastAsia="en-ID"/>
        </w:rPr>
        <w:t xml:space="preserve">Minggu tanggal 10 April 2022 sekira pukul 20.35 wib bertempat di depan rumah yang berlokasi di Gg. Juntak No.8 Kel. Sei Sikambing B Kec. Medan Sunggal Kota Medan Provinsi Sumatera Utara saksi Sofyan Alias Tulang bin Yusuf Ibrahim diamankan oleh Petugas BNN dimana pada saat dilakukan penggeledahan ditemukan barang bukti berupa 41 (empat puluh satu) bungkus kemasan teh cina warna hijau yang berisi kristal putih narkotika jenis sabu (metamfetamina) dengan berat brutto 43.077,6 (empat puluh tiga ribu tujuh puluh tujuh koma enam) gram dan 1 (satu) buah handphone Samsung Duos type B301E warna putih dengan nomor simcard 1: 081262007273 dan nomor simcard 2: 085276621749 dengan nomor Imei 1: 35741007755864 dan nomor Imei 2: </w:t>
      </w:r>
      <w:r>
        <w:rPr>
          <w:rFonts w:ascii="Times New Roman" w:hAnsi="Times New Roman"/>
          <w:szCs w:val="24"/>
          <w:lang w:val="en-ID" w:eastAsia="en-ID"/>
        </w:rPr>
        <w:lastRenderedPageBreak/>
        <w:t>35741107755649, yang digunakan oleh saksi Sofyan Alias Tulang bin Yusuf Ibrahim untuk berkomunikasi dengan terdakwa Wardani Ibrahim Alias Ibrahim.</w:t>
      </w:r>
    </w:p>
    <w:p w:rsidR="00D175B9" w:rsidRDefault="00D175B9" w:rsidP="00D175B9">
      <w:pPr>
        <w:pStyle w:val="BodyText"/>
        <w:spacing w:line="480" w:lineRule="auto"/>
        <w:ind w:firstLine="709"/>
        <w:rPr>
          <w:rFonts w:ascii="Times New Roman" w:hAnsi="Times New Roman"/>
          <w:szCs w:val="24"/>
          <w:lang w:val="en-ID" w:eastAsia="en-ID"/>
        </w:rPr>
      </w:pPr>
      <w:r>
        <w:rPr>
          <w:rFonts w:ascii="Times New Roman" w:hAnsi="Times New Roman"/>
          <w:szCs w:val="24"/>
          <w:lang w:val="en-ID" w:eastAsia="en-ID"/>
        </w:rPr>
        <w:t>Minggu tanggal 10 April 2022 sekira pukul 20.35, saat terdakwa Wardani Ibrahim Alias Ibrahim sedang duduk diteras rumah yang berlokasi di Perumahan Pinang Baris Permai No.15 Jl. TB. Simatupang Kel. Sunggal Kec. Medan Sunggal Kota Medan Provinsi Sumatera Utara, saksi Heris Setia, SH dan saksi Ibnu Muttaqien bersama tim BNN melakukan penangkapan terhadap terdakwa Wardani Ibrahim Alias Ibrahim dengan disaksikan oleh saksi Suryanto Ariswoyo dan pada saat dilakukan penggeledahan ditemukan barang bukti berupa 1 (satu) buah KTP atas nama Wardani Ibrahim, 1 (satu) unit handphone merk Oppo type N1 warna putih dengan nomor Imei: 356759042749391 dengan nomor simcard 085246800915, 1 (satu) unit handphone merk Nokia type RM-713 berisi 2 (dua) buah simcard warna hitam dengan nomor Imei:354561054822252 nomor simcard 1: 08126972288 dan nomor simcard 2: 085362928366 yang digunakan oleh terdakwa Wardani Ibrahim Alias Ibrahim untuk berkomunikasi dengan sdr. Acog dan saksi Sofyan Alias Tulang bin Yusuf Ibrahim.</w:t>
      </w:r>
    </w:p>
    <w:p w:rsidR="00D175B9" w:rsidRDefault="00D175B9" w:rsidP="00D175B9">
      <w:pPr>
        <w:pStyle w:val="BodyText"/>
        <w:spacing w:line="480" w:lineRule="auto"/>
        <w:ind w:firstLine="709"/>
        <w:rPr>
          <w:rFonts w:ascii="Times New Roman" w:hAnsi="Times New Roman"/>
          <w:szCs w:val="24"/>
          <w:lang w:val="en-ID" w:eastAsia="en-ID"/>
        </w:rPr>
      </w:pPr>
      <w:r>
        <w:rPr>
          <w:rFonts w:ascii="Times New Roman" w:hAnsi="Times New Roman"/>
          <w:szCs w:val="24"/>
          <w:lang w:val="en-ID" w:eastAsia="en-ID"/>
        </w:rPr>
        <w:t xml:space="preserve">Berdasarkan hasil pemeriksaan Pusat Laboratorium dalam Hasil Pemeriksaan Laboratoris Nomor: PL107DD/IV/2022/Pusat Laboratorium Narkotika, tanggal 22 April 2022 menyimpulkan bahwa barang bukti atas nama Sofyan Alias Tulang dan Wardani Ibrahim Alias Ibrahim jenis sample A s/d AO dengan berat netto total 42,9618 (empat puluh dua koma Sembilan enam satu delapan) gram adalah benar positif mengandung Metamfetamina yang terdaftar dalam Golongan I nomor urut 61 Lampiran I UU No.35 Tahun 2009 tentang </w:t>
      </w:r>
      <w:r>
        <w:rPr>
          <w:rFonts w:ascii="Times New Roman" w:hAnsi="Times New Roman"/>
          <w:szCs w:val="24"/>
          <w:lang w:val="en-ID" w:eastAsia="en-ID"/>
        </w:rPr>
        <w:lastRenderedPageBreak/>
        <w:t>Narkotika, selanjutnya setelah selesai di uji sisa sample huruf A s/d hurf AO di segel kembali untuk keperluan persidangan dengan berat netto 41,7355 (empat puluh satu koma tujuh tiga lima lima) gram.</w:t>
      </w:r>
    </w:p>
    <w:p w:rsidR="00D175B9" w:rsidRDefault="00D175B9" w:rsidP="00D175B9">
      <w:pPr>
        <w:pStyle w:val="BodyText"/>
        <w:spacing w:line="480" w:lineRule="auto"/>
        <w:ind w:firstLine="709"/>
        <w:rPr>
          <w:rFonts w:ascii="Times New Roman" w:hAnsi="Times New Roman"/>
          <w:szCs w:val="24"/>
          <w:lang w:val="en-ID" w:eastAsia="en-ID"/>
        </w:rPr>
      </w:pPr>
      <w:r>
        <w:rPr>
          <w:rFonts w:ascii="Times New Roman" w:hAnsi="Times New Roman"/>
          <w:szCs w:val="24"/>
          <w:lang w:val="en-ID" w:eastAsia="en-ID"/>
        </w:rPr>
        <w:t>Berdasarkan surat perintah penimbangan dan penyisihan Barang Bukti Nomor : SP.Hitung.Timbang.Sisih/02-P2/IV/2022/BNN tanggal 10 April 2022 dan berita acara penimbangan dan penyisihan Barang Bukti tanggal 10 April 2022 telah dilakukan perhitungan dan penimbangan, Barang Bukti Narkotika No 1 s/d 41 dengan kode A1 s/d A41 dengan berat brutto + 43.076,6 (empat puluh tiga ribu tujuh puluh enam koma enam) gram, disisihkan untuk uji laboratorium jenis sample dengan kode A1 s/d A41 dengan berat brutto + 41 (empat puluh satu) gram, dimusnahkan seberat brutto + 43.036,6 (empat puluh tiga ribu tiga puluh enam koma enam) gram dan sisa barang bukti hasil pemeriksaan Laboratorium untuk keperluan persidangan dengan berat netto + 41,7355 (empat puluh satu koma tujuh tiga lima lima) gram.</w:t>
      </w:r>
    </w:p>
    <w:p w:rsidR="00D175B9" w:rsidRDefault="00D175B9" w:rsidP="00DE3A45">
      <w:pPr>
        <w:numPr>
          <w:ilvl w:val="3"/>
          <w:numId w:val="12"/>
        </w:numPr>
        <w:tabs>
          <w:tab w:val="num" w:pos="360"/>
          <w:tab w:val="num" w:pos="435"/>
        </w:tabs>
        <w:autoSpaceDE w:val="0"/>
        <w:autoSpaceDN w:val="0"/>
        <w:adjustRightInd w:val="0"/>
        <w:spacing w:line="480" w:lineRule="auto"/>
        <w:ind w:left="360"/>
        <w:jc w:val="both"/>
        <w:rPr>
          <w:b/>
        </w:rPr>
      </w:pPr>
      <w:r>
        <w:rPr>
          <w:b/>
        </w:rPr>
        <w:t>Dakwaan Jaksa Penuntut Umum</w:t>
      </w:r>
    </w:p>
    <w:p w:rsidR="00D175B9" w:rsidRDefault="00D175B9" w:rsidP="00D175B9">
      <w:pPr>
        <w:autoSpaceDE w:val="0"/>
        <w:autoSpaceDN w:val="0"/>
        <w:adjustRightInd w:val="0"/>
        <w:spacing w:line="480" w:lineRule="auto"/>
        <w:ind w:firstLine="720"/>
        <w:jc w:val="both"/>
        <w:rPr>
          <w:lang w:eastAsia="id-ID"/>
        </w:rPr>
      </w:pPr>
      <w:r>
        <w:rPr>
          <w:lang w:val="id-ID" w:eastAsia="id-ID"/>
        </w:rPr>
        <w:t xml:space="preserve">Jaksa Penuntut Umum mendakwa perbuatan terdakwa dengan dakwaan sebagai berikut : </w:t>
      </w:r>
    </w:p>
    <w:p w:rsidR="00D175B9" w:rsidRDefault="00D175B9" w:rsidP="00DE3A45">
      <w:pPr>
        <w:numPr>
          <w:ilvl w:val="4"/>
          <w:numId w:val="12"/>
        </w:numPr>
        <w:tabs>
          <w:tab w:val="num" w:pos="360"/>
        </w:tabs>
        <w:autoSpaceDE w:val="0"/>
        <w:autoSpaceDN w:val="0"/>
        <w:adjustRightInd w:val="0"/>
        <w:spacing w:line="480" w:lineRule="auto"/>
        <w:ind w:left="360"/>
        <w:jc w:val="both"/>
        <w:rPr>
          <w:lang w:val="en-ID" w:eastAsia="en-ID"/>
        </w:rPr>
      </w:pPr>
      <w:r>
        <w:rPr>
          <w:lang w:val="en-ID" w:eastAsia="en-ID"/>
        </w:rPr>
        <w:t xml:space="preserve">Perbuatan terdakwa Wardani Ibrahim Alias Ibrahim sebagaimana diatur dan diancam pidana dalam Pasal 114 ayat (2) </w:t>
      </w:r>
      <w:r>
        <w:rPr>
          <w:i/>
          <w:iCs/>
          <w:lang w:val="en-ID" w:eastAsia="en-ID"/>
        </w:rPr>
        <w:t xml:space="preserve">jo </w:t>
      </w:r>
      <w:r>
        <w:rPr>
          <w:lang w:val="en-ID" w:eastAsia="en-ID"/>
        </w:rPr>
        <w:t>Pasal 132 ayat (1) Undang-Undang RI No. 35 tahun 2009 Tentang Narkotika.</w:t>
      </w:r>
    </w:p>
    <w:p w:rsidR="00D175B9" w:rsidRDefault="00D175B9" w:rsidP="00DE3A45">
      <w:pPr>
        <w:numPr>
          <w:ilvl w:val="4"/>
          <w:numId w:val="12"/>
        </w:numPr>
        <w:tabs>
          <w:tab w:val="num" w:pos="360"/>
        </w:tabs>
        <w:autoSpaceDE w:val="0"/>
        <w:autoSpaceDN w:val="0"/>
        <w:adjustRightInd w:val="0"/>
        <w:spacing w:line="480" w:lineRule="auto"/>
        <w:ind w:left="360"/>
        <w:jc w:val="both"/>
        <w:rPr>
          <w:lang w:val="en-ID" w:eastAsia="en-ID"/>
        </w:rPr>
      </w:pPr>
      <w:r>
        <w:rPr>
          <w:lang w:val="en-ID" w:eastAsia="en-ID"/>
        </w:rPr>
        <w:t xml:space="preserve">Perbuatan terdakwa Wardani Ibrahim Alias Ibrahim sebagaimana diatur dan diancam pidana dalam Pasal 112 Ayat (2) </w:t>
      </w:r>
      <w:r>
        <w:rPr>
          <w:i/>
          <w:iCs/>
          <w:lang w:val="en-ID" w:eastAsia="en-ID"/>
        </w:rPr>
        <w:t xml:space="preserve">jo </w:t>
      </w:r>
      <w:r>
        <w:rPr>
          <w:lang w:val="en-ID" w:eastAsia="en-ID"/>
        </w:rPr>
        <w:t>Pasal 132 Ayat (1) Undang-Undang RI No. 35 Tahun 2009 Tentang Narkotika</w:t>
      </w:r>
    </w:p>
    <w:p w:rsidR="00D175B9" w:rsidRDefault="00D175B9" w:rsidP="00DE3A45">
      <w:pPr>
        <w:numPr>
          <w:ilvl w:val="0"/>
          <w:numId w:val="12"/>
        </w:numPr>
        <w:tabs>
          <w:tab w:val="num" w:pos="360"/>
          <w:tab w:val="num" w:pos="435"/>
        </w:tabs>
        <w:autoSpaceDE w:val="0"/>
        <w:autoSpaceDN w:val="0"/>
        <w:adjustRightInd w:val="0"/>
        <w:spacing w:line="480" w:lineRule="auto"/>
        <w:ind w:left="360"/>
        <w:jc w:val="both"/>
        <w:rPr>
          <w:b/>
        </w:rPr>
      </w:pPr>
      <w:r>
        <w:rPr>
          <w:b/>
        </w:rPr>
        <w:lastRenderedPageBreak/>
        <w:t>Tuntutan Jaksa Penuntut Umum</w:t>
      </w:r>
    </w:p>
    <w:p w:rsidR="00D175B9" w:rsidRDefault="00D175B9" w:rsidP="00D175B9">
      <w:pPr>
        <w:autoSpaceDE w:val="0"/>
        <w:autoSpaceDN w:val="0"/>
        <w:adjustRightInd w:val="0"/>
        <w:spacing w:line="480" w:lineRule="auto"/>
        <w:ind w:firstLine="720"/>
        <w:jc w:val="both"/>
      </w:pPr>
      <w:r>
        <w:t>Penuntut Umum yang pada pokoknya mengajukan tuntuan sebagai berikut:</w:t>
      </w:r>
    </w:p>
    <w:p w:rsidR="00D175B9" w:rsidRDefault="00D175B9" w:rsidP="00DE3A45">
      <w:pPr>
        <w:numPr>
          <w:ilvl w:val="4"/>
          <w:numId w:val="12"/>
        </w:numPr>
        <w:autoSpaceDE w:val="0"/>
        <w:autoSpaceDN w:val="0"/>
        <w:adjustRightInd w:val="0"/>
        <w:spacing w:line="480" w:lineRule="auto"/>
        <w:ind w:left="360"/>
        <w:jc w:val="both"/>
        <w:rPr>
          <w:b/>
          <w:bCs/>
          <w:lang w:val="en-ID" w:eastAsia="en-ID"/>
        </w:rPr>
      </w:pPr>
      <w:r>
        <w:rPr>
          <w:lang w:val="en-ID" w:eastAsia="en-ID"/>
        </w:rPr>
        <w:t xml:space="preserve">Menyatakan terdakwa </w:t>
      </w:r>
      <w:r>
        <w:rPr>
          <w:bCs/>
          <w:lang w:val="en-ID" w:eastAsia="en-ID"/>
        </w:rPr>
        <w:t xml:space="preserve">Wardani Ibrahim Alias Ibrahim </w:t>
      </w:r>
      <w:r>
        <w:rPr>
          <w:lang w:val="en-ID" w:eastAsia="en-ID"/>
        </w:rPr>
        <w:t xml:space="preserve">terbukti secara sah dan meyakinkan bersalah telah melakukan tindak pidana </w:t>
      </w:r>
      <w:r>
        <w:rPr>
          <w:iCs/>
          <w:lang w:val="en-ID" w:eastAsia="en-ID"/>
        </w:rPr>
        <w:t>percobaan atau permufakatan jahat tanpa hak atau melawan hukum menawarkan untuk dijual menjual, menerima, menjadi perantara dalam jual beli atau menyerahkan narkotika golongan I jenis sabu yang beratnya melebihi 5 (lima) gram</w:t>
      </w:r>
      <w:r>
        <w:rPr>
          <w:lang w:val="en-ID" w:eastAsia="en-ID"/>
        </w:rPr>
        <w:t xml:space="preserve">sebagimana diatur dan diancam pidana melanggar Pasal 114 ayat (2) </w:t>
      </w:r>
      <w:r>
        <w:rPr>
          <w:i/>
          <w:iCs/>
          <w:lang w:val="en-ID" w:eastAsia="en-ID"/>
        </w:rPr>
        <w:t xml:space="preserve">jo </w:t>
      </w:r>
      <w:r>
        <w:rPr>
          <w:lang w:val="en-ID" w:eastAsia="en-ID"/>
        </w:rPr>
        <w:t>Pasal 132 ayat (1) UU RI No. 35 tahun 2009 Tentang Narkotika dalam dakwaan Alternatif Pertama.</w:t>
      </w:r>
    </w:p>
    <w:p w:rsidR="00D175B9" w:rsidRDefault="00D175B9" w:rsidP="00DE3A45">
      <w:pPr>
        <w:numPr>
          <w:ilvl w:val="4"/>
          <w:numId w:val="12"/>
        </w:numPr>
        <w:autoSpaceDE w:val="0"/>
        <w:autoSpaceDN w:val="0"/>
        <w:adjustRightInd w:val="0"/>
        <w:spacing w:line="480" w:lineRule="auto"/>
        <w:ind w:left="360"/>
        <w:jc w:val="both"/>
        <w:rPr>
          <w:lang w:val="en-ID" w:eastAsia="en-ID"/>
        </w:rPr>
      </w:pPr>
      <w:r>
        <w:rPr>
          <w:lang w:val="en-ID" w:eastAsia="en-ID"/>
        </w:rPr>
        <w:t xml:space="preserve">Menjatuhkan pidana terhadap terdakwa </w:t>
      </w:r>
      <w:r>
        <w:rPr>
          <w:bCs/>
          <w:lang w:val="en-ID" w:eastAsia="en-ID"/>
        </w:rPr>
        <w:t xml:space="preserve">Wardani Ibrahim Alias Ibrahim </w:t>
      </w:r>
      <w:r>
        <w:rPr>
          <w:lang w:val="en-ID" w:eastAsia="en-ID"/>
        </w:rPr>
        <w:t xml:space="preserve">oleh karena itu dengan pidana </w:t>
      </w:r>
      <w:r>
        <w:rPr>
          <w:bCs/>
          <w:lang w:val="en-ID" w:eastAsia="en-ID"/>
        </w:rPr>
        <w:t xml:space="preserve">mati. </w:t>
      </w:r>
    </w:p>
    <w:p w:rsidR="00D175B9" w:rsidRDefault="00D175B9" w:rsidP="00DE3A45">
      <w:pPr>
        <w:numPr>
          <w:ilvl w:val="4"/>
          <w:numId w:val="12"/>
        </w:numPr>
        <w:autoSpaceDE w:val="0"/>
        <w:autoSpaceDN w:val="0"/>
        <w:adjustRightInd w:val="0"/>
        <w:spacing w:line="480" w:lineRule="auto"/>
        <w:ind w:left="360"/>
        <w:jc w:val="both"/>
        <w:rPr>
          <w:lang w:val="en-ID" w:eastAsia="en-ID"/>
        </w:rPr>
      </w:pPr>
      <w:r>
        <w:rPr>
          <w:lang w:val="en-ID" w:eastAsia="en-ID"/>
        </w:rPr>
        <w:t xml:space="preserve">Menyatakan barang bukti berupa </w:t>
      </w:r>
    </w:p>
    <w:p w:rsidR="00D175B9" w:rsidRDefault="00D175B9" w:rsidP="00DE3A45">
      <w:pPr>
        <w:numPr>
          <w:ilvl w:val="4"/>
          <w:numId w:val="4"/>
        </w:numPr>
        <w:autoSpaceDE w:val="0"/>
        <w:autoSpaceDN w:val="0"/>
        <w:adjustRightInd w:val="0"/>
        <w:spacing w:line="480" w:lineRule="auto"/>
        <w:ind w:left="720"/>
        <w:jc w:val="both"/>
        <w:rPr>
          <w:i/>
          <w:iCs/>
          <w:lang w:val="en-ID" w:eastAsia="en-ID"/>
        </w:rPr>
      </w:pPr>
      <w:r>
        <w:rPr>
          <w:lang w:val="en-ID" w:eastAsia="en-ID"/>
        </w:rPr>
        <w:t>2 (dua) buah tas berwarna biru bertuliskan Camel Mountain berisi 41 (empat puluh satu) bungkus teh cina berwarna hijau yang berisi narkotika jenis sabu dengan bruto +- 43.077,6 (empat puluh tiga ribu tujuh puluh tujuh koma enam) gram.</w:t>
      </w:r>
    </w:p>
    <w:p w:rsidR="00D175B9" w:rsidRDefault="00D175B9" w:rsidP="00D175B9">
      <w:pPr>
        <w:autoSpaceDE w:val="0"/>
        <w:autoSpaceDN w:val="0"/>
        <w:adjustRightInd w:val="0"/>
        <w:spacing w:line="480" w:lineRule="auto"/>
        <w:ind w:left="360"/>
        <w:jc w:val="both"/>
        <w:rPr>
          <w:lang w:val="en-ID" w:eastAsia="en-ID"/>
        </w:rPr>
      </w:pPr>
      <w:r>
        <w:rPr>
          <w:iCs/>
          <w:lang w:val="en-ID" w:eastAsia="en-ID"/>
        </w:rPr>
        <w:t>dirampas untuk dimusnahkan.</w:t>
      </w:r>
    </w:p>
    <w:p w:rsidR="00D175B9" w:rsidRDefault="00D175B9" w:rsidP="00DE3A45">
      <w:pPr>
        <w:numPr>
          <w:ilvl w:val="4"/>
          <w:numId w:val="4"/>
        </w:numPr>
        <w:autoSpaceDE w:val="0"/>
        <w:autoSpaceDN w:val="0"/>
        <w:adjustRightInd w:val="0"/>
        <w:spacing w:line="480" w:lineRule="auto"/>
        <w:ind w:left="720"/>
        <w:jc w:val="both"/>
        <w:rPr>
          <w:i/>
          <w:iCs/>
          <w:lang w:val="en-ID" w:eastAsia="en-ID"/>
        </w:rPr>
      </w:pPr>
      <w:r>
        <w:rPr>
          <w:lang w:val="en-ID" w:eastAsia="en-ID"/>
        </w:rPr>
        <w:t>1 (satu) buah KTP atas nama Wardani Ibrahim Nomor NIK 1111010101630001.</w:t>
      </w:r>
    </w:p>
    <w:p w:rsidR="00D175B9" w:rsidRDefault="00D175B9" w:rsidP="00D175B9">
      <w:pPr>
        <w:autoSpaceDE w:val="0"/>
        <w:autoSpaceDN w:val="0"/>
        <w:adjustRightInd w:val="0"/>
        <w:spacing w:line="480" w:lineRule="auto"/>
        <w:ind w:left="360"/>
        <w:jc w:val="both"/>
        <w:rPr>
          <w:lang w:val="en-ID" w:eastAsia="en-ID"/>
        </w:rPr>
      </w:pPr>
      <w:r>
        <w:rPr>
          <w:iCs/>
          <w:lang w:val="en-ID" w:eastAsia="en-ID"/>
        </w:rPr>
        <w:t>dikembalikan kepada Wardani Ibrahim.</w:t>
      </w:r>
    </w:p>
    <w:p w:rsidR="00D175B9" w:rsidRDefault="00D175B9" w:rsidP="00DE3A45">
      <w:pPr>
        <w:numPr>
          <w:ilvl w:val="4"/>
          <w:numId w:val="4"/>
        </w:numPr>
        <w:autoSpaceDE w:val="0"/>
        <w:autoSpaceDN w:val="0"/>
        <w:adjustRightInd w:val="0"/>
        <w:spacing w:line="480" w:lineRule="auto"/>
        <w:ind w:left="720"/>
        <w:jc w:val="both"/>
        <w:rPr>
          <w:lang w:val="en-ID" w:eastAsia="en-ID"/>
        </w:rPr>
      </w:pPr>
      <w:r>
        <w:rPr>
          <w:lang w:val="en-ID" w:eastAsia="en-ID"/>
        </w:rPr>
        <w:lastRenderedPageBreak/>
        <w:t>1 (satu) buah Handphone merk Nokia type RM-713 berisi dua simcard dengan Nomor HP. 08126972288 dan Nomor 085362928366 dengan Nomor Imei 354561054822245 dan 354561054822252.</w:t>
      </w:r>
    </w:p>
    <w:p w:rsidR="00D175B9" w:rsidRDefault="00D175B9" w:rsidP="00DE3A45">
      <w:pPr>
        <w:numPr>
          <w:ilvl w:val="4"/>
          <w:numId w:val="4"/>
        </w:numPr>
        <w:autoSpaceDE w:val="0"/>
        <w:autoSpaceDN w:val="0"/>
        <w:adjustRightInd w:val="0"/>
        <w:spacing w:line="480" w:lineRule="auto"/>
        <w:ind w:left="720"/>
        <w:jc w:val="both"/>
        <w:rPr>
          <w:i/>
          <w:iCs/>
          <w:lang w:val="en-ID" w:eastAsia="en-ID"/>
        </w:rPr>
      </w:pPr>
      <w:r>
        <w:rPr>
          <w:lang w:val="en-ID" w:eastAsia="en-ID"/>
        </w:rPr>
        <w:t>1 (satu) buah Handphone Merk OPPO type N1 warna putih Nomor Hp.085246800915 dengan Nomor Imei 356759042749391.</w:t>
      </w:r>
    </w:p>
    <w:p w:rsidR="00D175B9" w:rsidRDefault="00D175B9" w:rsidP="00D175B9">
      <w:pPr>
        <w:autoSpaceDE w:val="0"/>
        <w:autoSpaceDN w:val="0"/>
        <w:adjustRightInd w:val="0"/>
        <w:spacing w:line="480" w:lineRule="auto"/>
        <w:ind w:left="360"/>
        <w:jc w:val="both"/>
        <w:rPr>
          <w:iCs/>
          <w:lang w:val="en-ID" w:eastAsia="en-ID"/>
        </w:rPr>
      </w:pPr>
      <w:r>
        <w:rPr>
          <w:iCs/>
          <w:lang w:val="en-ID" w:eastAsia="en-ID"/>
        </w:rPr>
        <w:t>dirampas untuk dimusnahkan</w:t>
      </w:r>
    </w:p>
    <w:p w:rsidR="00D175B9" w:rsidRDefault="00D175B9" w:rsidP="00DE3A45">
      <w:pPr>
        <w:numPr>
          <w:ilvl w:val="4"/>
          <w:numId w:val="12"/>
        </w:numPr>
        <w:tabs>
          <w:tab w:val="num" w:pos="360"/>
        </w:tabs>
        <w:autoSpaceDE w:val="0"/>
        <w:autoSpaceDN w:val="0"/>
        <w:adjustRightInd w:val="0"/>
        <w:spacing w:line="480" w:lineRule="auto"/>
        <w:ind w:left="360"/>
        <w:rPr>
          <w:lang w:val="en-ID" w:eastAsia="en-ID"/>
        </w:rPr>
      </w:pPr>
      <w:r>
        <w:rPr>
          <w:lang w:val="en-ID" w:eastAsia="en-ID"/>
        </w:rPr>
        <w:t>Menetapkan agar terdakwa membayar biaya perkara sebesar Rp. 5.000,- (lima ribu rupiah)</w:t>
      </w:r>
    </w:p>
    <w:p w:rsidR="00D175B9" w:rsidRDefault="00D175B9" w:rsidP="00DE3A45">
      <w:pPr>
        <w:numPr>
          <w:ilvl w:val="0"/>
          <w:numId w:val="12"/>
        </w:numPr>
        <w:tabs>
          <w:tab w:val="num" w:pos="435"/>
        </w:tabs>
        <w:autoSpaceDE w:val="0"/>
        <w:autoSpaceDN w:val="0"/>
        <w:adjustRightInd w:val="0"/>
        <w:spacing w:line="480" w:lineRule="auto"/>
        <w:ind w:left="360"/>
        <w:jc w:val="both"/>
        <w:rPr>
          <w:b/>
        </w:rPr>
      </w:pPr>
      <w:r>
        <w:rPr>
          <w:b/>
        </w:rPr>
        <w:t>Amar Putusan.</w:t>
      </w:r>
    </w:p>
    <w:p w:rsidR="00D175B9" w:rsidRDefault="00D175B9" w:rsidP="00D175B9">
      <w:pPr>
        <w:autoSpaceDE w:val="0"/>
        <w:autoSpaceDN w:val="0"/>
        <w:adjustRightInd w:val="0"/>
        <w:spacing w:line="504" w:lineRule="auto"/>
        <w:ind w:firstLine="720"/>
        <w:jc w:val="both"/>
        <w:rPr>
          <w:lang w:eastAsia="id-ID"/>
        </w:rPr>
      </w:pPr>
      <w:r>
        <w:rPr>
          <w:lang w:val="id-ID" w:eastAsia="id-ID"/>
        </w:rPr>
        <w:t xml:space="preserve">Berdasarkan fakta-fakta dan bukti-bukti serta keterangan saksi-saksi maka hakim pada Pengadilan Negeri </w:t>
      </w:r>
      <w:r>
        <w:rPr>
          <w:lang w:eastAsia="id-ID"/>
        </w:rPr>
        <w:t>Medan</w:t>
      </w:r>
      <w:r>
        <w:rPr>
          <w:lang w:val="id-ID" w:eastAsia="id-ID"/>
        </w:rPr>
        <w:t xml:space="preserve"> memberikan putusan yang amar lengkapnya sebagai berikut :</w:t>
      </w:r>
    </w:p>
    <w:p w:rsidR="00D175B9" w:rsidRDefault="00D175B9" w:rsidP="00DE3A45">
      <w:pPr>
        <w:numPr>
          <w:ilvl w:val="4"/>
          <w:numId w:val="12"/>
        </w:numPr>
        <w:autoSpaceDE w:val="0"/>
        <w:autoSpaceDN w:val="0"/>
        <w:adjustRightInd w:val="0"/>
        <w:spacing w:line="480" w:lineRule="auto"/>
        <w:ind w:left="360"/>
        <w:jc w:val="both"/>
        <w:rPr>
          <w:lang w:val="en-ID" w:eastAsia="en-ID"/>
        </w:rPr>
      </w:pPr>
      <w:r>
        <w:rPr>
          <w:lang w:val="en-ID" w:eastAsia="en-ID"/>
        </w:rPr>
        <w:t xml:space="preserve">Menyatakan terdakwa atas nama Wardani Ibrahim Alias Ibrahim tersebut terbukti secara sah dan meyakinkan bersalah melakukan Tindak Pidana “permufakatan jahat tanpa hak atau melawan hukum menerima dan menyerahkan Narkotika Golongan I dalam bentuk bukan tanaman yang beratnya melebihi 5 (lima) gram,” sebagaimana diatur dakwaan Pertama. </w:t>
      </w:r>
    </w:p>
    <w:p w:rsidR="00D175B9" w:rsidRDefault="00D175B9" w:rsidP="00DE3A45">
      <w:pPr>
        <w:numPr>
          <w:ilvl w:val="4"/>
          <w:numId w:val="12"/>
        </w:numPr>
        <w:autoSpaceDE w:val="0"/>
        <w:autoSpaceDN w:val="0"/>
        <w:adjustRightInd w:val="0"/>
        <w:spacing w:line="480" w:lineRule="auto"/>
        <w:ind w:left="360"/>
        <w:jc w:val="both"/>
        <w:rPr>
          <w:lang w:val="en-ID" w:eastAsia="en-ID"/>
        </w:rPr>
      </w:pPr>
      <w:r>
        <w:rPr>
          <w:lang w:val="en-ID" w:eastAsia="en-ID"/>
        </w:rPr>
        <w:t>Menghukum terdakwa tersebut oleh karena itu dengan pidana mati;</w:t>
      </w:r>
    </w:p>
    <w:p w:rsidR="00D175B9" w:rsidRDefault="00D175B9" w:rsidP="00DE3A45">
      <w:pPr>
        <w:numPr>
          <w:ilvl w:val="4"/>
          <w:numId w:val="12"/>
        </w:numPr>
        <w:autoSpaceDE w:val="0"/>
        <w:autoSpaceDN w:val="0"/>
        <w:adjustRightInd w:val="0"/>
        <w:spacing w:line="480" w:lineRule="auto"/>
        <w:ind w:left="360"/>
        <w:jc w:val="both"/>
        <w:rPr>
          <w:lang w:val="en-ID" w:eastAsia="en-ID"/>
        </w:rPr>
      </w:pPr>
      <w:r>
        <w:rPr>
          <w:lang w:val="en-ID" w:eastAsia="en-ID"/>
        </w:rPr>
        <w:t>Menetapkan terdakwa tetap berada dalam tahanan rutan;</w:t>
      </w:r>
    </w:p>
    <w:p w:rsidR="00D175B9" w:rsidRDefault="00D175B9" w:rsidP="00DE3A45">
      <w:pPr>
        <w:numPr>
          <w:ilvl w:val="4"/>
          <w:numId w:val="12"/>
        </w:numPr>
        <w:autoSpaceDE w:val="0"/>
        <w:autoSpaceDN w:val="0"/>
        <w:adjustRightInd w:val="0"/>
        <w:spacing w:line="480" w:lineRule="auto"/>
        <w:ind w:left="360"/>
        <w:jc w:val="both"/>
        <w:rPr>
          <w:lang w:val="en-ID" w:eastAsia="en-ID"/>
        </w:rPr>
      </w:pPr>
      <w:r>
        <w:rPr>
          <w:lang w:val="en-ID" w:eastAsia="en-ID"/>
        </w:rPr>
        <w:t>Menetapkan barang bukti berupa:</w:t>
      </w:r>
    </w:p>
    <w:p w:rsidR="00D175B9" w:rsidRDefault="00D175B9" w:rsidP="00DE3A45">
      <w:pPr>
        <w:numPr>
          <w:ilvl w:val="0"/>
          <w:numId w:val="15"/>
        </w:numPr>
        <w:autoSpaceDE w:val="0"/>
        <w:autoSpaceDN w:val="0"/>
        <w:adjustRightInd w:val="0"/>
        <w:spacing w:line="480" w:lineRule="auto"/>
        <w:jc w:val="both"/>
        <w:rPr>
          <w:lang w:val="en-ID" w:eastAsia="en-ID"/>
        </w:rPr>
      </w:pPr>
      <w:r>
        <w:rPr>
          <w:lang w:val="en-ID" w:eastAsia="en-ID"/>
        </w:rPr>
        <w:t xml:space="preserve">2 (dua) buah tas berwarna biru bertuliskan Camel Mountain berisi 41 (empat puluh satu) bungkus teh cina berwarna hijau yang berisi narkotika </w:t>
      </w:r>
      <w:r>
        <w:rPr>
          <w:lang w:val="en-ID" w:eastAsia="en-ID"/>
        </w:rPr>
        <w:lastRenderedPageBreak/>
        <w:t>jenis sabu dengan bruto ± 43.077,6 (empat puluh tiga ribu tujuh puluh tujuh koma enam) gram.</w:t>
      </w:r>
    </w:p>
    <w:p w:rsidR="00D175B9" w:rsidRDefault="00D175B9" w:rsidP="00DE3A45">
      <w:pPr>
        <w:numPr>
          <w:ilvl w:val="0"/>
          <w:numId w:val="15"/>
        </w:numPr>
        <w:autoSpaceDE w:val="0"/>
        <w:autoSpaceDN w:val="0"/>
        <w:adjustRightInd w:val="0"/>
        <w:spacing w:line="480" w:lineRule="auto"/>
        <w:jc w:val="both"/>
        <w:rPr>
          <w:lang w:val="en-ID" w:eastAsia="en-ID"/>
        </w:rPr>
      </w:pPr>
      <w:r>
        <w:rPr>
          <w:lang w:val="en-ID" w:eastAsia="en-ID"/>
        </w:rPr>
        <w:t xml:space="preserve">1 (satu) buah Handphone merk Nokia type RM-713 berisi dua simcard dengan Nomor HP. 08126972288 dan Nomor 085362928366 dengan Nomor Imei 354561054822245 dan 354561054822252. </w:t>
      </w:r>
    </w:p>
    <w:p w:rsidR="00D175B9" w:rsidRDefault="00D175B9" w:rsidP="00DE3A45">
      <w:pPr>
        <w:numPr>
          <w:ilvl w:val="0"/>
          <w:numId w:val="15"/>
        </w:numPr>
        <w:autoSpaceDE w:val="0"/>
        <w:autoSpaceDN w:val="0"/>
        <w:adjustRightInd w:val="0"/>
        <w:spacing w:line="480" w:lineRule="auto"/>
        <w:jc w:val="both"/>
        <w:rPr>
          <w:lang w:val="en-ID" w:eastAsia="en-ID"/>
        </w:rPr>
      </w:pPr>
      <w:r>
        <w:rPr>
          <w:lang w:val="en-ID" w:eastAsia="en-ID"/>
        </w:rPr>
        <w:t>1 (satu) buah Handphone Merk OPPO type N1 warna putih Nomor Hp.085246800915 dengan Nomor Imei 356759042749391.</w:t>
      </w:r>
    </w:p>
    <w:p w:rsidR="00D175B9" w:rsidRDefault="00D175B9" w:rsidP="00D175B9">
      <w:pPr>
        <w:autoSpaceDE w:val="0"/>
        <w:autoSpaceDN w:val="0"/>
        <w:adjustRightInd w:val="0"/>
        <w:spacing w:line="480" w:lineRule="auto"/>
        <w:ind w:left="360"/>
        <w:jc w:val="both"/>
        <w:rPr>
          <w:lang w:val="en-ID" w:eastAsia="en-ID"/>
        </w:rPr>
      </w:pPr>
      <w:r>
        <w:rPr>
          <w:lang w:val="en-ID" w:eastAsia="en-ID"/>
        </w:rPr>
        <w:t>Dirampas untuk dimusnahkan.</w:t>
      </w:r>
    </w:p>
    <w:p w:rsidR="00D175B9" w:rsidRDefault="00D175B9" w:rsidP="00DE3A45">
      <w:pPr>
        <w:numPr>
          <w:ilvl w:val="0"/>
          <w:numId w:val="15"/>
        </w:numPr>
        <w:autoSpaceDE w:val="0"/>
        <w:autoSpaceDN w:val="0"/>
        <w:adjustRightInd w:val="0"/>
        <w:spacing w:line="480" w:lineRule="auto"/>
        <w:jc w:val="both"/>
        <w:rPr>
          <w:i/>
          <w:iCs/>
          <w:lang w:val="en-ID" w:eastAsia="en-ID"/>
        </w:rPr>
      </w:pPr>
      <w:r>
        <w:rPr>
          <w:lang w:val="en-ID" w:eastAsia="en-ID"/>
        </w:rPr>
        <w:t>(satu) buah KTP atas nama Wardani Ibrahim Nomor NIK 1111010101630001.</w:t>
      </w:r>
    </w:p>
    <w:p w:rsidR="00D175B9" w:rsidRDefault="00D175B9" w:rsidP="00D175B9">
      <w:pPr>
        <w:autoSpaceDE w:val="0"/>
        <w:autoSpaceDN w:val="0"/>
        <w:adjustRightInd w:val="0"/>
        <w:spacing w:line="480" w:lineRule="auto"/>
        <w:ind w:left="360"/>
        <w:jc w:val="both"/>
        <w:rPr>
          <w:i/>
          <w:iCs/>
          <w:lang w:val="en-ID" w:eastAsia="en-ID"/>
        </w:rPr>
      </w:pPr>
      <w:r>
        <w:rPr>
          <w:lang w:val="en-ID" w:eastAsia="en-ID"/>
        </w:rPr>
        <w:t>Dikembalikan kepada Wardani Ibrahim</w:t>
      </w:r>
      <w:r>
        <w:rPr>
          <w:i/>
          <w:iCs/>
          <w:lang w:val="en-ID" w:eastAsia="en-ID"/>
        </w:rPr>
        <w:t>.</w:t>
      </w:r>
    </w:p>
    <w:p w:rsidR="00D175B9" w:rsidRDefault="00D175B9" w:rsidP="00DE3A45">
      <w:pPr>
        <w:pStyle w:val="BodyText"/>
        <w:numPr>
          <w:ilvl w:val="4"/>
          <w:numId w:val="12"/>
        </w:numPr>
        <w:tabs>
          <w:tab w:val="clear" w:pos="709"/>
          <w:tab w:val="clear" w:pos="3600"/>
          <w:tab w:val="num" w:pos="360"/>
          <w:tab w:val="left" w:pos="8100"/>
        </w:tabs>
        <w:spacing w:line="480" w:lineRule="auto"/>
        <w:ind w:left="360"/>
        <w:rPr>
          <w:rFonts w:ascii="Times New Roman" w:hAnsi="Times New Roman"/>
          <w:b/>
          <w:szCs w:val="24"/>
        </w:rPr>
      </w:pPr>
      <w:r>
        <w:rPr>
          <w:rFonts w:ascii="Times New Roman" w:hAnsi="Times New Roman"/>
          <w:szCs w:val="24"/>
          <w:lang w:val="en-ID" w:eastAsia="en-ID"/>
        </w:rPr>
        <w:t>Membebankan biaya perkara kepada negara;</w:t>
      </w:r>
    </w:p>
    <w:p w:rsidR="00D175B9" w:rsidRDefault="00D175B9" w:rsidP="00DE3A45">
      <w:pPr>
        <w:numPr>
          <w:ilvl w:val="0"/>
          <w:numId w:val="12"/>
        </w:numPr>
        <w:tabs>
          <w:tab w:val="num" w:pos="435"/>
        </w:tabs>
        <w:spacing w:line="480" w:lineRule="auto"/>
        <w:ind w:left="360"/>
        <w:jc w:val="both"/>
        <w:rPr>
          <w:b/>
        </w:rPr>
      </w:pPr>
      <w:r>
        <w:rPr>
          <w:b/>
        </w:rPr>
        <w:t>Analisis Kasus</w:t>
      </w:r>
    </w:p>
    <w:p w:rsidR="00D175B9" w:rsidRDefault="00D175B9" w:rsidP="00D175B9">
      <w:pPr>
        <w:autoSpaceDE w:val="0"/>
        <w:autoSpaceDN w:val="0"/>
        <w:adjustRightInd w:val="0"/>
        <w:spacing w:line="504" w:lineRule="auto"/>
        <w:ind w:firstLine="720"/>
        <w:jc w:val="both"/>
      </w:pPr>
      <w:r>
        <w:t xml:space="preserve">Berdasarkan fakta keterangan saksi, keterangan ahli serta keterangan tersangka, maka perbuatan terdakwa telah memenuhi unsur </w:t>
      </w:r>
      <w:r>
        <w:rPr>
          <w:bCs/>
        </w:rPr>
        <w:t xml:space="preserve">Pasal 114 ayat (2) Jo Pasal 132 ayat (1) Undang-Undang Nomor 35 Tahun 2009 tentang Narkotika </w:t>
      </w:r>
      <w:r>
        <w:rPr>
          <w:lang w:val="en-ID" w:eastAsia="en-ID"/>
        </w:rPr>
        <w:t>dan Pasal 67 KUHPidana</w:t>
      </w:r>
      <w:r>
        <w:t>.</w:t>
      </w:r>
    </w:p>
    <w:p w:rsidR="00D175B9" w:rsidRDefault="00D175B9" w:rsidP="00DE3A45">
      <w:pPr>
        <w:numPr>
          <w:ilvl w:val="4"/>
          <w:numId w:val="12"/>
        </w:numPr>
        <w:autoSpaceDE w:val="0"/>
        <w:autoSpaceDN w:val="0"/>
        <w:adjustRightInd w:val="0"/>
        <w:spacing w:line="480" w:lineRule="auto"/>
        <w:ind w:left="360"/>
        <w:rPr>
          <w:lang w:val="en-ID" w:eastAsia="en-ID"/>
        </w:rPr>
      </w:pPr>
      <w:r>
        <w:rPr>
          <w:lang w:val="en-ID" w:eastAsia="en-ID"/>
        </w:rPr>
        <w:t>Setiap orang;</w:t>
      </w:r>
    </w:p>
    <w:p w:rsidR="00D175B9" w:rsidRDefault="00D175B9" w:rsidP="00DE3A45">
      <w:pPr>
        <w:numPr>
          <w:ilvl w:val="4"/>
          <w:numId w:val="12"/>
        </w:numPr>
        <w:autoSpaceDE w:val="0"/>
        <w:autoSpaceDN w:val="0"/>
        <w:adjustRightInd w:val="0"/>
        <w:spacing w:line="480" w:lineRule="auto"/>
        <w:ind w:left="360"/>
        <w:jc w:val="both"/>
        <w:rPr>
          <w:lang w:val="en-ID" w:eastAsia="en-ID"/>
        </w:rPr>
      </w:pPr>
      <w:r>
        <w:rPr>
          <w:lang w:val="en-ID" w:eastAsia="en-ID"/>
        </w:rPr>
        <w:t>Tanpa hak atau melawan hukum menawarkan untuk dijual, menjual, membeli, menerima, menjadi perantara dalam jual beli, menukar atau menyerahkan;</w:t>
      </w:r>
    </w:p>
    <w:p w:rsidR="00D175B9" w:rsidRDefault="00D175B9" w:rsidP="00DE3A45">
      <w:pPr>
        <w:numPr>
          <w:ilvl w:val="4"/>
          <w:numId w:val="12"/>
        </w:numPr>
        <w:autoSpaceDE w:val="0"/>
        <w:autoSpaceDN w:val="0"/>
        <w:adjustRightInd w:val="0"/>
        <w:spacing w:line="480" w:lineRule="auto"/>
        <w:ind w:left="360"/>
        <w:jc w:val="both"/>
        <w:rPr>
          <w:lang w:val="en-ID" w:eastAsia="en-ID"/>
        </w:rPr>
      </w:pPr>
      <w:r>
        <w:rPr>
          <w:lang w:val="en-ID" w:eastAsia="en-ID"/>
        </w:rPr>
        <w:t>Narkotika Golongan I dalam bentuk bukan tanaman yang beratnya melebihi 5 (lima) gram;</w:t>
      </w:r>
    </w:p>
    <w:p w:rsidR="00D175B9" w:rsidRDefault="00D175B9" w:rsidP="00DE3A45">
      <w:pPr>
        <w:numPr>
          <w:ilvl w:val="4"/>
          <w:numId w:val="12"/>
        </w:numPr>
        <w:autoSpaceDE w:val="0"/>
        <w:autoSpaceDN w:val="0"/>
        <w:adjustRightInd w:val="0"/>
        <w:spacing w:line="480" w:lineRule="auto"/>
        <w:ind w:left="360"/>
        <w:jc w:val="both"/>
        <w:rPr>
          <w:lang w:val="en-ID" w:eastAsia="en-ID"/>
        </w:rPr>
      </w:pPr>
      <w:r>
        <w:rPr>
          <w:lang w:val="en-ID" w:eastAsia="en-ID"/>
        </w:rPr>
        <w:t>Permufakatan Jahat;</w:t>
      </w:r>
    </w:p>
    <w:p w:rsidR="00D175B9" w:rsidRDefault="00D175B9" w:rsidP="00D175B9">
      <w:pPr>
        <w:pStyle w:val="Default"/>
        <w:spacing w:line="480" w:lineRule="auto"/>
        <w:ind w:firstLine="720"/>
        <w:jc w:val="both"/>
        <w:rPr>
          <w:lang w:val="id-ID" w:eastAsia="id-ID"/>
        </w:rPr>
      </w:pPr>
      <w:r>
        <w:lastRenderedPageBreak/>
        <w:t xml:space="preserve">Hakim dalam pemeriksaan perkara pidana berusaha mencari dan membuktikan kebenaran materiil berdasarkan fakta yang terungkap dalam persidangan, serta berpegang teguh pada apa yang dirumuskan dalam surat dakwaan penuntut umum. </w:t>
      </w:r>
    </w:p>
    <w:p w:rsidR="00D175B9" w:rsidRDefault="00D175B9" w:rsidP="00D175B9">
      <w:pPr>
        <w:spacing w:line="480" w:lineRule="auto"/>
        <w:ind w:firstLine="720"/>
        <w:jc w:val="both"/>
      </w:pPr>
      <w:r>
        <w:t>Berdasarkan posisi kasus sebagaimana telah diuraikan di atas, maka putusan yang dijatuhkan terhadap terdakwa telah sesuai dengan ketentuan baik hukum pidana formil maupun hukum pidana materiil dan syarat dapat dipidananya seorang terdakwa, hal ini didasarkan pada pemeriksaan dalam persidangan, dimana alat bukti yang diajukan oleh Jaksa Penuntut Umum, termasuk di dalamnya keterangan saksi saling berkesesuaian ditambah keterangan terdakwa yang mengakui secara jujur perbuatan yang dilakukannya.</w:t>
      </w:r>
    </w:p>
    <w:p w:rsidR="00D175B9" w:rsidRDefault="00D175B9" w:rsidP="00D175B9">
      <w:pPr>
        <w:pStyle w:val="Default"/>
        <w:spacing w:line="456" w:lineRule="auto"/>
        <w:ind w:firstLine="720"/>
        <w:jc w:val="both"/>
      </w:pPr>
      <w:r>
        <w:t xml:space="preserve">Pemidanaan merupakan hasil keputusan dari hakim, sebelum hakim mengambil keputusan terhadap sanksi pidana yang akan di jatuhkan kepada terdakwa, maka hakim harus mempertimbangkan terlebih dahulu perbuatan dan unsur pertanggungjawaban yang ada pada diri terdakwa. Sehingga sanksi pidana yang di jatuhkan diharapkan dapat menyelesaikan konflik atau pertentangan dan juga dapat mendatangkan rasa keadilan di masyarakat. </w:t>
      </w:r>
    </w:p>
    <w:p w:rsidR="00D175B9" w:rsidRDefault="00D175B9" w:rsidP="00D175B9">
      <w:pPr>
        <w:pStyle w:val="Default"/>
        <w:spacing w:line="456" w:lineRule="auto"/>
        <w:ind w:firstLine="720"/>
        <w:jc w:val="both"/>
        <w:rPr>
          <w:lang w:val="id-ID"/>
        </w:rPr>
      </w:pPr>
      <w:r>
        <w:t xml:space="preserve">Berdasarkan putusan Pengadilan Negeri Medan </w:t>
      </w:r>
      <w:r>
        <w:rPr>
          <w:lang w:val="fi-FI"/>
        </w:rPr>
        <w:t xml:space="preserve">Nomor 1957/Pid.Sus/2023/PN Mdn, maka </w:t>
      </w:r>
      <w:r>
        <w:t>terhadap pelaku tindak pidana narkotika,  hukuman yang dijatuhkan terhadap pelaku sudah maksimal yaitu dijatuhi hukuman mati. Hukuman terhadap pelaku akan menimbulkan efek jera bagi pelaku.</w:t>
      </w:r>
    </w:p>
    <w:p w:rsidR="00D175B9" w:rsidRDefault="00D175B9" w:rsidP="00D175B9">
      <w:pPr>
        <w:spacing w:line="480" w:lineRule="auto"/>
        <w:ind w:firstLine="720"/>
        <w:jc w:val="both"/>
      </w:pPr>
      <w:r>
        <w:lastRenderedPageBreak/>
        <w:t xml:space="preserve">Menurut penulis untuk tindak pidana narkotika, sanksi hukuman mati tetap harus diterapkan secara konsisten dalam peradilan di Indonesia, mengingat tingkat kejahatan narkotika semakin meningkat dalam kualitas maupun kuantitas, maka hukuman mati masih tetap diperlukan sebagai salah satu </w:t>
      </w:r>
      <w:r>
        <w:rPr>
          <w:i/>
          <w:iCs/>
        </w:rPr>
        <w:t xml:space="preserve">shock therapy </w:t>
      </w:r>
      <w:r>
        <w:t xml:space="preserve">bagi para pelaku kejahatan dan masyarakat lain untuk tidak melakukan perbuatan pidana yang bisa dikenakan hukuman mati. </w:t>
      </w:r>
    </w:p>
    <w:p w:rsidR="00D175B9" w:rsidRDefault="00D175B9" w:rsidP="00D175B9">
      <w:pPr>
        <w:spacing w:line="480" w:lineRule="auto"/>
        <w:ind w:firstLine="720"/>
        <w:jc w:val="both"/>
      </w:pPr>
      <w:r>
        <w:t xml:space="preserve">Hakim dalam pemberlakukan hukuman mati dan memutuskan apakah terdakwa layak dihukum mati harus hati-hati dan benar-benar selektif atas kejahatan apa saja yang layak untuk dikenai hukuman mati. Selain itu dalam tindak kejahatan narkotika, pelaksanaan hukuman mati inipun telah mempunyai dasar pijakan yuridis berupa peraturan perundang-undangan yang berlaku. Dalam konteks ini, telah ada UU Narkotika yang menentukan hukuman pidana atas pelaku tindak pidana tersebut sebagaimana disebutkan bahwa penyalahguna narkotika golongan I dan Golongan II dengan syarat-syarat yang ditentukan dapat dikenai hukuman mati. </w:t>
      </w:r>
    </w:p>
    <w:p w:rsidR="00D175B9" w:rsidRDefault="00D175B9" w:rsidP="00D175B9">
      <w:pPr>
        <w:spacing w:line="480" w:lineRule="auto"/>
        <w:ind w:firstLine="720"/>
        <w:jc w:val="both"/>
      </w:pPr>
      <w:r>
        <w:t xml:space="preserve">Vonis hukuman mati dapat terjadi kemungkinan-kemungkinan kesalahan dalam menjatuhkan keputusan bersalah atau tidaknya terdakwa yaitu orang yang telah dieksekusi bukanlah yang bersalah atau menjadi kambing hitam dari pelaku sesungguhnya. Kesalahan inilah yag harus dihindari dan menjadi kelemahan dalam vonis hukuman mati. Oleh karena itu, dalam rangka menghindari kesalahan vonis mati terhadap terpidana mati, sedapat mungkin aparat hukum yang menangani kasus tersebut adalah aparat yang mempunyai pengetahuan luas dan sangat memadai, sehingga Sumber Daya Manusia (SDM) yang disiapkan dalam </w:t>
      </w:r>
      <w:r>
        <w:lastRenderedPageBreak/>
        <w:t xml:space="preserve">rangka penegakan hukum dan keadilan adalah sejalan dengan tujuan hukum yang akan menjadi pedoman didalam pelaksanaannya. </w:t>
      </w:r>
    </w:p>
    <w:p w:rsidR="00D175B9" w:rsidRDefault="00D175B9" w:rsidP="00D175B9">
      <w:pPr>
        <w:spacing w:line="480" w:lineRule="auto"/>
        <w:ind w:firstLine="720"/>
        <w:jc w:val="both"/>
      </w:pPr>
      <w:r>
        <w:t xml:space="preserve">Menurut ketentuan Pasal 8 ayat (2) Undang-Undang Nomor 48 Tahun 2009 tentang Kekuasaan Kehakiman ditentukan bahwa dalam mempertimbangkan berat ringannya pidana, hakim wajib memperhatikan pula sifat yang baik dan jahat dari terdakwa. Berdasarkan ketentuan tersebut maka dakam menentukan berat ringannya pidana yang akan dijatuhkan, hakim wajib memperhatikan sifat baik atau sifat jahat dari terdakwa sehingga putusan yang dijatuhkan sesuai dan adil dengan kesalahan yang dilakukannya. </w:t>
      </w:r>
    </w:p>
    <w:p w:rsidR="00D175B9" w:rsidRDefault="00D175B9" w:rsidP="00D175B9">
      <w:pPr>
        <w:spacing w:line="480" w:lineRule="auto"/>
        <w:ind w:firstLine="720"/>
        <w:jc w:val="both"/>
      </w:pPr>
      <w:r>
        <w:t>Hukuman mati masih diperlukan dan dibutuhkan dalam sistem hukum pidana Indonesia karena berfungsi memberikan efek jera kepada anggota masyarakat yang lain. Pelaksanaan hukuman mati harus melihat beberapa aspek untuk menjadi pertimbangan yaitu pertimbangkan filosofis, yuridis maupun psikologis. Berdasarkan pertimbangan aspek filosofis, mengenai untuk apa dan kepada siapa hukum itu dimaksudkan. Hukum itu ditujukan kepada manusia untuk menciptakan kemaslahatan yaitu berupa ketentraman, ketertiban dan kedamaian masyarakat. Pertimbangan yuridis artinya suatu hukuman mepunyai dasar pijakan berupa perundang-undangan yang berlaku yang dalam hal ini adalah UU tentang Narkotika yang menentukan hukuman pidana atas pelaku tindak pidana tersebut. Kemudian pertimbangan aspek sosiologis yang menjadi penting ketika suatu hukuman hendak diterapkan artinya masyarakat sepakat dengan peraturan. Sebagai bentuk sepakat adalah tidak adanya penolakan yang ekstrem terhadap hukuman mati sebagaimana yang diatur dalam undang-undang.</w:t>
      </w:r>
    </w:p>
    <w:p w:rsidR="00CE7FEB" w:rsidRPr="00D175B9" w:rsidRDefault="00CE7FEB" w:rsidP="00D175B9">
      <w:bookmarkStart w:id="7" w:name="_GoBack"/>
      <w:bookmarkEnd w:id="7"/>
    </w:p>
    <w:sectPr w:rsidR="00CE7FEB" w:rsidRPr="00D175B9" w:rsidSect="00CE7FEB">
      <w:headerReference w:type="default" r:id="rId8"/>
      <w:footerReference w:type="default" r:id="rId9"/>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1C63" w:rsidRDefault="008D1C63" w:rsidP="002D79FF">
      <w:r>
        <w:separator/>
      </w:r>
    </w:p>
  </w:endnote>
  <w:endnote w:type="continuationSeparator" w:id="1">
    <w:p w:rsidR="008D1C63" w:rsidRDefault="008D1C63" w:rsidP="002D7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8D1C63">
    <w:pPr>
      <w:pStyle w:val="Footer"/>
      <w:jc w:val="center"/>
    </w:pPr>
  </w:p>
  <w:p w:rsidR="00630637" w:rsidRDefault="008D1C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1C63" w:rsidRDefault="008D1C63" w:rsidP="002D79FF">
      <w:r>
        <w:separator/>
      </w:r>
    </w:p>
  </w:footnote>
  <w:footnote w:type="continuationSeparator" w:id="1">
    <w:p w:rsidR="008D1C63" w:rsidRDefault="008D1C63" w:rsidP="002D79FF">
      <w:r>
        <w:continuationSeparator/>
      </w:r>
    </w:p>
  </w:footnote>
  <w:footnote w:id="2">
    <w:p w:rsidR="00D175B9" w:rsidRDefault="00D175B9" w:rsidP="00D175B9">
      <w:pPr>
        <w:pStyle w:val="FootnoteText"/>
        <w:ind w:firstLine="709"/>
        <w:jc w:val="both"/>
      </w:pPr>
      <w:r>
        <w:rPr>
          <w:rStyle w:val="FootnoteReference"/>
        </w:rPr>
        <w:footnoteRef/>
      </w:r>
      <w:bookmarkStart w:id="0" w:name="_Hlk199723599"/>
      <w:r>
        <w:t xml:space="preserve">Nur Azisa, Hijrah Adhyanti Mirzana, Syarif Saddam Rivanie, M. Aris Munandar, Rafika Nurul Hamdani Ramli, “Sistem Pemidanaan Tindak Pidana Narkotika dalam Perspektif Hukum Pidana Nasional”, </w:t>
      </w:r>
      <w:r>
        <w:rPr>
          <w:i/>
        </w:rPr>
        <w:t xml:space="preserve"> Unes Law Review, </w:t>
      </w:r>
      <w:r>
        <w:t>Vol. 6, No. 3, Maret 2024</w:t>
      </w:r>
      <w:bookmarkEnd w:id="0"/>
      <w:r>
        <w:t>, h.9021.</w:t>
      </w:r>
    </w:p>
  </w:footnote>
  <w:footnote w:id="3">
    <w:p w:rsidR="00D175B9" w:rsidRDefault="00D175B9" w:rsidP="00D175B9">
      <w:pPr>
        <w:pStyle w:val="FootnoteText"/>
        <w:ind w:firstLine="709"/>
      </w:pPr>
      <w:r>
        <w:rPr>
          <w:rStyle w:val="FootnoteReference"/>
        </w:rPr>
        <w:footnoteRef/>
      </w:r>
      <w:r>
        <w:rPr>
          <w:i/>
        </w:rPr>
        <w:t>Ibid</w:t>
      </w:r>
      <w:r>
        <w:t>, h.9022.</w:t>
      </w:r>
    </w:p>
  </w:footnote>
  <w:footnote w:id="4">
    <w:p w:rsidR="00D175B9" w:rsidRDefault="00D175B9" w:rsidP="00D175B9">
      <w:pPr>
        <w:pStyle w:val="FootnoteText"/>
        <w:ind w:firstLine="709"/>
        <w:jc w:val="both"/>
      </w:pPr>
      <w:r>
        <w:rPr>
          <w:rStyle w:val="FootnoteReference"/>
        </w:rPr>
        <w:footnoteRef/>
      </w:r>
      <w:bookmarkStart w:id="1" w:name="_Hlk199724069"/>
      <w:r>
        <w:t xml:space="preserve">M. Aris Munandar, Arnita Pratiwi Arifin dan Rafika Nurul Hamdani Ramli, “Kebijakan Hukum Tindak Pidana Narkotika dalam Formulasi KUHP Nasional: Upaya Mencapai Suistainble Development Goals 16”, </w:t>
      </w:r>
      <w:r>
        <w:rPr>
          <w:i/>
        </w:rPr>
        <w:t>Law Journal</w:t>
      </w:r>
      <w:r>
        <w:t>, Vol. 8, Issue 1, 2023</w:t>
      </w:r>
      <w:bookmarkEnd w:id="1"/>
      <w:r>
        <w:t>, h. 124</w:t>
      </w:r>
    </w:p>
  </w:footnote>
  <w:footnote w:id="5">
    <w:p w:rsidR="00D175B9" w:rsidRDefault="00D175B9" w:rsidP="00D175B9">
      <w:pPr>
        <w:pStyle w:val="FootnoteText"/>
        <w:ind w:firstLine="709"/>
        <w:jc w:val="both"/>
      </w:pPr>
      <w:r>
        <w:rPr>
          <w:rStyle w:val="FootnoteReference"/>
        </w:rPr>
        <w:footnoteRef/>
      </w:r>
      <w:bookmarkStart w:id="2" w:name="_Hlk196336967"/>
      <w:r>
        <w:t xml:space="preserve">Rusli Muhammad, </w:t>
      </w:r>
      <w:r>
        <w:rPr>
          <w:b/>
          <w:i/>
        </w:rPr>
        <w:t>Hukum Acara Kontemporer</w:t>
      </w:r>
      <w:r>
        <w:t>, Citra Aditya Bakti, Bandung, 2017</w:t>
      </w:r>
      <w:bookmarkEnd w:id="2"/>
      <w:r>
        <w:t>, h.76</w:t>
      </w:r>
    </w:p>
  </w:footnote>
  <w:footnote w:id="6">
    <w:p w:rsidR="00D175B9" w:rsidRDefault="00D175B9" w:rsidP="00D175B9">
      <w:pPr>
        <w:autoSpaceDE w:val="0"/>
        <w:autoSpaceDN w:val="0"/>
        <w:adjustRightInd w:val="0"/>
        <w:ind w:firstLine="720"/>
        <w:jc w:val="both"/>
        <w:rPr>
          <w:sz w:val="20"/>
          <w:szCs w:val="20"/>
        </w:rPr>
      </w:pPr>
      <w:r>
        <w:rPr>
          <w:rStyle w:val="FootnoteReference"/>
          <w:sz w:val="20"/>
          <w:szCs w:val="20"/>
        </w:rPr>
        <w:footnoteRef/>
      </w:r>
      <w:r>
        <w:rPr>
          <w:sz w:val="20"/>
          <w:szCs w:val="20"/>
        </w:rPr>
        <w:t xml:space="preserve">Marwan Effendy, </w:t>
      </w:r>
      <w:r>
        <w:rPr>
          <w:b/>
          <w:bCs/>
          <w:i/>
          <w:iCs/>
          <w:sz w:val="20"/>
          <w:szCs w:val="20"/>
        </w:rPr>
        <w:t>Op. Cit</w:t>
      </w:r>
      <w:r>
        <w:rPr>
          <w:sz w:val="20"/>
          <w:szCs w:val="20"/>
        </w:rPr>
        <w:t>, h. 65.</w:t>
      </w:r>
    </w:p>
  </w:footnote>
  <w:footnote w:id="7">
    <w:p w:rsidR="00D175B9" w:rsidRDefault="00D175B9" w:rsidP="00D175B9">
      <w:pPr>
        <w:pStyle w:val="FootnoteText"/>
        <w:ind w:firstLine="720"/>
        <w:jc w:val="both"/>
      </w:pPr>
      <w:r>
        <w:rPr>
          <w:rStyle w:val="FootnoteReference"/>
        </w:rPr>
        <w:footnoteRef/>
      </w:r>
      <w:r>
        <w:t xml:space="preserve"> Zainab Ompu Jainah, </w:t>
      </w:r>
      <w:r>
        <w:rPr>
          <w:i/>
          <w:iCs/>
        </w:rPr>
        <w:t>Budaya Hukum Penegak hukum dalam Pemberantasan Tindak Pidana Narkotika</w:t>
      </w:r>
      <w:r>
        <w:t>, Rajagrafindo Persada, Jakarta, 2019, h.41.</w:t>
      </w:r>
    </w:p>
  </w:footnote>
  <w:footnote w:id="8">
    <w:p w:rsidR="00D175B9" w:rsidRDefault="00D175B9" w:rsidP="00D175B9">
      <w:pPr>
        <w:pStyle w:val="FootnoteText"/>
        <w:ind w:firstLine="720"/>
        <w:jc w:val="both"/>
      </w:pPr>
      <w:r>
        <w:rPr>
          <w:rStyle w:val="FootnoteReference"/>
        </w:rPr>
        <w:footnoteRef/>
      </w:r>
      <w:r>
        <w:t xml:space="preserve"> Siswanto, </w:t>
      </w:r>
      <w:r>
        <w:rPr>
          <w:i/>
          <w:iCs/>
        </w:rPr>
        <w:t>Politik Hukum Dalam Undang-Undang Narkotika (Undang- Undang No.35 Tahun 2009)</w:t>
      </w:r>
      <w:r>
        <w:t>. Rineka Cipta, Jakarta, 2012, h73.</w:t>
      </w:r>
    </w:p>
  </w:footnote>
  <w:footnote w:id="9">
    <w:p w:rsidR="00D175B9" w:rsidRDefault="00D175B9" w:rsidP="00D175B9">
      <w:pPr>
        <w:pStyle w:val="FootnoteText"/>
        <w:ind w:firstLine="720"/>
        <w:jc w:val="both"/>
      </w:pPr>
      <w:r>
        <w:rPr>
          <w:rStyle w:val="FootnoteReference"/>
        </w:rPr>
        <w:footnoteRef/>
      </w:r>
      <w:r>
        <w:t xml:space="preserve"> Dahlan, </w:t>
      </w:r>
      <w:r>
        <w:rPr>
          <w:i/>
          <w:iCs/>
        </w:rPr>
        <w:t>Problematika Keadilan dalam penerapan Pidana terhadap Penyalahguna Narkotika</w:t>
      </w:r>
      <w:r>
        <w:t>, Deepublish, Yogyakarta, 2017, h.16.</w:t>
      </w:r>
    </w:p>
  </w:footnote>
  <w:footnote w:id="10">
    <w:p w:rsidR="00D175B9" w:rsidRDefault="00D175B9" w:rsidP="00D175B9">
      <w:pPr>
        <w:pStyle w:val="FootnoteText"/>
        <w:ind w:firstLine="720"/>
      </w:pPr>
      <w:r>
        <w:rPr>
          <w:rStyle w:val="FootnoteReference"/>
        </w:rPr>
        <w:footnoteRef/>
      </w:r>
      <w:r>
        <w:rPr>
          <w:i/>
        </w:rPr>
        <w:t>Ibid</w:t>
      </w:r>
      <w:r>
        <w:t>, h.18.</w:t>
      </w:r>
    </w:p>
  </w:footnote>
  <w:footnote w:id="11">
    <w:p w:rsidR="00D175B9" w:rsidRDefault="00D175B9" w:rsidP="00D175B9">
      <w:pPr>
        <w:pStyle w:val="Default"/>
        <w:ind w:firstLine="720"/>
        <w:jc w:val="both"/>
      </w:pPr>
      <w:r>
        <w:rPr>
          <w:rStyle w:val="FootnoteReference"/>
          <w:sz w:val="20"/>
          <w:szCs w:val="20"/>
        </w:rPr>
        <w:footnoteRef/>
      </w:r>
      <w:bookmarkStart w:id="6" w:name="_Hlk200520459"/>
      <w:r>
        <w:rPr>
          <w:sz w:val="20"/>
          <w:szCs w:val="20"/>
          <w:lang w:val="en-ID" w:eastAsia="en-ID"/>
        </w:rPr>
        <w:t>Dwi Rinawati1, Ardison Asri, “</w:t>
      </w:r>
      <w:r>
        <w:rPr>
          <w:bCs/>
          <w:sz w:val="20"/>
          <w:szCs w:val="20"/>
          <w:lang w:val="en-ID" w:eastAsia="en-ID"/>
        </w:rPr>
        <w:t xml:space="preserve">Pertanggungjawaban Tindak Pidana Permufakatan Jahat dalam Menerima dan atau Menyerahkan Narkotika (Analisis Putusan Pengadilan Negeri Kalianda Nomor 226/Pid.Sus/2019/PN.Kla)”, </w:t>
      </w:r>
      <w:r>
        <w:rPr>
          <w:bCs/>
          <w:i/>
          <w:sz w:val="20"/>
          <w:szCs w:val="20"/>
          <w:lang w:val="en-ID" w:eastAsia="en-ID"/>
        </w:rPr>
        <w:t>Journal Sovereignty Law and Diplomatic Politics</w:t>
      </w:r>
      <w:r>
        <w:rPr>
          <w:sz w:val="20"/>
          <w:szCs w:val="20"/>
          <w:lang w:val="en-ID" w:eastAsia="en-ID"/>
        </w:rPr>
        <w:t>, Vol.1 No.2, 2025</w:t>
      </w:r>
      <w:bookmarkEnd w:id="6"/>
      <w:r>
        <w:rPr>
          <w:sz w:val="20"/>
          <w:szCs w:val="20"/>
          <w:lang w:val="en-ID" w:eastAsia="en-ID"/>
        </w:rPr>
        <w:t>, h. 66.</w:t>
      </w:r>
    </w:p>
  </w:footnote>
  <w:footnote w:id="12">
    <w:p w:rsidR="00D175B9" w:rsidRDefault="00D175B9" w:rsidP="00D175B9">
      <w:pPr>
        <w:pStyle w:val="FootnoteText"/>
        <w:ind w:firstLine="720"/>
      </w:pPr>
      <w:r>
        <w:rPr>
          <w:rStyle w:val="FootnoteReference"/>
        </w:rPr>
        <w:footnoteRef/>
      </w:r>
      <w:r>
        <w:t xml:space="preserve"> Dahlan,</w:t>
      </w:r>
      <w:r>
        <w:rPr>
          <w:i/>
        </w:rPr>
        <w:t xml:space="preserve"> Op.Cit</w:t>
      </w:r>
      <w:r>
        <w:t>, h.20.</w:t>
      </w:r>
    </w:p>
  </w:footnote>
  <w:footnote w:id="13">
    <w:p w:rsidR="00D175B9" w:rsidRDefault="00D175B9" w:rsidP="00D175B9">
      <w:pPr>
        <w:pStyle w:val="FootnoteText"/>
        <w:ind w:firstLine="720"/>
      </w:pPr>
      <w:r>
        <w:rPr>
          <w:rStyle w:val="FootnoteReference"/>
        </w:rPr>
        <w:footnoteRef/>
      </w:r>
      <w:r>
        <w:rPr>
          <w:color w:val="000000"/>
          <w:lang w:val="en-ID" w:eastAsia="en-ID"/>
        </w:rPr>
        <w:t>Dwi Rinawati1, Ardison Asri</w:t>
      </w:r>
      <w:r>
        <w:rPr>
          <w:lang w:val="en-ID" w:eastAsia="en-ID"/>
        </w:rPr>
        <w:t>,</w:t>
      </w:r>
      <w:r>
        <w:rPr>
          <w:i/>
          <w:lang w:val="en-ID" w:eastAsia="en-ID"/>
        </w:rPr>
        <w:t xml:space="preserve"> Op.Cit</w:t>
      </w:r>
      <w:r>
        <w:rPr>
          <w:lang w:val="en-ID" w:eastAsia="en-ID"/>
        </w:rPr>
        <w:t>, h.69.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8D1C63">
    <w:pPr>
      <w:pStyle w:val="Header"/>
      <w:jc w:val="right"/>
    </w:pPr>
  </w:p>
  <w:p w:rsidR="00630637" w:rsidRPr="007E1322" w:rsidRDefault="00DE3A45"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8D1C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63427D6"/>
    <w:multiLevelType w:val="hybridMultilevel"/>
    <w:tmpl w:val="EA2A0D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26248F"/>
    <w:multiLevelType w:val="hybridMultilevel"/>
    <w:tmpl w:val="3C2E443A"/>
    <w:lvl w:ilvl="0" w:tplc="CB46C370">
      <w:start w:val="1"/>
      <w:numFmt w:val="decimal"/>
      <w:lvlText w:val="%1)"/>
      <w:lvlJc w:val="left"/>
      <w:pPr>
        <w:ind w:left="720" w:hanging="360"/>
      </w:pPr>
      <w:rPr>
        <w:i w:val="0"/>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nsid w:val="2A5361A9"/>
    <w:multiLevelType w:val="multilevel"/>
    <w:tmpl w:val="CCFA0F6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
    <w:nsid w:val="2B4666DA"/>
    <w:multiLevelType w:val="hybridMultilevel"/>
    <w:tmpl w:val="1CFA07C8"/>
    <w:lvl w:ilvl="0" w:tplc="04090019">
      <w:start w:val="1"/>
      <w:numFmt w:val="lowerLetter"/>
      <w:lvlText w:val="%1."/>
      <w:lvlJc w:val="left"/>
      <w:pPr>
        <w:tabs>
          <w:tab w:val="num" w:pos="1440"/>
        </w:tabs>
        <w:ind w:left="1440" w:hanging="360"/>
      </w:pPr>
      <w:rPr>
        <w:rFonts w:cs="Times New Roman"/>
      </w:rPr>
    </w:lvl>
    <w:lvl w:ilvl="1" w:tplc="04090011">
      <w:start w:val="1"/>
      <w:numFmt w:val="decimal"/>
      <w:lvlText w:val="%2)"/>
      <w:lvlJc w:val="left"/>
      <w:pPr>
        <w:tabs>
          <w:tab w:val="num" w:pos="2160"/>
        </w:tabs>
        <w:ind w:left="2160" w:hanging="360"/>
      </w:pPr>
      <w:rPr>
        <w:rFonts w:cs="Times New Roman"/>
      </w:rPr>
    </w:lvl>
    <w:lvl w:ilvl="2" w:tplc="04090019">
      <w:start w:val="1"/>
      <w:numFmt w:val="lowerLetter"/>
      <w:lvlText w:val="%3."/>
      <w:lvlJc w:val="left"/>
      <w:pPr>
        <w:tabs>
          <w:tab w:val="num" w:pos="3060"/>
        </w:tabs>
        <w:ind w:left="3060" w:hanging="360"/>
      </w:pPr>
      <w:rPr>
        <w:rFonts w:cs="Times New Roman"/>
      </w:rPr>
    </w:lvl>
    <w:lvl w:ilvl="3" w:tplc="1ADA9E1C">
      <w:start w:val="1"/>
      <w:numFmt w:val="decimal"/>
      <w:lvlText w:val="%4."/>
      <w:lvlJc w:val="left"/>
      <w:pPr>
        <w:tabs>
          <w:tab w:val="num" w:pos="3600"/>
        </w:tabs>
        <w:ind w:left="3600" w:hanging="360"/>
      </w:pPr>
      <w:rPr>
        <w:rFonts w:cs="Times New Roman"/>
      </w:rPr>
    </w:lvl>
    <w:lvl w:ilvl="4" w:tplc="F9FE1D06">
      <w:start w:val="1"/>
      <w:numFmt w:val="decimal"/>
      <w:lvlText w:val="%5."/>
      <w:lvlJc w:val="left"/>
      <w:pPr>
        <w:tabs>
          <w:tab w:val="num" w:pos="4320"/>
        </w:tabs>
        <w:ind w:left="4320" w:hanging="360"/>
      </w:pPr>
      <w:rPr>
        <w:rFonts w:ascii="Times New Roman" w:eastAsia="Times New Roman" w:hAnsi="Times New Roman" w:cs="Times New Roman" w:hint="default"/>
        <w:i w:val="0"/>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6">
    <w:nsid w:val="38C36266"/>
    <w:multiLevelType w:val="multilevel"/>
    <w:tmpl w:val="00BCACBC"/>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start w:val="1"/>
      <w:numFmt w:val="upperLetter"/>
      <w:lvlText w:val="%2."/>
      <w:lvlJc w:val="left"/>
      <w:pPr>
        <w:tabs>
          <w:tab w:val="num" w:pos="1440"/>
        </w:tabs>
        <w:ind w:left="1440" w:hanging="360"/>
      </w:pPr>
      <w:rPr>
        <w:rFonts w:ascii="Arial" w:eastAsia="Times New Roman" w:hAnsi="Arial" w:cs="Arial" w:hint="default"/>
        <w:b/>
      </w:rPr>
    </w:lvl>
    <w:lvl w:ilvl="2">
      <w:start w:val="1"/>
      <w:numFmt w:val="decimal"/>
      <w:lvlText w:val="%3."/>
      <w:lvlJc w:val="left"/>
      <w:pPr>
        <w:tabs>
          <w:tab w:val="num" w:pos="2160"/>
        </w:tabs>
        <w:ind w:left="2160" w:hanging="360"/>
      </w:pPr>
      <w:rPr>
        <w:i w:val="0"/>
        <w:iCs w:val="0"/>
      </w:rPr>
    </w:lvl>
    <w:lvl w:ilvl="3">
      <w:start w:val="1"/>
      <w:numFmt w:val="decimal"/>
      <w:lvlText w:val="%4."/>
      <w:lvlJc w:val="left"/>
      <w:pPr>
        <w:tabs>
          <w:tab w:val="num" w:pos="2880"/>
        </w:tabs>
        <w:ind w:left="2880" w:hanging="360"/>
      </w:pPr>
      <w:rPr>
        <w:i w:val="0"/>
        <w:iCs w:val="0"/>
      </w:rPr>
    </w:lvl>
    <w:lvl w:ilvl="4">
      <w:start w:val="1"/>
      <w:numFmt w:val="lowerLetter"/>
      <w:lvlText w:val="%5."/>
      <w:lvlJc w:val="left"/>
      <w:pPr>
        <w:tabs>
          <w:tab w:val="num" w:pos="3600"/>
        </w:tabs>
        <w:ind w:left="3600" w:hanging="360"/>
      </w:pPr>
      <w:rPr>
        <w:rFonts w:ascii="Times New Roman" w:eastAsia="Times New Roman" w:hAnsi="Times New Roman" w:cs="Times New Roman"/>
        <w:b w:val="0"/>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AB62A19"/>
    <w:multiLevelType w:val="hybridMultilevel"/>
    <w:tmpl w:val="8D461CD0"/>
    <w:lvl w:ilvl="0" w:tplc="42B0B92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9">
    <w:nsid w:val="431B1B62"/>
    <w:multiLevelType w:val="hybridMultilevel"/>
    <w:tmpl w:val="52AE2CF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4678363F"/>
    <w:multiLevelType w:val="hybridMultilevel"/>
    <w:tmpl w:val="3030107E"/>
    <w:lvl w:ilvl="0" w:tplc="85A47932">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65407CE">
      <w:start w:val="1"/>
      <w:numFmt w:val="decimal"/>
      <w:lvlText w:val="%2)"/>
      <w:lvlJc w:val="left"/>
      <w:pPr>
        <w:tabs>
          <w:tab w:val="num" w:pos="1440"/>
        </w:tabs>
        <w:ind w:left="1440" w:hanging="360"/>
      </w:pPr>
      <w:rPr>
        <w:rFonts w:ascii="Times New Roman" w:eastAsia="Times New Roman" w:hAnsi="Times New Roman" w:cs="Times New Roman" w:hint="default"/>
      </w:rPr>
    </w:lvl>
    <w:lvl w:ilvl="2" w:tplc="5C06DC24">
      <w:start w:val="1"/>
      <w:numFmt w:val="upperLetter"/>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57D67D0E"/>
    <w:multiLevelType w:val="multilevel"/>
    <w:tmpl w:val="91969C0A"/>
    <w:lvl w:ilvl="0">
      <w:start w:val="1"/>
      <w:numFmt w:val="lowerLetter"/>
      <w:lvlText w:val="%1."/>
      <w:lvlJc w:val="left"/>
      <w:pPr>
        <w:tabs>
          <w:tab w:val="num" w:pos="1069"/>
        </w:tabs>
        <w:ind w:left="1069"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upperLetter"/>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nsid w:val="64CC3534"/>
    <w:multiLevelType w:val="hybridMultilevel"/>
    <w:tmpl w:val="59523484"/>
    <w:lvl w:ilvl="0" w:tplc="69CE8A9A">
      <w:start w:val="2"/>
      <w:numFmt w:val="upperLetter"/>
      <w:lvlText w:val="%1."/>
      <w:lvlJc w:val="left"/>
      <w:pPr>
        <w:tabs>
          <w:tab w:val="num" w:pos="720"/>
        </w:tabs>
        <w:ind w:left="720" w:hanging="360"/>
      </w:pPr>
    </w:lvl>
    <w:lvl w:ilvl="1" w:tplc="261ECF70">
      <w:start w:val="1"/>
      <w:numFmt w:val="decimal"/>
      <w:lvlText w:val="%2."/>
      <w:lvlJc w:val="left"/>
      <w:pPr>
        <w:tabs>
          <w:tab w:val="num" w:pos="1440"/>
        </w:tabs>
        <w:ind w:left="1440" w:hanging="360"/>
      </w:pPr>
    </w:lvl>
    <w:lvl w:ilvl="2" w:tplc="511030CA">
      <w:start w:val="1"/>
      <w:numFmt w:val="lowerLetter"/>
      <w:lvlText w:val="%3."/>
      <w:lvlJc w:val="left"/>
      <w:pPr>
        <w:ind w:left="2340" w:hanging="360"/>
      </w:pPr>
    </w:lvl>
    <w:lvl w:ilvl="3" w:tplc="3080285E">
      <w:start w:val="1"/>
      <w:numFmt w:val="decimal"/>
      <w:lvlText w:val="(%4)"/>
      <w:lvlJc w:val="left"/>
      <w:pPr>
        <w:ind w:left="2880" w:hanging="360"/>
      </w:pPr>
    </w:lvl>
    <w:lvl w:ilvl="4" w:tplc="F3A83302">
      <w:start w:val="1"/>
      <w:numFmt w:val="decimal"/>
      <w:lvlText w:val="%5)"/>
      <w:lvlJc w:val="left"/>
      <w:pPr>
        <w:ind w:left="3600" w:hanging="360"/>
      </w:pPr>
      <w:rPr>
        <w:i w:val="0"/>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73EC6DC0"/>
    <w:multiLevelType w:val="multilevel"/>
    <w:tmpl w:val="6DC21016"/>
    <w:lvl w:ilvl="0">
      <w:start w:val="1"/>
      <w:numFmt w:val="lowerLetter"/>
      <w:lvlText w:val="%1."/>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8"/>
  </w:num>
  <w:num w:numId="2">
    <w:abstractNumId w:val="0"/>
  </w:num>
  <w:num w:numId="3">
    <w:abstractNumId w:val="2"/>
  </w:num>
  <w:num w:numId="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ocumentProtection w:edit="forms" w:formatting="1" w:enforcement="1" w:cryptProviderType="rsaFull" w:cryptAlgorithmClass="hash" w:cryptAlgorithmType="typeAny" w:cryptAlgorithmSid="4" w:cryptSpinCount="50000" w:hash="cAGFbzlxcw8cAUejtIEWCZjwlF8=" w:salt="ktI0CNm8ffJiBzAOGC0c3Q=="/>
  <w:defaultTabStop w:val="720"/>
  <w:characterSpacingControl w:val="doNotCompress"/>
  <w:footnotePr>
    <w:footnote w:id="0"/>
    <w:footnote w:id="1"/>
  </w:footnotePr>
  <w:endnotePr>
    <w:endnote w:id="0"/>
    <w:endnote w:id="1"/>
  </w:endnotePr>
  <w:compat/>
  <w:rsids>
    <w:rsidRoot w:val="00CE7FEB"/>
    <w:rsid w:val="00004A2D"/>
    <w:rsid w:val="00050032"/>
    <w:rsid w:val="002D79FF"/>
    <w:rsid w:val="00390270"/>
    <w:rsid w:val="00490063"/>
    <w:rsid w:val="008374CB"/>
    <w:rsid w:val="008538D8"/>
    <w:rsid w:val="008D1C63"/>
    <w:rsid w:val="00966D3B"/>
    <w:rsid w:val="009F79C3"/>
    <w:rsid w:val="00C52FF9"/>
    <w:rsid w:val="00C72C38"/>
    <w:rsid w:val="00C81419"/>
    <w:rsid w:val="00CB0398"/>
    <w:rsid w:val="00CE7FEB"/>
    <w:rsid w:val="00D175B9"/>
    <w:rsid w:val="00DE3A45"/>
    <w:rsid w:val="00F17F5D"/>
    <w:rsid w:val="00F21187"/>
    <w:rsid w:val="00F9426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uiPriority w:val="99"/>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99"/>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uiPriority w:val="99"/>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uiPriority w:val="99"/>
    <w:qFormat/>
    <w:rsid w:val="00C72C38"/>
    <w:pPr>
      <w:spacing w:line="480" w:lineRule="auto"/>
      <w:jc w:val="center"/>
    </w:pPr>
    <w:rPr>
      <w:b/>
      <w:szCs w:val="20"/>
    </w:rPr>
  </w:style>
  <w:style w:type="character" w:customStyle="1" w:styleId="SubtitleChar">
    <w:name w:val="Subtitle Char"/>
    <w:basedOn w:val="DefaultParagraphFont"/>
    <w:link w:val="Subtitle"/>
    <w:uiPriority w:val="99"/>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numPr>
        <w:numId w:val="1"/>
      </w:numPr>
      <w:tabs>
        <w:tab w:val="num" w:pos="284"/>
      </w:tabs>
      <w:spacing w:line="480" w:lineRule="auto"/>
      <w:ind w:left="0" w:firstLine="0"/>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numPr>
        <w:numId w:val="2"/>
      </w:numPr>
      <w:jc w:val="both"/>
      <w:outlineLvl w:val="2"/>
    </w:pPr>
    <w:rPr>
      <w:rFonts w:ascii="MS Serif" w:hAnsi="MS Serif"/>
      <w:b/>
      <w:szCs w:val="20"/>
    </w:rPr>
  </w:style>
  <w:style w:type="paragraph" w:styleId="Heading4">
    <w:name w:val="heading 4"/>
    <w:basedOn w:val="Normal"/>
    <w:next w:val="Normal"/>
    <w:link w:val="Heading4Char"/>
    <w:qFormat/>
    <w:rsid w:val="00490063"/>
    <w:pPr>
      <w:keepNext/>
      <w:numPr>
        <w:numId w:val="3"/>
      </w:numPr>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uiPriority w:val="99"/>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99"/>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1,Char Char1, Char Char,Footnote Text Char1 Char,Footnote Text Char Char Char,Char Char Char1 Char,Char Char Char Char Char Char1 Char,Char Char Char Char1 Char,Char Char1 Char"/>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uiPriority w:val="99"/>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uiPriority w:val="99"/>
    <w:qFormat/>
    <w:rsid w:val="00C72C38"/>
    <w:pPr>
      <w:spacing w:line="480" w:lineRule="auto"/>
      <w:jc w:val="center"/>
    </w:pPr>
    <w:rPr>
      <w:b/>
      <w:szCs w:val="20"/>
    </w:rPr>
  </w:style>
  <w:style w:type="character" w:customStyle="1" w:styleId="SubtitleChar">
    <w:name w:val="Subtitle Char"/>
    <w:basedOn w:val="DefaultParagraphFont"/>
    <w:link w:val="Subtitle"/>
    <w:uiPriority w:val="99"/>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hukumonline.com/pusatdata/detail/lt63b3943c53853/undang-undang-nomor-1-tahun-2023?utm_source=website&amp;utm_medium=internal_link_klinik&amp;utm_campaign=UU_1_2023_KUHP_baru"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7603</Words>
  <Characters>43340</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2026-04-06T04:31:00Z</dcterms:created>
  <dcterms:modified xsi:type="dcterms:W3CDTF">2026-04-06T04:31:00Z</dcterms:modified>
</cp:coreProperties>
</file>