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39B" w:rsidRDefault="0017339B" w:rsidP="0017339B">
      <w:pPr>
        <w:pStyle w:val="BodyTextIndent3"/>
        <w:ind w:left="0"/>
        <w:jc w:val="center"/>
        <w:rPr>
          <w:b/>
          <w:color w:val="000000"/>
          <w:szCs w:val="24"/>
        </w:rPr>
      </w:pPr>
      <w:r>
        <w:rPr>
          <w:b/>
          <w:color w:val="000000"/>
          <w:szCs w:val="24"/>
        </w:rPr>
        <w:t>BAB III</w:t>
      </w:r>
    </w:p>
    <w:p w:rsidR="0017339B" w:rsidRDefault="0017339B" w:rsidP="0017339B">
      <w:pPr>
        <w:pStyle w:val="Heading2"/>
        <w:tabs>
          <w:tab w:val="left" w:pos="720"/>
        </w:tabs>
        <w:spacing w:line="480" w:lineRule="auto"/>
        <w:ind w:left="360" w:hanging="360"/>
        <w:jc w:val="center"/>
        <w:rPr>
          <w:rFonts w:ascii="Times New Roman" w:hAnsi="Times New Roman"/>
          <w:color w:val="000000"/>
          <w:szCs w:val="24"/>
        </w:rPr>
      </w:pPr>
      <w:r>
        <w:rPr>
          <w:rFonts w:ascii="Times New Roman" w:hAnsi="Times New Roman"/>
          <w:color w:val="000000"/>
          <w:szCs w:val="24"/>
        </w:rPr>
        <w:t>METODE PENELITIAN</w:t>
      </w:r>
    </w:p>
    <w:p w:rsidR="0017339B" w:rsidRDefault="0017339B" w:rsidP="00C96EDB">
      <w:pPr>
        <w:numPr>
          <w:ilvl w:val="1"/>
          <w:numId w:val="1"/>
        </w:numPr>
        <w:tabs>
          <w:tab w:val="num" w:pos="360"/>
        </w:tabs>
        <w:spacing w:line="480" w:lineRule="auto"/>
        <w:ind w:left="360"/>
        <w:jc w:val="both"/>
        <w:rPr>
          <w:b/>
          <w:bCs/>
          <w:color w:val="000000"/>
        </w:rPr>
      </w:pPr>
      <w:r>
        <w:rPr>
          <w:b/>
          <w:bCs/>
          <w:color w:val="000000"/>
        </w:rPr>
        <w:t>SifatPenelitian</w:t>
      </w:r>
    </w:p>
    <w:p w:rsidR="0017339B" w:rsidRDefault="0017339B" w:rsidP="0017339B">
      <w:pPr>
        <w:spacing w:line="480" w:lineRule="auto"/>
        <w:ind w:firstLine="720"/>
        <w:jc w:val="both"/>
        <w:rPr>
          <w:color w:val="000000"/>
        </w:rPr>
      </w:pPr>
      <w:r>
        <w:rPr>
          <w:color w:val="000000"/>
        </w:rPr>
        <w:t>Penelitianinibersifatdeskriptif, sebabhanyamenggambarkanobjek yang menjadipokokpermasalahan.</w:t>
      </w:r>
      <w:r>
        <w:rPr>
          <w:rStyle w:val="FootnoteReference"/>
          <w:color w:val="000000"/>
        </w:rPr>
        <w:footnoteReference w:id="2"/>
      </w:r>
      <w:r>
        <w:rPr>
          <w:rFonts w:eastAsia="MS Mincho"/>
          <w:color w:val="000000"/>
        </w:rPr>
        <w:t>Penelitiandeskriptifmengarahkepadapenelitianyuridisnormatifyaitu</w:t>
      </w:r>
      <w:r>
        <w:rPr>
          <w:color w:val="000000"/>
        </w:rPr>
        <w:t>penelitian yang bertitiktolakdaripemasalahandenganmelihatkenyataan yang terjadi di lapangan, kemudianmenghubungkannyadenganperaturanperundang-undangan yang berlaku.</w:t>
      </w:r>
    </w:p>
    <w:p w:rsidR="0017339B" w:rsidRDefault="0017339B" w:rsidP="0017339B">
      <w:pPr>
        <w:spacing w:line="480" w:lineRule="auto"/>
        <w:ind w:firstLine="720"/>
        <w:jc w:val="both"/>
        <w:rPr>
          <w:color w:val="000000"/>
        </w:rPr>
      </w:pPr>
      <w:r>
        <w:t>Deskriptifmerupakanmetode yang dipakaiuntukmenggambarkansuatukondisiataukeadaan yang sedangterjadiatauberlangsungbertujuan agar dapatmemberikan data setelitimungkinmengenaiobjekpenelitiansehinggamampumenggalihal-hal yang bersifat ideal, kemudiandianalisisberdasarkanteorihukumatauperaturanperundang-undangan yang berlaku.</w:t>
      </w:r>
    </w:p>
    <w:p w:rsidR="0017339B" w:rsidRDefault="0017339B" w:rsidP="0017339B">
      <w:pPr>
        <w:ind w:firstLine="720"/>
        <w:jc w:val="both"/>
        <w:rPr>
          <w:color w:val="000000"/>
        </w:rPr>
      </w:pPr>
    </w:p>
    <w:p w:rsidR="0017339B" w:rsidRDefault="0017339B" w:rsidP="00C96EDB">
      <w:pPr>
        <w:numPr>
          <w:ilvl w:val="1"/>
          <w:numId w:val="1"/>
        </w:numPr>
        <w:tabs>
          <w:tab w:val="num" w:pos="360"/>
        </w:tabs>
        <w:spacing w:line="480" w:lineRule="auto"/>
        <w:ind w:left="360"/>
        <w:jc w:val="both"/>
        <w:rPr>
          <w:color w:val="000000"/>
        </w:rPr>
      </w:pPr>
      <w:r>
        <w:rPr>
          <w:b/>
          <w:color w:val="000000"/>
        </w:rPr>
        <w:t>JenisPenelitian</w:t>
      </w:r>
    </w:p>
    <w:p w:rsidR="0017339B" w:rsidRDefault="0017339B" w:rsidP="0017339B">
      <w:pPr>
        <w:pStyle w:val="BodyTextIndent"/>
        <w:spacing w:line="456" w:lineRule="auto"/>
        <w:rPr>
          <w:color w:val="000000"/>
        </w:rPr>
      </w:pPr>
      <w:r>
        <w:rPr>
          <w:color w:val="000000"/>
        </w:rPr>
        <w:t>Berdasarkanobjekpenelitian yang merupakanhukumpositif, makajenispenelitian yang dipergunakandalampenelitianiniadalahpendekatanyuridisnormatif.</w:t>
      </w:r>
      <w:r>
        <w:rPr>
          <w:rStyle w:val="FootnoteReference"/>
          <w:color w:val="000000"/>
        </w:rPr>
        <w:footnoteReference w:id="3"/>
      </w:r>
      <w:r>
        <w:rPr>
          <w:color w:val="000000"/>
        </w:rPr>
        <w:t>Sebagaisuatupenelitianyuridisnormatif, makapenelitianinijugadilakukandenganmenganalisishukumbaiktertulis di dalambuku</w:t>
      </w:r>
      <w:r>
        <w:rPr>
          <w:i/>
          <w:color w:val="000000"/>
        </w:rPr>
        <w:t>(law as it writeen in the book)</w:t>
      </w:r>
      <w:r>
        <w:rPr>
          <w:color w:val="000000"/>
        </w:rPr>
        <w:t xml:space="preserve">maupunhukum </w:t>
      </w:r>
      <w:r>
        <w:rPr>
          <w:color w:val="000000"/>
        </w:rPr>
        <w:lastRenderedPageBreak/>
        <w:t>yang diputuskanoleh hakim melaluiproses pengadilan</w:t>
      </w:r>
      <w:r>
        <w:rPr>
          <w:i/>
          <w:color w:val="000000"/>
        </w:rPr>
        <w:t>(law as it is decided by the judge through judicial process)</w:t>
      </w:r>
      <w:r>
        <w:rPr>
          <w:color w:val="000000"/>
        </w:rPr>
        <w:t>atau yang seringdisebutdenganpenelitiandoktinal.</w:t>
      </w:r>
      <w:r>
        <w:rPr>
          <w:rStyle w:val="FootnoteReference"/>
          <w:color w:val="000000"/>
        </w:rPr>
        <w:footnoteReference w:id="4"/>
      </w:r>
    </w:p>
    <w:p w:rsidR="0017339B" w:rsidRDefault="0017339B" w:rsidP="00C96EDB">
      <w:pPr>
        <w:numPr>
          <w:ilvl w:val="1"/>
          <w:numId w:val="1"/>
        </w:numPr>
        <w:tabs>
          <w:tab w:val="num" w:pos="360"/>
        </w:tabs>
        <w:spacing w:line="480" w:lineRule="auto"/>
        <w:ind w:left="360"/>
        <w:jc w:val="both"/>
        <w:rPr>
          <w:b/>
          <w:color w:val="000000"/>
        </w:rPr>
      </w:pPr>
      <w:r>
        <w:rPr>
          <w:b/>
          <w:color w:val="000000"/>
        </w:rPr>
        <w:t>Sumber Data</w:t>
      </w:r>
    </w:p>
    <w:p w:rsidR="0017339B" w:rsidRDefault="0017339B" w:rsidP="0017339B">
      <w:pPr>
        <w:pStyle w:val="BodyTextIndent"/>
        <w:tabs>
          <w:tab w:val="left" w:pos="720"/>
        </w:tabs>
        <w:spacing w:line="516" w:lineRule="auto"/>
        <w:rPr>
          <w:color w:val="000000"/>
          <w:szCs w:val="24"/>
        </w:rPr>
      </w:pPr>
      <w:r>
        <w:rPr>
          <w:color w:val="000000"/>
          <w:szCs w:val="24"/>
        </w:rPr>
        <w:t>Sumber data penelitianiniadalah data sekunder. Data sekunderdalampenelitianinibersumberdari :</w:t>
      </w:r>
    </w:p>
    <w:p w:rsidR="0017339B" w:rsidRDefault="0017339B" w:rsidP="00C96EDB">
      <w:pPr>
        <w:pStyle w:val="BodyTextIndent"/>
        <w:numPr>
          <w:ilvl w:val="1"/>
          <w:numId w:val="2"/>
        </w:numPr>
        <w:tabs>
          <w:tab w:val="num" w:pos="360"/>
          <w:tab w:val="left" w:pos="709"/>
        </w:tabs>
        <w:spacing w:line="516" w:lineRule="auto"/>
        <w:ind w:left="360"/>
        <w:rPr>
          <w:szCs w:val="24"/>
          <w:lang w:val="id-ID"/>
        </w:rPr>
      </w:pPr>
      <w:r>
        <w:rPr>
          <w:color w:val="000000"/>
          <w:szCs w:val="24"/>
        </w:rPr>
        <w:t>Bahanhukum primer, yaitubahanhukumberupaperaturan-peraturanmengenaitindakpidanaperikananyaitu</w:t>
      </w:r>
      <w:bookmarkStart w:id="0" w:name="_Hlk180436245"/>
      <w:r>
        <w:rPr>
          <w:szCs w:val="24"/>
        </w:rPr>
        <w:t xml:space="preserve">KitabUndang-UndangHukumPidanadanUndang-UndangNomor 45 </w:t>
      </w:r>
      <w:r>
        <w:rPr>
          <w:color w:val="000000"/>
          <w:szCs w:val="24"/>
        </w:rPr>
        <w:t xml:space="preserve">Tahun 2009 TentangPerubahanatasUndang-Undang RI Nomor 31 Tahun 2004 TentangPerikanan, </w:t>
      </w:r>
      <w:r>
        <w:t>PeraturanMenteriKelautan Dan PerikananRepublik Indonesia Nomor 2/Permen-Kp/2015 TentangLaranganPenggunaanAlatPenangkapanIkanPukatHela (</w:t>
      </w:r>
      <w:r>
        <w:rPr>
          <w:i/>
          <w:iCs/>
        </w:rPr>
        <w:t>Trawls</w:t>
      </w:r>
      <w:r>
        <w:t>) Dan PukatTarik (</w:t>
      </w:r>
      <w:r>
        <w:rPr>
          <w:i/>
          <w:iCs/>
        </w:rPr>
        <w:t>Seine Nets</w:t>
      </w:r>
      <w:r>
        <w:t>) Di Wilayah PengelolaanPerikanan Negara Republik Indonesia</w:t>
      </w:r>
      <w:bookmarkEnd w:id="0"/>
    </w:p>
    <w:p w:rsidR="0017339B" w:rsidRDefault="0017339B" w:rsidP="00C96EDB">
      <w:pPr>
        <w:pStyle w:val="BodyTextIndent"/>
        <w:numPr>
          <w:ilvl w:val="1"/>
          <w:numId w:val="2"/>
        </w:numPr>
        <w:tabs>
          <w:tab w:val="num" w:pos="360"/>
          <w:tab w:val="left" w:pos="709"/>
        </w:tabs>
        <w:spacing w:line="516" w:lineRule="auto"/>
        <w:ind w:left="360"/>
        <w:rPr>
          <w:szCs w:val="24"/>
          <w:lang w:val="id-ID"/>
        </w:rPr>
      </w:pPr>
      <w:r>
        <w:rPr>
          <w:color w:val="000000"/>
          <w:szCs w:val="24"/>
        </w:rPr>
        <w:t>Bahanhukumsekunderyaitubahan-bahan yang erathubungannyadenganbahanhukum primer berupabuku-buku yang berhubungandenganobjek yang diteliti.</w:t>
      </w:r>
    </w:p>
    <w:p w:rsidR="0017339B" w:rsidRDefault="0017339B" w:rsidP="00C96EDB">
      <w:pPr>
        <w:pStyle w:val="BodyTextIndent"/>
        <w:numPr>
          <w:ilvl w:val="1"/>
          <w:numId w:val="2"/>
        </w:numPr>
        <w:tabs>
          <w:tab w:val="num" w:pos="360"/>
          <w:tab w:val="left" w:pos="709"/>
        </w:tabs>
        <w:spacing w:line="516" w:lineRule="auto"/>
        <w:ind w:left="360"/>
        <w:rPr>
          <w:szCs w:val="24"/>
          <w:lang w:val="id-ID"/>
        </w:rPr>
      </w:pPr>
      <w:r>
        <w:rPr>
          <w:color w:val="000000"/>
          <w:szCs w:val="24"/>
        </w:rPr>
        <w:t>Bahanhukumtertieryakni  yangmemberiinformasilebihlanjutmengenaibahanhukum primer danbahanhukumsekundersepertikamushukum.</w:t>
      </w:r>
    </w:p>
    <w:p w:rsidR="0017339B" w:rsidRDefault="0017339B" w:rsidP="00C96EDB">
      <w:pPr>
        <w:numPr>
          <w:ilvl w:val="1"/>
          <w:numId w:val="1"/>
        </w:numPr>
        <w:tabs>
          <w:tab w:val="num" w:pos="360"/>
        </w:tabs>
        <w:spacing w:line="516" w:lineRule="auto"/>
        <w:ind w:left="360"/>
        <w:rPr>
          <w:b/>
          <w:color w:val="000000"/>
        </w:rPr>
      </w:pPr>
      <w:r>
        <w:rPr>
          <w:b/>
          <w:color w:val="000000"/>
        </w:rPr>
        <w:lastRenderedPageBreak/>
        <w:t>TeknikPengumpulan Data</w:t>
      </w:r>
    </w:p>
    <w:p w:rsidR="0017339B" w:rsidRDefault="0017339B" w:rsidP="0017339B">
      <w:pPr>
        <w:pStyle w:val="BodyTextIndent2"/>
        <w:spacing w:line="516" w:lineRule="auto"/>
        <w:ind w:left="0" w:firstLine="748"/>
        <w:rPr>
          <w:color w:val="000000"/>
        </w:rPr>
      </w:pPr>
      <w:r>
        <w:rPr>
          <w:color w:val="000000"/>
        </w:rPr>
        <w:t>Pengumpulan data menggunakanmetodepenelitiankepustakaan</w:t>
      </w:r>
      <w:r>
        <w:rPr>
          <w:i/>
          <w:color w:val="000000"/>
        </w:rPr>
        <w:t>(library research).</w:t>
      </w:r>
      <w:r>
        <w:rPr>
          <w:color w:val="000000"/>
        </w:rPr>
        <w:t>Data diperolehmelaluibeberapaliteraturberupabuku-bukuilmiah, peraturanperundang-undangandandokumentasilainnyasepertimajalah, internet, jurnalilmiahsertasumber-sumberteoritislainnya yang berhubungandengan</w:t>
      </w:r>
      <w:r>
        <w:rPr>
          <w:bCs/>
        </w:rPr>
        <w:t>pertanggungjawabanpelakutindakpidanaperikanan</w:t>
      </w:r>
      <w:r>
        <w:rPr>
          <w:color w:val="000000"/>
        </w:rPr>
        <w:t>.</w:t>
      </w:r>
    </w:p>
    <w:p w:rsidR="0017339B" w:rsidRDefault="0017339B" w:rsidP="00C96EDB">
      <w:pPr>
        <w:numPr>
          <w:ilvl w:val="1"/>
          <w:numId w:val="1"/>
        </w:numPr>
        <w:tabs>
          <w:tab w:val="num" w:pos="360"/>
        </w:tabs>
        <w:spacing w:line="480" w:lineRule="auto"/>
        <w:ind w:left="360"/>
        <w:jc w:val="both"/>
        <w:rPr>
          <w:b/>
          <w:color w:val="000000"/>
        </w:rPr>
      </w:pPr>
      <w:r>
        <w:rPr>
          <w:b/>
          <w:color w:val="000000"/>
        </w:rPr>
        <w:t>Analisis Data.</w:t>
      </w:r>
    </w:p>
    <w:p w:rsidR="0017339B" w:rsidRDefault="0017339B" w:rsidP="0017339B">
      <w:pPr>
        <w:spacing w:line="480" w:lineRule="auto"/>
        <w:ind w:firstLine="720"/>
        <w:jc w:val="both"/>
        <w:rPr>
          <w:color w:val="000000"/>
        </w:rPr>
      </w:pPr>
      <w:r>
        <w:rPr>
          <w:rFonts w:eastAsia="MS Mincho"/>
          <w:color w:val="000000"/>
        </w:rPr>
        <w:t>Data yang terkumpultersebutakandianalisadenganseksamadenganmenggunakananalisiskualitatifataudijabarkandengankalimat.</w:t>
      </w:r>
      <w:r>
        <w:rPr>
          <w:color w:val="000000"/>
        </w:rPr>
        <w:t>Analisiskualitatifadalahanalisa yang didasarkanpadaparadigmahubungandinamisantarateori, konsep-konsepdan data yang merupakanumpanbalikataumodifikasi yang tetapdariteoridankonsep yang didasarkanpada data yang dikumpulkan.</w:t>
      </w:r>
    </w:p>
    <w:p w:rsidR="00CE7FEB" w:rsidRPr="0017339B" w:rsidRDefault="00CE7FEB" w:rsidP="0017339B">
      <w:bookmarkStart w:id="1" w:name="_GoBack"/>
      <w:bookmarkEnd w:id="1"/>
    </w:p>
    <w:sectPr w:rsidR="00CE7FEB" w:rsidRPr="0017339B"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201" w:rsidRDefault="008A0201" w:rsidP="002D79FF">
      <w:r>
        <w:separator/>
      </w:r>
    </w:p>
  </w:endnote>
  <w:endnote w:type="continuationSeparator" w:id="1">
    <w:p w:rsidR="008A0201" w:rsidRDefault="008A0201"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A0201">
    <w:pPr>
      <w:pStyle w:val="Footer"/>
      <w:jc w:val="center"/>
    </w:pPr>
  </w:p>
  <w:p w:rsidR="00630637" w:rsidRDefault="008A0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201" w:rsidRDefault="008A0201" w:rsidP="002D79FF">
      <w:r>
        <w:separator/>
      </w:r>
    </w:p>
  </w:footnote>
  <w:footnote w:type="continuationSeparator" w:id="1">
    <w:p w:rsidR="008A0201" w:rsidRDefault="008A0201" w:rsidP="002D79FF">
      <w:r>
        <w:continuationSeparator/>
      </w:r>
    </w:p>
  </w:footnote>
  <w:footnote w:id="2">
    <w:p w:rsidR="0017339B" w:rsidRDefault="0017339B" w:rsidP="0017339B">
      <w:pPr>
        <w:pStyle w:val="FootnoteText"/>
        <w:ind w:firstLine="709"/>
        <w:jc w:val="both"/>
      </w:pPr>
      <w:r>
        <w:rPr>
          <w:rStyle w:val="FootnoteReference"/>
        </w:rPr>
        <w:footnoteRef/>
      </w:r>
      <w:r>
        <w:t xml:space="preserve">BambangSunggono., </w:t>
      </w:r>
      <w:r>
        <w:rPr>
          <w:i/>
        </w:rPr>
        <w:t>MetodePenelitianHukum</w:t>
      </w:r>
      <w:r>
        <w:t>, Raja Grafindo Perkasa, Jakarta, 2018, h.24.</w:t>
      </w:r>
    </w:p>
  </w:footnote>
  <w:footnote w:id="3">
    <w:p w:rsidR="0017339B" w:rsidRDefault="0017339B" w:rsidP="0017339B">
      <w:pPr>
        <w:pStyle w:val="FootnoteText"/>
        <w:ind w:firstLine="720"/>
        <w:jc w:val="both"/>
      </w:pPr>
      <w:r>
        <w:rPr>
          <w:rStyle w:val="FootnoteReference"/>
        </w:rPr>
        <w:footnoteRef/>
      </w:r>
      <w:r>
        <w:rPr>
          <w:i/>
        </w:rPr>
        <w:t>Ibid</w:t>
      </w:r>
      <w:r>
        <w:t>, h. 36</w:t>
      </w:r>
    </w:p>
  </w:footnote>
  <w:footnote w:id="4">
    <w:p w:rsidR="0017339B" w:rsidRDefault="0017339B" w:rsidP="0017339B">
      <w:pPr>
        <w:pStyle w:val="FootnoteText"/>
        <w:ind w:firstLine="720"/>
        <w:jc w:val="both"/>
      </w:pPr>
      <w:r>
        <w:rPr>
          <w:rStyle w:val="FootnoteReference"/>
        </w:rPr>
        <w:footnoteRef/>
      </w:r>
      <w:r>
        <w:rPr>
          <w:i/>
        </w:rPr>
        <w:t xml:space="preserve">Ibid, </w:t>
      </w:r>
      <w:r>
        <w:t>hlm.41.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A0201">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A02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66BAF"/>
    <w:multiLevelType w:val="hybridMultilevel"/>
    <w:tmpl w:val="FDFEA5AC"/>
    <w:lvl w:ilvl="0" w:tplc="0409000F">
      <w:start w:val="1"/>
      <w:numFmt w:val="decimal"/>
      <w:lvlText w:val="%1."/>
      <w:lvlJc w:val="left"/>
      <w:pPr>
        <w:tabs>
          <w:tab w:val="num" w:pos="720"/>
        </w:tabs>
        <w:ind w:left="720" w:hanging="360"/>
      </w:pPr>
      <w:rPr>
        <w:rFonts w:cs="Times New Roman"/>
      </w:rPr>
    </w:lvl>
    <w:lvl w:ilvl="1" w:tplc="4EF68846">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75017365"/>
    <w:multiLevelType w:val="hybridMultilevel"/>
    <w:tmpl w:val="38FEF5D8"/>
    <w:lvl w:ilvl="0" w:tplc="04090019">
      <w:start w:val="1"/>
      <w:numFmt w:val="decimal"/>
      <w:lvlText w:val="%1."/>
      <w:lvlJc w:val="left"/>
      <w:pPr>
        <w:tabs>
          <w:tab w:val="num" w:pos="720"/>
        </w:tabs>
        <w:ind w:left="720" w:hanging="360"/>
      </w:pPr>
    </w:lvl>
    <w:lvl w:ilvl="1" w:tplc="E738DE3E">
      <w:start w:val="1"/>
      <w:numFmt w:val="decimal"/>
      <w:lvlText w:val="%2."/>
      <w:lvlJc w:val="left"/>
      <w:pPr>
        <w:tabs>
          <w:tab w:val="num" w:pos="1440"/>
        </w:tabs>
        <w:ind w:left="1440" w:hanging="360"/>
      </w:pPr>
      <w:rPr>
        <w:rFonts w:ascii="Times New Roman" w:eastAsia="Times New Roman" w:hAnsi="Times New Roman" w:cs="Times New Roman"/>
        <w:i w:val="0"/>
      </w:rPr>
    </w:lvl>
    <w:lvl w:ilvl="2" w:tplc="DBEC89AE">
      <w:start w:val="1"/>
      <w:numFmt w:val="upperLetter"/>
      <w:lvlText w:val="%3."/>
      <w:lvlJc w:val="left"/>
      <w:pPr>
        <w:tabs>
          <w:tab w:val="num" w:pos="2340"/>
        </w:tabs>
        <w:ind w:left="2340" w:hanging="360"/>
      </w:pPr>
      <w:rPr>
        <w:b/>
        <w:color w:val="auto"/>
      </w:rPr>
    </w:lvl>
    <w:lvl w:ilvl="3" w:tplc="E0D60F5E">
      <w:start w:val="1"/>
      <w:numFmt w:val="decimal"/>
      <w:lvlText w:val="%4)"/>
      <w:lvlJc w:val="left"/>
      <w:pPr>
        <w:tabs>
          <w:tab w:val="num" w:pos="2880"/>
        </w:tabs>
        <w:ind w:left="2880" w:hanging="360"/>
      </w:pPr>
      <w:rPr>
        <w:rFonts w:ascii="Arial" w:eastAsia="Times New Roman" w:hAnsi="Arial" w:cs="Arial"/>
        <w:b w:val="0"/>
        <w:bCs/>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rPr>
        <w:b w:val="0"/>
        <w:sz w:val="24"/>
        <w:szCs w:val="24"/>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z6/tjbMSDmY2zA1V00dQJ6rhwLQ=" w:salt="eT3YSaNT6UuxmRUSe8WA9w=="/>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8326E"/>
    <w:rsid w:val="00095435"/>
    <w:rsid w:val="000D08BE"/>
    <w:rsid w:val="0017339B"/>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772E1"/>
    <w:rsid w:val="00490063"/>
    <w:rsid w:val="00497A5F"/>
    <w:rsid w:val="0054651A"/>
    <w:rsid w:val="00567E71"/>
    <w:rsid w:val="00574EE8"/>
    <w:rsid w:val="00581765"/>
    <w:rsid w:val="006068DC"/>
    <w:rsid w:val="0066422A"/>
    <w:rsid w:val="00676048"/>
    <w:rsid w:val="006C4D00"/>
    <w:rsid w:val="00727917"/>
    <w:rsid w:val="0073726A"/>
    <w:rsid w:val="00774478"/>
    <w:rsid w:val="00787789"/>
    <w:rsid w:val="007929DB"/>
    <w:rsid w:val="007A3857"/>
    <w:rsid w:val="007F2160"/>
    <w:rsid w:val="008374CB"/>
    <w:rsid w:val="008538D8"/>
    <w:rsid w:val="00856B55"/>
    <w:rsid w:val="00875E9E"/>
    <w:rsid w:val="008A0201"/>
    <w:rsid w:val="00932E1A"/>
    <w:rsid w:val="009725A3"/>
    <w:rsid w:val="00983722"/>
    <w:rsid w:val="009D5F3B"/>
    <w:rsid w:val="00A92261"/>
    <w:rsid w:val="00AA3A59"/>
    <w:rsid w:val="00AD02E7"/>
    <w:rsid w:val="00AE04B0"/>
    <w:rsid w:val="00AF2729"/>
    <w:rsid w:val="00C52FF9"/>
    <w:rsid w:val="00C72C38"/>
    <w:rsid w:val="00C81419"/>
    <w:rsid w:val="00C949F5"/>
    <w:rsid w:val="00C96EDB"/>
    <w:rsid w:val="00CB0398"/>
    <w:rsid w:val="00CE7FEB"/>
    <w:rsid w:val="00D175B9"/>
    <w:rsid w:val="00D21FA9"/>
    <w:rsid w:val="00D23502"/>
    <w:rsid w:val="00D43E1D"/>
    <w:rsid w:val="00D63374"/>
    <w:rsid w:val="00DE770F"/>
    <w:rsid w:val="00E21DEE"/>
    <w:rsid w:val="00E33D2C"/>
    <w:rsid w:val="00EC1645"/>
    <w:rsid w:val="00EF487D"/>
    <w:rsid w:val="00F17F5D"/>
    <w:rsid w:val="00F21187"/>
    <w:rsid w:val="00F57C47"/>
    <w:rsid w:val="00F92260"/>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2026-04-07T07:04:00Z</dcterms:created>
  <dcterms:modified xsi:type="dcterms:W3CDTF">2026-04-07T07:04:00Z</dcterms:modified>
</cp:coreProperties>
</file>