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8B7" w:rsidRDefault="00B028B7" w:rsidP="00B028B7">
      <w:pPr>
        <w:tabs>
          <w:tab w:val="left" w:pos="360"/>
          <w:tab w:val="left" w:pos="1260"/>
        </w:tabs>
        <w:spacing w:line="480" w:lineRule="auto"/>
        <w:jc w:val="center"/>
        <w:rPr>
          <w:b/>
          <w:color w:val="000000"/>
          <w:lang w:val="id-ID"/>
        </w:rPr>
      </w:pPr>
      <w:r>
        <w:rPr>
          <w:b/>
          <w:color w:val="000000"/>
          <w:lang w:val="id-ID"/>
        </w:rPr>
        <w:t>BAB I</w:t>
      </w:r>
    </w:p>
    <w:p w:rsidR="00B028B7" w:rsidRDefault="00B028B7" w:rsidP="00B028B7">
      <w:pPr>
        <w:tabs>
          <w:tab w:val="left" w:pos="360"/>
          <w:tab w:val="left" w:pos="1260"/>
        </w:tabs>
        <w:spacing w:line="480" w:lineRule="auto"/>
        <w:jc w:val="center"/>
        <w:rPr>
          <w:b/>
          <w:color w:val="000000"/>
          <w:lang w:val="id-ID"/>
        </w:rPr>
      </w:pPr>
      <w:r>
        <w:rPr>
          <w:b/>
          <w:color w:val="000000"/>
          <w:lang w:val="id-ID"/>
        </w:rPr>
        <w:t>PENDAHULUAN</w:t>
      </w:r>
    </w:p>
    <w:p w:rsidR="00B028B7" w:rsidRDefault="00B028B7" w:rsidP="003E1914">
      <w:pPr>
        <w:pStyle w:val="Heading2"/>
        <w:keepLines w:val="0"/>
        <w:numPr>
          <w:ilvl w:val="0"/>
          <w:numId w:val="1"/>
        </w:numPr>
        <w:tabs>
          <w:tab w:val="left" w:pos="426"/>
        </w:tabs>
        <w:spacing w:before="0" w:line="480" w:lineRule="auto"/>
        <w:ind w:left="360"/>
        <w:rPr>
          <w:rFonts w:ascii="Times New Roman" w:hAnsi="Times New Roman"/>
          <w:color w:val="000000"/>
          <w:szCs w:val="24"/>
        </w:rPr>
      </w:pPr>
      <w:r>
        <w:rPr>
          <w:rFonts w:ascii="Times New Roman" w:hAnsi="Times New Roman"/>
          <w:color w:val="000000"/>
          <w:szCs w:val="24"/>
        </w:rPr>
        <w:t xml:space="preserve">Latar Belakang </w:t>
      </w:r>
    </w:p>
    <w:p w:rsidR="00B028B7" w:rsidRDefault="00B028B7" w:rsidP="00B028B7">
      <w:pPr>
        <w:spacing w:line="456" w:lineRule="auto"/>
        <w:ind w:firstLine="709"/>
        <w:jc w:val="both"/>
        <w:rPr>
          <w:color w:val="000000"/>
        </w:rPr>
      </w:pPr>
      <w:r>
        <w:rPr>
          <w:color w:val="000000"/>
        </w:rPr>
        <w:t>Kemajuan teknologi yang ditandai dengan munculnya penemuan- penemuan baru seperti internet, merupakan salah satu penyebab munculnya perubahan sosial, penyebab lainnya seperti bertambah atau berkurangnya penduduk, pertentangan (</w:t>
      </w:r>
      <w:r>
        <w:rPr>
          <w:i/>
          <w:color w:val="000000"/>
        </w:rPr>
        <w:t>conflict</w:t>
      </w:r>
      <w:r>
        <w:rPr>
          <w:color w:val="000000"/>
        </w:rPr>
        <w:t>) dalam masyarakat, terjadinya pemberontakan atau revolusi di dalam tubuh masyarakat itu sendiri.</w:t>
      </w:r>
      <w:r>
        <w:rPr>
          <w:rStyle w:val="FootnoteReference"/>
          <w:color w:val="000000"/>
        </w:rPr>
        <w:footnoteReference w:id="2"/>
      </w:r>
    </w:p>
    <w:p w:rsidR="00B028B7" w:rsidRDefault="00B028B7" w:rsidP="00B028B7">
      <w:pPr>
        <w:spacing w:line="480" w:lineRule="auto"/>
        <w:ind w:firstLine="720"/>
        <w:jc w:val="both"/>
        <w:rPr>
          <w:color w:val="000000"/>
        </w:rPr>
      </w:pPr>
      <w:r>
        <w:rPr>
          <w:color w:val="000000"/>
        </w:rPr>
        <w:t>Soerjono Soekanto menyatakan kemajuan di bidang teknologi akan berjalan bersamaan dengan munculnya perubahanperubahan di bidang kemasyarakatan. Perubahan-perubahan di dalam masyarakat dapat mengenai nilai sosial, kaidah-kaidah sosial, pola-pola perikelakuan, organisasi, dan susunan lembaga kemasyarakatan.</w:t>
      </w:r>
      <w:r>
        <w:rPr>
          <w:rStyle w:val="FootnoteReference"/>
          <w:color w:val="000000"/>
        </w:rPr>
        <w:footnoteReference w:id="3"/>
      </w:r>
    </w:p>
    <w:p w:rsidR="00B028B7" w:rsidRDefault="00B028B7" w:rsidP="00B028B7">
      <w:pPr>
        <w:spacing w:line="456" w:lineRule="auto"/>
        <w:ind w:firstLine="709"/>
        <w:jc w:val="both"/>
        <w:rPr>
          <w:color w:val="000000"/>
        </w:rPr>
      </w:pPr>
      <w:r>
        <w:rPr>
          <w:color w:val="000000"/>
        </w:rPr>
        <w:t>Pornografi (</w:t>
      </w:r>
      <w:r>
        <w:rPr>
          <w:i/>
          <w:color w:val="000000"/>
        </w:rPr>
        <w:t xml:space="preserve">Cyberporn) </w:t>
      </w:r>
      <w:r>
        <w:rPr>
          <w:color w:val="000000"/>
        </w:rPr>
        <w:t xml:space="preserve">atau biasa disebut pornografi yang dilakukan secara </w:t>
      </w:r>
      <w:r>
        <w:rPr>
          <w:i/>
          <w:color w:val="000000"/>
        </w:rPr>
        <w:t xml:space="preserve">online </w:t>
      </w:r>
      <w:r>
        <w:rPr>
          <w:color w:val="000000"/>
        </w:rPr>
        <w:t>melalui jejaring internet merupakan bentuk kejahatan dunia maya yang seharusnya cukup diwaspadai oleh masyarakat Indonesia.</w:t>
      </w:r>
      <w:r>
        <w:rPr>
          <w:rStyle w:val="FootnoteReference"/>
          <w:color w:val="000000"/>
        </w:rPr>
        <w:footnoteReference w:id="4"/>
      </w:r>
    </w:p>
    <w:p w:rsidR="00B028B7" w:rsidRDefault="00B028B7" w:rsidP="00B028B7">
      <w:pPr>
        <w:spacing w:line="456" w:lineRule="auto"/>
        <w:ind w:firstLine="709"/>
        <w:jc w:val="both"/>
        <w:rPr>
          <w:color w:val="000000"/>
        </w:rPr>
      </w:pPr>
      <w:r>
        <w:rPr>
          <w:color w:val="000000"/>
        </w:rPr>
        <w:t xml:space="preserve">Pornografi memang suatu hal yang sangat kompleks tidak dapat berdiri sendiri, melainkan kumpulan dari beberapa hal masalah tentang pornografi bukan hanya masalah pemerintah dan negara saja, melainkan menyangkut kehidupan masyarakat.Hal ini dengan banyaknya aksi-aksi kejahatan seksualitas yang terjadi, </w:t>
      </w:r>
      <w:r>
        <w:rPr>
          <w:color w:val="000000"/>
        </w:rPr>
        <w:lastRenderedPageBreak/>
        <w:t>sebagian besar dari motifnya adalah akibat konsumsi dari pornografi, baik dari media sosial, video atau audio.</w:t>
      </w:r>
      <w:r>
        <w:rPr>
          <w:rStyle w:val="FootnoteReference"/>
          <w:color w:val="000000"/>
        </w:rPr>
        <w:footnoteReference w:id="5"/>
      </w:r>
    </w:p>
    <w:p w:rsidR="00B028B7" w:rsidRDefault="00B028B7" w:rsidP="00B028B7">
      <w:pPr>
        <w:spacing w:line="480" w:lineRule="auto"/>
        <w:ind w:firstLine="709"/>
        <w:jc w:val="both"/>
        <w:rPr>
          <w:color w:val="000000"/>
        </w:rPr>
      </w:pPr>
      <w:r>
        <w:rPr>
          <w:color w:val="000000"/>
        </w:rPr>
        <w:t xml:space="preserve">Berdasarkan data Direktorat Jenderal Aplikasi Informatika, hingga tanggal 14 September 2023, Kementerian Kominfo telah memutus akses terhadap 1.950.794 konten bermuatan pornografi.Ada sekitar 1.211.573 konten di </w:t>
      </w:r>
      <w:r>
        <w:rPr>
          <w:i/>
          <w:color w:val="000000"/>
        </w:rPr>
        <w:t>web</w:t>
      </w:r>
      <w:r>
        <w:rPr>
          <w:color w:val="000000"/>
        </w:rPr>
        <w:t>site, kemudian di media sosial sebanyak 737.146 konten dan di platform file sharing sebanyak 2.075konten.</w:t>
      </w:r>
      <w:r>
        <w:rPr>
          <w:rStyle w:val="FootnoteReference"/>
          <w:color w:val="000000"/>
        </w:rPr>
        <w:footnoteReference w:id="6"/>
      </w:r>
    </w:p>
    <w:p w:rsidR="00B028B7" w:rsidRDefault="00B028B7" w:rsidP="00B028B7">
      <w:pPr>
        <w:spacing w:line="456" w:lineRule="auto"/>
        <w:ind w:firstLine="709"/>
        <w:jc w:val="both"/>
        <w:rPr>
          <w:color w:val="000000"/>
        </w:rPr>
      </w:pPr>
      <w:r>
        <w:rPr>
          <w:color w:val="000000"/>
        </w:rPr>
        <w:t>Muatan pornografi sendiri berupa eksploitasi dan komersialisasi seks yang berupa penggambaran ketelanjangan baik sebagian maupun seluruhnya, pengumbaran gerakan-gerakan pengumbaran aktivitas seksual sosok perempuan, remaja, maupun anak-anak yang hadir dalam produk media komunikasi, media massa, dan atau pertunjukan.</w:t>
      </w:r>
      <w:r>
        <w:rPr>
          <w:rStyle w:val="FootnoteReference"/>
          <w:color w:val="000000"/>
        </w:rPr>
        <w:footnoteReference w:id="7"/>
      </w:r>
    </w:p>
    <w:p w:rsidR="00B028B7" w:rsidRDefault="00B028B7" w:rsidP="00B028B7">
      <w:pPr>
        <w:spacing w:line="504" w:lineRule="auto"/>
        <w:ind w:firstLine="709"/>
        <w:jc w:val="both"/>
        <w:rPr>
          <w:color w:val="000000"/>
        </w:rPr>
      </w:pPr>
      <w:r>
        <w:rPr>
          <w:color w:val="000000"/>
        </w:rPr>
        <w:t xml:space="preserve">Hal ini tentunya akan berdampak buruk bagi setiap pengguna tersebut adalah sikap dan mental bagi para pengkonsumsi yang mungkin saja akan melakukan tindakan atau pelanggaran asusila yang ada pada Pasal 1 Ayat (1) Undang-Undang Nomor 44 Tahun 2008 tentang pornografi (selanjutnya disebut UU pornografi) yang menyebutkan bahwa “Pornografi adalah gambar, sketsa, ilustrasi, animasi, foto, tulisan, suara, bunyi, gambar gerak tubuh, atau bentuk pesan lainnya melalui berbagai bentuk media komunikasi dan/atau pertunjukan di </w:t>
      </w:r>
      <w:r>
        <w:rPr>
          <w:color w:val="000000"/>
        </w:rPr>
        <w:lastRenderedPageBreak/>
        <w:t>muka umum, yang memuat kecabulan atau eksploitasi seksual yang melanggar norma kesusilaan dalammasyarakat”.</w:t>
      </w:r>
    </w:p>
    <w:p w:rsidR="00B028B7" w:rsidRDefault="00B028B7" w:rsidP="00B028B7">
      <w:pPr>
        <w:spacing w:line="504" w:lineRule="auto"/>
        <w:ind w:firstLine="709"/>
        <w:jc w:val="both"/>
        <w:rPr>
          <w:color w:val="000000"/>
        </w:rPr>
      </w:pPr>
      <w:r>
        <w:rPr>
          <w:color w:val="000000"/>
        </w:rPr>
        <w:t>Kitab Undang-Undang Hukum Pidana, selanjutnya disebut KUHP, juga mengatur mengenai perbuatan tindak pidana pornografi, yang dalam KUHP dikategorikan sebagai delik Kesusilaan. Pasal 282 KUHP Ayat (1), (2) dan Ayat (3), maka tindak pidana terdiri dari:</w:t>
      </w:r>
    </w:p>
    <w:p w:rsidR="00B028B7" w:rsidRDefault="00B028B7" w:rsidP="003E1914">
      <w:pPr>
        <w:pStyle w:val="ListParagraph"/>
        <w:widowControl w:val="0"/>
        <w:numPr>
          <w:ilvl w:val="0"/>
          <w:numId w:val="2"/>
        </w:numPr>
        <w:tabs>
          <w:tab w:val="left" w:pos="1134"/>
        </w:tabs>
        <w:autoSpaceDE w:val="0"/>
        <w:autoSpaceDN w:val="0"/>
        <w:spacing w:line="240" w:lineRule="auto"/>
        <w:ind w:right="139"/>
        <w:rPr>
          <w:rFonts w:ascii="Times New Roman" w:hAnsi="Times New Roman"/>
          <w:color w:val="000000"/>
          <w:sz w:val="24"/>
          <w:szCs w:val="24"/>
        </w:rPr>
      </w:pPr>
      <w:r>
        <w:rPr>
          <w:rFonts w:ascii="Times New Roman" w:hAnsi="Times New Roman"/>
          <w:color w:val="000000"/>
          <w:sz w:val="24"/>
          <w:szCs w:val="24"/>
        </w:rPr>
        <w:t>Menyiarkan, mempertontonkan atau menempelkan dengan terang- terangan, tulisan dansebagainya;</w:t>
      </w:r>
    </w:p>
    <w:p w:rsidR="00B028B7" w:rsidRDefault="00B028B7" w:rsidP="003E1914">
      <w:pPr>
        <w:pStyle w:val="ListParagraph"/>
        <w:widowControl w:val="0"/>
        <w:numPr>
          <w:ilvl w:val="0"/>
          <w:numId w:val="2"/>
        </w:numPr>
        <w:tabs>
          <w:tab w:val="left" w:pos="1134"/>
        </w:tabs>
        <w:autoSpaceDE w:val="0"/>
        <w:autoSpaceDN w:val="0"/>
        <w:spacing w:line="240" w:lineRule="auto"/>
        <w:ind w:right="144"/>
        <w:rPr>
          <w:rFonts w:ascii="Times New Roman" w:hAnsi="Times New Roman"/>
          <w:color w:val="000000"/>
          <w:sz w:val="24"/>
          <w:szCs w:val="24"/>
        </w:rPr>
      </w:pPr>
      <w:r>
        <w:rPr>
          <w:rFonts w:ascii="Times New Roman" w:hAnsi="Times New Roman"/>
          <w:color w:val="000000"/>
          <w:sz w:val="24"/>
          <w:szCs w:val="24"/>
        </w:rPr>
        <w:t>Membuat, membawa masuk, mengirimkan langsung, membawa keluar atau menyediakan tulisan dan sebagainya untuk disiarkan, atau ditempelkan denganterang-terangan.</w:t>
      </w:r>
    </w:p>
    <w:p w:rsidR="00B028B7" w:rsidRDefault="00B028B7" w:rsidP="003E1914">
      <w:pPr>
        <w:pStyle w:val="ListParagraph"/>
        <w:widowControl w:val="0"/>
        <w:numPr>
          <w:ilvl w:val="0"/>
          <w:numId w:val="2"/>
        </w:numPr>
        <w:tabs>
          <w:tab w:val="left" w:pos="1134"/>
        </w:tabs>
        <w:autoSpaceDE w:val="0"/>
        <w:autoSpaceDN w:val="0"/>
        <w:spacing w:line="240" w:lineRule="auto"/>
        <w:ind w:right="144"/>
        <w:rPr>
          <w:rFonts w:ascii="Times New Roman" w:hAnsi="Times New Roman"/>
          <w:color w:val="000000"/>
          <w:sz w:val="24"/>
          <w:szCs w:val="24"/>
        </w:rPr>
      </w:pPr>
      <w:r>
        <w:rPr>
          <w:rFonts w:ascii="Times New Roman" w:hAnsi="Times New Roman"/>
          <w:color w:val="000000"/>
          <w:sz w:val="24"/>
          <w:szCs w:val="24"/>
        </w:rPr>
        <w:t>Dengan terang-terangan atau dengan, menyiarkan suatu tulisan menawarkan dengan tidak diminta atau menunjukkan, bahwa tulisandan sebagainya bolehdidapat.</w:t>
      </w:r>
    </w:p>
    <w:p w:rsidR="00B028B7" w:rsidRDefault="00B028B7" w:rsidP="00B028B7">
      <w:pPr>
        <w:pStyle w:val="ListParagraph"/>
        <w:widowControl w:val="0"/>
        <w:tabs>
          <w:tab w:val="left" w:pos="1134"/>
        </w:tabs>
        <w:autoSpaceDE w:val="0"/>
        <w:autoSpaceDN w:val="0"/>
        <w:spacing w:line="240" w:lineRule="auto"/>
        <w:ind w:left="1133" w:right="144"/>
        <w:rPr>
          <w:rFonts w:ascii="Times New Roman" w:hAnsi="Times New Roman"/>
          <w:color w:val="000000"/>
          <w:sz w:val="24"/>
          <w:szCs w:val="24"/>
        </w:rPr>
      </w:pPr>
    </w:p>
    <w:p w:rsidR="00B028B7" w:rsidRDefault="00B028B7" w:rsidP="00B028B7">
      <w:pPr>
        <w:pStyle w:val="BodyText"/>
        <w:spacing w:line="480" w:lineRule="auto"/>
        <w:ind w:firstLine="709"/>
        <w:rPr>
          <w:rFonts w:ascii="Times New Roman" w:hAnsi="Times New Roman"/>
          <w:color w:val="000000"/>
          <w:szCs w:val="24"/>
        </w:rPr>
      </w:pPr>
      <w:r>
        <w:rPr>
          <w:color w:val="000000"/>
        </w:rPr>
        <w:t>Pasal 27 Ayat (1) Undang-Undang Nomor 1 Tahun 2024 Tentang Perubahan Kedua Atas Undang-Undang Nomor 11 Tahun 2008 Tentang Informasi Dan Transaksi Elektronik, selanjutnya disebut UU ITE, menyebutkan bahwa “Setiap orang dengan segaja dan tanpa hak mendistribusikan dan/atau mentransmisikan dan/atau membuat, dapat diaksesnya informasi elektronik dan/atau dokumen elektronik yang memiliki muatan yang melanggar kesusilaan untuk diketahui umum”.</w:t>
      </w:r>
    </w:p>
    <w:p w:rsidR="00B028B7" w:rsidRDefault="00B028B7" w:rsidP="00B028B7">
      <w:pPr>
        <w:pStyle w:val="BodyTextIndent"/>
        <w:rPr>
          <w:rFonts w:ascii="Times New Roman" w:hAnsi="Times New Roman"/>
          <w:lang w:val="en-ID" w:eastAsia="en-ID"/>
        </w:rPr>
      </w:pPr>
      <w:r>
        <w:rPr>
          <w:rFonts w:ascii="Times New Roman" w:hAnsi="Times New Roman"/>
          <w:lang w:val="en-ID" w:eastAsia="en-ID"/>
        </w:rPr>
        <w:t xml:space="preserve">Sanksi pidana akan dikenakan bagi setiap orang yang melakukan perbuatan seperti dinyatakan dalam Pasal 27 ayat (1) UU ITE yakni pidana penjara paling lama 6 (enam) tahun/atau denda paling banyak Rp.1.000.000.000,00 (satu miliar rupiah). Dakwaan terhadap penyalahgunaan </w:t>
      </w:r>
      <w:r>
        <w:rPr>
          <w:rFonts w:ascii="Times New Roman" w:hAnsi="Times New Roman"/>
          <w:lang w:val="en-ID" w:eastAsia="en-ID"/>
        </w:rPr>
        <w:lastRenderedPageBreak/>
        <w:t xml:space="preserve">pasal tersebut dikenakan kepada pihak yang menyebarkan pertama kali (individu pertama) atau </w:t>
      </w:r>
      <w:r>
        <w:rPr>
          <w:rFonts w:ascii="Times New Roman" w:hAnsi="Times New Roman"/>
          <w:i/>
          <w:iCs/>
          <w:lang w:val="en-ID" w:eastAsia="en-ID"/>
        </w:rPr>
        <w:t xml:space="preserve">mengupload </w:t>
      </w:r>
      <w:r>
        <w:rPr>
          <w:rFonts w:ascii="Times New Roman" w:hAnsi="Times New Roman"/>
          <w:lang w:val="en-ID" w:eastAsia="en-ID"/>
        </w:rPr>
        <w:t>keranah publik melalui internet atau sosial media.</w:t>
      </w:r>
    </w:p>
    <w:p w:rsidR="00B028B7" w:rsidRDefault="00B028B7" w:rsidP="00B028B7">
      <w:pPr>
        <w:pStyle w:val="Default"/>
        <w:ind w:left="709" w:firstLine="11"/>
        <w:jc w:val="both"/>
        <w:rPr>
          <w:rFonts w:ascii="Times New Roman" w:hAnsi="Times New Roman"/>
          <w:lang w:val="en-GB" w:eastAsia="en-GB"/>
        </w:rPr>
      </w:pPr>
      <w:r>
        <w:t>Pasal 27 ayat (1)  UU ITE tersebut terdapat tiga unsur obyektif dalam pasal tersebut diantaranya perbuatan mendistribusikan dan/atau, mentransmisikan dan/atau membuat dapat diaksesnya dan/atau informasi elektronik dan/atau dokumen elektronik yang memiliki muatan melanggar kesusilaan. Unsur kedua yaitu secara melawan hukum atau dapat diartikan juga tanpa hak dan unsur ketiga adalah objeknya memiliki muatan yang melanggar kesusilaan.Unsur subyektif dari pasal tersebut adalah berupa kesalahan, yaitu yang dimaksud dengan ‘dengan sengaja’.</w:t>
      </w:r>
      <w:r>
        <w:rPr>
          <w:rStyle w:val="FootnoteReference"/>
        </w:rPr>
        <w:footnoteReference w:id="8"/>
      </w:r>
    </w:p>
    <w:p w:rsidR="00B028B7" w:rsidRDefault="00B028B7" w:rsidP="00B028B7">
      <w:pPr>
        <w:pStyle w:val="BodyText"/>
        <w:ind w:firstLine="709"/>
        <w:rPr>
          <w:color w:val="000000"/>
        </w:rPr>
      </w:pPr>
    </w:p>
    <w:p w:rsidR="00B028B7" w:rsidRDefault="00B028B7" w:rsidP="00B028B7">
      <w:pPr>
        <w:pStyle w:val="BodyText"/>
        <w:spacing w:line="480" w:lineRule="auto"/>
        <w:ind w:firstLine="709"/>
        <w:rPr>
          <w:color w:val="000000"/>
        </w:rPr>
      </w:pPr>
      <w:r>
        <w:rPr>
          <w:color w:val="000000"/>
        </w:rPr>
        <w:t xml:space="preserve">Selain berpotensi melanggar UU No. 44 Tahun 2008, konten asusila tersebut pada aplikasi </w:t>
      </w:r>
      <w:r>
        <w:rPr>
          <w:i/>
          <w:color w:val="000000"/>
        </w:rPr>
        <w:t xml:space="preserve">facebook </w:t>
      </w:r>
      <w:r>
        <w:rPr>
          <w:color w:val="000000"/>
        </w:rPr>
        <w:t xml:space="preserve">dan </w:t>
      </w:r>
      <w:r>
        <w:rPr>
          <w:i/>
          <w:color w:val="000000"/>
        </w:rPr>
        <w:t xml:space="preserve">twitter </w:t>
      </w:r>
      <w:r>
        <w:rPr>
          <w:color w:val="000000"/>
        </w:rPr>
        <w:t>juga melanggar UU ITE. Pada Pasal 45 UU ITE menyatakan bahwa:</w:t>
      </w:r>
    </w:p>
    <w:p w:rsidR="00B028B7" w:rsidRDefault="00B028B7" w:rsidP="00B028B7">
      <w:pPr>
        <w:pStyle w:val="Heading1"/>
        <w:tabs>
          <w:tab w:val="left" w:pos="426"/>
        </w:tabs>
        <w:spacing w:line="240" w:lineRule="auto"/>
        <w:ind w:left="709"/>
        <w:rPr>
          <w:rFonts w:ascii="Times New Roman" w:hAnsi="Times New Roman"/>
          <w:b w:val="0"/>
          <w:color w:val="000000"/>
          <w:szCs w:val="24"/>
        </w:rPr>
      </w:pPr>
      <w:r>
        <w:rPr>
          <w:rFonts w:ascii="Times New Roman" w:hAnsi="Times New Roman"/>
          <w:b w:val="0"/>
          <w:color w:val="000000"/>
          <w:szCs w:val="24"/>
        </w:rPr>
        <w:t>Setiap Orang yang dengan sengaja dan tanpa hak menyiarkan, mempertunjukkan, mendistribusikan, mentransmisikan, dan/atau membuat dapat diaksesnya Informasi Elektronik dan/ atau Dokumen Elektronik yang memiliki muatan yang melanggar kesusilaan untuk diketahui umum sebagaimana dimaksud dalam Pasal 27 Ayat (1) dipidana dengan pidana penjara paling lama 6 (enam) tahun dan/atau denda paling banyak Rpl.000.000.000,00 (satu miliar rupiah).</w:t>
      </w:r>
    </w:p>
    <w:p w:rsidR="00B028B7" w:rsidRDefault="00B028B7" w:rsidP="00B028B7">
      <w:pPr>
        <w:rPr>
          <w:color w:val="000000"/>
        </w:rPr>
      </w:pPr>
    </w:p>
    <w:p w:rsidR="00B028B7" w:rsidRDefault="00B028B7" w:rsidP="00B028B7">
      <w:pPr>
        <w:spacing w:line="480" w:lineRule="auto"/>
        <w:ind w:firstLine="709"/>
        <w:jc w:val="both"/>
        <w:rPr>
          <w:i/>
          <w:color w:val="000000"/>
        </w:rPr>
      </w:pPr>
      <w:r>
        <w:rPr>
          <w:color w:val="000000"/>
        </w:rPr>
        <w:t xml:space="preserve">Semakin berkembangnya sosial media yang dapat memudahkan komunikasi yang saat ini tentunya mengundang timbulnya berbagai macam modus operandi dalam terjadinya kejahatan tindak pidana, hal tersebut menjadi tindak pidana sisi gelap dari perkembangan teknologi berbagai kejahatan yang dilakukan seperti penyebaran konten pornografi di media sosial, menyebarluaskan video maupun foto, tanpa persetujuan korban. Modus operandi terhadap penyebarluasan konten pornografi di aplikasi </w:t>
      </w:r>
      <w:r>
        <w:rPr>
          <w:i/>
          <w:color w:val="000000"/>
        </w:rPr>
        <w:t xml:space="preserve">facebook, instagram </w:t>
      </w:r>
      <w:r>
        <w:rPr>
          <w:color w:val="000000"/>
        </w:rPr>
        <w:t xml:space="preserve">dan </w:t>
      </w:r>
      <w:r>
        <w:rPr>
          <w:i/>
          <w:color w:val="000000"/>
        </w:rPr>
        <w:t xml:space="preserve">twitter </w:t>
      </w:r>
      <w:r>
        <w:rPr>
          <w:color w:val="000000"/>
        </w:rPr>
        <w:t xml:space="preserve">tentunya pihak aparat penegak hukum berwenang untuk mewujudkan hukum yang </w:t>
      </w:r>
      <w:r>
        <w:rPr>
          <w:color w:val="000000"/>
        </w:rPr>
        <w:lastRenderedPageBreak/>
        <w:t>adil untuk mengetahui modus operandi dan hukuman untuk pelaku penyebarluas konten pornografi di media sosial</w:t>
      </w:r>
      <w:r>
        <w:rPr>
          <w:i/>
          <w:color w:val="000000"/>
        </w:rPr>
        <w:t>.</w:t>
      </w:r>
    </w:p>
    <w:p w:rsidR="00B028B7" w:rsidRDefault="00B028B7" w:rsidP="00B028B7">
      <w:pPr>
        <w:spacing w:line="480" w:lineRule="auto"/>
        <w:ind w:firstLine="709"/>
        <w:jc w:val="both"/>
        <w:rPr>
          <w:color w:val="000000"/>
        </w:rPr>
      </w:pPr>
      <w:r>
        <w:rPr>
          <w:color w:val="000000"/>
        </w:rPr>
        <w:t>Salah satu kasus yang juga menjadi studi kasus dalam penelitian penulis yakni Putusan Nomor 483/Pid.B/2019/PN Amb.Tindak Pidana Penyebaran Konten Pornografi oleh Pelaku yang merupakan pacar dari korban pada saat masih berkedudukan sebagai pasangan kekasih.Dimana dalam menjalin hubungan pacaran pelaku dan korban pernah melakukan hubungan intim, setelah melakukan hubungan intim Pelaku mengambil foto telanjang dari korban secara diam-diam.</w:t>
      </w:r>
    </w:p>
    <w:p w:rsidR="00B028B7" w:rsidRDefault="00B028B7" w:rsidP="00B028B7">
      <w:pPr>
        <w:spacing w:line="480" w:lineRule="auto"/>
        <w:ind w:firstLine="709"/>
        <w:jc w:val="both"/>
        <w:rPr>
          <w:color w:val="000000"/>
        </w:rPr>
      </w:pPr>
      <w:r>
        <w:rPr>
          <w:color w:val="000000"/>
        </w:rPr>
        <w:t>Pelaku dan Korban setiap bertengkar, maka pelaku selalu mengancam dan mengirimkan foto telanjang korban ke korban, tidak lama setelah itu Korban memutuskan hubungan pacaran dengan Pelaku.Akibat diputuskan hubungan pacaran, Pelaku merasa sakit hati dan memilih menuntuskan rasa sakit hatinya dengan menyebarkan foto telanjang dari korban melalui instagram dan facebook.</w:t>
      </w:r>
    </w:p>
    <w:p w:rsidR="00B028B7" w:rsidRDefault="00B028B7" w:rsidP="00B028B7">
      <w:pPr>
        <w:spacing w:line="480" w:lineRule="auto"/>
        <w:ind w:firstLine="709"/>
        <w:jc w:val="both"/>
        <w:rPr>
          <w:color w:val="000000"/>
        </w:rPr>
      </w:pPr>
      <w:r>
        <w:rPr>
          <w:color w:val="000000"/>
        </w:rPr>
        <w:t>Tujuan pelaku menyebarkan foto telanjang korban ialah agar foto tersebut dapat dilihat oleh teman-teman korban dan korban menjadi malu.Oleh karena perbuatan tersebut dinilai telah merugikan Korban, maka dari itu Korban melaporkan perbuatan Pelaku kepada pihak kepolisian, dan akhirnya bergulir ke Pengadilan Negeri Ambon.</w:t>
      </w:r>
    </w:p>
    <w:p w:rsidR="00B028B7" w:rsidRDefault="00B028B7" w:rsidP="00B028B7">
      <w:pPr>
        <w:spacing w:line="480" w:lineRule="auto"/>
        <w:ind w:firstLine="709"/>
        <w:jc w:val="both"/>
        <w:rPr>
          <w:color w:val="000000"/>
        </w:rPr>
      </w:pPr>
      <w:r>
        <w:rPr>
          <w:color w:val="000000"/>
        </w:rPr>
        <w:t xml:space="preserve">Jaksa penuntut umum menjerat Pelaku dengan ketentuan Pasal 27 Ayat (1) </w:t>
      </w:r>
      <w:r>
        <w:rPr>
          <w:color w:val="000000"/>
          <w:spacing w:val="-3"/>
        </w:rPr>
        <w:t xml:space="preserve">jo </w:t>
      </w:r>
      <w:r>
        <w:rPr>
          <w:color w:val="000000"/>
        </w:rPr>
        <w:t>Pasal 45 Ayat (1) UU No. 11 Tahun 2008 tentang Informasi dan Transaksi Elektronik. Dengan hukuman pidana penjara selama 3 (tiga) tahun dan denda sejumlah Rp. 1.000.000.000,- (satu milyar rupiah) dengan ketentuan apabila denda tersebut tidak dibayar diganti dengan pidana kurungan selama 2 (dua)bulan.</w:t>
      </w:r>
    </w:p>
    <w:p w:rsidR="00B028B7" w:rsidRDefault="00B028B7" w:rsidP="00B028B7">
      <w:pPr>
        <w:spacing w:line="480" w:lineRule="auto"/>
        <w:ind w:firstLine="709"/>
        <w:jc w:val="both"/>
        <w:rPr>
          <w:b/>
          <w:color w:val="000000"/>
        </w:rPr>
      </w:pPr>
      <w:r>
        <w:rPr>
          <w:color w:val="000000"/>
        </w:rPr>
        <w:lastRenderedPageBreak/>
        <w:t xml:space="preserve">Berdasarkan uraian diatas, Penulis menjadi tertarik untuk mengkaji lebih dalam permasalahan tersebut melalui suatu bentuk karya ilmiah berupa skripsi dengan judul </w:t>
      </w:r>
      <w:r>
        <w:rPr>
          <w:b/>
          <w:color w:val="000000"/>
        </w:rPr>
        <w:t>“</w:t>
      </w:r>
      <w:r>
        <w:rPr>
          <w:b/>
        </w:rPr>
        <w:t>Analisis Yuridis Tindak Pidana Penyebaran Konten Asusila Berdasarkan Undang-Undang No. 19 Tahun 2016 Tentang Informasi dan Transaksi Elektronik</w:t>
      </w:r>
      <w:r>
        <w:rPr>
          <w:b/>
          <w:color w:val="000000"/>
        </w:rPr>
        <w:t>”.</w:t>
      </w:r>
    </w:p>
    <w:p w:rsidR="00B028B7" w:rsidRDefault="00B028B7" w:rsidP="00B028B7">
      <w:pPr>
        <w:rPr>
          <w:color w:val="000000"/>
        </w:rPr>
      </w:pPr>
    </w:p>
    <w:p w:rsidR="00B028B7" w:rsidRDefault="00B028B7" w:rsidP="003E1914">
      <w:pPr>
        <w:pStyle w:val="Heading1"/>
        <w:numPr>
          <w:ilvl w:val="0"/>
          <w:numId w:val="1"/>
        </w:numPr>
        <w:tabs>
          <w:tab w:val="left" w:pos="426"/>
        </w:tabs>
        <w:ind w:left="360"/>
        <w:rPr>
          <w:rFonts w:ascii="Times New Roman" w:hAnsi="Times New Roman"/>
          <w:color w:val="000000"/>
          <w:szCs w:val="24"/>
        </w:rPr>
      </w:pPr>
      <w:r>
        <w:rPr>
          <w:rFonts w:ascii="Times New Roman" w:hAnsi="Times New Roman"/>
          <w:color w:val="000000"/>
          <w:szCs w:val="24"/>
        </w:rPr>
        <w:t>R</w:t>
      </w:r>
      <w:r>
        <w:rPr>
          <w:rFonts w:ascii="Times New Roman" w:hAnsi="Times New Roman"/>
          <w:color w:val="000000"/>
          <w:szCs w:val="24"/>
          <w:lang w:val="id-ID"/>
        </w:rPr>
        <w:t>u</w:t>
      </w:r>
      <w:r>
        <w:rPr>
          <w:rFonts w:ascii="Times New Roman" w:hAnsi="Times New Roman"/>
          <w:color w:val="000000"/>
          <w:szCs w:val="24"/>
        </w:rPr>
        <w:t>musan Masalah</w:t>
      </w:r>
    </w:p>
    <w:p w:rsidR="00B028B7" w:rsidRDefault="00B028B7" w:rsidP="00B028B7">
      <w:pPr>
        <w:spacing w:line="480" w:lineRule="auto"/>
        <w:ind w:firstLine="709"/>
        <w:jc w:val="both"/>
        <w:rPr>
          <w:color w:val="000000"/>
        </w:rPr>
      </w:pPr>
      <w:r>
        <w:rPr>
          <w:color w:val="000000"/>
        </w:rPr>
        <w:t>Permasalahan dalam penelitian ini adalah sebagai berikut :</w:t>
      </w:r>
    </w:p>
    <w:p w:rsidR="00B028B7" w:rsidRDefault="00B028B7" w:rsidP="003E1914">
      <w:pPr>
        <w:numPr>
          <w:ilvl w:val="1"/>
          <w:numId w:val="3"/>
        </w:numPr>
        <w:tabs>
          <w:tab w:val="num" w:pos="360"/>
        </w:tabs>
        <w:spacing w:line="480" w:lineRule="auto"/>
        <w:ind w:left="360"/>
        <w:jc w:val="both"/>
        <w:rPr>
          <w:color w:val="000000"/>
        </w:rPr>
      </w:pPr>
      <w:r>
        <w:rPr>
          <w:color w:val="000000"/>
        </w:rPr>
        <w:t xml:space="preserve">Bagaimana pengaturan hukum  tindak pidana kesusilaan dengan cara menyebarkan foto asusila melalui akun media sosial ? </w:t>
      </w:r>
    </w:p>
    <w:p w:rsidR="00B028B7" w:rsidRDefault="00B028B7" w:rsidP="003E1914">
      <w:pPr>
        <w:numPr>
          <w:ilvl w:val="1"/>
          <w:numId w:val="3"/>
        </w:numPr>
        <w:tabs>
          <w:tab w:val="num" w:pos="360"/>
        </w:tabs>
        <w:spacing w:line="480" w:lineRule="auto"/>
        <w:ind w:left="360"/>
        <w:jc w:val="both"/>
        <w:rPr>
          <w:color w:val="000000"/>
        </w:rPr>
      </w:pPr>
      <w:r>
        <w:rPr>
          <w:color w:val="000000"/>
        </w:rPr>
        <w:t>Bagaimana pertanggungjawaban terhadap pelaku tindak pidana kesusilaan dengan cara menyebarkan foto asusila melalui akun media sosial ?</w:t>
      </w:r>
    </w:p>
    <w:p w:rsidR="00B028B7" w:rsidRDefault="00B028B7" w:rsidP="003E1914">
      <w:pPr>
        <w:numPr>
          <w:ilvl w:val="1"/>
          <w:numId w:val="3"/>
        </w:numPr>
        <w:tabs>
          <w:tab w:val="num" w:pos="360"/>
        </w:tabs>
        <w:spacing w:line="480" w:lineRule="auto"/>
        <w:ind w:left="360"/>
        <w:jc w:val="both"/>
        <w:rPr>
          <w:color w:val="000000"/>
        </w:rPr>
      </w:pPr>
      <w:r>
        <w:rPr>
          <w:color w:val="000000"/>
        </w:rPr>
        <w:t>Bagaimana pertimbangan hukum hakim dalam menjatuhkan sanksi  pidana terhadap pelaku tindak pidana kesusilaan menyebarkan foto asusila melalui media sosial dalam Putusan Nomor 483/Pid.B/ 2019/PN.Amb?</w:t>
      </w:r>
    </w:p>
    <w:p w:rsidR="00B028B7" w:rsidRDefault="00B028B7" w:rsidP="00B028B7">
      <w:pPr>
        <w:ind w:left="360"/>
        <w:jc w:val="both"/>
        <w:rPr>
          <w:color w:val="000000"/>
        </w:rPr>
      </w:pPr>
    </w:p>
    <w:p w:rsidR="00B028B7" w:rsidRDefault="00B028B7" w:rsidP="003E1914">
      <w:pPr>
        <w:pStyle w:val="Title"/>
        <w:numPr>
          <w:ilvl w:val="0"/>
          <w:numId w:val="3"/>
        </w:numPr>
        <w:tabs>
          <w:tab w:val="num" w:pos="360"/>
          <w:tab w:val="left" w:pos="567"/>
        </w:tabs>
        <w:spacing w:line="528" w:lineRule="auto"/>
        <w:ind w:left="360"/>
        <w:jc w:val="both"/>
        <w:rPr>
          <w:rFonts w:ascii="Times New Roman" w:hAnsi="Times New Roman"/>
          <w:color w:val="000000"/>
          <w:szCs w:val="24"/>
        </w:rPr>
      </w:pPr>
      <w:r>
        <w:rPr>
          <w:rFonts w:ascii="Times New Roman" w:hAnsi="Times New Roman"/>
          <w:color w:val="000000"/>
          <w:szCs w:val="24"/>
        </w:rPr>
        <w:t>Tujuan Penelitian</w:t>
      </w:r>
      <w:r>
        <w:rPr>
          <w:rFonts w:ascii="Times New Roman" w:hAnsi="Times New Roman"/>
          <w:color w:val="000000"/>
          <w:szCs w:val="24"/>
          <w:lang w:val="id-ID"/>
        </w:rPr>
        <w:t>.</w:t>
      </w:r>
    </w:p>
    <w:p w:rsidR="00B028B7" w:rsidRDefault="00B028B7" w:rsidP="00B028B7">
      <w:pPr>
        <w:pStyle w:val="Title"/>
        <w:ind w:firstLine="720"/>
        <w:jc w:val="both"/>
        <w:rPr>
          <w:rFonts w:ascii="Times New Roman" w:hAnsi="Times New Roman"/>
          <w:color w:val="000000"/>
          <w:szCs w:val="24"/>
        </w:rPr>
      </w:pPr>
      <w:r>
        <w:rPr>
          <w:rFonts w:ascii="Times New Roman" w:hAnsi="Times New Roman"/>
          <w:b/>
          <w:color w:val="000000"/>
          <w:szCs w:val="24"/>
        </w:rPr>
        <w:t>Adapun yang menjadi tujuan penelitian dalam penulisan skripsi ini adalah:</w:t>
      </w:r>
    </w:p>
    <w:p w:rsidR="00B028B7" w:rsidRDefault="00B028B7" w:rsidP="003E1914">
      <w:pPr>
        <w:numPr>
          <w:ilvl w:val="0"/>
          <w:numId w:val="4"/>
        </w:numPr>
        <w:tabs>
          <w:tab w:val="num" w:pos="-117"/>
        </w:tabs>
        <w:spacing w:line="480" w:lineRule="auto"/>
        <w:ind w:left="374" w:hanging="374"/>
        <w:jc w:val="both"/>
        <w:rPr>
          <w:color w:val="000000"/>
        </w:rPr>
      </w:pPr>
      <w:r>
        <w:rPr>
          <w:color w:val="000000"/>
        </w:rPr>
        <w:t>Untuk mengetahui pengaturan hukum  tindak pidana kesusilaan dengan cara menyebarkan foto asusila melalui akun media sosial</w:t>
      </w:r>
      <w:r>
        <w:rPr>
          <w:color w:val="000000"/>
          <w:lang w:val="id-ID"/>
        </w:rPr>
        <w:t>.</w:t>
      </w:r>
    </w:p>
    <w:p w:rsidR="00B028B7" w:rsidRDefault="00B028B7" w:rsidP="003E1914">
      <w:pPr>
        <w:numPr>
          <w:ilvl w:val="0"/>
          <w:numId w:val="4"/>
        </w:numPr>
        <w:tabs>
          <w:tab w:val="num" w:pos="-117"/>
        </w:tabs>
        <w:spacing w:line="480" w:lineRule="auto"/>
        <w:ind w:left="374" w:hanging="374"/>
        <w:jc w:val="both"/>
        <w:rPr>
          <w:color w:val="000000"/>
        </w:rPr>
      </w:pPr>
      <w:r>
        <w:rPr>
          <w:color w:val="000000"/>
        </w:rPr>
        <w:t>Untuk mengetahui pertanggungjawaban terhadap pelaku tindak pidana kesusilaan dengan cara menyebarkan foto asusila melalui akun media sosial</w:t>
      </w:r>
      <w:r>
        <w:rPr>
          <w:color w:val="000000"/>
          <w:lang w:val="id-ID"/>
        </w:rPr>
        <w:t>.</w:t>
      </w:r>
    </w:p>
    <w:p w:rsidR="00B028B7" w:rsidRDefault="00B028B7" w:rsidP="003E1914">
      <w:pPr>
        <w:numPr>
          <w:ilvl w:val="0"/>
          <w:numId w:val="4"/>
        </w:numPr>
        <w:tabs>
          <w:tab w:val="num" w:pos="-117"/>
        </w:tabs>
        <w:spacing w:line="480" w:lineRule="auto"/>
        <w:ind w:left="374" w:hanging="374"/>
        <w:jc w:val="both"/>
        <w:rPr>
          <w:color w:val="000000"/>
        </w:rPr>
      </w:pPr>
      <w:r>
        <w:rPr>
          <w:color w:val="000000"/>
        </w:rPr>
        <w:lastRenderedPageBreak/>
        <w:t>Untuk mengetahui pertimbangan hukum hakim dalam menjatuhkan sanksi  pidana terhadap pelaku tindak pidana kesusilaan menyebarkan foto asusila melalui media sosial dalam Putusan Nomor 483/Pid.B/ 2019/PN.Amb.</w:t>
      </w:r>
    </w:p>
    <w:p w:rsidR="00B028B7" w:rsidRDefault="00B028B7" w:rsidP="00B028B7">
      <w:pPr>
        <w:ind w:left="374"/>
        <w:jc w:val="both"/>
        <w:rPr>
          <w:color w:val="000000"/>
        </w:rPr>
      </w:pPr>
    </w:p>
    <w:p w:rsidR="00B028B7" w:rsidRDefault="00B028B7" w:rsidP="003E1914">
      <w:pPr>
        <w:pStyle w:val="Heading1"/>
        <w:numPr>
          <w:ilvl w:val="0"/>
          <w:numId w:val="3"/>
        </w:numPr>
        <w:tabs>
          <w:tab w:val="num" w:pos="360"/>
          <w:tab w:val="left" w:pos="426"/>
        </w:tabs>
        <w:ind w:left="360"/>
        <w:rPr>
          <w:rFonts w:ascii="Times New Roman" w:hAnsi="Times New Roman"/>
          <w:color w:val="000000"/>
          <w:szCs w:val="24"/>
          <w:lang w:val="id-ID"/>
        </w:rPr>
      </w:pPr>
      <w:r>
        <w:rPr>
          <w:rFonts w:ascii="Times New Roman" w:hAnsi="Times New Roman"/>
          <w:color w:val="000000"/>
          <w:szCs w:val="24"/>
        </w:rPr>
        <w:t>Manfaat</w:t>
      </w:r>
      <w:r>
        <w:rPr>
          <w:rFonts w:ascii="Times New Roman" w:hAnsi="Times New Roman"/>
          <w:color w:val="000000"/>
          <w:szCs w:val="24"/>
          <w:lang w:val="id-ID"/>
        </w:rPr>
        <w:t xml:space="preserve"> Penelitian</w:t>
      </w:r>
    </w:p>
    <w:p w:rsidR="00B028B7" w:rsidRDefault="00B028B7" w:rsidP="00B028B7">
      <w:pPr>
        <w:spacing w:line="480" w:lineRule="auto"/>
        <w:ind w:firstLine="709"/>
        <w:jc w:val="both"/>
        <w:rPr>
          <w:color w:val="000000"/>
        </w:rPr>
      </w:pPr>
      <w:r>
        <w:rPr>
          <w:color w:val="000000"/>
        </w:rPr>
        <w:t>Manfaatpenelitian dalam penulisan skripsi ini yaitu sebagai berikut:</w:t>
      </w:r>
    </w:p>
    <w:p w:rsidR="00B028B7" w:rsidRDefault="00B028B7" w:rsidP="003E1914">
      <w:pPr>
        <w:numPr>
          <w:ilvl w:val="0"/>
          <w:numId w:val="5"/>
        </w:numPr>
        <w:tabs>
          <w:tab w:val="num" w:pos="-131"/>
        </w:tabs>
        <w:spacing w:line="480" w:lineRule="auto"/>
        <w:jc w:val="both"/>
        <w:rPr>
          <w:color w:val="000000"/>
        </w:rPr>
      </w:pPr>
      <w:r>
        <w:rPr>
          <w:color w:val="000000"/>
        </w:rPr>
        <w:t xml:space="preserve">Kegunaan teoritis adalah </w:t>
      </w:r>
    </w:p>
    <w:p w:rsidR="00B028B7" w:rsidRDefault="00B028B7" w:rsidP="00B028B7">
      <w:pPr>
        <w:spacing w:line="480" w:lineRule="auto"/>
        <w:ind w:left="340"/>
        <w:jc w:val="both"/>
        <w:rPr>
          <w:color w:val="000000"/>
        </w:rPr>
      </w:pPr>
      <w:r>
        <w:rPr>
          <w:color w:val="000000"/>
        </w:rPr>
        <w:t>Penelitian ini bermanfaat untuk dijadikan referensi bagi peneliti, akademis dan aparat penegak hukum tentang tindak pidana penyebaran konten asusila melalui akun media sosial</w:t>
      </w:r>
    </w:p>
    <w:p w:rsidR="00B028B7" w:rsidRDefault="00B028B7" w:rsidP="003E1914">
      <w:pPr>
        <w:numPr>
          <w:ilvl w:val="0"/>
          <w:numId w:val="5"/>
        </w:numPr>
        <w:tabs>
          <w:tab w:val="num" w:pos="-131"/>
        </w:tabs>
        <w:spacing w:line="444" w:lineRule="auto"/>
        <w:jc w:val="both"/>
        <w:rPr>
          <w:color w:val="000000"/>
        </w:rPr>
      </w:pPr>
      <w:r>
        <w:rPr>
          <w:color w:val="000000"/>
        </w:rPr>
        <w:t>Kegunaan praktis :</w:t>
      </w:r>
    </w:p>
    <w:p w:rsidR="00B028B7" w:rsidRDefault="00B028B7" w:rsidP="003E1914">
      <w:pPr>
        <w:numPr>
          <w:ilvl w:val="1"/>
          <w:numId w:val="5"/>
        </w:numPr>
        <w:tabs>
          <w:tab w:val="num" w:pos="745"/>
        </w:tabs>
        <w:spacing w:line="444" w:lineRule="auto"/>
        <w:ind w:left="745"/>
        <w:jc w:val="both"/>
        <w:rPr>
          <w:color w:val="000000"/>
        </w:rPr>
      </w:pPr>
      <w:r>
        <w:rPr>
          <w:color w:val="000000"/>
        </w:rPr>
        <w:t>Penelitian ini diharapkan untuk dapat menjadi sumber informasi bagi para penegak hukum dalam memahami tindak pidana penyebaran konten asusila melalui akun mediasosial.</w:t>
      </w:r>
    </w:p>
    <w:p w:rsidR="00B028B7" w:rsidRDefault="00B028B7" w:rsidP="003E1914">
      <w:pPr>
        <w:numPr>
          <w:ilvl w:val="1"/>
          <w:numId w:val="5"/>
        </w:numPr>
        <w:tabs>
          <w:tab w:val="num" w:pos="745"/>
        </w:tabs>
        <w:spacing w:line="444" w:lineRule="auto"/>
        <w:ind w:left="745"/>
        <w:jc w:val="both"/>
        <w:rPr>
          <w:color w:val="000000"/>
        </w:rPr>
      </w:pPr>
      <w:r>
        <w:rPr>
          <w:color w:val="000000"/>
        </w:rPr>
        <w:t>Penelitian ini diharapkan dapat memberi manfaat kepada para aparat penegak hukum, khususnya pengacara dan masyarakat untuk mengetahui tindak pidana penyebaran konten asusila melalui akun mediasosial.</w:t>
      </w:r>
    </w:p>
    <w:p w:rsidR="00B028B7" w:rsidRDefault="00B028B7" w:rsidP="00B028B7">
      <w:pPr>
        <w:tabs>
          <w:tab w:val="left" w:pos="426"/>
        </w:tabs>
        <w:autoSpaceDE w:val="0"/>
        <w:autoSpaceDN w:val="0"/>
        <w:adjustRightInd w:val="0"/>
        <w:spacing w:line="480" w:lineRule="auto"/>
        <w:ind w:left="425"/>
        <w:jc w:val="both"/>
        <w:rPr>
          <w:bCs/>
          <w:color w:val="000000"/>
        </w:rPr>
      </w:pPr>
    </w:p>
    <w:p w:rsidR="00CE7FEB" w:rsidRPr="00B028B7" w:rsidRDefault="00CE7FEB" w:rsidP="00B028B7">
      <w:bookmarkStart w:id="4" w:name="_GoBack"/>
      <w:bookmarkEnd w:id="4"/>
    </w:p>
    <w:sectPr w:rsidR="00CE7FEB" w:rsidRPr="00B028B7"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54C" w:rsidRDefault="0063554C" w:rsidP="002D79FF">
      <w:r>
        <w:separator/>
      </w:r>
    </w:p>
  </w:endnote>
  <w:endnote w:type="continuationSeparator" w:id="1">
    <w:p w:rsidR="0063554C" w:rsidRDefault="0063554C"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63554C">
    <w:pPr>
      <w:pStyle w:val="Footer"/>
      <w:jc w:val="center"/>
    </w:pPr>
  </w:p>
  <w:p w:rsidR="00630637" w:rsidRDefault="006355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54C" w:rsidRDefault="0063554C" w:rsidP="002D79FF">
      <w:r>
        <w:separator/>
      </w:r>
    </w:p>
  </w:footnote>
  <w:footnote w:type="continuationSeparator" w:id="1">
    <w:p w:rsidR="0063554C" w:rsidRDefault="0063554C" w:rsidP="002D79FF">
      <w:r>
        <w:continuationSeparator/>
      </w:r>
    </w:p>
  </w:footnote>
  <w:footnote w:id="2">
    <w:p w:rsidR="00B028B7" w:rsidRDefault="00B028B7" w:rsidP="00B028B7">
      <w:pPr>
        <w:pStyle w:val="FootnoteText"/>
        <w:jc w:val="both"/>
        <w:rPr>
          <w:color w:val="000000"/>
        </w:rPr>
      </w:pPr>
      <w:r>
        <w:rPr>
          <w:color w:val="000000"/>
        </w:rPr>
        <w:tab/>
      </w:r>
      <w:r>
        <w:rPr>
          <w:rStyle w:val="FootnoteReference"/>
          <w:color w:val="000000"/>
        </w:rPr>
        <w:footnoteRef/>
      </w:r>
      <w:r>
        <w:rPr>
          <w:color w:val="000000"/>
        </w:rPr>
        <w:t xml:space="preserve"> Soerjono Soekanto, </w:t>
      </w:r>
      <w:r>
        <w:rPr>
          <w:i/>
          <w:color w:val="000000"/>
        </w:rPr>
        <w:t xml:space="preserve">Sosiologi Suatu Pengantar, </w:t>
      </w:r>
      <w:r>
        <w:rPr>
          <w:color w:val="000000"/>
        </w:rPr>
        <w:t>RajaGrafindo Persada, Jakarta, 2017, h.273</w:t>
      </w:r>
    </w:p>
  </w:footnote>
  <w:footnote w:id="3">
    <w:p w:rsidR="00B028B7" w:rsidRDefault="00B028B7" w:rsidP="00B028B7">
      <w:pPr>
        <w:pStyle w:val="FootnoteText"/>
        <w:jc w:val="both"/>
        <w:rPr>
          <w:color w:val="000000"/>
        </w:rPr>
      </w:pPr>
      <w:r>
        <w:rPr>
          <w:color w:val="000000"/>
        </w:rPr>
        <w:tab/>
      </w:r>
      <w:r>
        <w:rPr>
          <w:rStyle w:val="FootnoteReference"/>
          <w:color w:val="000000"/>
        </w:rPr>
        <w:footnoteRef/>
      </w:r>
      <w:r>
        <w:rPr>
          <w:color w:val="000000"/>
        </w:rPr>
        <w:t xml:space="preserve"> Soerjono Soekanto, </w:t>
      </w:r>
      <w:r>
        <w:rPr>
          <w:i/>
          <w:color w:val="000000"/>
        </w:rPr>
        <w:t xml:space="preserve">Pokok-Pokok Sosiologi Hukum, </w:t>
      </w:r>
      <w:r>
        <w:rPr>
          <w:color w:val="000000"/>
        </w:rPr>
        <w:t>Rajawali Pers, Jakarta, 2014, h. 8</w:t>
      </w:r>
    </w:p>
  </w:footnote>
  <w:footnote w:id="4">
    <w:p w:rsidR="00B028B7" w:rsidRDefault="00B028B7" w:rsidP="00B028B7">
      <w:pPr>
        <w:pStyle w:val="FootnoteText"/>
        <w:jc w:val="both"/>
        <w:rPr>
          <w:color w:val="000000"/>
        </w:rPr>
      </w:pPr>
      <w:r>
        <w:rPr>
          <w:color w:val="000000"/>
        </w:rPr>
        <w:tab/>
      </w:r>
      <w:r>
        <w:rPr>
          <w:rStyle w:val="FootnoteReference"/>
          <w:color w:val="000000"/>
        </w:rPr>
        <w:footnoteRef/>
      </w:r>
      <w:r>
        <w:rPr>
          <w:color w:val="000000"/>
        </w:rPr>
        <w:t xml:space="preserve"> Endah Triastuti, </w:t>
      </w:r>
      <w:r>
        <w:rPr>
          <w:i/>
          <w:color w:val="000000"/>
        </w:rPr>
        <w:t>Kajian Dampak Penggunaan Media Sosial Bagi Anak Dan Remaja</w:t>
      </w:r>
      <w:r>
        <w:rPr>
          <w:color w:val="000000"/>
        </w:rPr>
        <w:t>, Puskakom, Jakarta, 2017, h. 70</w:t>
      </w:r>
    </w:p>
  </w:footnote>
  <w:footnote w:id="5">
    <w:p w:rsidR="00B028B7" w:rsidRDefault="00B028B7" w:rsidP="00B028B7">
      <w:pPr>
        <w:pStyle w:val="FootnoteText"/>
        <w:jc w:val="both"/>
        <w:rPr>
          <w:color w:val="000000"/>
        </w:rPr>
      </w:pPr>
      <w:r>
        <w:rPr>
          <w:color w:val="000000"/>
        </w:rPr>
        <w:tab/>
      </w:r>
      <w:r>
        <w:rPr>
          <w:rStyle w:val="FootnoteReference"/>
          <w:color w:val="000000"/>
        </w:rPr>
        <w:footnoteRef/>
      </w:r>
      <w:bookmarkStart w:id="0" w:name="_Hlk162028172"/>
      <w:r>
        <w:rPr>
          <w:color w:val="000000"/>
        </w:rPr>
        <w:t xml:space="preserve">Isnaini Enik, “Penanggulangan Tindak Pidana Pornografi Dalam Media Sosial”, </w:t>
      </w:r>
      <w:r>
        <w:rPr>
          <w:i/>
          <w:color w:val="000000"/>
        </w:rPr>
        <w:t>Jurnal Independent</w:t>
      </w:r>
      <w:r>
        <w:rPr>
          <w:color w:val="000000"/>
        </w:rPr>
        <w:t>, Vol, 2, No 2, 2021</w:t>
      </w:r>
      <w:bookmarkEnd w:id="0"/>
      <w:r>
        <w:rPr>
          <w:color w:val="000000"/>
        </w:rPr>
        <w:t>, h. 25</w:t>
      </w:r>
    </w:p>
  </w:footnote>
  <w:footnote w:id="6">
    <w:p w:rsidR="00B028B7" w:rsidRDefault="00B028B7" w:rsidP="00B028B7">
      <w:pPr>
        <w:ind w:firstLine="720"/>
        <w:jc w:val="both"/>
        <w:rPr>
          <w:color w:val="000000"/>
          <w:sz w:val="20"/>
          <w:szCs w:val="20"/>
        </w:rPr>
      </w:pPr>
      <w:r>
        <w:rPr>
          <w:rStyle w:val="FootnoteReference"/>
          <w:color w:val="000000"/>
          <w:sz w:val="20"/>
          <w:szCs w:val="20"/>
        </w:rPr>
        <w:footnoteRef/>
      </w:r>
      <w:bookmarkStart w:id="1" w:name="_Hlk162028194"/>
      <w:r>
        <w:rPr>
          <w:color w:val="000000"/>
          <w:sz w:val="20"/>
          <w:szCs w:val="20"/>
        </w:rPr>
        <w:t xml:space="preserve">Budi Raharjo, </w:t>
      </w:r>
      <w:hyperlink r:id="rId1" w:history="1">
        <w:r>
          <w:rPr>
            <w:rStyle w:val="Hyperlink"/>
            <w:color w:val="000000"/>
            <w:sz w:val="20"/>
            <w:szCs w:val="20"/>
          </w:rPr>
          <w:t>Kominfo Putus Akses 19</w:t>
        </w:r>
      </w:hyperlink>
      <w:hyperlink r:id="rId2" w:history="1">
        <w:r>
          <w:rPr>
            <w:rStyle w:val="Hyperlink"/>
            <w:color w:val="000000"/>
            <w:sz w:val="20"/>
            <w:szCs w:val="20"/>
          </w:rPr>
          <w:t>Juta Onten Pornografi</w:t>
        </w:r>
      </w:hyperlink>
      <w:r>
        <w:rPr>
          <w:color w:val="000000"/>
          <w:sz w:val="20"/>
          <w:szCs w:val="20"/>
        </w:rPr>
        <w:t xml:space="preserve">, diunduh melalui </w:t>
      </w:r>
      <w:hyperlink r:id="rId3" w:history="1">
        <w:r>
          <w:rPr>
            <w:rStyle w:val="Hyperlink"/>
            <w:color w:val="000000"/>
            <w:sz w:val="20"/>
            <w:szCs w:val="20"/>
          </w:rPr>
          <w:t>ht</w:t>
        </w:r>
        <w:r>
          <w:rPr>
            <w:rStyle w:val="Hyperlink"/>
            <w:i/>
            <w:color w:val="000000"/>
            <w:sz w:val="20"/>
            <w:szCs w:val="20"/>
          </w:rPr>
          <w:t>tps://aptika.kominfo.go.id</w:t>
        </w:r>
        <w:r>
          <w:rPr>
            <w:rStyle w:val="Hyperlink"/>
            <w:color w:val="000000"/>
            <w:sz w:val="20"/>
            <w:szCs w:val="20"/>
          </w:rPr>
          <w:t xml:space="preserve">, </w:t>
        </w:r>
      </w:hyperlink>
      <w:r>
        <w:rPr>
          <w:color w:val="000000"/>
          <w:sz w:val="20"/>
          <w:szCs w:val="20"/>
        </w:rPr>
        <w:t>diakses Selasa, 4 Maret 2025 Pukul 17.25 wib</w:t>
      </w:r>
      <w:bookmarkEnd w:id="1"/>
    </w:p>
  </w:footnote>
  <w:footnote w:id="7">
    <w:p w:rsidR="00B028B7" w:rsidRDefault="00B028B7" w:rsidP="00B028B7">
      <w:pPr>
        <w:pStyle w:val="FootnoteText"/>
        <w:jc w:val="both"/>
        <w:rPr>
          <w:color w:val="000000"/>
        </w:rPr>
      </w:pPr>
      <w:r>
        <w:rPr>
          <w:color w:val="000000"/>
        </w:rPr>
        <w:tab/>
      </w:r>
      <w:r>
        <w:rPr>
          <w:rStyle w:val="FootnoteReference"/>
          <w:color w:val="000000"/>
        </w:rPr>
        <w:footnoteRef/>
      </w:r>
      <w:bookmarkStart w:id="2" w:name="_Hlk162028249"/>
      <w:r>
        <w:rPr>
          <w:color w:val="000000"/>
        </w:rPr>
        <w:t xml:space="preserve">R. Syailendra Moody, “Perlindungan Data Pribadi Terhadap Tindakan Penyebaran Sex Tape Menurut HukumPositif Di Indonesia”, </w:t>
      </w:r>
      <w:r>
        <w:rPr>
          <w:i/>
          <w:color w:val="000000"/>
        </w:rPr>
        <w:t>Jurnal Muara Ilmu Sosial, Humaniora, dan Seni,</w:t>
      </w:r>
      <w:r>
        <w:rPr>
          <w:color w:val="000000"/>
        </w:rPr>
        <w:t xml:space="preserve"> Vol. 5, No. 2, 2021</w:t>
      </w:r>
      <w:bookmarkEnd w:id="2"/>
      <w:r>
        <w:rPr>
          <w:color w:val="000000"/>
        </w:rPr>
        <w:t>, h. 441</w:t>
      </w:r>
    </w:p>
  </w:footnote>
  <w:footnote w:id="8">
    <w:p w:rsidR="00B028B7" w:rsidRDefault="00B028B7" w:rsidP="00B028B7">
      <w:pPr>
        <w:ind w:firstLine="709"/>
        <w:jc w:val="both"/>
        <w:rPr>
          <w:color w:val="000000"/>
          <w:sz w:val="20"/>
          <w:szCs w:val="20"/>
        </w:rPr>
      </w:pPr>
      <w:r>
        <w:rPr>
          <w:rStyle w:val="FootnoteReference"/>
          <w:color w:val="000000"/>
          <w:sz w:val="20"/>
          <w:szCs w:val="20"/>
        </w:rPr>
        <w:footnoteRef/>
      </w:r>
      <w:bookmarkStart w:id="3" w:name="_Hlk116814746"/>
      <w:r>
        <w:rPr>
          <w:color w:val="000000"/>
          <w:sz w:val="20"/>
          <w:szCs w:val="20"/>
          <w:lang w:val="en-ID" w:eastAsia="en-ID"/>
        </w:rPr>
        <w:t xml:space="preserve">Triwanto. "Sebuah Ujian Penegakan Hukum Kejahatan Kesusilaan (Kasus Video Mesum)." </w:t>
      </w:r>
      <w:r>
        <w:rPr>
          <w:i/>
          <w:iCs/>
          <w:color w:val="000000"/>
          <w:sz w:val="20"/>
          <w:szCs w:val="20"/>
          <w:lang w:val="en-ID" w:eastAsia="en-ID"/>
        </w:rPr>
        <w:t xml:space="preserve">Jurnal Wacana Hukum, </w:t>
      </w:r>
      <w:r>
        <w:rPr>
          <w:color w:val="000000"/>
          <w:sz w:val="20"/>
          <w:szCs w:val="20"/>
          <w:lang w:val="en-ID" w:eastAsia="en-ID"/>
        </w:rPr>
        <w:t>Vol. 9, No. 2 Thn 2021</w:t>
      </w:r>
      <w:bookmarkEnd w:id="3"/>
      <w:r>
        <w:rPr>
          <w:color w:val="000000"/>
          <w:sz w:val="20"/>
          <w:szCs w:val="20"/>
          <w:lang w:val="en-ID" w:eastAsia="en-ID"/>
        </w:rPr>
        <w:t>, h.77.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63554C">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6355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F333F"/>
    <w:multiLevelType w:val="hybridMultilevel"/>
    <w:tmpl w:val="A1BC546A"/>
    <w:lvl w:ilvl="0" w:tplc="E6BEB8CE">
      <w:start w:val="1"/>
      <w:numFmt w:val="decimal"/>
      <w:lvlText w:val="(%1)"/>
      <w:lvlJc w:val="left"/>
      <w:pPr>
        <w:ind w:left="1133" w:hanging="428"/>
      </w:pPr>
      <w:rPr>
        <w:rFonts w:ascii="Times New Roman" w:eastAsia="Calibri" w:hAnsi="Times New Roman" w:cs="Times New Roman" w:hint="default"/>
        <w:w w:val="100"/>
        <w:sz w:val="24"/>
        <w:szCs w:val="24"/>
        <w:lang w:eastAsia="en-US" w:bidi="ar-SA"/>
      </w:rPr>
    </w:lvl>
    <w:lvl w:ilvl="1" w:tplc="5B4AAD0E">
      <w:numFmt w:val="bullet"/>
      <w:lvlText w:val="•"/>
      <w:lvlJc w:val="left"/>
      <w:pPr>
        <w:ind w:left="1904" w:hanging="428"/>
      </w:pPr>
      <w:rPr>
        <w:lang w:eastAsia="en-US" w:bidi="ar-SA"/>
      </w:rPr>
    </w:lvl>
    <w:lvl w:ilvl="2" w:tplc="8D08EA2E">
      <w:numFmt w:val="bullet"/>
      <w:lvlText w:val="•"/>
      <w:lvlJc w:val="left"/>
      <w:pPr>
        <w:ind w:left="2669" w:hanging="428"/>
      </w:pPr>
      <w:rPr>
        <w:lang w:eastAsia="en-US" w:bidi="ar-SA"/>
      </w:rPr>
    </w:lvl>
    <w:lvl w:ilvl="3" w:tplc="A08216CC">
      <w:numFmt w:val="bullet"/>
      <w:lvlText w:val="•"/>
      <w:lvlJc w:val="left"/>
      <w:pPr>
        <w:ind w:left="3434" w:hanging="428"/>
      </w:pPr>
      <w:rPr>
        <w:lang w:eastAsia="en-US" w:bidi="ar-SA"/>
      </w:rPr>
    </w:lvl>
    <w:lvl w:ilvl="4" w:tplc="F216F820">
      <w:numFmt w:val="bullet"/>
      <w:lvlText w:val="•"/>
      <w:lvlJc w:val="left"/>
      <w:pPr>
        <w:ind w:left="4199" w:hanging="428"/>
      </w:pPr>
      <w:rPr>
        <w:lang w:eastAsia="en-US" w:bidi="ar-SA"/>
      </w:rPr>
    </w:lvl>
    <w:lvl w:ilvl="5" w:tplc="98269536">
      <w:numFmt w:val="bullet"/>
      <w:lvlText w:val="•"/>
      <w:lvlJc w:val="left"/>
      <w:pPr>
        <w:ind w:left="4964" w:hanging="428"/>
      </w:pPr>
      <w:rPr>
        <w:lang w:eastAsia="en-US" w:bidi="ar-SA"/>
      </w:rPr>
    </w:lvl>
    <w:lvl w:ilvl="6" w:tplc="B526DF46">
      <w:numFmt w:val="bullet"/>
      <w:lvlText w:val="•"/>
      <w:lvlJc w:val="left"/>
      <w:pPr>
        <w:ind w:left="5729" w:hanging="428"/>
      </w:pPr>
      <w:rPr>
        <w:lang w:eastAsia="en-US" w:bidi="ar-SA"/>
      </w:rPr>
    </w:lvl>
    <w:lvl w:ilvl="7" w:tplc="366AF2CC">
      <w:numFmt w:val="bullet"/>
      <w:lvlText w:val="•"/>
      <w:lvlJc w:val="left"/>
      <w:pPr>
        <w:ind w:left="6494" w:hanging="428"/>
      </w:pPr>
      <w:rPr>
        <w:lang w:eastAsia="en-US" w:bidi="ar-SA"/>
      </w:rPr>
    </w:lvl>
    <w:lvl w:ilvl="8" w:tplc="1736BDA6">
      <w:numFmt w:val="bullet"/>
      <w:lvlText w:val="•"/>
      <w:lvlJc w:val="left"/>
      <w:pPr>
        <w:ind w:left="7259" w:hanging="428"/>
      </w:pPr>
      <w:rPr>
        <w:lang w:eastAsia="en-US" w:bidi="ar-SA"/>
      </w:rPr>
    </w:lvl>
  </w:abstractNum>
  <w:abstractNum w:abstractNumId="1">
    <w:nsid w:val="69DD1C83"/>
    <w:multiLevelType w:val="hybridMultilevel"/>
    <w:tmpl w:val="4D1E0E7C"/>
    <w:lvl w:ilvl="0" w:tplc="977AB760">
      <w:start w:val="1"/>
      <w:numFmt w:val="upp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
    <w:nsid w:val="72766AFF"/>
    <w:multiLevelType w:val="hybridMultilevel"/>
    <w:tmpl w:val="B8EA7AA4"/>
    <w:lvl w:ilvl="0" w:tplc="E710CD24">
      <w:start w:val="2"/>
      <w:numFmt w:val="upperLetter"/>
      <w:lvlText w:val="%1."/>
      <w:lvlJc w:val="left"/>
      <w:pPr>
        <w:tabs>
          <w:tab w:val="num" w:pos="720"/>
        </w:tabs>
        <w:ind w:left="720" w:hanging="360"/>
      </w:pPr>
    </w:lvl>
    <w:lvl w:ilvl="1" w:tplc="538C8F30">
      <w:start w:val="1"/>
      <w:numFmt w:val="decimal"/>
      <w:lvlText w:val="%2."/>
      <w:lvlJc w:val="left"/>
      <w:pPr>
        <w:tabs>
          <w:tab w:val="num" w:pos="1440"/>
        </w:tabs>
        <w:ind w:left="1440" w:hanging="360"/>
      </w:pPr>
      <w:rPr>
        <w:rFonts w:ascii="Times New Roman" w:eastAsia="Times New Roman" w:hAnsi="Times New Roman" w:cs="Times New Roman" w:hint="default"/>
      </w:rPr>
    </w:lvl>
    <w:lvl w:ilvl="2" w:tplc="91FE4572">
      <w:start w:val="4"/>
      <w:numFmt w:val="upperLetter"/>
      <w:lvlText w:val="%3&gt;"/>
      <w:lvlJc w:val="left"/>
      <w:pPr>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797F5CD2"/>
    <w:multiLevelType w:val="multilevel"/>
    <w:tmpl w:val="0044AA40"/>
    <w:lvl w:ilvl="0">
      <w:start w:val="1"/>
      <w:numFmt w:val="decimal"/>
      <w:lvlText w:val="%1."/>
      <w:lvlJc w:val="left"/>
      <w:pPr>
        <w:tabs>
          <w:tab w:val="num" w:pos="840"/>
        </w:tabs>
        <w:ind w:left="840" w:hanging="4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F163B78"/>
    <w:multiLevelType w:val="multilevel"/>
    <w:tmpl w:val="BAF6ED46"/>
    <w:lvl w:ilvl="0">
      <w:start w:val="1"/>
      <w:numFmt w:val="decimal"/>
      <w:lvlText w:val="%1."/>
      <w:lvlJc w:val="left"/>
      <w:pPr>
        <w:tabs>
          <w:tab w:val="num" w:pos="360"/>
        </w:tabs>
        <w:ind w:left="340" w:hanging="340"/>
      </w:pPr>
      <w:rPr>
        <w:rFonts w:ascii="Times New Roman" w:eastAsia="Times New Roman" w:hAnsi="Times New Roman" w:cs="Times New Roman" w:hint="default"/>
      </w:rPr>
    </w:lvl>
    <w:lvl w:ilvl="1">
      <w:start w:val="1"/>
      <w:numFmt w:val="lowerLetter"/>
      <w:lvlText w:val="%2."/>
      <w:lvlJc w:val="left"/>
      <w:pPr>
        <w:tabs>
          <w:tab w:val="num" w:pos="1485"/>
        </w:tabs>
        <w:ind w:left="1485" w:hanging="405"/>
      </w:p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decimal"/>
      <w:lvlText w:val="%4."/>
      <w:lvlJc w:val="left"/>
      <w:pPr>
        <w:tabs>
          <w:tab w:val="num" w:pos="2880"/>
        </w:tabs>
        <w:ind w:left="2880" w:hanging="360"/>
      </w:pPr>
      <w:rPr>
        <w:b/>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W+xVW9k6/uqgr08gunHDmEcYHdI=" w:salt="58KSnQjNbwI1SCMqAB/FOA=="/>
  <w:defaultTabStop w:val="720"/>
  <w:characterSpacingControl w:val="doNotCompress"/>
  <w:footnotePr>
    <w:footnote w:id="0"/>
    <w:footnote w:id="1"/>
  </w:footnotePr>
  <w:endnotePr>
    <w:endnote w:id="0"/>
    <w:endnote w:id="1"/>
  </w:endnotePr>
  <w:compat/>
  <w:rsids>
    <w:rsidRoot w:val="00CE7FEB"/>
    <w:rsid w:val="00004A2D"/>
    <w:rsid w:val="000348BB"/>
    <w:rsid w:val="000405A6"/>
    <w:rsid w:val="00050032"/>
    <w:rsid w:val="00073236"/>
    <w:rsid w:val="00095435"/>
    <w:rsid w:val="000D08BE"/>
    <w:rsid w:val="00107D6A"/>
    <w:rsid w:val="00113D85"/>
    <w:rsid w:val="0017339B"/>
    <w:rsid w:val="00180E9E"/>
    <w:rsid w:val="00194A3D"/>
    <w:rsid w:val="001967B6"/>
    <w:rsid w:val="001D4F26"/>
    <w:rsid w:val="001E106C"/>
    <w:rsid w:val="001F66B0"/>
    <w:rsid w:val="00236950"/>
    <w:rsid w:val="00245A5A"/>
    <w:rsid w:val="00295F16"/>
    <w:rsid w:val="002A3EEB"/>
    <w:rsid w:val="002A653A"/>
    <w:rsid w:val="002B61E2"/>
    <w:rsid w:val="002B7959"/>
    <w:rsid w:val="002D263C"/>
    <w:rsid w:val="002D79FF"/>
    <w:rsid w:val="003728BA"/>
    <w:rsid w:val="00375B3C"/>
    <w:rsid w:val="00390270"/>
    <w:rsid w:val="003A4CAE"/>
    <w:rsid w:val="003A7275"/>
    <w:rsid w:val="003B7404"/>
    <w:rsid w:val="003E1914"/>
    <w:rsid w:val="004406F7"/>
    <w:rsid w:val="004772E1"/>
    <w:rsid w:val="00490063"/>
    <w:rsid w:val="00497A5F"/>
    <w:rsid w:val="0054651A"/>
    <w:rsid w:val="00567E71"/>
    <w:rsid w:val="00574EE8"/>
    <w:rsid w:val="00581765"/>
    <w:rsid w:val="005916F3"/>
    <w:rsid w:val="006068DC"/>
    <w:rsid w:val="0063554C"/>
    <w:rsid w:val="00640166"/>
    <w:rsid w:val="0066422A"/>
    <w:rsid w:val="00676048"/>
    <w:rsid w:val="006C4D00"/>
    <w:rsid w:val="006E12B6"/>
    <w:rsid w:val="00714D7E"/>
    <w:rsid w:val="00727917"/>
    <w:rsid w:val="0073726A"/>
    <w:rsid w:val="00774478"/>
    <w:rsid w:val="00787789"/>
    <w:rsid w:val="007929DB"/>
    <w:rsid w:val="0079485D"/>
    <w:rsid w:val="007A3857"/>
    <w:rsid w:val="007E55E9"/>
    <w:rsid w:val="007F0744"/>
    <w:rsid w:val="007F2160"/>
    <w:rsid w:val="0081780F"/>
    <w:rsid w:val="00821922"/>
    <w:rsid w:val="008374CB"/>
    <w:rsid w:val="008538D8"/>
    <w:rsid w:val="00856B55"/>
    <w:rsid w:val="00875E9E"/>
    <w:rsid w:val="0088334A"/>
    <w:rsid w:val="008D1B4C"/>
    <w:rsid w:val="008D31E6"/>
    <w:rsid w:val="00915C63"/>
    <w:rsid w:val="00932E1A"/>
    <w:rsid w:val="00956C4D"/>
    <w:rsid w:val="009725A3"/>
    <w:rsid w:val="00983722"/>
    <w:rsid w:val="009B5D05"/>
    <w:rsid w:val="009D5F3B"/>
    <w:rsid w:val="00A735E6"/>
    <w:rsid w:val="00A92261"/>
    <w:rsid w:val="00AA3A59"/>
    <w:rsid w:val="00AD02E7"/>
    <w:rsid w:val="00AE04B0"/>
    <w:rsid w:val="00AF2729"/>
    <w:rsid w:val="00B028B7"/>
    <w:rsid w:val="00B45FD9"/>
    <w:rsid w:val="00C05B00"/>
    <w:rsid w:val="00C52FF9"/>
    <w:rsid w:val="00C72C38"/>
    <w:rsid w:val="00C81419"/>
    <w:rsid w:val="00C949F5"/>
    <w:rsid w:val="00CB0398"/>
    <w:rsid w:val="00CB2603"/>
    <w:rsid w:val="00CC1948"/>
    <w:rsid w:val="00CE7FEB"/>
    <w:rsid w:val="00D175B9"/>
    <w:rsid w:val="00D21FA9"/>
    <w:rsid w:val="00D23502"/>
    <w:rsid w:val="00D43E1D"/>
    <w:rsid w:val="00D4629F"/>
    <w:rsid w:val="00D63374"/>
    <w:rsid w:val="00D92019"/>
    <w:rsid w:val="00DE6EEB"/>
    <w:rsid w:val="00DE770F"/>
    <w:rsid w:val="00E21DEE"/>
    <w:rsid w:val="00E33D2C"/>
    <w:rsid w:val="00EC1645"/>
    <w:rsid w:val="00ED61AC"/>
    <w:rsid w:val="00EF487D"/>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ptika.kominfo.go.id/2023/09/menteri-budi-arie-kominfo-putus-akses-19-juta-konten-pornografi/" TargetMode="External"/><Relationship Id="rId2" Type="http://schemas.openxmlformats.org/officeDocument/2006/relationships/hyperlink" Target="https://aptika.kominfo.go.id/2023/09/menteri-budi-arie-kominfo-putus-akses-19-juta-konten-pornografi/" TargetMode="External"/><Relationship Id="rId1" Type="http://schemas.openxmlformats.org/officeDocument/2006/relationships/hyperlink" Target="https://aptika.kominfo.go.id/2023/09/menteri-budi-arie-kominfo-putus-akses-19-juta-konten-pornogra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2026-04-09T02:01:00Z</dcterms:created>
  <dcterms:modified xsi:type="dcterms:W3CDTF">2026-04-09T02:01:00Z</dcterms:modified>
</cp:coreProperties>
</file>