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FA" w:rsidRDefault="00B301FA" w:rsidP="00B301FA">
      <w:pPr>
        <w:pStyle w:val="ListParagraph"/>
        <w:ind w:left="0"/>
        <w:jc w:val="center"/>
        <w:rPr>
          <w:rFonts w:ascii="Times New Roman" w:hAnsi="Times New Roman"/>
          <w:b/>
          <w:sz w:val="24"/>
          <w:szCs w:val="24"/>
          <w:lang w:val="en-US"/>
        </w:rPr>
      </w:pPr>
      <w:r>
        <w:rPr>
          <w:rFonts w:ascii="Times New Roman" w:hAnsi="Times New Roman"/>
          <w:b/>
          <w:sz w:val="24"/>
          <w:szCs w:val="24"/>
          <w:lang w:val="en-US"/>
        </w:rPr>
        <w:t>BAB III</w:t>
      </w:r>
    </w:p>
    <w:p w:rsidR="00B301FA" w:rsidRDefault="00B301FA" w:rsidP="00B301FA">
      <w:pPr>
        <w:pStyle w:val="ListParagraph"/>
        <w:ind w:left="0"/>
        <w:jc w:val="center"/>
        <w:rPr>
          <w:rFonts w:ascii="Times New Roman" w:hAnsi="Times New Roman"/>
          <w:b/>
          <w:sz w:val="24"/>
          <w:szCs w:val="24"/>
          <w:lang w:val="en-US"/>
        </w:rPr>
      </w:pPr>
      <w:r>
        <w:rPr>
          <w:rFonts w:ascii="Times New Roman" w:hAnsi="Times New Roman"/>
          <w:b/>
          <w:sz w:val="24"/>
          <w:szCs w:val="24"/>
        </w:rPr>
        <w:t>METODE PENELITIAN</w:t>
      </w:r>
    </w:p>
    <w:p w:rsidR="00B301FA" w:rsidRDefault="00B301FA" w:rsidP="00263A2D">
      <w:pPr>
        <w:numPr>
          <w:ilvl w:val="0"/>
          <w:numId w:val="4"/>
        </w:numPr>
        <w:spacing w:line="480" w:lineRule="auto"/>
        <w:ind w:left="360"/>
        <w:jc w:val="both"/>
        <w:rPr>
          <w:b/>
          <w:lang w:val="id-ID"/>
        </w:rPr>
      </w:pPr>
      <w:r>
        <w:rPr>
          <w:b/>
        </w:rPr>
        <w:t>Sifat Penelitian.</w:t>
      </w:r>
    </w:p>
    <w:p w:rsidR="00B301FA" w:rsidRDefault="00B301FA" w:rsidP="00B301FA">
      <w:pPr>
        <w:autoSpaceDE w:val="0"/>
        <w:autoSpaceDN w:val="0"/>
        <w:adjustRightInd w:val="0"/>
        <w:spacing w:line="480" w:lineRule="auto"/>
        <w:ind w:firstLine="709"/>
        <w:jc w:val="both"/>
      </w:pPr>
      <w:r>
        <w:t>Penelitian ini bersifat deskriptif analisis yaitu penelitian yang menggambarkan, menelaah, menjelaskan serta menganalisa peraturan perundang-undangan yang berkaitan pada tujuan penelitian ini. Tujuan dalam penelitian deskriptif adalah untuk menggambarkan secara tepat sifat-sifat individu, keadaan, gejala atau kelompok tertentu, atau untuk menentukan frekuensi atau penyebaran suatu gejala atau frekuensi adanya hubungan tertentu antara gejala dan gejala lain dalam masyarakat.</w:t>
      </w:r>
      <w:r>
        <w:rPr>
          <w:rStyle w:val="FootnoteReference"/>
        </w:rPr>
        <w:footnoteReference w:id="2"/>
      </w:r>
      <w:r>
        <w:t>Maksud utama analisis terhadap bahan hukum adalah mengetahui makna yang dikandung oleh istilah-istilah yang digunakan dalam aturan undang-undang secara konsepsional, sekaligus mengetahui penerapannya dalam praktik.</w:t>
      </w:r>
      <w:r>
        <w:rPr>
          <w:rStyle w:val="FootnoteReference"/>
        </w:rPr>
        <w:footnoteReference w:id="3"/>
      </w:r>
    </w:p>
    <w:p w:rsidR="00B301FA" w:rsidRDefault="00B301FA" w:rsidP="00263A2D">
      <w:pPr>
        <w:numPr>
          <w:ilvl w:val="0"/>
          <w:numId w:val="4"/>
        </w:numPr>
        <w:autoSpaceDE w:val="0"/>
        <w:autoSpaceDN w:val="0"/>
        <w:adjustRightInd w:val="0"/>
        <w:spacing w:line="480" w:lineRule="auto"/>
        <w:ind w:left="360"/>
        <w:jc w:val="both"/>
        <w:rPr>
          <w:b/>
        </w:rPr>
      </w:pPr>
      <w:r>
        <w:rPr>
          <w:b/>
        </w:rPr>
        <w:t>Jenis Penelitian</w:t>
      </w:r>
    </w:p>
    <w:p w:rsidR="00B301FA" w:rsidRDefault="00B301FA" w:rsidP="00B301FA">
      <w:pPr>
        <w:autoSpaceDE w:val="0"/>
        <w:autoSpaceDN w:val="0"/>
        <w:adjustRightInd w:val="0"/>
        <w:spacing w:line="480" w:lineRule="auto"/>
        <w:ind w:firstLine="709"/>
        <w:jc w:val="both"/>
        <w:rPr>
          <w:rFonts w:eastAsia="TimesNewRoman"/>
          <w:lang w:val="id-ID"/>
        </w:rPr>
      </w:pPr>
      <w:r>
        <w:t>Jenis penelitian hukum yang digunakan adalah yuridis normatif  dan</w:t>
      </w:r>
      <w:r>
        <w:rPr>
          <w:rFonts w:eastAsia="TimesNewRoman"/>
        </w:rPr>
        <w:t xml:space="preserve">penelitian hukum empiris. </w:t>
      </w:r>
      <w:r>
        <w:t>Penelitian yuridis normatif adalah suatu penelitian yang menempatkan norma sebagai obyek penelitian, baik norma hukum dalam peraturan perundang-undangan, norma hukum yang bersumber dari suatu undang-undang</w:t>
      </w:r>
      <w:r>
        <w:rPr>
          <w:rStyle w:val="FootnoteReference"/>
        </w:rPr>
        <w:footnoteReference w:id="4"/>
      </w:r>
      <w:r>
        <w:t xml:space="preserve">. </w:t>
      </w:r>
      <w:r>
        <w:rPr>
          <w:rFonts w:eastAsia="TimesNewRoman"/>
        </w:rPr>
        <w:t xml:space="preserve">Disebut juga penelitian hukum doktrinal yaitu penelitian hukum yang menggunakan data sekunder.Penelitian hukum normatif dikenal sebagai penelitian </w:t>
      </w:r>
      <w:r>
        <w:rPr>
          <w:rFonts w:eastAsia="TimesNewRoman"/>
        </w:rPr>
        <w:lastRenderedPageBreak/>
        <w:t>hukum yang bersifat kualitatif.Penelitian hukum empiris adalah penelitian hukum yang menggunakan sumber data primer.</w:t>
      </w:r>
      <w:r>
        <w:rPr>
          <w:rStyle w:val="FootnoteReference"/>
          <w:rFonts w:eastAsia="TimesNewRoman"/>
        </w:rPr>
        <w:footnoteReference w:id="5"/>
      </w:r>
    </w:p>
    <w:p w:rsidR="00B301FA" w:rsidRDefault="00B301FA" w:rsidP="00B301FA">
      <w:pPr>
        <w:pStyle w:val="BodyTextIndent"/>
        <w:spacing w:line="456" w:lineRule="auto"/>
        <w:ind w:firstLine="720"/>
        <w:rPr>
          <w:szCs w:val="24"/>
        </w:rPr>
      </w:pPr>
      <w:r>
        <w:rPr>
          <w:b/>
          <w:bCs/>
          <w:szCs w:val="24"/>
        </w:rPr>
        <w:t xml:space="preserve">Pendekatan yang dipakai dalam penelitian ini adalah pendekatan peraturan Perundang-undangan </w:t>
      </w:r>
      <w:r>
        <w:rPr>
          <w:b/>
          <w:bCs/>
          <w:i/>
          <w:szCs w:val="24"/>
        </w:rPr>
        <w:t>(statute approach)</w:t>
      </w:r>
      <w:r>
        <w:rPr>
          <w:rStyle w:val="FootnoteReference"/>
          <w:b/>
          <w:bCs/>
          <w:color w:val="000000"/>
          <w:szCs w:val="24"/>
        </w:rPr>
        <w:footnoteReference w:id="6"/>
      </w:r>
      <w:r>
        <w:rPr>
          <w:b/>
          <w:bCs/>
          <w:szCs w:val="24"/>
        </w:rPr>
        <w:t xml:space="preserve"> dan pendekatan kasus </w:t>
      </w:r>
      <w:r>
        <w:rPr>
          <w:b/>
          <w:bCs/>
          <w:i/>
          <w:szCs w:val="24"/>
        </w:rPr>
        <w:t>(case approach)</w:t>
      </w:r>
      <w:r>
        <w:rPr>
          <w:b/>
          <w:bCs/>
          <w:szCs w:val="24"/>
        </w:rPr>
        <w:t xml:space="preserve"> dalam melakukan analisa terhadap kasus </w:t>
      </w:r>
      <w:r>
        <w:rPr>
          <w:b/>
          <w:bCs/>
          <w:i/>
          <w:szCs w:val="24"/>
        </w:rPr>
        <w:t>(case study)</w:t>
      </w:r>
      <w:r>
        <w:rPr>
          <w:b/>
          <w:bCs/>
          <w:szCs w:val="24"/>
        </w:rPr>
        <w:t xml:space="preserve"> pada Pengadilan. Pendekatan Kasus </w:t>
      </w:r>
      <w:r>
        <w:rPr>
          <w:b/>
          <w:bCs/>
          <w:i/>
          <w:szCs w:val="24"/>
        </w:rPr>
        <w:t>(case approach)</w:t>
      </w:r>
      <w:r>
        <w:rPr>
          <w:b/>
          <w:bCs/>
          <w:szCs w:val="24"/>
        </w:rPr>
        <w:t xml:space="preserve"> dilakukan dengan cara melakukan telaah terhadap kasus-kasus yang berkaitan dengan isu hukum yang dihadapi yang telah menjadi putusan pengadilan yang berkuatan hukum tetap.</w:t>
      </w:r>
    </w:p>
    <w:p w:rsidR="00B301FA" w:rsidRDefault="00B301FA" w:rsidP="00B301FA">
      <w:pPr>
        <w:pStyle w:val="BodyTextIndent"/>
        <w:rPr>
          <w:b/>
          <w:bCs/>
          <w:szCs w:val="24"/>
        </w:rPr>
      </w:pPr>
    </w:p>
    <w:p w:rsidR="00B301FA" w:rsidRDefault="00B301FA" w:rsidP="00263A2D">
      <w:pPr>
        <w:numPr>
          <w:ilvl w:val="0"/>
          <w:numId w:val="4"/>
        </w:numPr>
        <w:autoSpaceDE w:val="0"/>
        <w:autoSpaceDN w:val="0"/>
        <w:adjustRightInd w:val="0"/>
        <w:spacing w:line="480" w:lineRule="auto"/>
        <w:ind w:left="360"/>
        <w:jc w:val="both"/>
        <w:rPr>
          <w:b/>
        </w:rPr>
      </w:pPr>
      <w:r>
        <w:rPr>
          <w:b/>
        </w:rPr>
        <w:t>Sumber Data</w:t>
      </w:r>
    </w:p>
    <w:p w:rsidR="00B301FA" w:rsidRDefault="00B301FA" w:rsidP="00B301FA">
      <w:pPr>
        <w:autoSpaceDE w:val="0"/>
        <w:autoSpaceDN w:val="0"/>
        <w:adjustRightInd w:val="0"/>
        <w:spacing w:line="480" w:lineRule="auto"/>
        <w:ind w:firstLine="720"/>
        <w:jc w:val="both"/>
        <w:rPr>
          <w:lang w:val="id-ID"/>
        </w:rPr>
      </w:pPr>
      <w:r>
        <w:t>Penelitian ini menggunakan bahan yang diperoleh dari hasil penelitian kepustakaan.Dari penelitian kepustakaan dikumpulkan data sekunder yang meliputi bahan hukum primer, bahan hukum sekunder dan bahan hukum tertier.</w:t>
      </w:r>
      <w:r>
        <w:rPr>
          <w:rStyle w:val="FootnoteReference"/>
        </w:rPr>
        <w:footnoteReference w:id="7"/>
      </w:r>
      <w:r>
        <w:t>Penelitian normatif, data yang diperlukan adalah data sekunder.Data sekunder tersebut mempunyai ruang lingkup yang sangat luas, sehingga meliputi surat-surat pribadi, buku-buku harian, sampai pada dokumen-dokumen resmi yang dikeluarkan oleh pemerintah.</w:t>
      </w:r>
      <w:r>
        <w:rPr>
          <w:rStyle w:val="FootnoteReference"/>
        </w:rPr>
        <w:footnoteReference w:id="8"/>
      </w:r>
    </w:p>
    <w:p w:rsidR="00B301FA" w:rsidRDefault="00B301FA" w:rsidP="00B301FA">
      <w:pPr>
        <w:autoSpaceDE w:val="0"/>
        <w:autoSpaceDN w:val="0"/>
        <w:adjustRightInd w:val="0"/>
        <w:spacing w:line="480" w:lineRule="auto"/>
        <w:ind w:firstLine="720"/>
        <w:jc w:val="both"/>
      </w:pPr>
      <w:r>
        <w:t>Data sekunder dibidang hukum dipandang dari sudut kekuatan mengikatnya dapat dibedakan menjadi:</w:t>
      </w:r>
    </w:p>
    <w:p w:rsidR="00B301FA" w:rsidRDefault="00B301FA" w:rsidP="00263A2D">
      <w:pPr>
        <w:numPr>
          <w:ilvl w:val="0"/>
          <w:numId w:val="5"/>
        </w:numPr>
        <w:autoSpaceDE w:val="0"/>
        <w:autoSpaceDN w:val="0"/>
        <w:adjustRightInd w:val="0"/>
        <w:spacing w:line="480" w:lineRule="auto"/>
        <w:ind w:left="360"/>
        <w:jc w:val="both"/>
      </w:pPr>
      <w:r>
        <w:lastRenderedPageBreak/>
        <w:t>Bahan Hukum Primer. Bahan hukum primer terdiri dari asas dan kaidah hukum. Perwujudan asas dan kaidah hukum ini berupa :</w:t>
      </w:r>
    </w:p>
    <w:p w:rsidR="00B301FA" w:rsidRDefault="00B301FA" w:rsidP="00263A2D">
      <w:pPr>
        <w:numPr>
          <w:ilvl w:val="0"/>
          <w:numId w:val="6"/>
        </w:numPr>
        <w:autoSpaceDE w:val="0"/>
        <w:autoSpaceDN w:val="0"/>
        <w:adjustRightInd w:val="0"/>
        <w:spacing w:line="480" w:lineRule="auto"/>
        <w:jc w:val="both"/>
      </w:pPr>
      <w:r>
        <w:rPr>
          <w:bCs/>
        </w:rPr>
        <w:t>UUD 1945 Hasil Amandemen dan ProsesAmandemen UUD 1945 secara lengkap.</w:t>
      </w:r>
    </w:p>
    <w:p w:rsidR="00B301FA" w:rsidRDefault="00B301FA" w:rsidP="00263A2D">
      <w:pPr>
        <w:numPr>
          <w:ilvl w:val="0"/>
          <w:numId w:val="6"/>
        </w:numPr>
        <w:autoSpaceDE w:val="0"/>
        <w:autoSpaceDN w:val="0"/>
        <w:adjustRightInd w:val="0"/>
        <w:spacing w:line="480" w:lineRule="auto"/>
        <w:jc w:val="both"/>
      </w:pPr>
      <w:r>
        <w:rPr>
          <w:color w:val="000000"/>
        </w:rPr>
        <w:t>Kitab Undang-Undang Hukum Pidana.</w:t>
      </w:r>
    </w:p>
    <w:p w:rsidR="00B301FA" w:rsidRDefault="00B301FA" w:rsidP="00263A2D">
      <w:pPr>
        <w:numPr>
          <w:ilvl w:val="0"/>
          <w:numId w:val="6"/>
        </w:numPr>
        <w:autoSpaceDE w:val="0"/>
        <w:autoSpaceDN w:val="0"/>
        <w:adjustRightInd w:val="0"/>
        <w:spacing w:line="480" w:lineRule="auto"/>
        <w:jc w:val="both"/>
      </w:pPr>
      <w:r>
        <w:rPr>
          <w:color w:val="000000"/>
        </w:rPr>
        <w:t xml:space="preserve">Undang-Undang Nomor 2 Tahun 2002 </w:t>
      </w:r>
      <w:r>
        <w:t>Tentang Kepolisian Negara Republik Indonesia</w:t>
      </w:r>
      <w:r>
        <w:rPr>
          <w:color w:val="000000"/>
        </w:rPr>
        <w:t>.</w:t>
      </w:r>
    </w:p>
    <w:p w:rsidR="00B301FA" w:rsidRDefault="00B301FA" w:rsidP="00263A2D">
      <w:pPr>
        <w:numPr>
          <w:ilvl w:val="0"/>
          <w:numId w:val="6"/>
        </w:numPr>
        <w:autoSpaceDE w:val="0"/>
        <w:autoSpaceDN w:val="0"/>
        <w:adjustRightInd w:val="0"/>
        <w:spacing w:line="480" w:lineRule="auto"/>
        <w:jc w:val="both"/>
      </w:pPr>
      <w:r>
        <w:t xml:space="preserve">Undang-Undang Nomor 35 Tahun 2009 Tentang Narkotika </w:t>
      </w:r>
    </w:p>
    <w:p w:rsidR="00B301FA" w:rsidRDefault="00B301FA" w:rsidP="00263A2D">
      <w:pPr>
        <w:numPr>
          <w:ilvl w:val="0"/>
          <w:numId w:val="6"/>
        </w:numPr>
        <w:autoSpaceDE w:val="0"/>
        <w:autoSpaceDN w:val="0"/>
        <w:adjustRightInd w:val="0"/>
        <w:spacing w:line="480" w:lineRule="auto"/>
        <w:jc w:val="both"/>
      </w:pPr>
      <w:r>
        <w:rPr>
          <w:color w:val="000000"/>
          <w:lang w:eastAsia="id-ID"/>
        </w:rPr>
        <w:t>Undang-Undang Nomor 5 Tahun 1997 tentang Psikotropika</w:t>
      </w:r>
    </w:p>
    <w:p w:rsidR="00B301FA" w:rsidRDefault="00B301FA" w:rsidP="00263A2D">
      <w:pPr>
        <w:numPr>
          <w:ilvl w:val="0"/>
          <w:numId w:val="5"/>
        </w:numPr>
        <w:autoSpaceDE w:val="0"/>
        <w:autoSpaceDN w:val="0"/>
        <w:adjustRightInd w:val="0"/>
        <w:spacing w:line="480" w:lineRule="auto"/>
        <w:ind w:left="360"/>
        <w:jc w:val="both"/>
      </w:pPr>
      <w:r>
        <w:t>Bahan Hukum Sekunder terdiri atas buku-buku hukum (</w:t>
      </w:r>
      <w:r>
        <w:rPr>
          <w:i/>
          <w:iCs/>
        </w:rPr>
        <w:t>text book</w:t>
      </w:r>
      <w:r>
        <w:t>), jurnal-jurnal hukum, karya tulis hukum atau pandangan ahli hukum yang termuat dalam media masa, kamus dan ensiklopedia hukum, internet dengan menyebut nama situsnya. Di dalam penelitian ini, buku-buku hukum yang dipergunakan diantaranya buku tentang anak.</w:t>
      </w:r>
    </w:p>
    <w:p w:rsidR="00B301FA" w:rsidRDefault="00B301FA" w:rsidP="00263A2D">
      <w:pPr>
        <w:numPr>
          <w:ilvl w:val="0"/>
          <w:numId w:val="5"/>
        </w:numPr>
        <w:autoSpaceDE w:val="0"/>
        <w:autoSpaceDN w:val="0"/>
        <w:adjustRightInd w:val="0"/>
        <w:spacing w:line="480" w:lineRule="auto"/>
        <w:ind w:left="360"/>
        <w:jc w:val="both"/>
      </w:pPr>
      <w:r>
        <w:t>Bahan hukum tertier yaitu bahan yang member petunjuk dan penjelasan terhadap bahan hukum primer dan bahan hukum sekunder seperti kamus umum, kamus hukum, ensiklopedia dan lain sebagainya.</w:t>
      </w:r>
      <w:r>
        <w:rPr>
          <w:rStyle w:val="FootnoteReference"/>
        </w:rPr>
        <w:footnoteReference w:id="9"/>
      </w:r>
    </w:p>
    <w:p w:rsidR="00B301FA" w:rsidRDefault="00B301FA" w:rsidP="00263A2D">
      <w:pPr>
        <w:pStyle w:val="BodyTextIndent"/>
        <w:numPr>
          <w:ilvl w:val="0"/>
          <w:numId w:val="4"/>
        </w:numPr>
        <w:ind w:left="360"/>
        <w:rPr>
          <w:szCs w:val="24"/>
        </w:rPr>
      </w:pPr>
      <w:r>
        <w:rPr>
          <w:szCs w:val="24"/>
        </w:rPr>
        <w:t>Teknik Pengumpulan Data</w:t>
      </w:r>
    </w:p>
    <w:p w:rsidR="00B301FA" w:rsidRDefault="00B301FA" w:rsidP="00B301FA">
      <w:pPr>
        <w:autoSpaceDE w:val="0"/>
        <w:autoSpaceDN w:val="0"/>
        <w:adjustRightInd w:val="0"/>
        <w:spacing w:line="480" w:lineRule="auto"/>
        <w:ind w:firstLine="720"/>
        <w:jc w:val="both"/>
        <w:rPr>
          <w:color w:val="000000"/>
          <w:lang w:val="id-ID" w:eastAsia="en-GB"/>
        </w:rPr>
      </w:pPr>
      <w:r>
        <w:rPr>
          <w:color w:val="000000"/>
          <w:lang w:val="en-GB" w:eastAsia="en-GB"/>
        </w:rPr>
        <w:t xml:space="preserve">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w:t>
      </w:r>
      <w:r>
        <w:rPr>
          <w:color w:val="000000"/>
          <w:lang w:val="en-GB" w:eastAsia="en-GB"/>
        </w:rPr>
        <w:lastRenderedPageBreak/>
        <w:t>pembahasannya.Pengumpulan data dalam penelitian ini mempergunakan data primer dan data sekunder.</w:t>
      </w:r>
    </w:p>
    <w:p w:rsidR="00B301FA" w:rsidRDefault="00B301FA" w:rsidP="00B301FA">
      <w:pPr>
        <w:autoSpaceDE w:val="0"/>
        <w:autoSpaceDN w:val="0"/>
        <w:adjustRightInd w:val="0"/>
        <w:spacing w:line="456" w:lineRule="auto"/>
        <w:ind w:firstLine="720"/>
        <w:jc w:val="both"/>
      </w:pPr>
      <w:r>
        <w:t>Mendapatkan hasil yang objektif dan dapat dibuktikan kebenarannya serta dapat dipertanggungjawabkan hasilnya, maka data dalam penelitian ini diperoleh dengan alat pengumpulan data yang dilakukan dengan menggunakan cara yaitu studi kepustakaan (</w:t>
      </w:r>
      <w:r>
        <w:rPr>
          <w:i/>
          <w:iCs/>
        </w:rPr>
        <w:t>library research</w:t>
      </w:r>
      <w:r>
        <w:t>), yaitu penelitian yang dilakukan dengan cara pengumpulan data dengan melakukan penelaahan kepada bahan pustaka atau data sekunder yang meliputi bahan hukum primer, bahan hukum sekunder dan bahan hukum tersier.</w:t>
      </w:r>
    </w:p>
    <w:p w:rsidR="00B301FA" w:rsidRDefault="00B301FA" w:rsidP="00263A2D">
      <w:pPr>
        <w:pStyle w:val="BodyTextIndent"/>
        <w:numPr>
          <w:ilvl w:val="0"/>
          <w:numId w:val="4"/>
        </w:numPr>
        <w:spacing w:line="456" w:lineRule="auto"/>
        <w:ind w:left="360"/>
        <w:rPr>
          <w:szCs w:val="24"/>
        </w:rPr>
      </w:pPr>
      <w:r>
        <w:rPr>
          <w:szCs w:val="24"/>
        </w:rPr>
        <w:t>Analisis Data</w:t>
      </w:r>
    </w:p>
    <w:p w:rsidR="00B301FA" w:rsidRDefault="00B301FA" w:rsidP="00B301FA">
      <w:pPr>
        <w:autoSpaceDE w:val="0"/>
        <w:autoSpaceDN w:val="0"/>
        <w:adjustRightInd w:val="0"/>
        <w:spacing w:line="456" w:lineRule="auto"/>
        <w:ind w:firstLine="720"/>
        <w:jc w:val="both"/>
      </w:pPr>
      <w:r>
        <w:t>Analisis data adalah suatu proses mengatur, mengurutkan, mengelompokkan, memberikan kode dan mengategorikannya hingga kemudian mengorganisasikan dalam suatu bentuk pengelolaan data untuk menemukan tema dan hipotesis kerja yang diangkat menjadi teori substantif.</w:t>
      </w:r>
      <w:r>
        <w:rPr>
          <w:rStyle w:val="FootnoteReference"/>
        </w:rPr>
        <w:footnoteReference w:id="10"/>
      </w:r>
      <w:r>
        <w:t xml:space="preserve"> Untuk menemukan teori dari data tersebut maka menggunakan metode kualitatif adalah penelitian yang mengacu pada norma hukum yang terdapat dalam peraturan perundang-undangan dan putusan pengadilan serta norma-norma yang hidup dan berkembang dalam masyarakat.</w:t>
      </w:r>
      <w:r>
        <w:rPr>
          <w:rStyle w:val="FootnoteReference"/>
        </w:rPr>
        <w:footnoteReference w:id="11"/>
      </w:r>
    </w:p>
    <w:p w:rsidR="00CE7FEB" w:rsidRPr="00B301FA" w:rsidRDefault="00CE7FEB" w:rsidP="00B301FA">
      <w:bookmarkStart w:id="0" w:name="_GoBack"/>
      <w:bookmarkEnd w:id="0"/>
    </w:p>
    <w:sectPr w:rsidR="00CE7FEB" w:rsidRPr="00B301FA"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FCD" w:rsidRDefault="00761FCD" w:rsidP="002D79FF">
      <w:r>
        <w:separator/>
      </w:r>
    </w:p>
  </w:endnote>
  <w:endnote w:type="continuationSeparator" w:id="1">
    <w:p w:rsidR="00761FCD" w:rsidRDefault="00761FCD"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761FCD">
    <w:pPr>
      <w:pStyle w:val="Footer"/>
      <w:jc w:val="center"/>
    </w:pPr>
  </w:p>
  <w:p w:rsidR="00630637" w:rsidRDefault="00761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FCD" w:rsidRDefault="00761FCD" w:rsidP="002D79FF">
      <w:r>
        <w:separator/>
      </w:r>
    </w:p>
  </w:footnote>
  <w:footnote w:type="continuationSeparator" w:id="1">
    <w:p w:rsidR="00761FCD" w:rsidRDefault="00761FCD" w:rsidP="002D79FF">
      <w:r>
        <w:continuationSeparator/>
      </w:r>
    </w:p>
  </w:footnote>
  <w:footnote w:id="2">
    <w:p w:rsidR="00B301FA" w:rsidRDefault="00B301FA" w:rsidP="00B301FA">
      <w:pPr>
        <w:autoSpaceDE w:val="0"/>
        <w:autoSpaceDN w:val="0"/>
        <w:adjustRightInd w:val="0"/>
        <w:ind w:firstLine="709"/>
        <w:jc w:val="both"/>
        <w:rPr>
          <w:color w:val="000000"/>
          <w:sz w:val="20"/>
          <w:szCs w:val="20"/>
        </w:rPr>
      </w:pPr>
      <w:r>
        <w:rPr>
          <w:rStyle w:val="FootnoteReference"/>
          <w:color w:val="000000"/>
          <w:sz w:val="20"/>
          <w:szCs w:val="20"/>
        </w:rPr>
        <w:footnoteRef/>
      </w:r>
      <w:r>
        <w:rPr>
          <w:color w:val="000000"/>
          <w:sz w:val="20"/>
          <w:szCs w:val="20"/>
        </w:rPr>
        <w:t xml:space="preserve">Kontjaraningrat, </w:t>
      </w:r>
      <w:r>
        <w:rPr>
          <w:i/>
          <w:iCs/>
          <w:color w:val="000000"/>
          <w:sz w:val="20"/>
          <w:szCs w:val="20"/>
        </w:rPr>
        <w:t>Metode-Metode Penelitian Masyarakat</w:t>
      </w:r>
      <w:r>
        <w:rPr>
          <w:color w:val="000000"/>
          <w:sz w:val="20"/>
          <w:szCs w:val="20"/>
        </w:rPr>
        <w:t>, Gramedia, Jakarta, 2017, h. 42.</w:t>
      </w:r>
    </w:p>
  </w:footnote>
  <w:footnote w:id="3">
    <w:p w:rsidR="00B301FA" w:rsidRDefault="00B301FA" w:rsidP="00B301FA">
      <w:pPr>
        <w:autoSpaceDE w:val="0"/>
        <w:autoSpaceDN w:val="0"/>
        <w:adjustRightInd w:val="0"/>
        <w:ind w:firstLine="709"/>
        <w:jc w:val="both"/>
        <w:rPr>
          <w:color w:val="000000"/>
          <w:sz w:val="20"/>
          <w:szCs w:val="20"/>
        </w:rPr>
      </w:pPr>
      <w:r>
        <w:rPr>
          <w:rStyle w:val="FootnoteReference"/>
          <w:color w:val="000000"/>
          <w:sz w:val="20"/>
          <w:szCs w:val="20"/>
        </w:rPr>
        <w:footnoteRef/>
      </w:r>
      <w:r>
        <w:rPr>
          <w:color w:val="000000"/>
          <w:sz w:val="20"/>
          <w:szCs w:val="20"/>
        </w:rPr>
        <w:t xml:space="preserve"> Johnny Ibrahim, </w:t>
      </w:r>
      <w:r>
        <w:rPr>
          <w:i/>
          <w:iCs/>
          <w:color w:val="000000"/>
          <w:sz w:val="20"/>
          <w:szCs w:val="20"/>
        </w:rPr>
        <w:t>Teori dan Metodologi Penelitian Hukum Normatif</w:t>
      </w:r>
      <w:r>
        <w:rPr>
          <w:color w:val="000000"/>
          <w:sz w:val="20"/>
          <w:szCs w:val="20"/>
        </w:rPr>
        <w:t>, Bayumedia Publishing, Malang, 2018, h.310</w:t>
      </w:r>
    </w:p>
  </w:footnote>
  <w:footnote w:id="4">
    <w:p w:rsidR="00B301FA" w:rsidRDefault="00B301FA" w:rsidP="00B301FA">
      <w:pPr>
        <w:autoSpaceDE w:val="0"/>
        <w:autoSpaceDN w:val="0"/>
        <w:adjustRightInd w:val="0"/>
        <w:ind w:firstLine="709"/>
        <w:jc w:val="both"/>
        <w:rPr>
          <w:color w:val="000000"/>
          <w:sz w:val="20"/>
          <w:szCs w:val="20"/>
        </w:rPr>
      </w:pPr>
      <w:r>
        <w:rPr>
          <w:rStyle w:val="FootnoteReference"/>
          <w:color w:val="000000"/>
          <w:sz w:val="20"/>
          <w:szCs w:val="20"/>
        </w:rPr>
        <w:footnoteRef/>
      </w:r>
      <w:r>
        <w:rPr>
          <w:color w:val="000000"/>
          <w:sz w:val="20"/>
          <w:szCs w:val="20"/>
        </w:rPr>
        <w:t xml:space="preserve"> Soerjono Soekanto dan Sri Mamudji, </w:t>
      </w:r>
      <w:r>
        <w:rPr>
          <w:i/>
          <w:iCs/>
          <w:color w:val="000000"/>
          <w:sz w:val="20"/>
          <w:szCs w:val="20"/>
        </w:rPr>
        <w:t>Penelitian Hukum Normatif</w:t>
      </w:r>
      <w:r>
        <w:rPr>
          <w:color w:val="000000"/>
          <w:sz w:val="20"/>
          <w:szCs w:val="20"/>
        </w:rPr>
        <w:t>, Rajawali Pers,Jakarta,  2015, h. 70</w:t>
      </w:r>
    </w:p>
  </w:footnote>
  <w:footnote w:id="5">
    <w:p w:rsidR="00B301FA" w:rsidRDefault="00B301FA" w:rsidP="00B301FA">
      <w:pPr>
        <w:autoSpaceDE w:val="0"/>
        <w:autoSpaceDN w:val="0"/>
        <w:adjustRightInd w:val="0"/>
        <w:ind w:firstLine="709"/>
        <w:jc w:val="both"/>
        <w:rPr>
          <w:color w:val="000000"/>
          <w:sz w:val="20"/>
          <w:szCs w:val="20"/>
        </w:rPr>
      </w:pPr>
      <w:r>
        <w:rPr>
          <w:rStyle w:val="FootnoteReference"/>
          <w:color w:val="000000"/>
          <w:sz w:val="20"/>
          <w:szCs w:val="20"/>
        </w:rPr>
        <w:footnoteRef/>
      </w:r>
      <w:r>
        <w:rPr>
          <w:rFonts w:eastAsia="TimesNewRoman"/>
          <w:color w:val="000000"/>
          <w:sz w:val="20"/>
          <w:szCs w:val="20"/>
        </w:rPr>
        <w:t>Ronny Hanitijo Soemitro</w:t>
      </w:r>
      <w:r>
        <w:rPr>
          <w:rFonts w:eastAsia="TimesNewRoman"/>
          <w:i/>
          <w:iCs/>
          <w:color w:val="000000"/>
          <w:sz w:val="20"/>
          <w:szCs w:val="20"/>
        </w:rPr>
        <w:t xml:space="preserve">, Metodelogi Penelitian Hukum, </w:t>
      </w:r>
      <w:r>
        <w:rPr>
          <w:rFonts w:eastAsia="TimesNewRoman"/>
          <w:color w:val="000000"/>
          <w:sz w:val="20"/>
          <w:szCs w:val="20"/>
        </w:rPr>
        <w:t>Ghalia, Jakarta, 2018, h. 10.</w:t>
      </w:r>
    </w:p>
  </w:footnote>
  <w:footnote w:id="6">
    <w:p w:rsidR="00B301FA" w:rsidRDefault="00B301FA" w:rsidP="00B301FA">
      <w:pPr>
        <w:tabs>
          <w:tab w:val="left" w:pos="851"/>
        </w:tabs>
        <w:autoSpaceDE w:val="0"/>
        <w:autoSpaceDN w:val="0"/>
        <w:adjustRightInd w:val="0"/>
        <w:ind w:firstLine="709"/>
        <w:jc w:val="both"/>
        <w:rPr>
          <w:color w:val="000000"/>
          <w:sz w:val="20"/>
          <w:szCs w:val="20"/>
        </w:rPr>
      </w:pPr>
      <w:r>
        <w:rPr>
          <w:rStyle w:val="FootnoteReference"/>
          <w:color w:val="000000"/>
          <w:sz w:val="20"/>
          <w:szCs w:val="20"/>
        </w:rPr>
        <w:footnoteRef/>
      </w:r>
      <w:r>
        <w:rPr>
          <w:color w:val="000000"/>
          <w:sz w:val="20"/>
          <w:szCs w:val="20"/>
        </w:rPr>
        <w:t xml:space="preserve"> Soerjono Soekanto dan Sri Mamudji, </w:t>
      </w:r>
      <w:r>
        <w:rPr>
          <w:i/>
          <w:iCs/>
          <w:color w:val="000000"/>
          <w:sz w:val="20"/>
          <w:szCs w:val="20"/>
        </w:rPr>
        <w:t>Penelitian Hukum Normatif</w:t>
      </w:r>
      <w:r>
        <w:rPr>
          <w:color w:val="000000"/>
          <w:sz w:val="20"/>
          <w:szCs w:val="20"/>
        </w:rPr>
        <w:t>, Rajawali Pers, Jakarta,  2015, h. 1.</w:t>
      </w:r>
    </w:p>
  </w:footnote>
  <w:footnote w:id="7">
    <w:p w:rsidR="00B301FA" w:rsidRDefault="00B301FA" w:rsidP="00B301FA">
      <w:pPr>
        <w:pStyle w:val="FootnoteText"/>
        <w:ind w:firstLine="720"/>
        <w:jc w:val="both"/>
      </w:pPr>
      <w:r>
        <w:rPr>
          <w:rStyle w:val="FootnoteReference"/>
        </w:rPr>
        <w:footnoteRef/>
      </w:r>
      <w:r>
        <w:t xml:space="preserve">Soerjono Soekanto dan Sri Mamudji, </w:t>
      </w:r>
      <w:r>
        <w:rPr>
          <w:i/>
          <w:iCs/>
        </w:rPr>
        <w:t>Op.Cit</w:t>
      </w:r>
      <w:r>
        <w:t>, h. 39.</w:t>
      </w:r>
    </w:p>
  </w:footnote>
  <w:footnote w:id="8">
    <w:p w:rsidR="00B301FA" w:rsidRDefault="00B301FA" w:rsidP="00B301FA">
      <w:pPr>
        <w:pStyle w:val="FootnoteText"/>
        <w:ind w:firstLine="720"/>
        <w:jc w:val="both"/>
      </w:pPr>
      <w:r>
        <w:rPr>
          <w:rStyle w:val="FootnoteReference"/>
        </w:rPr>
        <w:footnoteRef/>
      </w:r>
      <w:r>
        <w:t xml:space="preserve"> Abdul Kadir Muhammad, </w:t>
      </w:r>
      <w:r>
        <w:rPr>
          <w:i/>
          <w:iCs/>
        </w:rPr>
        <w:t>Hukum dan Penelitian Hukum</w:t>
      </w:r>
      <w:r>
        <w:t>, Citra Aditya Bakti, Bandung, 2014, h. 122.</w:t>
      </w:r>
    </w:p>
  </w:footnote>
  <w:footnote w:id="9">
    <w:p w:rsidR="00B301FA" w:rsidRDefault="00B301FA" w:rsidP="00B301FA">
      <w:pPr>
        <w:pStyle w:val="FootnoteText"/>
        <w:ind w:firstLine="709"/>
        <w:jc w:val="both"/>
        <w:rPr>
          <w:color w:val="000000"/>
        </w:rPr>
      </w:pPr>
      <w:r>
        <w:rPr>
          <w:rStyle w:val="FootnoteReference"/>
          <w:color w:val="000000"/>
        </w:rPr>
        <w:footnoteRef/>
      </w:r>
      <w:r>
        <w:rPr>
          <w:color w:val="000000"/>
        </w:rPr>
        <w:t xml:space="preserve"> Nomensen Sinamo, </w:t>
      </w:r>
      <w:r>
        <w:rPr>
          <w:i/>
          <w:color w:val="000000"/>
        </w:rPr>
        <w:t xml:space="preserve"> Metode Penelitian Hukum dalam Teori dan Praktek, </w:t>
      </w:r>
      <w:r>
        <w:rPr>
          <w:color w:val="000000"/>
        </w:rPr>
        <w:t xml:space="preserve"> Bumi Intitama Sejahtera, Jakarta, 2010, h.16.</w:t>
      </w:r>
    </w:p>
  </w:footnote>
  <w:footnote w:id="10">
    <w:p w:rsidR="00B301FA" w:rsidRDefault="00B301FA" w:rsidP="00B301FA">
      <w:pPr>
        <w:autoSpaceDE w:val="0"/>
        <w:autoSpaceDN w:val="0"/>
        <w:adjustRightInd w:val="0"/>
        <w:ind w:firstLine="709"/>
        <w:jc w:val="both"/>
        <w:rPr>
          <w:color w:val="000000"/>
          <w:sz w:val="20"/>
          <w:szCs w:val="20"/>
        </w:rPr>
      </w:pPr>
      <w:r>
        <w:rPr>
          <w:rStyle w:val="FootnoteReference"/>
          <w:color w:val="000000"/>
          <w:sz w:val="20"/>
          <w:szCs w:val="20"/>
        </w:rPr>
        <w:footnoteRef/>
      </w:r>
      <w:r>
        <w:rPr>
          <w:color w:val="000000"/>
          <w:sz w:val="20"/>
          <w:szCs w:val="20"/>
        </w:rPr>
        <w:t xml:space="preserve"> Lexy J Moleong, </w:t>
      </w:r>
      <w:r>
        <w:rPr>
          <w:i/>
          <w:iCs/>
          <w:color w:val="000000"/>
          <w:sz w:val="20"/>
          <w:szCs w:val="20"/>
        </w:rPr>
        <w:t>Op.Cit</w:t>
      </w:r>
      <w:r>
        <w:rPr>
          <w:color w:val="000000"/>
          <w:sz w:val="20"/>
          <w:szCs w:val="20"/>
        </w:rPr>
        <w:t>, h.103</w:t>
      </w:r>
    </w:p>
  </w:footnote>
  <w:footnote w:id="11">
    <w:p w:rsidR="00B301FA" w:rsidRDefault="00B301FA" w:rsidP="00B301FA">
      <w:pPr>
        <w:pStyle w:val="FootnoteText"/>
        <w:ind w:firstLine="709"/>
        <w:jc w:val="both"/>
        <w:rPr>
          <w:color w:val="000000"/>
        </w:rPr>
      </w:pPr>
      <w:r>
        <w:rPr>
          <w:rStyle w:val="FootnoteReference"/>
          <w:color w:val="000000"/>
        </w:rPr>
        <w:footnoteRef/>
      </w:r>
      <w:r>
        <w:rPr>
          <w:color w:val="000000"/>
        </w:rPr>
        <w:t xml:space="preserve"> Zainuddin Ali,</w:t>
      </w:r>
      <w:r>
        <w:rPr>
          <w:i/>
          <w:iCs/>
          <w:color w:val="000000"/>
        </w:rPr>
        <w:t xml:space="preserve"> Metode Penelitian Hukum</w:t>
      </w:r>
      <w:r>
        <w:rPr>
          <w:color w:val="000000"/>
        </w:rPr>
        <w:t>, Sinar Grafika, Jakarta, 2019, h.105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761FCD">
    <w:pPr>
      <w:pStyle w:val="Header"/>
      <w:jc w:val="right"/>
    </w:pPr>
  </w:p>
  <w:p w:rsidR="00630637" w:rsidRPr="007E1322" w:rsidRDefault="00263A2D"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761F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44A2C6B"/>
    <w:multiLevelType w:val="hybridMultilevel"/>
    <w:tmpl w:val="644C47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F318C7"/>
    <w:multiLevelType w:val="hybridMultilevel"/>
    <w:tmpl w:val="137A71A8"/>
    <w:lvl w:ilvl="0" w:tplc="D2406D6C">
      <w:start w:val="1"/>
      <w:numFmt w:val="lowerLetter"/>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9556D2"/>
    <w:multiLevelType w:val="hybridMultilevel"/>
    <w:tmpl w:val="1F929666"/>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5"/>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ZWoCVk2FM6OWmF3ojlAHicUvXRQ=" w:salt="HRS2aWLf9hN6zkkVlhg9Zw=="/>
  <w:defaultTabStop w:val="720"/>
  <w:characterSpacingControl w:val="doNotCompress"/>
  <w:footnotePr>
    <w:footnote w:id="0"/>
    <w:footnote w:id="1"/>
  </w:footnotePr>
  <w:endnotePr>
    <w:endnote w:id="0"/>
    <w:endnote w:id="1"/>
  </w:endnotePr>
  <w:compat/>
  <w:rsids>
    <w:rsidRoot w:val="00CE7FEB"/>
    <w:rsid w:val="00004A2D"/>
    <w:rsid w:val="00050032"/>
    <w:rsid w:val="00073236"/>
    <w:rsid w:val="000D08BE"/>
    <w:rsid w:val="00194A3D"/>
    <w:rsid w:val="001E1620"/>
    <w:rsid w:val="00245A5A"/>
    <w:rsid w:val="00263A2D"/>
    <w:rsid w:val="00295F16"/>
    <w:rsid w:val="002B61E2"/>
    <w:rsid w:val="002B7959"/>
    <w:rsid w:val="002D79FF"/>
    <w:rsid w:val="003728BA"/>
    <w:rsid w:val="00390270"/>
    <w:rsid w:val="003A4CAE"/>
    <w:rsid w:val="003A7275"/>
    <w:rsid w:val="004122C4"/>
    <w:rsid w:val="004772E1"/>
    <w:rsid w:val="00490063"/>
    <w:rsid w:val="00497A5F"/>
    <w:rsid w:val="0054651A"/>
    <w:rsid w:val="00567E71"/>
    <w:rsid w:val="00570F2C"/>
    <w:rsid w:val="00574EE8"/>
    <w:rsid w:val="006068DC"/>
    <w:rsid w:val="0066422A"/>
    <w:rsid w:val="0068485D"/>
    <w:rsid w:val="00761FCD"/>
    <w:rsid w:val="00774478"/>
    <w:rsid w:val="007929DB"/>
    <w:rsid w:val="008374CB"/>
    <w:rsid w:val="008538D8"/>
    <w:rsid w:val="00856B55"/>
    <w:rsid w:val="00875E9E"/>
    <w:rsid w:val="00932E1A"/>
    <w:rsid w:val="009725A3"/>
    <w:rsid w:val="00983722"/>
    <w:rsid w:val="00A92261"/>
    <w:rsid w:val="00AA3A59"/>
    <w:rsid w:val="00AD02E7"/>
    <w:rsid w:val="00B301FA"/>
    <w:rsid w:val="00C52FF9"/>
    <w:rsid w:val="00C57690"/>
    <w:rsid w:val="00C72C38"/>
    <w:rsid w:val="00C81419"/>
    <w:rsid w:val="00C949F5"/>
    <w:rsid w:val="00CB0398"/>
    <w:rsid w:val="00CE7FEB"/>
    <w:rsid w:val="00D175B9"/>
    <w:rsid w:val="00D23502"/>
    <w:rsid w:val="00E722F8"/>
    <w:rsid w:val="00EE4BFC"/>
    <w:rsid w:val="00F17F5D"/>
    <w:rsid w:val="00F21187"/>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47261832">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91916280">
      <w:bodyDiv w:val="1"/>
      <w:marLeft w:val="0"/>
      <w:marRight w:val="0"/>
      <w:marTop w:val="0"/>
      <w:marBottom w:val="0"/>
      <w:divBdr>
        <w:top w:val="none" w:sz="0" w:space="0" w:color="auto"/>
        <w:left w:val="none" w:sz="0" w:space="0" w:color="auto"/>
        <w:bottom w:val="none" w:sz="0" w:space="0" w:color="auto"/>
        <w:right w:val="none" w:sz="0" w:space="0" w:color="auto"/>
      </w:divBdr>
    </w:div>
    <w:div w:id="541793618">
      <w:bodyDiv w:val="1"/>
      <w:marLeft w:val="0"/>
      <w:marRight w:val="0"/>
      <w:marTop w:val="0"/>
      <w:marBottom w:val="0"/>
      <w:divBdr>
        <w:top w:val="none" w:sz="0" w:space="0" w:color="auto"/>
        <w:left w:val="none" w:sz="0" w:space="0" w:color="auto"/>
        <w:bottom w:val="none" w:sz="0" w:space="0" w:color="auto"/>
        <w:right w:val="none" w:sz="0" w:space="0" w:color="auto"/>
      </w:divBdr>
    </w:div>
    <w:div w:id="548883137">
      <w:bodyDiv w:val="1"/>
      <w:marLeft w:val="0"/>
      <w:marRight w:val="0"/>
      <w:marTop w:val="0"/>
      <w:marBottom w:val="0"/>
      <w:divBdr>
        <w:top w:val="none" w:sz="0" w:space="0" w:color="auto"/>
        <w:left w:val="none" w:sz="0" w:space="0" w:color="auto"/>
        <w:bottom w:val="none" w:sz="0" w:space="0" w:color="auto"/>
        <w:right w:val="none" w:sz="0" w:space="0" w:color="auto"/>
      </w:divBdr>
    </w:div>
    <w:div w:id="68605958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46169979">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2026-04-09T07:58:00Z</dcterms:created>
  <dcterms:modified xsi:type="dcterms:W3CDTF">2026-04-09T07:58:00Z</dcterms:modified>
</cp:coreProperties>
</file>