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E9" w:rsidRDefault="007E55E9" w:rsidP="007E55E9">
      <w:pPr>
        <w:spacing w:line="480" w:lineRule="auto"/>
        <w:jc w:val="center"/>
        <w:rPr>
          <w:b/>
          <w:color w:val="000000"/>
          <w:lang w:val="id-ID"/>
        </w:rPr>
      </w:pPr>
      <w:r>
        <w:rPr>
          <w:b/>
          <w:color w:val="000000"/>
          <w:lang w:val="id-ID"/>
        </w:rPr>
        <w:t>BAB I</w:t>
      </w:r>
    </w:p>
    <w:p w:rsidR="007E55E9" w:rsidRDefault="007E55E9" w:rsidP="007E55E9">
      <w:pPr>
        <w:spacing w:line="480" w:lineRule="auto"/>
        <w:jc w:val="center"/>
        <w:rPr>
          <w:b/>
          <w:color w:val="000000"/>
        </w:rPr>
      </w:pPr>
      <w:r>
        <w:rPr>
          <w:b/>
          <w:color w:val="000000"/>
          <w:lang w:val="id-ID"/>
        </w:rPr>
        <w:t>PENDAHULUAN</w:t>
      </w:r>
    </w:p>
    <w:p w:rsidR="007E55E9" w:rsidRDefault="007E55E9" w:rsidP="007E55E9">
      <w:pPr>
        <w:jc w:val="center"/>
        <w:rPr>
          <w:b/>
          <w:color w:val="000000"/>
        </w:rPr>
      </w:pPr>
    </w:p>
    <w:p w:rsidR="007E55E9" w:rsidRDefault="007E55E9" w:rsidP="003B0657">
      <w:pPr>
        <w:numPr>
          <w:ilvl w:val="0"/>
          <w:numId w:val="1"/>
        </w:numPr>
        <w:spacing w:line="480" w:lineRule="auto"/>
        <w:ind w:left="360"/>
        <w:jc w:val="both"/>
        <w:rPr>
          <w:b/>
          <w:color w:val="000000"/>
          <w:lang w:val="fi-FI"/>
        </w:rPr>
      </w:pPr>
      <w:r>
        <w:rPr>
          <w:b/>
          <w:color w:val="000000"/>
          <w:lang w:val="fi-FI"/>
        </w:rPr>
        <w:t xml:space="preserve">Latar Belakang </w:t>
      </w:r>
    </w:p>
    <w:p w:rsidR="007E55E9" w:rsidRDefault="007E55E9" w:rsidP="007E55E9">
      <w:pPr>
        <w:autoSpaceDE w:val="0"/>
        <w:autoSpaceDN w:val="0"/>
        <w:adjustRightInd w:val="0"/>
        <w:spacing w:line="456" w:lineRule="auto"/>
        <w:ind w:firstLine="709"/>
        <w:jc w:val="both"/>
        <w:rPr>
          <w:color w:val="000000"/>
        </w:rPr>
      </w:pPr>
      <w:r>
        <w:rPr>
          <w:color w:val="000000"/>
        </w:rPr>
        <w:t>Sejalan semakin meningkatnya penyalahgunaan narkoba, pemerintah telah mengupayakan menindak tegas para sindikat dan pengedar dengan memberikan hukuman berat, bahkan sampai hukuman mati. Adapun bagi korban pengguna atau pecandu, pemerintah telah mengupayakan untuk mengurangi dampak buruk akibat penggunaan narkoba yaitu dengan cara memberikan fasilitas rehabilitasi, baik secara medis maupun sosial. Hal ini dilakukan agar korban pengguna narkoba dapat kembali sembuh, menjadi manusia produktif, mampu bekerja memenuhi kebutuhan kehidupan serta keluarganya, dan menjadi generasi bangsa yang sehat dan kuat.</w:t>
      </w:r>
    </w:p>
    <w:p w:rsidR="007E55E9" w:rsidRDefault="007E55E9" w:rsidP="007E55E9">
      <w:pPr>
        <w:autoSpaceDE w:val="0"/>
        <w:autoSpaceDN w:val="0"/>
        <w:adjustRightInd w:val="0"/>
        <w:spacing w:line="480" w:lineRule="auto"/>
        <w:ind w:firstLine="709"/>
        <w:jc w:val="both"/>
        <w:rPr>
          <w:rFonts w:eastAsia="TimesNewRoman"/>
          <w:color w:val="000000"/>
        </w:rPr>
      </w:pPr>
      <w:r>
        <w:rPr>
          <w:rFonts w:eastAsia="TimesNewRoman"/>
          <w:color w:val="000000"/>
        </w:rPr>
        <w:t>Pengguna narkotika dapat dibedakan antara lain sebagai pecandu narkotika dan korban penyalahgunaan narkotika. Pecandu narkotika merupakan orang yang menggunakan atau menyalahgunakan narkotika dan dalam keadaan ketergantungan pada narkotika, baik secara fisik maupun psikis, sedangkan korban penyalahgunaan narkotika adalah seseorang yang tidak sengaja menggunakan narkotika, karena dibujuk, diperdaya, ditipu, dipaksa dan/atau diancam untuk menggunakan narkotika.</w:t>
      </w:r>
      <w:r>
        <w:rPr>
          <w:rStyle w:val="FootnoteReference"/>
          <w:rFonts w:eastAsia="TimesNewRoman"/>
          <w:color w:val="000000"/>
        </w:rPr>
        <w:footnoteReference w:id="2"/>
      </w:r>
    </w:p>
    <w:p w:rsidR="007E55E9" w:rsidRDefault="007E55E9" w:rsidP="007E55E9">
      <w:pPr>
        <w:autoSpaceDE w:val="0"/>
        <w:autoSpaceDN w:val="0"/>
        <w:adjustRightInd w:val="0"/>
        <w:spacing w:line="456" w:lineRule="auto"/>
        <w:ind w:firstLine="709"/>
        <w:jc w:val="both"/>
        <w:rPr>
          <w:color w:val="000000"/>
        </w:rPr>
      </w:pPr>
      <w:r>
        <w:rPr>
          <w:color w:val="000000"/>
        </w:rPr>
        <w:t>Menurut perspektif yuridis, pengguna narkoba tidak dapat dikategorisasikan sebagai pelaku kejahatan karena sifat dasar kejahatan haruslah menimbulkan korban dan korban itu adalah orang lain (</w:t>
      </w:r>
      <w:r>
        <w:rPr>
          <w:i/>
          <w:iCs/>
          <w:color w:val="000000"/>
        </w:rPr>
        <w:t xml:space="preserve">an act must take place that </w:t>
      </w:r>
      <w:r>
        <w:rPr>
          <w:i/>
          <w:iCs/>
          <w:color w:val="000000"/>
        </w:rPr>
        <w:lastRenderedPageBreak/>
        <w:t>involves harm inflicted on someone by the actor</w:t>
      </w:r>
      <w:r>
        <w:rPr>
          <w:color w:val="000000"/>
        </w:rPr>
        <w:t>). Pandangan inilah yang kemudian mengarahkan pada pemahaman bahwa pengguna narkoba merupakan salah satu bentuk dari kejahatan tanpa korban (</w:t>
      </w:r>
      <w:r>
        <w:rPr>
          <w:i/>
          <w:iCs/>
          <w:color w:val="000000"/>
        </w:rPr>
        <w:t>crime without victim</w:t>
      </w:r>
      <w:r>
        <w:rPr>
          <w:color w:val="000000"/>
        </w:rPr>
        <w:t>).Hal itu berarti apabila hanya diri sendiri yang menjadi korban, maka hal tersebut tidak dapat dikatakan sebagai kejahatan, sehingga tidak dapat dihukum.</w:t>
      </w:r>
      <w:r>
        <w:rPr>
          <w:rStyle w:val="FootnoteReference"/>
          <w:color w:val="000000"/>
        </w:rPr>
        <w:footnoteReference w:id="3"/>
      </w:r>
    </w:p>
    <w:p w:rsidR="007E55E9" w:rsidRDefault="007E55E9" w:rsidP="007E55E9">
      <w:pPr>
        <w:autoSpaceDE w:val="0"/>
        <w:autoSpaceDN w:val="0"/>
        <w:adjustRightInd w:val="0"/>
        <w:spacing w:line="432" w:lineRule="auto"/>
        <w:ind w:firstLine="709"/>
        <w:jc w:val="both"/>
        <w:rPr>
          <w:rFonts w:eastAsia="TimesNewRoman"/>
          <w:color w:val="000000"/>
        </w:rPr>
      </w:pPr>
      <w:r>
        <w:rPr>
          <w:rFonts w:eastAsia="TimesNewRoman"/>
          <w:color w:val="000000"/>
        </w:rPr>
        <w:t xml:space="preserve">Pecandu narkotika merupakan </w:t>
      </w:r>
      <w:r>
        <w:rPr>
          <w:rFonts w:eastAsia="TimesNewRoman"/>
          <w:i/>
          <w:iCs/>
          <w:color w:val="000000"/>
        </w:rPr>
        <w:t>self victimizing victims</w:t>
      </w:r>
      <w:r>
        <w:rPr>
          <w:rFonts w:eastAsia="TimesNewRoman"/>
          <w:color w:val="000000"/>
        </w:rPr>
        <w:t xml:space="preserve">, karena pecandu narkotika menderita sindroma ketergantungan </w:t>
      </w:r>
      <w:r>
        <w:rPr>
          <w:rFonts w:eastAsia="TimesNewRoman"/>
          <w:i/>
          <w:iCs/>
          <w:color w:val="000000"/>
        </w:rPr>
        <w:t xml:space="preserve">(dependence) </w:t>
      </w:r>
      <w:r>
        <w:rPr>
          <w:rFonts w:eastAsia="TimesNewRoman"/>
          <w:color w:val="000000"/>
        </w:rPr>
        <w:t>yang semula disebut adiksi dan habitasi akibat dari penyalahguna narkotika yang dilakukanya sendiri.</w:t>
      </w:r>
      <w:r>
        <w:rPr>
          <w:rStyle w:val="FootnoteReference"/>
          <w:rFonts w:eastAsia="TimesNewRoman"/>
          <w:color w:val="000000"/>
        </w:rPr>
        <w:footnoteReference w:id="4"/>
      </w:r>
      <w:r>
        <w:rPr>
          <w:rFonts w:eastAsia="TimesNewRoman"/>
          <w:color w:val="000000"/>
        </w:rPr>
        <w:t>Saat ini Indonesia dihadapkan pada permasalahan narkotika yang sudah sangat mengkhawatirkan, di mana terdapat empat juta orang lebih yang sudah terlanjur mengkonsumsi narkotika, ditambah lagi dengan narkotika ilegal baik sintetis, alami, maupun narkotika jenis baru yang beredar luas di masyarakat. Segala upaya dalam menyelesaikan masalah narkotika di Indonesia sudah banyak dilakukan terutama oleh para penegak hukum, akan tetapi sampai saat ini pecandu narkotika belum berkurang bahkan cenderung bertambah. Salah satu hal yang menyebabkan permasalahan tersebut belum dapat diselesaikan adalah pandangan masyarakat terhadap pengguna narkotika yang masih dianggap sebagai pelaku kejahatan, sampah masyarakat, dan berbagai stigma lainnya, sehingga pencandu dihukum penjara.</w:t>
      </w:r>
      <w:r>
        <w:rPr>
          <w:rStyle w:val="FootnoteReference"/>
          <w:rFonts w:eastAsia="TimesNewRoman"/>
          <w:color w:val="000000"/>
        </w:rPr>
        <w:footnoteReference w:id="5"/>
      </w:r>
    </w:p>
    <w:p w:rsidR="007E55E9" w:rsidRDefault="007E55E9" w:rsidP="007E55E9">
      <w:pPr>
        <w:autoSpaceDE w:val="0"/>
        <w:autoSpaceDN w:val="0"/>
        <w:adjustRightInd w:val="0"/>
        <w:spacing w:line="456" w:lineRule="auto"/>
        <w:ind w:firstLine="709"/>
        <w:jc w:val="both"/>
        <w:rPr>
          <w:color w:val="000000"/>
        </w:rPr>
      </w:pPr>
      <w:r>
        <w:rPr>
          <w:color w:val="000000"/>
        </w:rPr>
        <w:t xml:space="preserve">Pecandu narkotika menurut undang-undang di satu sisi merupakan pelaku tindak pidana penyalahgunaan narkotika adalah dengan adanya ketentuan undang-undang narkotika yang mengatur mengenai pidana penjara yang diberikan kepada </w:t>
      </w:r>
      <w:r>
        <w:rPr>
          <w:color w:val="000000"/>
        </w:rPr>
        <w:lastRenderedPageBreak/>
        <w:t>para pelaku penyalahgunaan narkotika.Kemudian, di sisi lainnya dapat dikatakan pecandu narkotika tersebut merupakan korban adalah ditunjukkan dengan adanya ketentuan bahwa terhadap pecandu narkotika dapat dijatuhi vonis rehabilitasi. Hal ini berarti undang-undang di satu sisi masih menganggap pecandu narkotika sebagai pelaku tindak pidana, dan di sisi lain merupakan korban dari penyalahgunaan narkotika yang dilakukannya.</w:t>
      </w:r>
      <w:r>
        <w:rPr>
          <w:rStyle w:val="FootnoteReference"/>
          <w:color w:val="000000"/>
        </w:rPr>
        <w:footnoteReference w:id="6"/>
      </w:r>
    </w:p>
    <w:p w:rsidR="007E55E9" w:rsidRDefault="007E55E9" w:rsidP="007E55E9">
      <w:pPr>
        <w:autoSpaceDE w:val="0"/>
        <w:autoSpaceDN w:val="0"/>
        <w:adjustRightInd w:val="0"/>
        <w:spacing w:line="456" w:lineRule="auto"/>
        <w:ind w:firstLine="709"/>
        <w:jc w:val="both"/>
        <w:rPr>
          <w:color w:val="000000"/>
        </w:rPr>
      </w:pPr>
      <w:r>
        <w:rPr>
          <w:rFonts w:eastAsia="TimesNewRoman"/>
          <w:color w:val="000000"/>
        </w:rPr>
        <w:t xml:space="preserve">Berdasarkan Pasal 103 Undang-Undang Nomor 35 Tahun 2009 tentang Narkotika menyatakakan hakim yang memeriksa perkara pecandu narkotika dapat melakukan dua hal, yaitu pertama, hakim dapat memutuskan untuk memerintahkan yang bersangkutan menjalani pengobatan dan/atau perawatan apabila pecandu narkotika tersebut terbukti bersalah melakukan tindak pidana narkotika, kedua, hakim dapat menetapkan untuk memerintahkan yang bersangkutan menjalani pengobatan dan/atau perawatan/rehabilitas, apabila pecandu narkotika tersebut tidak terbukti bersalah melakukan tindak pidana narkotika. Secara tersirat kewenangan ini, mengakui bahwa korban peyalagunaan narkotika, selain sebagai pelaku tindak pidana juga sekaligus korban dari kejahatan itu sendiri yang dalam sudut viktimologi kerap disebut dengan </w:t>
      </w:r>
      <w:r>
        <w:rPr>
          <w:rFonts w:eastAsia="TimesNewRoman"/>
          <w:i/>
          <w:iCs/>
          <w:color w:val="000000"/>
        </w:rPr>
        <w:t xml:space="preserve">self victimization </w:t>
      </w:r>
      <w:r>
        <w:rPr>
          <w:rFonts w:eastAsia="TimesNewRoman"/>
          <w:color w:val="000000"/>
        </w:rPr>
        <w:t xml:space="preserve">atau </w:t>
      </w:r>
      <w:r>
        <w:rPr>
          <w:rFonts w:eastAsia="TimesNewRoman"/>
          <w:i/>
          <w:iCs/>
          <w:color w:val="000000"/>
        </w:rPr>
        <w:t>victimless crime</w:t>
      </w:r>
      <w:r>
        <w:rPr>
          <w:rFonts w:eastAsia="TimesNewRoman"/>
          <w:color w:val="000000"/>
        </w:rPr>
        <w:t>.</w:t>
      </w:r>
      <w:r>
        <w:rPr>
          <w:rStyle w:val="FootnoteReference"/>
          <w:rFonts w:eastAsia="TimesNewRoman"/>
          <w:color w:val="000000"/>
        </w:rPr>
        <w:footnoteReference w:id="7"/>
      </w:r>
      <w:r>
        <w:rPr>
          <w:rFonts w:eastAsia="TimesNewRoman"/>
          <w:color w:val="000000"/>
        </w:rPr>
        <w:t xml:space="preserve"> Hal ini sangat diperlukan dalam rangka mengoperasionalkan Pasal 54 Undang Undang No. 35 Tahun 2009 tentang Narkotika di mana pecandu narkotika wajib menjalani rehabilitasi medis dan rehabilitasi sosial. Kaitan ini diharapkan penyalahguna narkoba akan dijerat dengan pasal penyalahguna saja (Pasal 127 Undang Undang No. 35 Tahun 2009 </w:t>
      </w:r>
      <w:r>
        <w:rPr>
          <w:rFonts w:eastAsia="TimesNewRoman"/>
          <w:color w:val="000000"/>
        </w:rPr>
        <w:lastRenderedPageBreak/>
        <w:t>tentang Narkotika), dan selanjutnya hakim menggunakan Pasal 103 Undang-Undang No. 35 Tahun 2009 tentang Narkotika di mana hakim dapat memutus atau menetapkan untuk memerintahkan pecandu menjalani rehabilitasi.</w:t>
      </w:r>
    </w:p>
    <w:p w:rsidR="007E55E9" w:rsidRDefault="007E55E9" w:rsidP="007E55E9">
      <w:pPr>
        <w:autoSpaceDE w:val="0"/>
        <w:autoSpaceDN w:val="0"/>
        <w:adjustRightInd w:val="0"/>
        <w:spacing w:line="444" w:lineRule="auto"/>
        <w:ind w:firstLine="709"/>
        <w:jc w:val="both"/>
        <w:rPr>
          <w:color w:val="000000"/>
        </w:rPr>
      </w:pPr>
      <w:r>
        <w:rPr>
          <w:color w:val="000000"/>
        </w:rPr>
        <w:t>Perkembangan yang ada di dunia saat ini menunjukkan terjadinya kecenderungan perubahan kuat dalam memandang para pengguna narkotika yang tidak lagi dilihat sebagai pelaku kriminal, namun sebagai korban atau pasien yang harus diberi empati.</w:t>
      </w:r>
      <w:r>
        <w:rPr>
          <w:rStyle w:val="FootnoteReference"/>
          <w:color w:val="000000"/>
        </w:rPr>
        <w:footnoteReference w:id="8"/>
      </w:r>
      <w:r>
        <w:rPr>
          <w:color w:val="000000"/>
        </w:rPr>
        <w:t>Apabila seorang pecandu narkotika telah divonis bersalah oleh hakim atas tindak pidana narkotika yang dilakukannya, untuk memberikan kesempatan kepada yang bersangkutan agar terbebas dari kecanduannya, hakim dapat memutuskan untuk memerintahkan yang bersangkutan menjalani pengobatan dan/atau perawatan.Begitu pula, apabila pecandu narkotika tidak terbukti bersalah atas tuduhan melakukan tindak pidana narkotika, dalam arti hanya sebagai pengguna narkotika yang termakan bujukan, hakim dapat menetapkan untuk memerintahkan yang bersangkutan menjalani pengobatan dan/atau perawatan.</w:t>
      </w:r>
      <w:r>
        <w:rPr>
          <w:rStyle w:val="FootnoteReference"/>
          <w:color w:val="000000"/>
        </w:rPr>
        <w:footnoteReference w:id="9"/>
      </w:r>
    </w:p>
    <w:p w:rsidR="007E55E9" w:rsidRDefault="007E55E9" w:rsidP="007E55E9">
      <w:pPr>
        <w:autoSpaceDE w:val="0"/>
        <w:autoSpaceDN w:val="0"/>
        <w:adjustRightInd w:val="0"/>
        <w:spacing w:line="480" w:lineRule="auto"/>
        <w:ind w:firstLine="709"/>
        <w:jc w:val="both"/>
        <w:rPr>
          <w:color w:val="000000"/>
        </w:rPr>
      </w:pPr>
      <w:r>
        <w:rPr>
          <w:color w:val="000000"/>
        </w:rPr>
        <w:t>Pemidanaan terhadap pelaku pengguna narkoba tidak dapat dipisahkan dari sistem pemidanaan yang dianut oleh sistem hukum di Indonesia.Tujuan sistem pemidanaan pada hakekatnya merupakan operasionalisasi penegakan hukum yang dijalankan oleh sistem peradilan berdasarkan perangkat hukum yang mengatur berupa kriminalisasi penyalahgunaan dan peredaran gelap narkoba yakni Undang-Undang Nomor 35 Tahun 2009 tentang Narkotika.</w:t>
      </w:r>
      <w:r>
        <w:rPr>
          <w:rStyle w:val="FootnoteReference"/>
          <w:color w:val="000000"/>
        </w:rPr>
        <w:footnoteReference w:id="10"/>
      </w:r>
    </w:p>
    <w:p w:rsidR="007E55E9" w:rsidRDefault="007E55E9" w:rsidP="007E55E9">
      <w:pPr>
        <w:autoSpaceDE w:val="0"/>
        <w:autoSpaceDN w:val="0"/>
        <w:adjustRightInd w:val="0"/>
        <w:spacing w:line="456" w:lineRule="auto"/>
        <w:ind w:firstLine="709"/>
        <w:jc w:val="both"/>
        <w:rPr>
          <w:color w:val="000000"/>
        </w:rPr>
      </w:pPr>
      <w:r>
        <w:rPr>
          <w:color w:val="000000"/>
        </w:rPr>
        <w:lastRenderedPageBreak/>
        <w:t xml:space="preserve">Sanksi pidana yang dijatuhkan kepada pecandu narkotika sebagai </w:t>
      </w:r>
      <w:r>
        <w:rPr>
          <w:i/>
          <w:iCs/>
          <w:color w:val="000000"/>
        </w:rPr>
        <w:t xml:space="preserve">self victimizing victims </w:t>
      </w:r>
      <w:r>
        <w:rPr>
          <w:color w:val="000000"/>
        </w:rPr>
        <w:t>adalah dalam bentuk menjalani masa hukuman dalam penjara, sedangkan sanksi tindakan yang diberikan kepada pecandu narkotika sebagai korban adalah berupa pengobatan dan/atau perawatan yang diselenggarakan dalam bentuk fasilitas rehabilitasi.Sistem pelaksanaannya adalah masa pengobatan dan/atau perawatan dihitung sebagai masa menjalani hukuman.</w:t>
      </w:r>
      <w:r>
        <w:rPr>
          <w:rStyle w:val="FootnoteReference"/>
          <w:color w:val="000000"/>
        </w:rPr>
        <w:footnoteReference w:id="11"/>
      </w:r>
    </w:p>
    <w:p w:rsidR="007E55E9" w:rsidRDefault="007E55E9" w:rsidP="007E55E9">
      <w:pPr>
        <w:autoSpaceDE w:val="0"/>
        <w:autoSpaceDN w:val="0"/>
        <w:adjustRightInd w:val="0"/>
        <w:spacing w:line="456" w:lineRule="auto"/>
        <w:ind w:firstLine="709"/>
        <w:jc w:val="both"/>
        <w:rPr>
          <w:color w:val="000000"/>
        </w:rPr>
      </w:pPr>
      <w:r>
        <w:rPr>
          <w:color w:val="000000"/>
        </w:rPr>
        <w:t xml:space="preserve">Undang-Undang Nomor 35 Tahun 2009 tentang Narkotika telah menganut </w:t>
      </w:r>
      <w:r>
        <w:rPr>
          <w:i/>
          <w:iCs/>
          <w:color w:val="000000"/>
        </w:rPr>
        <w:t xml:space="preserve">double track system </w:t>
      </w:r>
      <w:r>
        <w:rPr>
          <w:color w:val="000000"/>
        </w:rPr>
        <w:t>dalam perumusan sanksi terhadap tindak pidana penyalahgunaan narkotika, meskipun masih bersifat kebebasan bagi hakim dalam menjatuhkan vonis atau putusannya dalam menangani perkara pengguna/pecandu narkotika, berdasarkan keyakinan hakim dalam hal memberikan sanksi tindakan.</w:t>
      </w:r>
    </w:p>
    <w:p w:rsidR="007E55E9" w:rsidRDefault="007E55E9" w:rsidP="007E55E9">
      <w:pPr>
        <w:autoSpaceDE w:val="0"/>
        <w:autoSpaceDN w:val="0"/>
        <w:adjustRightInd w:val="0"/>
        <w:spacing w:line="480" w:lineRule="auto"/>
        <w:ind w:firstLine="709"/>
        <w:jc w:val="both"/>
        <w:rPr>
          <w:color w:val="000000"/>
        </w:rPr>
      </w:pPr>
      <w:r>
        <w:rPr>
          <w:color w:val="000000"/>
        </w:rPr>
        <w:t xml:space="preserve">Perumusan sanksi terhadap tindak pidana penyalahgunaan narkotika dalam Undang-Undang Nomor 35 Tahun 2009 tentang Narkotika mengacu pada </w:t>
      </w:r>
      <w:r>
        <w:rPr>
          <w:i/>
          <w:iCs/>
          <w:color w:val="000000"/>
        </w:rPr>
        <w:t>double track system</w:t>
      </w:r>
      <w:r>
        <w:rPr>
          <w:color w:val="000000"/>
        </w:rPr>
        <w:t xml:space="preserve">, karena berdasarkan tinjauan victimologi bahwa pecandu narkotika adalah sebagai </w:t>
      </w:r>
      <w:r>
        <w:rPr>
          <w:i/>
          <w:iCs/>
          <w:color w:val="000000"/>
        </w:rPr>
        <w:t xml:space="preserve">self victimizing victims </w:t>
      </w:r>
      <w:r>
        <w:rPr>
          <w:color w:val="000000"/>
        </w:rPr>
        <w:t xml:space="preserve">yaitu korban sebagai pelaku, victimologi tetap menetapkan penyalahgunaan narkotika sebagai korban, meskipun korban dari tindak pidana/kejahatan yang dilakukannya sendiri. Oleh karena itu, maka pecandu narkotika yang juga sebagai korban patut untuk mendapat perlindungan.Namun, karena pecandu narkotika juga sebagai pelaku suatu tindak pidana atau kejahatan maka juga harus tetap dihukum, oleh karena hal inilah maka dikatakan bahwa </w:t>
      </w:r>
      <w:r>
        <w:rPr>
          <w:i/>
          <w:iCs/>
          <w:color w:val="000000"/>
        </w:rPr>
        <w:t xml:space="preserve">double track system </w:t>
      </w:r>
      <w:r>
        <w:rPr>
          <w:color w:val="000000"/>
        </w:rPr>
        <w:t>dalam perumusan sanksi terhadap tindak pidana penyalahgunaan narkotika adalah paling tepat.</w:t>
      </w:r>
      <w:r>
        <w:rPr>
          <w:rStyle w:val="FootnoteReference"/>
          <w:color w:val="000000"/>
        </w:rPr>
        <w:footnoteReference w:id="12"/>
      </w:r>
    </w:p>
    <w:p w:rsidR="007E55E9" w:rsidRDefault="007E55E9" w:rsidP="007E55E9">
      <w:pPr>
        <w:autoSpaceDE w:val="0"/>
        <w:autoSpaceDN w:val="0"/>
        <w:adjustRightInd w:val="0"/>
        <w:spacing w:line="480" w:lineRule="auto"/>
        <w:ind w:firstLine="709"/>
        <w:jc w:val="both"/>
        <w:rPr>
          <w:color w:val="000000"/>
        </w:rPr>
      </w:pPr>
      <w:r>
        <w:rPr>
          <w:i/>
          <w:iCs/>
          <w:color w:val="000000"/>
        </w:rPr>
        <w:lastRenderedPageBreak/>
        <w:t xml:space="preserve">Double track system </w:t>
      </w:r>
      <w:r>
        <w:rPr>
          <w:color w:val="000000"/>
        </w:rPr>
        <w:t>dalam perumusan sanksi terhadap penyalahgunaan narkotika merupakan kebijakan hukum pidana dalam formulasi ketentuan-ketentuan yang mengatur mengenai sanksi yang diberikan kepada pelaku penyalahgunaan narkotika, yakni berupa sanksi pidana dan sanksi tindakan mengingat pelaku penyalahgunaan narkotika memiliki posisi yang sedikit berbeda dengan pelaku tindak pidana lainnya. Di satu sisi merupakan pelaku tindak pidana yang harus dihukum, namun di sisi lain merupakan korban dari tindak pidana yang dilakukannya itu sendiri, sehingga perlu dilakukan suatu tindakan berupa rehabilitasi. Penentuan sanksi terhadap pecandu narkotika, apakah akan diterapkan sanksi pidana atau sanksi tindakan, penentuannya berada di tangan hakim.</w:t>
      </w:r>
      <w:r>
        <w:rPr>
          <w:rStyle w:val="FootnoteReference"/>
          <w:color w:val="000000"/>
        </w:rPr>
        <w:footnoteReference w:id="13"/>
      </w:r>
    </w:p>
    <w:p w:rsidR="007E55E9" w:rsidRDefault="007E55E9" w:rsidP="007E55E9">
      <w:pPr>
        <w:pStyle w:val="BodyText"/>
        <w:ind w:firstLine="748"/>
        <w:rPr>
          <w:rFonts w:ascii="Times New Roman" w:hAnsi="Times New Roman"/>
          <w:color w:val="000000"/>
          <w:szCs w:val="24"/>
        </w:rPr>
      </w:pPr>
      <w:r>
        <w:rPr>
          <w:rFonts w:ascii="Times New Roman" w:hAnsi="Times New Roman"/>
          <w:color w:val="000000"/>
          <w:szCs w:val="24"/>
        </w:rPr>
        <w:t>Rehabilitasi merupakan salah satu bentuk sanksi tindakan dan hal ini sesuai dengan Pasal 103 Undang-Undang Narkotika ditegaskan bahwa hakim dapat memutus atau menetapkan pecandu narkoba untuk menjalani pengobatan dan atau perawatan.Masa menjalani pengobatan dan atau perawatan diperhitungkan sebagai masa menjalani pidana.Hal ini selaras dengan salah satu tujuan dibentuknya Undang-Undang Narkotika yakni untuk menjamin pengaturan upaya rehabilitasi medis dan sosial bagi pecandu narkotika.</w:t>
      </w:r>
      <w:r>
        <w:rPr>
          <w:rStyle w:val="FootnoteReference"/>
          <w:rFonts w:ascii="Times New Roman" w:hAnsi="Times New Roman"/>
          <w:color w:val="000000"/>
          <w:szCs w:val="24"/>
        </w:rPr>
        <w:footnoteReference w:id="14"/>
      </w:r>
    </w:p>
    <w:p w:rsidR="007E55E9" w:rsidRDefault="007E55E9" w:rsidP="007E55E9">
      <w:pPr>
        <w:pStyle w:val="BodyText"/>
        <w:ind w:firstLine="748"/>
        <w:rPr>
          <w:rFonts w:ascii="Times New Roman" w:hAnsi="Times New Roman"/>
          <w:color w:val="000000"/>
          <w:szCs w:val="24"/>
        </w:rPr>
      </w:pPr>
      <w:r>
        <w:rPr>
          <w:rFonts w:ascii="Times New Roman" w:hAnsi="Times New Roman"/>
          <w:color w:val="000000"/>
          <w:szCs w:val="24"/>
        </w:rPr>
        <w:t>Fakta empiris di lapangan menunjukkan bahwa hakim cenderung menjatuhkan sanksi pidana penjara pada pecandu.Akibatnya pecandu narkotika mendekam di lapas tanpa diberi kesempatan untuk direhabilitasi, sehingga pelaksanaan rehabilitasi belum berjalan secara maksimal.</w:t>
      </w:r>
      <w:r>
        <w:rPr>
          <w:rStyle w:val="FootnoteReference"/>
          <w:rFonts w:ascii="Times New Roman" w:hAnsi="Times New Roman"/>
          <w:color w:val="000000"/>
          <w:szCs w:val="24"/>
        </w:rPr>
        <w:footnoteReference w:id="15"/>
      </w:r>
      <w:r>
        <w:rPr>
          <w:rFonts w:ascii="Times New Roman" w:hAnsi="Times New Roman"/>
          <w:color w:val="000000"/>
          <w:szCs w:val="24"/>
        </w:rPr>
        <w:t>Melihat  situasi dan kondisi semacam ini, tentu akan berujung pada tidak selesainya persoalan narkoba, karena ini sama artinya dengan memindahkan pecandu ke dalam tembok penjara tanpa ada upaya untuk disembuhkan, bahkan dapat menjerumuskan mereka ke dalam peredaran gelap narkoba. Pada dasarnya pecandu narkoba memiliki sifat adiksi dengan tingkat relaps yang tinggi, sehingga tidak dapat pulih dengan sendirinya, mereka perlu dibantu untuk disembuhkan.</w:t>
      </w:r>
    </w:p>
    <w:p w:rsidR="007E55E9" w:rsidRDefault="007E55E9" w:rsidP="007E55E9">
      <w:pPr>
        <w:pStyle w:val="BodyText"/>
        <w:spacing w:line="504" w:lineRule="auto"/>
        <w:ind w:firstLine="748"/>
        <w:rPr>
          <w:rFonts w:ascii="Times New Roman" w:eastAsia="TimesNewRoman" w:hAnsi="Times New Roman"/>
          <w:color w:val="000000"/>
          <w:szCs w:val="24"/>
        </w:rPr>
      </w:pPr>
      <w:r>
        <w:rPr>
          <w:rFonts w:ascii="Times New Roman" w:eastAsia="TimesNewRoman" w:hAnsi="Times New Roman"/>
          <w:color w:val="000000"/>
          <w:szCs w:val="24"/>
        </w:rPr>
        <w:lastRenderedPageBreak/>
        <w:t>Undang-undang Narkotika No. 35 Tahun 2009 tentang Narkotika mewajibkan rehabilitasi bagi pengguna narkotika, namun Undang-undang Narkotika No. 35 Tahun 2009 Narkotika secara kontradiktif juga memberikan hukuman penjara bagi pecandu narkotika. Kriminalisasi terhadap pengguna narkotika terlihat dalam Bab XV Ketentuan Pidana yang diatur dalam Undang-Undang Narkotika No. 35 Tahun 2009 yang menjerat pelaku dalam semua perbuatan seperti memiliki, menguasai, menyimpan, jual beli dan lain sebagainya yang memberikan pelaku hukuman penjara bukan rehabilitasi, namun hingga saat ini tidak ada data mengenai persentase terdakwa kasus narkotika yang mendapatkan vonis penjara ataupun rehabilitasi.</w:t>
      </w:r>
      <w:r>
        <w:rPr>
          <w:rStyle w:val="FootnoteReference"/>
          <w:rFonts w:ascii="Times New Roman" w:eastAsia="TimesNewRoman" w:hAnsi="Times New Roman"/>
          <w:color w:val="000000"/>
          <w:szCs w:val="24"/>
        </w:rPr>
        <w:footnoteReference w:id="16"/>
      </w:r>
    </w:p>
    <w:p w:rsidR="007E55E9" w:rsidRDefault="007E55E9" w:rsidP="007E55E9">
      <w:pPr>
        <w:autoSpaceDE w:val="0"/>
        <w:autoSpaceDN w:val="0"/>
        <w:adjustRightInd w:val="0"/>
        <w:spacing w:line="504" w:lineRule="auto"/>
        <w:ind w:firstLine="709"/>
        <w:jc w:val="both"/>
        <w:rPr>
          <w:b/>
          <w:color w:val="000000"/>
          <w:lang w:val="fi-FI"/>
        </w:rPr>
      </w:pPr>
      <w:r>
        <w:rPr>
          <w:color w:val="000000"/>
          <w:lang w:val="fi-FI"/>
        </w:rPr>
        <w:t xml:space="preserve">Berdasarkan latar belakang yang telah diuraikan di atas, maka penulis tertarik untuk melakukan penelitian dengan judul </w:t>
      </w:r>
      <w:r>
        <w:rPr>
          <w:b/>
          <w:color w:val="000000"/>
          <w:lang w:val="fi-FI"/>
        </w:rPr>
        <w:t>”</w:t>
      </w:r>
      <w:r>
        <w:rPr>
          <w:b/>
          <w:color w:val="000000"/>
          <w:spacing w:val="4"/>
        </w:rPr>
        <w:t xml:space="preserve">Analisis Yuridis Pidana Penjara dan Rehabilitasi Terhadap Pecandu Narkotika Jenis Shabu (Studi Putusan Pengadilan Negeri </w:t>
      </w:r>
      <w:r>
        <w:rPr>
          <w:b/>
        </w:rPr>
        <w:t>Sei Rampah Nomor 9/Pid.Sus/2024/PN Srh</w:t>
      </w:r>
      <w:r>
        <w:rPr>
          <w:b/>
          <w:color w:val="000000"/>
        </w:rPr>
        <w:t>)</w:t>
      </w:r>
      <w:r>
        <w:rPr>
          <w:b/>
          <w:color w:val="000000"/>
          <w:lang w:val="fi-FI"/>
        </w:rPr>
        <w:t>”.</w:t>
      </w:r>
    </w:p>
    <w:p w:rsidR="007E55E9" w:rsidRDefault="007E55E9" w:rsidP="003B0657">
      <w:pPr>
        <w:numPr>
          <w:ilvl w:val="0"/>
          <w:numId w:val="1"/>
        </w:numPr>
        <w:tabs>
          <w:tab w:val="num" w:pos="360"/>
        </w:tabs>
        <w:spacing w:line="480" w:lineRule="auto"/>
        <w:ind w:left="360"/>
        <w:jc w:val="both"/>
        <w:rPr>
          <w:b/>
          <w:color w:val="000000"/>
          <w:lang w:val="fi-FI"/>
        </w:rPr>
      </w:pPr>
      <w:r>
        <w:rPr>
          <w:b/>
          <w:color w:val="000000"/>
          <w:lang w:val="fi-FI"/>
        </w:rPr>
        <w:t>Perumusan Masalah</w:t>
      </w:r>
    </w:p>
    <w:p w:rsidR="007E55E9" w:rsidRDefault="007E55E9" w:rsidP="007E55E9">
      <w:pPr>
        <w:spacing w:line="480" w:lineRule="auto"/>
        <w:ind w:firstLine="720"/>
        <w:jc w:val="both"/>
        <w:rPr>
          <w:color w:val="000000"/>
          <w:lang w:val="fi-FI"/>
        </w:rPr>
      </w:pPr>
      <w:r>
        <w:rPr>
          <w:color w:val="000000"/>
          <w:lang w:val="fi-FI"/>
        </w:rPr>
        <w:t>Berdasarkan latar belakang yang telah diuraikan di atas, maka permasalahan dalam penelitian ini dirumuskan dalam suatu pertanyaan penelitian sebagai berikut :</w:t>
      </w:r>
    </w:p>
    <w:p w:rsidR="007E55E9" w:rsidRDefault="007E55E9" w:rsidP="003B0657">
      <w:pPr>
        <w:numPr>
          <w:ilvl w:val="0"/>
          <w:numId w:val="2"/>
        </w:numPr>
        <w:tabs>
          <w:tab w:val="num" w:pos="360"/>
        </w:tabs>
        <w:autoSpaceDE w:val="0"/>
        <w:autoSpaceDN w:val="0"/>
        <w:adjustRightInd w:val="0"/>
        <w:spacing w:line="480" w:lineRule="auto"/>
        <w:ind w:left="360"/>
        <w:jc w:val="both"/>
        <w:rPr>
          <w:color w:val="000000"/>
          <w:lang w:val="sv-SE"/>
        </w:rPr>
      </w:pPr>
      <w:r>
        <w:rPr>
          <w:color w:val="000000"/>
          <w:lang w:val="id-ID"/>
        </w:rPr>
        <w:t>B</w:t>
      </w:r>
      <w:r>
        <w:rPr>
          <w:color w:val="000000"/>
        </w:rPr>
        <w:t>agaimana ketentuan sanksi pidana penjara dan rehabilitasi terhadap pecandu narkotika jenis shabu  dalam Undang-Undang Nomor 35 Tahun 2009 Tentang Narkotika ?</w:t>
      </w:r>
    </w:p>
    <w:p w:rsidR="007E55E9" w:rsidRDefault="007E55E9" w:rsidP="003B0657">
      <w:pPr>
        <w:numPr>
          <w:ilvl w:val="0"/>
          <w:numId w:val="2"/>
        </w:numPr>
        <w:tabs>
          <w:tab w:val="num" w:pos="360"/>
        </w:tabs>
        <w:spacing w:line="480" w:lineRule="auto"/>
        <w:ind w:left="360"/>
        <w:jc w:val="both"/>
        <w:rPr>
          <w:color w:val="000000"/>
          <w:lang w:val="sv-SE"/>
        </w:rPr>
      </w:pPr>
      <w:r>
        <w:rPr>
          <w:color w:val="000000"/>
          <w:lang w:val="fi-FI"/>
        </w:rPr>
        <w:lastRenderedPageBreak/>
        <w:t xml:space="preserve">Bagaimana </w:t>
      </w:r>
      <w:r>
        <w:rPr>
          <w:color w:val="000000"/>
        </w:rPr>
        <w:t xml:space="preserve">tujuan pemidanaan yang hendak dicapai melalui sanksi pidana penjara dan rehabilitasi terhadap pecandu  narkotika ? </w:t>
      </w:r>
    </w:p>
    <w:p w:rsidR="007E55E9" w:rsidRDefault="007E55E9" w:rsidP="003B0657">
      <w:pPr>
        <w:numPr>
          <w:ilvl w:val="0"/>
          <w:numId w:val="2"/>
        </w:numPr>
        <w:tabs>
          <w:tab w:val="clear" w:pos="720"/>
          <w:tab w:val="num" w:pos="360"/>
          <w:tab w:val="left" w:pos="1134"/>
          <w:tab w:val="left" w:pos="1276"/>
          <w:tab w:val="left" w:leader="dot" w:pos="7371"/>
          <w:tab w:val="center" w:pos="7797"/>
        </w:tabs>
        <w:spacing w:line="480" w:lineRule="auto"/>
        <w:ind w:left="360"/>
        <w:jc w:val="both"/>
        <w:rPr>
          <w:color w:val="000000"/>
          <w:lang w:val="sv-SE"/>
        </w:rPr>
      </w:pPr>
      <w:r>
        <w:rPr>
          <w:color w:val="000000"/>
          <w:lang w:val="sv-SE"/>
        </w:rPr>
        <w:t xml:space="preserve">Bagaimana </w:t>
      </w:r>
      <w:r>
        <w:rPr>
          <w:color w:val="000000"/>
          <w:lang w:val="id-ID"/>
        </w:rPr>
        <w:t xml:space="preserve">analisis </w:t>
      </w:r>
      <w:r>
        <w:rPr>
          <w:color w:val="000000"/>
          <w:lang w:val="sv-SE"/>
        </w:rPr>
        <w:t xml:space="preserve">pertimbangan hukum hakim dalam </w:t>
      </w:r>
      <w:r>
        <w:rPr>
          <w:color w:val="000000"/>
        </w:rPr>
        <w:t xml:space="preserve">menjatuhkan pidana penjara dan rehabilitasi </w:t>
      </w:r>
      <w:r>
        <w:rPr>
          <w:color w:val="000000"/>
          <w:lang w:val="fi-FI"/>
        </w:rPr>
        <w:t>pengguna narkotika</w:t>
      </w:r>
      <w:r>
        <w:rPr>
          <w:color w:val="000000"/>
        </w:rPr>
        <w:t xml:space="preserve">jenis shabu dalam </w:t>
      </w:r>
      <w:r>
        <w:rPr>
          <w:color w:val="000000"/>
          <w:spacing w:val="4"/>
        </w:rPr>
        <w:t xml:space="preserve">Putusan Pengadilan Negeri </w:t>
      </w:r>
      <w:r>
        <w:t>Sei Rampah Nomor 9/Pid.Sus/2024/PN Srh</w:t>
      </w:r>
      <w:r>
        <w:rPr>
          <w:color w:val="000000"/>
          <w:lang w:val="sv-SE"/>
        </w:rPr>
        <w:t>?</w:t>
      </w:r>
    </w:p>
    <w:p w:rsidR="007E55E9" w:rsidRDefault="007E55E9" w:rsidP="007E55E9">
      <w:pPr>
        <w:tabs>
          <w:tab w:val="left" w:pos="1134"/>
          <w:tab w:val="left" w:pos="1276"/>
          <w:tab w:val="left" w:leader="dot" w:pos="7371"/>
          <w:tab w:val="center" w:pos="7797"/>
        </w:tabs>
        <w:ind w:left="360"/>
        <w:jc w:val="both"/>
        <w:rPr>
          <w:color w:val="000000"/>
          <w:lang w:val="sv-SE"/>
        </w:rPr>
      </w:pPr>
    </w:p>
    <w:p w:rsidR="007E55E9" w:rsidRDefault="007E55E9" w:rsidP="003B0657">
      <w:pPr>
        <w:numPr>
          <w:ilvl w:val="0"/>
          <w:numId w:val="1"/>
        </w:numPr>
        <w:tabs>
          <w:tab w:val="num" w:pos="360"/>
        </w:tabs>
        <w:spacing w:line="480" w:lineRule="auto"/>
        <w:ind w:left="360"/>
        <w:jc w:val="both"/>
        <w:rPr>
          <w:b/>
          <w:color w:val="000000"/>
          <w:lang w:val="fi-FI"/>
        </w:rPr>
      </w:pPr>
      <w:r>
        <w:rPr>
          <w:b/>
          <w:color w:val="000000"/>
          <w:lang w:val="fi-FI"/>
        </w:rPr>
        <w:t>Tujuan Penelitian</w:t>
      </w:r>
    </w:p>
    <w:p w:rsidR="007E55E9" w:rsidRDefault="007E55E9" w:rsidP="007E55E9">
      <w:pPr>
        <w:spacing w:line="480" w:lineRule="auto"/>
        <w:ind w:firstLine="720"/>
        <w:jc w:val="both"/>
        <w:rPr>
          <w:color w:val="000000"/>
          <w:lang w:val="sv-SE"/>
        </w:rPr>
      </w:pPr>
      <w:r>
        <w:rPr>
          <w:color w:val="000000"/>
          <w:lang w:val="sv-SE"/>
        </w:rPr>
        <w:t>Tujuan dari penelitian ini adalah:</w:t>
      </w:r>
    </w:p>
    <w:p w:rsidR="007E55E9" w:rsidRDefault="007E55E9" w:rsidP="003B0657">
      <w:pPr>
        <w:numPr>
          <w:ilvl w:val="1"/>
          <w:numId w:val="1"/>
        </w:numPr>
        <w:tabs>
          <w:tab w:val="num" w:pos="360"/>
        </w:tabs>
        <w:spacing w:line="480" w:lineRule="auto"/>
        <w:ind w:left="360"/>
        <w:jc w:val="both"/>
        <w:rPr>
          <w:color w:val="000000"/>
          <w:lang w:val="sv-SE"/>
        </w:rPr>
      </w:pPr>
      <w:r>
        <w:rPr>
          <w:color w:val="000000"/>
          <w:lang w:val="sv-SE"/>
        </w:rPr>
        <w:t xml:space="preserve">Untuk mengetahui dan menganalisis </w:t>
      </w:r>
      <w:r>
        <w:rPr>
          <w:color w:val="000000"/>
        </w:rPr>
        <w:t>ketentuan sanksi pidana penjara dan rehabilitasi terhadap pecandu narkotika jenis shabu  dalam Undang-Undang Nomor 35 Tahun 2009 Tentang Narkotika</w:t>
      </w:r>
      <w:r>
        <w:rPr>
          <w:color w:val="000000"/>
          <w:lang w:val="fi-FI"/>
        </w:rPr>
        <w:t>.</w:t>
      </w:r>
    </w:p>
    <w:p w:rsidR="007E55E9" w:rsidRDefault="007E55E9" w:rsidP="003B0657">
      <w:pPr>
        <w:numPr>
          <w:ilvl w:val="1"/>
          <w:numId w:val="1"/>
        </w:numPr>
        <w:tabs>
          <w:tab w:val="num" w:pos="360"/>
        </w:tabs>
        <w:spacing w:line="480" w:lineRule="auto"/>
        <w:ind w:left="360"/>
        <w:jc w:val="both"/>
        <w:rPr>
          <w:color w:val="000000"/>
          <w:lang w:val="sv-SE"/>
        </w:rPr>
      </w:pPr>
      <w:r>
        <w:rPr>
          <w:color w:val="000000"/>
          <w:lang w:val="sv-SE"/>
        </w:rPr>
        <w:t xml:space="preserve">Untuk mengetahui dan menganalisis </w:t>
      </w:r>
      <w:r>
        <w:rPr>
          <w:color w:val="000000"/>
        </w:rPr>
        <w:t>tujuan pemidanaan yang hendak dicapai melalui sanksi pidana penjara dan rehabilitasi terhadap pecandu  narkotika</w:t>
      </w:r>
      <w:r>
        <w:rPr>
          <w:color w:val="000000"/>
          <w:lang w:val="sv-SE"/>
        </w:rPr>
        <w:t>.</w:t>
      </w:r>
    </w:p>
    <w:p w:rsidR="007E55E9" w:rsidRDefault="007E55E9" w:rsidP="003B0657">
      <w:pPr>
        <w:numPr>
          <w:ilvl w:val="1"/>
          <w:numId w:val="1"/>
        </w:numPr>
        <w:tabs>
          <w:tab w:val="num" w:pos="360"/>
        </w:tabs>
        <w:spacing w:line="480" w:lineRule="auto"/>
        <w:ind w:left="360"/>
        <w:jc w:val="both"/>
        <w:rPr>
          <w:color w:val="000000"/>
          <w:lang w:val="sv-SE"/>
        </w:rPr>
      </w:pPr>
      <w:r>
        <w:rPr>
          <w:color w:val="000000"/>
          <w:lang w:val="sv-SE"/>
        </w:rPr>
        <w:t xml:space="preserve">Untuk mengetahui dan menganalisis pertimbangan hukum hakim dalam </w:t>
      </w:r>
      <w:r>
        <w:rPr>
          <w:color w:val="000000"/>
        </w:rPr>
        <w:t xml:space="preserve">menjatuhkan pidana penjara dan rehabilitasi </w:t>
      </w:r>
      <w:r>
        <w:rPr>
          <w:color w:val="000000"/>
          <w:lang w:val="fi-FI"/>
        </w:rPr>
        <w:t>pengguna narkotika</w:t>
      </w:r>
      <w:r>
        <w:rPr>
          <w:color w:val="000000"/>
        </w:rPr>
        <w:t xml:space="preserve">jenis shabu dalam </w:t>
      </w:r>
      <w:r>
        <w:rPr>
          <w:color w:val="000000"/>
          <w:spacing w:val="4"/>
        </w:rPr>
        <w:t xml:space="preserve">Putusan Pengadilan Negeri </w:t>
      </w:r>
      <w:r>
        <w:t>Sei Rampah Nomor 9/Pid.Sus/2024/PN Srh</w:t>
      </w:r>
      <w:r>
        <w:rPr>
          <w:color w:val="000000"/>
          <w:lang w:val="sv-SE"/>
        </w:rPr>
        <w:t>.</w:t>
      </w:r>
    </w:p>
    <w:p w:rsidR="007E55E9" w:rsidRDefault="007E55E9" w:rsidP="003B0657">
      <w:pPr>
        <w:numPr>
          <w:ilvl w:val="0"/>
          <w:numId w:val="1"/>
        </w:numPr>
        <w:tabs>
          <w:tab w:val="num" w:pos="360"/>
        </w:tabs>
        <w:spacing w:line="480" w:lineRule="auto"/>
        <w:ind w:left="360"/>
        <w:jc w:val="both"/>
        <w:rPr>
          <w:b/>
          <w:color w:val="000000"/>
          <w:lang w:val="fi-FI"/>
        </w:rPr>
      </w:pPr>
      <w:r>
        <w:rPr>
          <w:b/>
          <w:color w:val="000000"/>
          <w:lang w:val="fi-FI"/>
        </w:rPr>
        <w:t>Manfaat Penelitian</w:t>
      </w:r>
    </w:p>
    <w:p w:rsidR="007E55E9" w:rsidRDefault="007E55E9" w:rsidP="007E55E9">
      <w:pPr>
        <w:spacing w:line="480" w:lineRule="auto"/>
        <w:ind w:firstLine="709"/>
        <w:jc w:val="both"/>
        <w:rPr>
          <w:color w:val="000000"/>
          <w:lang w:val="fi-FI"/>
        </w:rPr>
      </w:pPr>
      <w:r>
        <w:rPr>
          <w:color w:val="000000"/>
          <w:lang w:val="fi-FI"/>
        </w:rPr>
        <w:t>Manfaat dalam penelitian ini adalah sebagai berikut :</w:t>
      </w:r>
    </w:p>
    <w:p w:rsidR="007E55E9" w:rsidRDefault="007E55E9" w:rsidP="003B0657">
      <w:pPr>
        <w:numPr>
          <w:ilvl w:val="1"/>
          <w:numId w:val="1"/>
        </w:numPr>
        <w:tabs>
          <w:tab w:val="num" w:pos="360"/>
        </w:tabs>
        <w:autoSpaceDE w:val="0"/>
        <w:autoSpaceDN w:val="0"/>
        <w:adjustRightInd w:val="0"/>
        <w:spacing w:line="480" w:lineRule="auto"/>
        <w:ind w:left="360"/>
        <w:jc w:val="both"/>
        <w:rPr>
          <w:color w:val="000000"/>
        </w:rPr>
      </w:pPr>
      <w:r>
        <w:rPr>
          <w:color w:val="000000"/>
        </w:rPr>
        <w:t xml:space="preserve">Secara teoritis, penelitian ini bermanfaat memberikan masukan sekaligus menambah kajian untuk ilmu pengetahuan dan literatur dalam dunia akademis, khususnya dalam hal yang berhubungan dengan tindak pidana narkotika dengan kewenangan hakim dalam menjatuhkan pidana penjara dan pemberian rehabilitasi terhadap pecandu narkotika. Selain itu dapat juga dijadikan bahan </w:t>
      </w:r>
      <w:r>
        <w:rPr>
          <w:color w:val="000000"/>
        </w:rPr>
        <w:lastRenderedPageBreak/>
        <w:t>kajian lebih lanjut untuk melahirkan konsep ilmiah yang dapat memberikan sumbangan bagi perkembangan hukum di Indonesia.</w:t>
      </w:r>
    </w:p>
    <w:p w:rsidR="007E55E9" w:rsidRDefault="007E55E9" w:rsidP="003B0657">
      <w:pPr>
        <w:numPr>
          <w:ilvl w:val="1"/>
          <w:numId w:val="1"/>
        </w:numPr>
        <w:tabs>
          <w:tab w:val="num" w:pos="360"/>
        </w:tabs>
        <w:spacing w:line="480" w:lineRule="auto"/>
        <w:ind w:left="360"/>
        <w:jc w:val="both"/>
        <w:rPr>
          <w:color w:val="000000"/>
          <w:lang w:val="fi-FI"/>
        </w:rPr>
      </w:pPr>
      <w:r>
        <w:rPr>
          <w:color w:val="000000"/>
          <w:lang w:val="fi-FI"/>
        </w:rPr>
        <w:t>Manfaat praktis :</w:t>
      </w:r>
    </w:p>
    <w:p w:rsidR="007E55E9" w:rsidRDefault="007E55E9" w:rsidP="003B0657">
      <w:pPr>
        <w:pStyle w:val="ListParagraph"/>
        <w:numPr>
          <w:ilvl w:val="2"/>
          <w:numId w:val="1"/>
        </w:numPr>
        <w:autoSpaceDE w:val="0"/>
        <w:autoSpaceDN w:val="0"/>
        <w:adjustRightInd w:val="0"/>
        <w:ind w:left="720"/>
        <w:rPr>
          <w:rFonts w:ascii="Times New Roman" w:hAnsi="Times New Roman"/>
          <w:color w:val="000000"/>
          <w:sz w:val="24"/>
          <w:szCs w:val="24"/>
          <w:lang w:val="fi-FI"/>
        </w:rPr>
      </w:pPr>
      <w:r>
        <w:rPr>
          <w:rFonts w:ascii="Times New Roman" w:hAnsi="Times New Roman"/>
          <w:color w:val="000000"/>
          <w:sz w:val="24"/>
          <w:szCs w:val="24"/>
          <w:lang w:val="en-US"/>
        </w:rPr>
        <w:t>P</w:t>
      </w:r>
      <w:r>
        <w:rPr>
          <w:rFonts w:ascii="Times New Roman" w:hAnsi="Times New Roman"/>
          <w:color w:val="000000"/>
          <w:sz w:val="24"/>
          <w:szCs w:val="24"/>
        </w:rPr>
        <w:t>enelitian in dapat memberi masukan bagi lembaga hukum di kalangan masyarakat sebagai bahan informasi bagi semua kalangan yang berkaitan dengan penegakan hukum maupun perkembangan ilmu hukum khususnya mahasiswa fakultas hukum yang ingin mengetahui banyak tentang ilmu yang berkaitan dengan narkotika dan kewenangan hakim dalam</w:t>
      </w:r>
      <w:r>
        <w:rPr>
          <w:rFonts w:ascii="Times New Roman" w:hAnsi="Times New Roman"/>
          <w:color w:val="000000"/>
          <w:sz w:val="24"/>
          <w:szCs w:val="24"/>
          <w:lang w:val="en-US"/>
        </w:rPr>
        <w:t xml:space="preserve"> menjatuhkan pidana penjara dan</w:t>
      </w:r>
      <w:r>
        <w:rPr>
          <w:rFonts w:ascii="Times New Roman" w:hAnsi="Times New Roman"/>
          <w:color w:val="000000"/>
          <w:sz w:val="24"/>
          <w:szCs w:val="24"/>
        </w:rPr>
        <w:t xml:space="preserve"> pemberianrehabilitasi terhadap </w:t>
      </w:r>
      <w:r>
        <w:rPr>
          <w:rFonts w:ascii="Times New Roman" w:hAnsi="Times New Roman"/>
          <w:color w:val="000000"/>
          <w:sz w:val="24"/>
          <w:szCs w:val="24"/>
          <w:lang w:val="en-US"/>
        </w:rPr>
        <w:t>pecandu n</w:t>
      </w:r>
      <w:r>
        <w:rPr>
          <w:rFonts w:ascii="Times New Roman" w:hAnsi="Times New Roman"/>
          <w:color w:val="000000"/>
          <w:sz w:val="24"/>
          <w:szCs w:val="24"/>
        </w:rPr>
        <w:t xml:space="preserve">arkotika. </w:t>
      </w:r>
    </w:p>
    <w:p w:rsidR="007E55E9" w:rsidRDefault="007E55E9" w:rsidP="003B0657">
      <w:pPr>
        <w:pStyle w:val="ListParagraph"/>
        <w:numPr>
          <w:ilvl w:val="2"/>
          <w:numId w:val="1"/>
        </w:numPr>
        <w:autoSpaceDE w:val="0"/>
        <w:autoSpaceDN w:val="0"/>
        <w:adjustRightInd w:val="0"/>
        <w:ind w:left="720"/>
        <w:rPr>
          <w:rFonts w:ascii="Times New Roman" w:hAnsi="Times New Roman"/>
          <w:color w:val="000000"/>
          <w:sz w:val="24"/>
          <w:szCs w:val="24"/>
          <w:lang w:val="fi-FI"/>
        </w:rPr>
      </w:pPr>
      <w:r>
        <w:rPr>
          <w:rFonts w:ascii="Times New Roman" w:hAnsi="Times New Roman"/>
          <w:color w:val="000000"/>
          <w:sz w:val="24"/>
          <w:szCs w:val="24"/>
          <w:lang w:val="fi-FI"/>
        </w:rPr>
        <w:t>Sebagai wawasan untuk memahami dan menganalisis penerapan sanksi pidana yang dikeluarkan oleh Hakim terhadap pelaku tindak pidana narkotika.</w:t>
      </w:r>
    </w:p>
    <w:p w:rsidR="00CE7FEB" w:rsidRPr="007E55E9" w:rsidRDefault="00CE7FEB" w:rsidP="007E55E9">
      <w:bookmarkStart w:id="0" w:name="_GoBack"/>
      <w:bookmarkEnd w:id="0"/>
    </w:p>
    <w:sectPr w:rsidR="00CE7FEB" w:rsidRPr="007E55E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075" w:rsidRDefault="00961075" w:rsidP="002D79FF">
      <w:r>
        <w:separator/>
      </w:r>
    </w:p>
  </w:endnote>
  <w:endnote w:type="continuationSeparator" w:id="1">
    <w:p w:rsidR="00961075" w:rsidRDefault="00961075"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61075">
    <w:pPr>
      <w:pStyle w:val="Footer"/>
      <w:jc w:val="center"/>
    </w:pPr>
  </w:p>
  <w:p w:rsidR="00630637" w:rsidRDefault="00961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075" w:rsidRDefault="00961075" w:rsidP="002D79FF">
      <w:r>
        <w:separator/>
      </w:r>
    </w:p>
  </w:footnote>
  <w:footnote w:type="continuationSeparator" w:id="1">
    <w:p w:rsidR="00961075" w:rsidRDefault="00961075" w:rsidP="002D79FF">
      <w:r>
        <w:continuationSeparator/>
      </w:r>
    </w:p>
  </w:footnote>
  <w:footnote w:id="2">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color w:val="000000"/>
          <w:sz w:val="20"/>
          <w:szCs w:val="20"/>
        </w:rPr>
        <w:t xml:space="preserve"> Sumiati, </w:t>
      </w:r>
      <w:r>
        <w:rPr>
          <w:i/>
          <w:iCs/>
          <w:color w:val="000000"/>
          <w:sz w:val="20"/>
          <w:szCs w:val="20"/>
        </w:rPr>
        <w:t>Asuhan Keperawatan Pada Klien Penyalahgunaan &amp; ketergatungan NAPZA</w:t>
      </w:r>
      <w:r>
        <w:rPr>
          <w:color w:val="000000"/>
          <w:sz w:val="20"/>
          <w:szCs w:val="20"/>
        </w:rPr>
        <w:t>, Trans Info Media, Jakatra,  2016, h. 2.</w:t>
      </w:r>
    </w:p>
  </w:footnote>
  <w:footnote w:id="3">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color w:val="000000"/>
          <w:sz w:val="20"/>
          <w:szCs w:val="20"/>
        </w:rPr>
        <w:t xml:space="preserve">Parasian Simanungkalit, </w:t>
      </w:r>
      <w:r>
        <w:rPr>
          <w:i/>
          <w:iCs/>
          <w:color w:val="000000"/>
          <w:sz w:val="20"/>
          <w:szCs w:val="20"/>
        </w:rPr>
        <w:t xml:space="preserve">Globalisasi Peredaran Narkotika dan Penanggulangannya di Indonesia, </w:t>
      </w:r>
      <w:r>
        <w:rPr>
          <w:color w:val="000000"/>
          <w:sz w:val="20"/>
          <w:szCs w:val="20"/>
        </w:rPr>
        <w:t>Yayasan Wajar Hidup, Jakarta, 2011, h.23.</w:t>
      </w:r>
    </w:p>
  </w:footnote>
  <w:footnote w:id="4">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rFonts w:eastAsia="TimesNewRoman"/>
          <w:color w:val="000000"/>
          <w:sz w:val="20"/>
          <w:szCs w:val="20"/>
        </w:rPr>
        <w:t xml:space="preserve">Sumarmo Ma’sum, </w:t>
      </w:r>
      <w:r>
        <w:rPr>
          <w:rFonts w:eastAsia="TimesNewRoman"/>
          <w:i/>
          <w:iCs/>
          <w:color w:val="000000"/>
          <w:sz w:val="20"/>
          <w:szCs w:val="20"/>
        </w:rPr>
        <w:t>Penanggulangan Bahaya Narkotika dan Ketergantungan Obat</w:t>
      </w:r>
      <w:r>
        <w:rPr>
          <w:rFonts w:eastAsia="TimesNewRoman"/>
          <w:color w:val="000000"/>
          <w:sz w:val="20"/>
          <w:szCs w:val="20"/>
        </w:rPr>
        <w:t xml:space="preserve">, Haji Masagung, </w:t>
      </w:r>
      <w:r>
        <w:rPr>
          <w:color w:val="000000"/>
          <w:sz w:val="20"/>
          <w:szCs w:val="20"/>
        </w:rPr>
        <w:t xml:space="preserve">Jakarta, </w:t>
      </w:r>
      <w:r>
        <w:rPr>
          <w:rFonts w:eastAsia="TimesNewRoman"/>
          <w:color w:val="000000"/>
          <w:sz w:val="20"/>
          <w:szCs w:val="20"/>
        </w:rPr>
        <w:t>2017, h. 7.</w:t>
      </w:r>
    </w:p>
  </w:footnote>
  <w:footnote w:id="5">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color w:val="000000"/>
          <w:sz w:val="20"/>
          <w:szCs w:val="20"/>
        </w:rPr>
        <w:t xml:space="preserve"> Dadang Hawari, </w:t>
      </w:r>
      <w:r>
        <w:rPr>
          <w:i/>
          <w:iCs/>
          <w:color w:val="000000"/>
          <w:sz w:val="20"/>
          <w:szCs w:val="20"/>
        </w:rPr>
        <w:t xml:space="preserve">Penyalahgunaan &amp; Ketergatungan Narkotika, </w:t>
      </w:r>
      <w:r>
        <w:rPr>
          <w:color w:val="000000"/>
          <w:sz w:val="20"/>
          <w:szCs w:val="20"/>
        </w:rPr>
        <w:t>Fakultas Kedoteran Universitas Indonesia, Jakarta,  2012, h. 12</w:t>
      </w:r>
    </w:p>
  </w:footnote>
  <w:footnote w:id="6">
    <w:p w:rsidR="007E55E9" w:rsidRDefault="007E55E9" w:rsidP="007E55E9">
      <w:pPr>
        <w:pStyle w:val="Default"/>
        <w:ind w:firstLine="709"/>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cs="Times New Roman"/>
          <w:sz w:val="20"/>
          <w:szCs w:val="20"/>
        </w:rPr>
        <w:t xml:space="preserve">Juliana Lisa FR dan Nengah Sutrisna, </w:t>
      </w:r>
      <w:r>
        <w:rPr>
          <w:rFonts w:ascii="Times New Roman" w:hAnsi="Times New Roman" w:cs="Times New Roman"/>
          <w:i/>
          <w:iCs/>
          <w:sz w:val="20"/>
          <w:szCs w:val="20"/>
        </w:rPr>
        <w:t>Narkotika, Psikotropika dan Gangguan Jiwa Tinjauan Kesehatan dan Hukum</w:t>
      </w:r>
      <w:r>
        <w:rPr>
          <w:rFonts w:ascii="Times New Roman" w:hAnsi="Times New Roman" w:cs="Times New Roman"/>
          <w:sz w:val="20"/>
          <w:szCs w:val="20"/>
        </w:rPr>
        <w:t>, Nuha Medika, Yogyakarta, 2013, h. 1.</w:t>
      </w:r>
    </w:p>
  </w:footnote>
  <w:footnote w:id="7">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rFonts w:eastAsia="TimesNewRoman"/>
          <w:color w:val="000000"/>
          <w:sz w:val="20"/>
          <w:szCs w:val="20"/>
        </w:rPr>
        <w:t xml:space="preserve">Dikdik M. Arief Mansur dan Elisatris Gultom, </w:t>
      </w:r>
      <w:r>
        <w:rPr>
          <w:rFonts w:eastAsia="TimesNewRoman"/>
          <w:i/>
          <w:iCs/>
          <w:color w:val="000000"/>
          <w:sz w:val="20"/>
          <w:szCs w:val="20"/>
        </w:rPr>
        <w:t>Urgensi Perlindungan Korban Kejahatan</w:t>
      </w:r>
      <w:r>
        <w:rPr>
          <w:rFonts w:eastAsia="TimesNewRoman"/>
          <w:color w:val="000000"/>
          <w:sz w:val="20"/>
          <w:szCs w:val="20"/>
        </w:rPr>
        <w:t xml:space="preserve">, Raja Grafindo Persada, </w:t>
      </w:r>
      <w:r>
        <w:rPr>
          <w:color w:val="000000"/>
          <w:sz w:val="20"/>
          <w:szCs w:val="20"/>
        </w:rPr>
        <w:t xml:space="preserve">Jakarta, </w:t>
      </w:r>
      <w:r>
        <w:rPr>
          <w:rFonts w:eastAsia="TimesNewRoman"/>
          <w:color w:val="000000"/>
          <w:sz w:val="20"/>
          <w:szCs w:val="20"/>
        </w:rPr>
        <w:t>2017, h.100</w:t>
      </w:r>
    </w:p>
  </w:footnote>
  <w:footnote w:id="8">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color w:val="000000"/>
          <w:sz w:val="20"/>
          <w:szCs w:val="20"/>
        </w:rPr>
        <w:t xml:space="preserve"> Siswanto Sumarto, </w:t>
      </w:r>
      <w:r>
        <w:rPr>
          <w:i/>
          <w:iCs/>
          <w:color w:val="000000"/>
          <w:sz w:val="20"/>
          <w:szCs w:val="20"/>
        </w:rPr>
        <w:t>Politik Hukum Undang-Undang Narkotika</w:t>
      </w:r>
      <w:r>
        <w:rPr>
          <w:color w:val="000000"/>
          <w:sz w:val="20"/>
          <w:szCs w:val="20"/>
        </w:rPr>
        <w:t>,  Rineka Cipta,  Jakarta, 2012, h. 21.</w:t>
      </w:r>
    </w:p>
  </w:footnote>
  <w:footnote w:id="9">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rFonts w:eastAsia="TimesNewRoman"/>
          <w:color w:val="000000"/>
          <w:sz w:val="20"/>
          <w:szCs w:val="20"/>
        </w:rPr>
        <w:t xml:space="preserve">O.C Kaligis &amp;Associates, </w:t>
      </w:r>
      <w:r>
        <w:rPr>
          <w:rFonts w:eastAsia="TimesNewRoman"/>
          <w:i/>
          <w:iCs/>
          <w:color w:val="000000"/>
          <w:sz w:val="20"/>
          <w:szCs w:val="20"/>
        </w:rPr>
        <w:t xml:space="preserve">Narkoba dan Peradilannya di Indonesia, </w:t>
      </w:r>
      <w:r>
        <w:rPr>
          <w:rFonts w:eastAsia="TimesNewRoman"/>
          <w:color w:val="000000"/>
          <w:sz w:val="20"/>
          <w:szCs w:val="20"/>
        </w:rPr>
        <w:t>Alumni, Bandung, 2017, h. 12</w:t>
      </w:r>
    </w:p>
  </w:footnote>
  <w:footnote w:id="10">
    <w:p w:rsidR="007E55E9" w:rsidRDefault="007E55E9" w:rsidP="007E55E9">
      <w:pPr>
        <w:pStyle w:val="FootnoteText"/>
        <w:ind w:firstLine="709"/>
        <w:jc w:val="both"/>
        <w:rPr>
          <w:color w:val="000000"/>
        </w:rPr>
      </w:pPr>
      <w:r>
        <w:rPr>
          <w:rStyle w:val="FootnoteReference"/>
          <w:color w:val="000000"/>
        </w:rPr>
        <w:footnoteRef/>
      </w:r>
      <w:r>
        <w:rPr>
          <w:color w:val="000000"/>
        </w:rPr>
        <w:t xml:space="preserve"> Dani Krisnawaty dan Eddy O.S. Hiariej, </w:t>
      </w:r>
      <w:r>
        <w:rPr>
          <w:i/>
          <w:iCs/>
          <w:color w:val="000000"/>
        </w:rPr>
        <w:t>Bunga Rampai Hukum Pidana Khusus</w:t>
      </w:r>
      <w:r>
        <w:rPr>
          <w:color w:val="000000"/>
        </w:rPr>
        <w:t>, Pena Pundi Aksara, Jakarta, 2016, h. 99</w:t>
      </w:r>
    </w:p>
  </w:footnote>
  <w:footnote w:id="11">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i/>
          <w:color w:val="000000"/>
          <w:sz w:val="20"/>
          <w:szCs w:val="20"/>
        </w:rPr>
        <w:t>Ibid</w:t>
      </w:r>
      <w:r>
        <w:rPr>
          <w:color w:val="000000"/>
          <w:sz w:val="20"/>
          <w:szCs w:val="20"/>
        </w:rPr>
        <w:t>, h.100.</w:t>
      </w:r>
    </w:p>
  </w:footnote>
  <w:footnote w:id="12">
    <w:p w:rsidR="007E55E9" w:rsidRDefault="007E55E9" w:rsidP="007E55E9">
      <w:pPr>
        <w:pStyle w:val="FootnoteText"/>
        <w:ind w:firstLine="709"/>
        <w:jc w:val="both"/>
        <w:rPr>
          <w:color w:val="000000"/>
        </w:rPr>
      </w:pPr>
      <w:r>
        <w:rPr>
          <w:rStyle w:val="FootnoteReference"/>
          <w:color w:val="000000"/>
        </w:rPr>
        <w:footnoteRef/>
      </w:r>
      <w:r>
        <w:rPr>
          <w:color w:val="000000"/>
        </w:rPr>
        <w:t xml:space="preserve"> Gatot Supramono, </w:t>
      </w:r>
      <w:r>
        <w:rPr>
          <w:i/>
          <w:iCs/>
          <w:color w:val="000000"/>
        </w:rPr>
        <w:t>Hukum Narkoba Indonesia</w:t>
      </w:r>
      <w:r>
        <w:rPr>
          <w:color w:val="000000"/>
        </w:rPr>
        <w:t>, Djambatan, Jakarta,  2014, h.31.</w:t>
      </w:r>
    </w:p>
  </w:footnote>
  <w:footnote w:id="13">
    <w:p w:rsidR="007E55E9" w:rsidRDefault="007E55E9" w:rsidP="007E55E9">
      <w:pPr>
        <w:pStyle w:val="FootnoteText"/>
        <w:ind w:firstLine="709"/>
        <w:jc w:val="both"/>
        <w:rPr>
          <w:color w:val="000000"/>
        </w:rPr>
      </w:pPr>
      <w:r>
        <w:rPr>
          <w:rStyle w:val="FootnoteReference"/>
          <w:color w:val="000000"/>
        </w:rPr>
        <w:footnoteRef/>
      </w:r>
      <w:r>
        <w:rPr>
          <w:i/>
          <w:color w:val="000000"/>
        </w:rPr>
        <w:t>Ibid</w:t>
      </w:r>
      <w:r>
        <w:rPr>
          <w:color w:val="000000"/>
        </w:rPr>
        <w:t>, h.33.</w:t>
      </w:r>
    </w:p>
  </w:footnote>
  <w:footnote w:id="14">
    <w:p w:rsidR="007E55E9" w:rsidRDefault="007E55E9" w:rsidP="007E55E9">
      <w:pPr>
        <w:pStyle w:val="FootnoteText"/>
        <w:ind w:firstLine="709"/>
        <w:jc w:val="both"/>
        <w:rPr>
          <w:color w:val="000000"/>
        </w:rPr>
      </w:pPr>
      <w:r>
        <w:rPr>
          <w:rStyle w:val="FootnoteReference"/>
          <w:color w:val="000000"/>
        </w:rPr>
        <w:footnoteRef/>
      </w:r>
      <w:r>
        <w:rPr>
          <w:color w:val="000000"/>
        </w:rPr>
        <w:t xml:space="preserve"> Siswanto Sumarto, </w:t>
      </w:r>
      <w:r>
        <w:rPr>
          <w:i/>
          <w:iCs/>
          <w:color w:val="000000"/>
        </w:rPr>
        <w:t>Penegakan Hukum Psikotropika dalam Kajian Sosiologi Hukum</w:t>
      </w:r>
      <w:r>
        <w:rPr>
          <w:color w:val="000000"/>
        </w:rPr>
        <w:t>, Rajagrafindo Persada, Jakarta, 2014, h.72.</w:t>
      </w:r>
    </w:p>
  </w:footnote>
  <w:footnote w:id="15">
    <w:p w:rsidR="007E55E9" w:rsidRDefault="007E55E9" w:rsidP="007E55E9">
      <w:pPr>
        <w:pStyle w:val="FootnoteText"/>
        <w:ind w:firstLine="709"/>
        <w:jc w:val="both"/>
        <w:rPr>
          <w:color w:val="000000"/>
        </w:rPr>
      </w:pPr>
      <w:r>
        <w:rPr>
          <w:rStyle w:val="FootnoteReference"/>
          <w:color w:val="000000"/>
        </w:rPr>
        <w:footnoteRef/>
      </w:r>
      <w:r>
        <w:rPr>
          <w:color w:val="000000"/>
        </w:rPr>
        <w:t xml:space="preserve"> BNN, “Dekriminalisasi Penyalahguna Narkotika Dalam Konstruksi Hukum Positif di Indonesia” melalui  </w:t>
      </w:r>
      <w:r>
        <w:rPr>
          <w:i/>
          <w:color w:val="000000"/>
        </w:rPr>
        <w:t>http://dedihumas.bnn.go.id</w:t>
      </w:r>
      <w:r>
        <w:rPr>
          <w:color w:val="000000"/>
        </w:rPr>
        <w:t xml:space="preserve">. diakses Senin, 3 Maret 2025 pukul 20.00 wib. </w:t>
      </w:r>
    </w:p>
  </w:footnote>
  <w:footnote w:id="16">
    <w:p w:rsidR="007E55E9" w:rsidRDefault="007E55E9" w:rsidP="007E55E9">
      <w:pPr>
        <w:autoSpaceDE w:val="0"/>
        <w:autoSpaceDN w:val="0"/>
        <w:adjustRightInd w:val="0"/>
        <w:ind w:firstLine="709"/>
        <w:jc w:val="both"/>
        <w:rPr>
          <w:color w:val="000000"/>
          <w:sz w:val="20"/>
          <w:szCs w:val="20"/>
        </w:rPr>
      </w:pPr>
      <w:r>
        <w:rPr>
          <w:rStyle w:val="FootnoteReference"/>
          <w:color w:val="000000"/>
          <w:sz w:val="20"/>
        </w:rPr>
        <w:footnoteRef/>
      </w:r>
      <w:r>
        <w:rPr>
          <w:rFonts w:eastAsia="TimesNewRoman"/>
          <w:color w:val="000000"/>
          <w:sz w:val="20"/>
          <w:szCs w:val="20"/>
        </w:rPr>
        <w:t xml:space="preserve">Albert Wirya, dkk, </w:t>
      </w:r>
      <w:r>
        <w:rPr>
          <w:rFonts w:eastAsia="TimesNewRoman"/>
          <w:i/>
          <w:iCs/>
          <w:color w:val="000000"/>
          <w:sz w:val="20"/>
          <w:szCs w:val="20"/>
        </w:rPr>
        <w:t xml:space="preserve">Di Ujung Palu Hakim: Dokumentasi Vonis Rehabilitasi, </w:t>
      </w:r>
      <w:r>
        <w:rPr>
          <w:rFonts w:eastAsia="TimesNewRoman"/>
          <w:color w:val="000000"/>
          <w:sz w:val="20"/>
          <w:szCs w:val="20"/>
        </w:rPr>
        <w:t xml:space="preserve">Lembaga Bantuan Hukum Masyarakat, </w:t>
      </w:r>
      <w:r>
        <w:rPr>
          <w:color w:val="000000"/>
          <w:sz w:val="20"/>
          <w:szCs w:val="20"/>
        </w:rPr>
        <w:t xml:space="preserve">Jakarta, </w:t>
      </w:r>
      <w:r>
        <w:rPr>
          <w:rFonts w:eastAsia="TimesNewRoman"/>
          <w:color w:val="000000"/>
          <w:sz w:val="20"/>
          <w:szCs w:val="20"/>
        </w:rPr>
        <w:t>2016, h.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6107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610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Ioo7kmVkvj4Jmq4K45OSNzGVAd8=" w:salt="qJzLMKxW0jFr2VDriN64uA=="/>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0657"/>
    <w:rsid w:val="003B7404"/>
    <w:rsid w:val="004406F7"/>
    <w:rsid w:val="004772E1"/>
    <w:rsid w:val="00490063"/>
    <w:rsid w:val="00497A5F"/>
    <w:rsid w:val="0054651A"/>
    <w:rsid w:val="00567E71"/>
    <w:rsid w:val="00574EE8"/>
    <w:rsid w:val="00581765"/>
    <w:rsid w:val="006068DC"/>
    <w:rsid w:val="0066422A"/>
    <w:rsid w:val="00674CC4"/>
    <w:rsid w:val="00676048"/>
    <w:rsid w:val="006C4D00"/>
    <w:rsid w:val="00714D7E"/>
    <w:rsid w:val="00727917"/>
    <w:rsid w:val="0073726A"/>
    <w:rsid w:val="00774478"/>
    <w:rsid w:val="00787789"/>
    <w:rsid w:val="007929DB"/>
    <w:rsid w:val="007A3857"/>
    <w:rsid w:val="007E55E9"/>
    <w:rsid w:val="007F0744"/>
    <w:rsid w:val="007F2160"/>
    <w:rsid w:val="00821922"/>
    <w:rsid w:val="008374CB"/>
    <w:rsid w:val="008538D8"/>
    <w:rsid w:val="00856B55"/>
    <w:rsid w:val="00875E9E"/>
    <w:rsid w:val="00932E1A"/>
    <w:rsid w:val="00956C4D"/>
    <w:rsid w:val="00961075"/>
    <w:rsid w:val="009725A3"/>
    <w:rsid w:val="00983722"/>
    <w:rsid w:val="009D5F3B"/>
    <w:rsid w:val="00A040A3"/>
    <w:rsid w:val="00A92261"/>
    <w:rsid w:val="00AA3A59"/>
    <w:rsid w:val="00AD02E7"/>
    <w:rsid w:val="00AE04B0"/>
    <w:rsid w:val="00AF2729"/>
    <w:rsid w:val="00B45FD9"/>
    <w:rsid w:val="00C52FF9"/>
    <w:rsid w:val="00C72C38"/>
    <w:rsid w:val="00C81419"/>
    <w:rsid w:val="00C949F5"/>
    <w:rsid w:val="00CB0398"/>
    <w:rsid w:val="00CC194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2026-04-10T08:44:00Z</dcterms:created>
  <dcterms:modified xsi:type="dcterms:W3CDTF">2026-04-10T08:44:00Z</dcterms:modified>
</cp:coreProperties>
</file>