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4A" w:rsidRDefault="0088334A" w:rsidP="0088334A">
      <w:pPr>
        <w:pStyle w:val="ListParagraph"/>
        <w:autoSpaceDE w:val="0"/>
        <w:autoSpaceDN w:val="0"/>
        <w:adjustRightInd w:val="0"/>
        <w:ind w:left="0"/>
        <w:jc w:val="center"/>
        <w:rPr>
          <w:rFonts w:ascii="Times New Roman" w:hAnsi="Times New Roman"/>
          <w:b/>
          <w:color w:val="000000"/>
          <w:sz w:val="24"/>
          <w:szCs w:val="24"/>
          <w:lang w:val="fi-FI"/>
        </w:rPr>
      </w:pPr>
      <w:r>
        <w:rPr>
          <w:rFonts w:ascii="Times New Roman" w:hAnsi="Times New Roman"/>
          <w:b/>
          <w:color w:val="000000"/>
          <w:sz w:val="24"/>
          <w:szCs w:val="24"/>
          <w:lang w:val="fi-FI"/>
        </w:rPr>
        <w:t>BAB II</w:t>
      </w:r>
    </w:p>
    <w:p w:rsidR="0088334A" w:rsidRDefault="0088334A" w:rsidP="0088334A">
      <w:pPr>
        <w:pStyle w:val="ListParagraph"/>
        <w:autoSpaceDE w:val="0"/>
        <w:autoSpaceDN w:val="0"/>
        <w:adjustRightInd w:val="0"/>
        <w:ind w:left="0"/>
        <w:jc w:val="center"/>
        <w:rPr>
          <w:rFonts w:ascii="Times New Roman" w:hAnsi="Times New Roman"/>
          <w:b/>
          <w:color w:val="000000"/>
          <w:sz w:val="24"/>
          <w:szCs w:val="24"/>
          <w:lang w:val="fi-FI"/>
        </w:rPr>
      </w:pPr>
      <w:r>
        <w:rPr>
          <w:rFonts w:ascii="Times New Roman" w:hAnsi="Times New Roman"/>
          <w:b/>
          <w:color w:val="000000"/>
          <w:sz w:val="24"/>
          <w:szCs w:val="24"/>
          <w:lang w:val="fi-FI"/>
        </w:rPr>
        <w:t>TINJAUAN PUSTAKA</w:t>
      </w:r>
    </w:p>
    <w:p w:rsidR="0088334A" w:rsidRDefault="0088334A" w:rsidP="0088334A">
      <w:pPr>
        <w:autoSpaceDE w:val="0"/>
        <w:autoSpaceDN w:val="0"/>
        <w:adjustRightInd w:val="0"/>
        <w:jc w:val="center"/>
        <w:rPr>
          <w:color w:val="000000"/>
        </w:rPr>
      </w:pPr>
    </w:p>
    <w:p w:rsidR="0088334A" w:rsidRDefault="0088334A" w:rsidP="0072150B">
      <w:pPr>
        <w:numPr>
          <w:ilvl w:val="0"/>
          <w:numId w:val="1"/>
        </w:numPr>
        <w:autoSpaceDE w:val="0"/>
        <w:autoSpaceDN w:val="0"/>
        <w:adjustRightInd w:val="0"/>
        <w:spacing w:line="480" w:lineRule="auto"/>
        <w:ind w:left="360"/>
        <w:jc w:val="both"/>
        <w:rPr>
          <w:b/>
          <w:color w:val="000000"/>
          <w:lang w:val="id-ID"/>
        </w:rPr>
      </w:pPr>
      <w:r>
        <w:rPr>
          <w:b/>
          <w:color w:val="000000"/>
        </w:rPr>
        <w:t>Penyalahgunaan</w:t>
      </w:r>
      <w:r>
        <w:rPr>
          <w:b/>
          <w:color w:val="000000"/>
          <w:lang w:val="id-ID"/>
        </w:rPr>
        <w:t xml:space="preserve"> Narkotika</w:t>
      </w:r>
    </w:p>
    <w:p w:rsidR="0088334A" w:rsidRDefault="0088334A" w:rsidP="0088334A">
      <w:pPr>
        <w:autoSpaceDE w:val="0"/>
        <w:autoSpaceDN w:val="0"/>
        <w:adjustRightInd w:val="0"/>
        <w:spacing w:line="456" w:lineRule="auto"/>
        <w:ind w:firstLine="748"/>
        <w:jc w:val="both"/>
        <w:rPr>
          <w:color w:val="000000"/>
        </w:rPr>
      </w:pPr>
      <w:r>
        <w:rPr>
          <w:color w:val="000000"/>
        </w:rPr>
        <w:t>Penyalahgunaan dan peredaran gelap narkoba merupakan permasalahan global yang sudah menjadi ancaman serius dalam kehidupan berbangsa dan bernegara. Penyalahgunaan dan peredaran gelap narkoba di Indonesia telah menyebar ke seluruh wilayah Indonesia.</w:t>
      </w:r>
      <w:r>
        <w:rPr>
          <w:rStyle w:val="FootnoteReference"/>
          <w:color w:val="000000"/>
        </w:rPr>
        <w:footnoteReference w:id="2"/>
      </w:r>
      <w:r>
        <w:rPr>
          <w:color w:val="000000"/>
        </w:rPr>
        <w:t xml:space="preserve"> Penyalahgunaan narkoba biasanya diawali dengan pemakaian pertama pada usia SD atau SMP karena tawaran, bujukan, dan tekanan seseorang atau kawan sebaya.</w:t>
      </w:r>
      <w:r>
        <w:rPr>
          <w:rStyle w:val="FootnoteReference"/>
          <w:color w:val="000000"/>
        </w:rPr>
        <w:footnoteReference w:id="3"/>
      </w:r>
    </w:p>
    <w:p w:rsidR="0088334A" w:rsidRDefault="0088334A" w:rsidP="0088334A">
      <w:pPr>
        <w:autoSpaceDE w:val="0"/>
        <w:autoSpaceDN w:val="0"/>
        <w:adjustRightInd w:val="0"/>
        <w:spacing w:line="456" w:lineRule="auto"/>
        <w:ind w:firstLine="748"/>
        <w:jc w:val="both"/>
        <w:rPr>
          <w:color w:val="000000"/>
        </w:rPr>
      </w:pPr>
      <w:r>
        <w:rPr>
          <w:color w:val="000000"/>
        </w:rPr>
        <w:t>Istilah narkoba sesuai dengan surat edaran Badan Narkotika Nasional (BNN) No SE/03/IV/2002 merupakan akronim dari narkotika, psikotropika dan bahan adiktif lainnya. Narkoba yaitu zat-zat alami maupun kimiawi yang jika dimasukan ke dalam tubuh baik dengan cara dimakan, diminum, dihirup, suntik, intravena dan lain sebagainya dapat mengubah pikiran, suasana hati, perasaan dan perilaku seseorang.</w:t>
      </w:r>
    </w:p>
    <w:p w:rsidR="0088334A" w:rsidRDefault="0088334A" w:rsidP="0088334A">
      <w:pPr>
        <w:autoSpaceDE w:val="0"/>
        <w:autoSpaceDN w:val="0"/>
        <w:adjustRightInd w:val="0"/>
        <w:spacing w:line="456" w:lineRule="auto"/>
        <w:ind w:firstLine="748"/>
        <w:jc w:val="both"/>
        <w:rPr>
          <w:color w:val="000000"/>
        </w:rPr>
      </w:pPr>
      <w:r>
        <w:rPr>
          <w:color w:val="000000"/>
        </w:rPr>
        <w:t xml:space="preserve">Kata narkotika berasal dari bahasa Inggris yaitu </w:t>
      </w:r>
      <w:r>
        <w:rPr>
          <w:i/>
          <w:color w:val="000000"/>
        </w:rPr>
        <w:t>narcotics</w:t>
      </w:r>
      <w:r>
        <w:rPr>
          <w:color w:val="000000"/>
        </w:rPr>
        <w:t xml:space="preserve"> yang berarti obat bius. Dalam bahasa Yunani  disebut dengan </w:t>
      </w:r>
      <w:r>
        <w:rPr>
          <w:i/>
          <w:color w:val="000000"/>
        </w:rPr>
        <w:t xml:space="preserve"> narkose</w:t>
      </w:r>
      <w:r>
        <w:rPr>
          <w:color w:val="000000"/>
        </w:rPr>
        <w:t xml:space="preserve"> yang berarti menidurkan atau membius.</w:t>
      </w:r>
      <w:r>
        <w:rPr>
          <w:rStyle w:val="FootnoteReference"/>
          <w:color w:val="000000"/>
        </w:rPr>
        <w:footnoteReference w:id="4"/>
      </w:r>
      <w:r>
        <w:rPr>
          <w:color w:val="000000"/>
        </w:rPr>
        <w:t xml:space="preserve"> Narkotika merupakan zat atau bahan aktif yang bekerja pada sistem saraf pusat (otak), yang dapat menyebabkan penurunan sampai hilangnya kesadaran dari rasa sakit (nyeri) serta dapat menmbulkan ketergantungan atau ketagihan. Narkotika menurut Widharto adalah zat atau obat </w:t>
      </w:r>
      <w:r>
        <w:rPr>
          <w:color w:val="000000"/>
        </w:rPr>
        <w:lastRenderedPageBreak/>
        <w:t>yang dapat menghilangkan kesadaran (bius) mengurangi dan menghilangkan rasa nyeri, dan dapat menyebabkan ketergantungan.</w:t>
      </w:r>
      <w:r>
        <w:rPr>
          <w:rStyle w:val="FootnoteReference"/>
          <w:color w:val="000000"/>
        </w:rPr>
        <w:footnoteReference w:id="5"/>
      </w:r>
      <w:r>
        <w:rPr>
          <w:color w:val="000000"/>
        </w:rPr>
        <w:t xml:space="preserve"> Menurut Achmad Kabain bahwa narkotika adalah zat-zat alamiah maupun buatan (sintetik) dari bahan candu/kokania atau turunannya dan padanannya.</w:t>
      </w:r>
      <w:r>
        <w:rPr>
          <w:rStyle w:val="FootnoteReference"/>
          <w:color w:val="000000"/>
        </w:rPr>
        <w:footnoteReference w:id="6"/>
      </w:r>
    </w:p>
    <w:p w:rsidR="0088334A" w:rsidRDefault="0088334A" w:rsidP="0088334A">
      <w:pPr>
        <w:autoSpaceDE w:val="0"/>
        <w:autoSpaceDN w:val="0"/>
        <w:adjustRightInd w:val="0"/>
        <w:spacing w:line="480" w:lineRule="auto"/>
        <w:ind w:firstLine="748"/>
        <w:jc w:val="both"/>
        <w:rPr>
          <w:color w:val="000000"/>
        </w:rPr>
      </w:pPr>
      <w:r>
        <w:rPr>
          <w:color w:val="000000"/>
        </w:rPr>
        <w:t>Ketentuan umum Undang-Undang Narkotika menyebutkan bahwa pengertian narkotika adalah zat atau obat yang berasal dari tanaman atau bukan tanaman, baik sintetis maupun semisintetis, yang dapat menyebabkan penurunan atau perubahan kesadaran, hilangnya rasa, mengurangi sampai menghilangkan rasa nyeri, dan dapat menimbulkan ketergantungan.</w:t>
      </w:r>
      <w:r>
        <w:rPr>
          <w:rStyle w:val="FootnoteReference"/>
          <w:color w:val="000000"/>
        </w:rPr>
        <w:footnoteReference w:id="7"/>
      </w:r>
    </w:p>
    <w:p w:rsidR="0088334A" w:rsidRDefault="0088334A" w:rsidP="0088334A">
      <w:pPr>
        <w:autoSpaceDE w:val="0"/>
        <w:autoSpaceDN w:val="0"/>
        <w:adjustRightInd w:val="0"/>
        <w:spacing w:line="480" w:lineRule="auto"/>
        <w:ind w:firstLine="748"/>
        <w:jc w:val="both"/>
        <w:rPr>
          <w:color w:val="000000"/>
          <w:lang w:val="id-ID"/>
        </w:rPr>
      </w:pPr>
      <w:r>
        <w:rPr>
          <w:color w:val="000000"/>
        </w:rPr>
        <w:t>Begitu bahayanya akibat yang dapat ditimbulkan oleh penyalahgunaan narkotika, sehingga dalam Pasal 114 ayat (1) Undang-Undang Narkotika menyatakan bahwa setiap orang yang tanpa hak atau melawan hukum menawarkan untuk dijual, menjual, membeli, menerima, menjadi perantara dalam jual beli, menukar, atau menyerahkan narkotika golongan I, dipidana dengan pidana penjara seumur hidup atau penjara paling singkat 5 (lima) tahun dan paling lama 20 (dua puluh) tahun dan pidana denda paling sedikit Rp 1.000.000.000 (satu miliar rupiah) dan paling banyak Rp 10.000.000.000 (sepuluh miliar rupiah).</w:t>
      </w:r>
    </w:p>
    <w:p w:rsidR="0088334A" w:rsidRDefault="0088334A" w:rsidP="0088334A">
      <w:pPr>
        <w:pStyle w:val="Default"/>
        <w:spacing w:line="480" w:lineRule="auto"/>
        <w:ind w:firstLine="720"/>
        <w:jc w:val="both"/>
        <w:rPr>
          <w:rFonts w:ascii="Times New Roman" w:hAnsi="Times New Roman" w:cs="Times New Roman"/>
          <w:lang w:val="id-ID"/>
        </w:rPr>
      </w:pPr>
      <w:r>
        <w:rPr>
          <w:rFonts w:ascii="Times New Roman" w:hAnsi="Times New Roman" w:cs="Times New Roman"/>
        </w:rPr>
        <w:t xml:space="preserve">Kemiskinan menyebabkan orang rentan terhadap penyalahgunaan dan peredaran gelap narkotika. Menurut ketentuan Pasal 1 angka 6 Undang-Undang Narkotika menyebutkan peredaran gelap narkotika adalah setiap kegiatan atau serangkaian kegiatan yang dilakukan secara tanpa hak atau melawan hukum yang </w:t>
      </w:r>
      <w:r>
        <w:rPr>
          <w:rFonts w:ascii="Times New Roman" w:hAnsi="Times New Roman" w:cs="Times New Roman"/>
        </w:rPr>
        <w:lastRenderedPageBreak/>
        <w:t xml:space="preserve">ditetapkan sebagai tindak pidana narkotika dan prekusor narkotika (bahan dasar pembuatan narkotika). </w:t>
      </w:r>
    </w:p>
    <w:p w:rsidR="0088334A" w:rsidRDefault="0088334A" w:rsidP="0088334A">
      <w:pPr>
        <w:pStyle w:val="Default"/>
        <w:spacing w:line="456" w:lineRule="auto"/>
        <w:ind w:firstLine="720"/>
        <w:jc w:val="both"/>
        <w:rPr>
          <w:rFonts w:ascii="Times New Roman" w:hAnsi="Times New Roman" w:cs="Times New Roman"/>
        </w:rPr>
      </w:pPr>
      <w:r>
        <w:rPr>
          <w:rFonts w:ascii="Times New Roman" w:hAnsi="Times New Roman" w:cs="Times New Roman"/>
        </w:rPr>
        <w:t xml:space="preserve">Penggunaan narkotika secara ilegal di seluruh dunia termasuk Indonesia menunjukkan peningkatan tajam merasuki semua bangsa dan umat semua agama, sehingga benar-benar mengkhawatirkan. Di tanah air sekarang penyalahgunaan narkotika sudah merambah di seluruh pelosok tanah air, segala lapisan sosial ekonomi, tempat hiburan, tempat kerja, hotel, dan lain-lain. </w:t>
      </w:r>
    </w:p>
    <w:p w:rsidR="0088334A" w:rsidRDefault="0088334A" w:rsidP="0088334A">
      <w:pPr>
        <w:pStyle w:val="Default"/>
        <w:spacing w:line="456" w:lineRule="auto"/>
        <w:ind w:firstLine="720"/>
        <w:jc w:val="both"/>
        <w:rPr>
          <w:rFonts w:ascii="Times New Roman" w:hAnsi="Times New Roman" w:cs="Times New Roman"/>
        </w:rPr>
      </w:pPr>
      <w:r>
        <w:rPr>
          <w:rFonts w:ascii="Times New Roman" w:hAnsi="Times New Roman" w:cs="Times New Roman"/>
        </w:rPr>
        <w:t>Penyalahgunaan narkotika saat ini sudah memasuki kelompok remaja dan kaum muda bukan hanya di negara-negara industri maju dan bangsa-bansa yang kaya, tetapi juga kelompok remaja dan kaum muda di perkotaan maupun di pedesaan.  Penyalahgunaan narkotika adalah penggunaan salah satu beberapa jenis narkotika yang dilakukan tanpa aturan kesehatan maupun secara berkala atau teratur sehingga menimbulkan gangguan kesehatan maupun jasmani jiwa dan fungsi sosialnya.</w:t>
      </w:r>
    </w:p>
    <w:p w:rsidR="0088334A" w:rsidRDefault="0088334A" w:rsidP="0088334A">
      <w:pPr>
        <w:pStyle w:val="Default"/>
        <w:spacing w:line="480" w:lineRule="auto"/>
        <w:ind w:firstLine="720"/>
        <w:jc w:val="both"/>
        <w:rPr>
          <w:rFonts w:ascii="Times New Roman" w:hAnsi="Times New Roman" w:cs="Times New Roman"/>
          <w:lang w:val="id-ID"/>
        </w:rPr>
      </w:pPr>
      <w:r>
        <w:rPr>
          <w:rFonts w:ascii="Times New Roman" w:hAnsi="Times New Roman" w:cs="Times New Roman"/>
        </w:rPr>
        <w:t xml:space="preserve">Penyalahgunaan narkotika merupakan suatu bentuk penyimpangan perilaku. </w:t>
      </w:r>
      <w:r>
        <w:rPr>
          <w:rFonts w:ascii="Times New Roman" w:hAnsi="Times New Roman" w:cs="Times New Roman"/>
          <w:bCs/>
        </w:rPr>
        <w:t>Penyalahgunaan narkotika</w:t>
      </w:r>
      <w:r>
        <w:rPr>
          <w:rFonts w:ascii="Times New Roman" w:hAnsi="Times New Roman" w:cs="Times New Roman"/>
        </w:rPr>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88334A" w:rsidRDefault="0088334A" w:rsidP="0088334A">
      <w:pPr>
        <w:pStyle w:val="Default"/>
        <w:spacing w:line="480" w:lineRule="auto"/>
        <w:ind w:firstLine="720"/>
        <w:jc w:val="both"/>
        <w:rPr>
          <w:rFonts w:ascii="Times New Roman" w:hAnsi="Times New Roman" w:cs="Times New Roman"/>
        </w:rPr>
      </w:pPr>
      <w:r>
        <w:rPr>
          <w:rFonts w:ascii="Times New Roman" w:hAnsi="Times New Roman" w:cs="Times New Roman"/>
        </w:rPr>
        <w:t>Menurut Bagong Suyanto, secara umum penyalahgunaan narkoba terdiri dari empat tahap, yaitu tahap coba-coba, tahap pemula, tahap berkala, dan tahap tetap atau madat, yang selengkapnya adalah sebagai berikut:</w:t>
      </w:r>
    </w:p>
    <w:p w:rsidR="0088334A" w:rsidRDefault="0088334A" w:rsidP="0072150B">
      <w:pPr>
        <w:numPr>
          <w:ilvl w:val="0"/>
          <w:numId w:val="2"/>
        </w:numPr>
        <w:tabs>
          <w:tab w:val="left" w:pos="426"/>
        </w:tabs>
        <w:autoSpaceDE w:val="0"/>
        <w:autoSpaceDN w:val="0"/>
        <w:adjustRightInd w:val="0"/>
        <w:spacing w:line="480" w:lineRule="auto"/>
        <w:ind w:left="360"/>
        <w:jc w:val="both"/>
        <w:rPr>
          <w:color w:val="000000"/>
        </w:rPr>
      </w:pPr>
      <w:r>
        <w:rPr>
          <w:bCs/>
          <w:color w:val="000000"/>
        </w:rPr>
        <w:lastRenderedPageBreak/>
        <w:t>Tahap coba-coba</w:t>
      </w:r>
      <w:r>
        <w:rPr>
          <w:color w:val="000000"/>
        </w:rPr>
        <w:t>, merupakan tahap awal dalam pemakaian narkotika. Mulanya hanya mencoba, kemudian menjadi mau lagi dan lagi. Sangat sulit untuk mengenali gejala awal pemakaian narkoba ini karena tanda-tanda 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88334A" w:rsidRDefault="0088334A" w:rsidP="0072150B">
      <w:pPr>
        <w:numPr>
          <w:ilvl w:val="0"/>
          <w:numId w:val="2"/>
        </w:numPr>
        <w:tabs>
          <w:tab w:val="left" w:pos="426"/>
        </w:tabs>
        <w:autoSpaceDE w:val="0"/>
        <w:autoSpaceDN w:val="0"/>
        <w:adjustRightInd w:val="0"/>
        <w:spacing w:line="480" w:lineRule="auto"/>
        <w:ind w:left="426" w:hanging="426"/>
        <w:jc w:val="both"/>
        <w:rPr>
          <w:color w:val="000000"/>
        </w:rPr>
      </w:pPr>
      <w:r>
        <w:rPr>
          <w:bCs/>
          <w:color w:val="000000"/>
        </w:rPr>
        <w:t>Tahap pemula</w:t>
      </w:r>
      <w:r>
        <w:rPr>
          <w:color w:val="000000"/>
        </w:rPr>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88334A" w:rsidRDefault="0088334A" w:rsidP="0072150B">
      <w:pPr>
        <w:numPr>
          <w:ilvl w:val="0"/>
          <w:numId w:val="2"/>
        </w:numPr>
        <w:tabs>
          <w:tab w:val="left" w:pos="426"/>
        </w:tabs>
        <w:autoSpaceDE w:val="0"/>
        <w:autoSpaceDN w:val="0"/>
        <w:adjustRightInd w:val="0"/>
        <w:spacing w:line="480" w:lineRule="auto"/>
        <w:ind w:left="426" w:hanging="426"/>
        <w:jc w:val="both"/>
        <w:rPr>
          <w:color w:val="000000"/>
        </w:rPr>
      </w:pPr>
      <w:r>
        <w:rPr>
          <w:bCs/>
          <w:color w:val="000000"/>
        </w:rPr>
        <w:t>Tahap berkala</w:t>
      </w:r>
      <w:r>
        <w:rPr>
          <w:color w:val="000000"/>
        </w:rPr>
        <w:t xml:space="preserve">, merupakan kelanjutan dari pemakai insidentil yang terdorong untuk memakai lebih sering lagi. Selain merasa nikmat, pemakai juga merasakan sakit kalau terlambat atau berhenti mengonsumsi narkoba, yang biasa disebut dengan kondisi sakaw. Gejala yang muncul pada tahap ini adalah secara psikis sulit bergaul dengan teman baru, pribadinya menjadi lebih tertutup, lebih sensitif, mudah tersinggung, mulai gemar berbohong, dan secara fisik bila sedang memakai tampak normal, bila tidak sedang memakai </w:t>
      </w:r>
      <w:r>
        <w:rPr>
          <w:color w:val="000000"/>
        </w:rPr>
        <w:lastRenderedPageBreak/>
        <w:t>tampak kurang sehat, kurang percaya diri, murung gelisah, malas, semakin jelas dibandingkan tahap kedua (pemula).</w:t>
      </w:r>
    </w:p>
    <w:p w:rsidR="0088334A" w:rsidRDefault="0088334A" w:rsidP="0072150B">
      <w:pPr>
        <w:numPr>
          <w:ilvl w:val="0"/>
          <w:numId w:val="2"/>
        </w:numPr>
        <w:tabs>
          <w:tab w:val="left" w:pos="426"/>
        </w:tabs>
        <w:autoSpaceDE w:val="0"/>
        <w:autoSpaceDN w:val="0"/>
        <w:adjustRightInd w:val="0"/>
        <w:spacing w:line="480" w:lineRule="auto"/>
        <w:ind w:left="426" w:hanging="426"/>
        <w:jc w:val="both"/>
        <w:rPr>
          <w:color w:val="000000"/>
        </w:rPr>
      </w:pPr>
      <w:r>
        <w:rPr>
          <w:bCs/>
          <w:color w:val="000000"/>
        </w:rPr>
        <w:t>Tahap madat</w:t>
      </w:r>
      <w:r>
        <w:rPr>
          <w:color w:val="000000"/>
        </w:rPr>
        <w:t>, merupakan tuntutan dari tubuh pemakai narkotika secara berkala. Tubuhnya sendiri menuntut untuk semakin sering memakai denga dosis yang semakin tinggi pula, dan jika tidak memakai akan mengalami penderitaan (</w:t>
      </w:r>
      <w:r>
        <w:rPr>
          <w:i/>
          <w:iCs/>
          <w:color w:val="000000"/>
        </w:rPr>
        <w:t>sakaw</w:t>
      </w:r>
      <w:r>
        <w:rPr>
          <w:color w:val="000000"/>
        </w:rPr>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p>
    <w:p w:rsidR="0088334A" w:rsidRDefault="0088334A" w:rsidP="0088334A">
      <w:pPr>
        <w:pStyle w:val="BodyTextIndent3"/>
        <w:spacing w:line="456" w:lineRule="auto"/>
        <w:ind w:left="0" w:firstLine="720"/>
        <w:rPr>
          <w:color w:val="000000"/>
          <w:szCs w:val="24"/>
        </w:rPr>
      </w:pPr>
      <w:r>
        <w:rPr>
          <w:color w:val="000000"/>
          <w:szCs w:val="24"/>
        </w:rPr>
        <w:t xml:space="preserve">Penyalahgunaan narkotika dapat dilakukan oleh seseorang  akan tetapi menimbulkan efek ganda yaitu selain  terhadap dirinya  sendiri  juga terhadap masyarakat.  Hal ini dimungkinkan karena pribadi merupakan anggota masyarakat dan sebaliknya masyarakat berasal dari perseorangan. Di samping  itu penggunaan narkotika dan psikotropika  oleh seseorang akan menimbulkan  kerawanan bagi masyarakat berhubung karena si pemakai narkotika tersebut. </w:t>
      </w:r>
    </w:p>
    <w:p w:rsidR="0088334A" w:rsidRDefault="0088334A" w:rsidP="0088334A">
      <w:pPr>
        <w:pStyle w:val="BodyTextIndent3"/>
        <w:ind w:left="0" w:firstLine="720"/>
        <w:rPr>
          <w:color w:val="000000"/>
          <w:szCs w:val="24"/>
        </w:rPr>
      </w:pPr>
      <w:r>
        <w:rPr>
          <w:color w:val="000000"/>
          <w:szCs w:val="24"/>
        </w:rPr>
        <w:t xml:space="preserve">Pemakai adalah orang  yang  mampu untuk mendapatkan narkotika tersebut tidak akan berpengaruh terhadap masyarakat. Tetapi apabila sebaliknya, maka </w:t>
      </w:r>
      <w:r>
        <w:rPr>
          <w:color w:val="000000"/>
          <w:szCs w:val="24"/>
        </w:rPr>
        <w:lastRenderedPageBreak/>
        <w:t xml:space="preserve">akan timbul berbagai reaksi  demi mendapatkan narkotika seperti pencurian, perampokan dan lain-lain.Keadaan  demikian terjadi  karena   pemakai narkotika telah tergantung pada  narkotika sendiri, apapun yang  akan terjadi yang penting hasrat  hatinya terpenuhi.   Inilah yang disebut  dengan istilah ketergantungan terhadap salah satu jenis narkotika  dan </w:t>
      </w:r>
      <w:r>
        <w:rPr>
          <w:snapToGrid w:val="0"/>
          <w:color w:val="000000"/>
          <w:szCs w:val="24"/>
        </w:rPr>
        <w:t>psikotropika</w:t>
      </w:r>
      <w:r>
        <w:rPr>
          <w:color w:val="000000"/>
          <w:szCs w:val="24"/>
        </w:rPr>
        <w:t>. Hal ini bermula  dari suatu kebiasaan yang lama kelamaan menimbulkan sifat ketergantungan yang sangat sulit untuk dirubah.</w:t>
      </w:r>
      <w:r>
        <w:rPr>
          <w:rStyle w:val="FootnoteReference"/>
          <w:color w:val="000000"/>
          <w:szCs w:val="24"/>
        </w:rPr>
        <w:footnoteReference w:id="8"/>
      </w:r>
    </w:p>
    <w:p w:rsidR="0088334A" w:rsidRDefault="0088334A" w:rsidP="0088334A">
      <w:pPr>
        <w:pStyle w:val="BodyTextIndent3"/>
        <w:spacing w:line="240" w:lineRule="auto"/>
        <w:ind w:left="0" w:firstLine="720"/>
        <w:rPr>
          <w:color w:val="000000"/>
          <w:szCs w:val="24"/>
        </w:rPr>
      </w:pPr>
    </w:p>
    <w:p w:rsidR="0088334A" w:rsidRDefault="0088334A" w:rsidP="0072150B">
      <w:pPr>
        <w:pStyle w:val="BodyText"/>
        <w:numPr>
          <w:ilvl w:val="0"/>
          <w:numId w:val="1"/>
        </w:numPr>
        <w:spacing w:line="456" w:lineRule="auto"/>
        <w:ind w:left="360"/>
        <w:rPr>
          <w:rFonts w:ascii="Times New Roman" w:hAnsi="Times New Roman"/>
          <w:b/>
          <w:szCs w:val="24"/>
        </w:rPr>
      </w:pPr>
      <w:r>
        <w:rPr>
          <w:rFonts w:ascii="Times New Roman" w:hAnsi="Times New Roman"/>
          <w:b/>
          <w:szCs w:val="24"/>
        </w:rPr>
        <w:t>Jenis-Jenis Narkotika</w:t>
      </w:r>
    </w:p>
    <w:p w:rsidR="0088334A" w:rsidRDefault="0088334A" w:rsidP="0088334A">
      <w:pPr>
        <w:pStyle w:val="BodyText"/>
        <w:spacing w:line="456" w:lineRule="auto"/>
        <w:ind w:firstLine="748"/>
        <w:rPr>
          <w:rFonts w:ascii="Times New Roman" w:hAnsi="Times New Roman"/>
          <w:szCs w:val="24"/>
        </w:rPr>
      </w:pPr>
      <w:r>
        <w:rPr>
          <w:rFonts w:ascii="Times New Roman" w:hAnsi="Times New Roman"/>
          <w:szCs w:val="24"/>
        </w:rPr>
        <w:t>Pasal  6 ayat (1)  </w:t>
      </w:r>
      <w:r>
        <w:rPr>
          <w:rFonts w:ascii="Times New Roman" w:hAnsi="Times New Roman"/>
          <w:bCs/>
          <w:szCs w:val="24"/>
        </w:rPr>
        <w:t>Undang-Undang No.</w:t>
      </w:r>
      <w:r>
        <w:rPr>
          <w:rFonts w:ascii="Times New Roman" w:hAnsi="Times New Roman"/>
          <w:snapToGrid w:val="0"/>
          <w:szCs w:val="24"/>
        </w:rPr>
        <w:t xml:space="preserve"> 35 Tahun 2009 </w:t>
      </w:r>
      <w:r>
        <w:rPr>
          <w:rFonts w:ascii="Times New Roman" w:hAnsi="Times New Roman"/>
          <w:szCs w:val="24"/>
        </w:rPr>
        <w:t>narkotika digolongkan menjadi:</w:t>
      </w:r>
    </w:p>
    <w:p w:rsidR="0088334A" w:rsidRDefault="0088334A" w:rsidP="0072150B">
      <w:pPr>
        <w:numPr>
          <w:ilvl w:val="3"/>
          <w:numId w:val="1"/>
        </w:numPr>
        <w:autoSpaceDE w:val="0"/>
        <w:autoSpaceDN w:val="0"/>
        <w:adjustRightInd w:val="0"/>
        <w:spacing w:line="456" w:lineRule="auto"/>
        <w:ind w:left="360"/>
        <w:jc w:val="both"/>
      </w:pPr>
      <w:r>
        <w:t>Narkotika golongan I</w:t>
      </w:r>
    </w:p>
    <w:p w:rsidR="0088334A" w:rsidRDefault="0088334A" w:rsidP="0088334A">
      <w:pPr>
        <w:pStyle w:val="BodyTextIndent3"/>
        <w:autoSpaceDE w:val="0"/>
        <w:autoSpaceDN w:val="0"/>
        <w:adjustRightInd w:val="0"/>
        <w:spacing w:line="456" w:lineRule="auto"/>
        <w:ind w:left="0" w:firstLine="748"/>
        <w:rPr>
          <w:szCs w:val="24"/>
        </w:rPr>
      </w:pPr>
      <w:r>
        <w:rPr>
          <w:szCs w:val="24"/>
        </w:rPr>
        <w:t>Narkotika golongan I  adalah yang hanya  dapat digunakan untuk  tujuan  pengembangan ilmu pengetahuan dan tidak digunakan dalam terapi, serta mempunyai potensi   sangat    tinggi    mengakibatkan ketergantungan, antara lain:</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456" w:lineRule="auto"/>
        <w:ind w:left="360"/>
        <w:rPr>
          <w:szCs w:val="24"/>
        </w:rPr>
      </w:pPr>
      <w:r>
        <w:rPr>
          <w:color w:val="000000"/>
          <w:szCs w:val="24"/>
        </w:rPr>
        <w:t xml:space="preserve">Tanaman </w:t>
      </w:r>
      <w:r>
        <w:rPr>
          <w:i/>
          <w:iCs/>
          <w:color w:val="000000"/>
          <w:szCs w:val="24"/>
        </w:rPr>
        <w:t xml:space="preserve">Papaver Somniferum L </w:t>
      </w:r>
      <w:r>
        <w:rPr>
          <w:color w:val="000000"/>
          <w:szCs w:val="24"/>
        </w:rPr>
        <w:t xml:space="preserve">dan semua bagian-bagiannya termasuk buah dan jeraminya, kecuali bijinya.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456" w:lineRule="auto"/>
        <w:ind w:left="360"/>
        <w:rPr>
          <w:szCs w:val="24"/>
        </w:rPr>
      </w:pPr>
      <w:r>
        <w:rPr>
          <w:color w:val="000000"/>
          <w:szCs w:val="24"/>
        </w:rPr>
        <w:lastRenderedPageBreak/>
        <w:t xml:space="preserve">Opium mentah, yaitu getah yang membeku sendiri, diperoleh dari buah tanaman </w:t>
      </w:r>
      <w:r>
        <w:rPr>
          <w:i/>
          <w:iCs/>
          <w:color w:val="000000"/>
          <w:szCs w:val="24"/>
        </w:rPr>
        <w:t xml:space="preserve">Papaver Somniferum L </w:t>
      </w:r>
      <w:r>
        <w:rPr>
          <w:color w:val="000000"/>
          <w:szCs w:val="24"/>
        </w:rPr>
        <w:t xml:space="preserve">yang hanya mengalami pengolahan sekedar untuk pembungkus dan pengangkutan tanpa memperhatikan kadar morfinnya.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456" w:lineRule="auto"/>
        <w:ind w:left="360" w:hanging="357"/>
        <w:rPr>
          <w:color w:val="000000"/>
          <w:szCs w:val="24"/>
        </w:rPr>
      </w:pPr>
      <w:r>
        <w:rPr>
          <w:color w:val="000000"/>
          <w:szCs w:val="24"/>
        </w:rPr>
        <w:t xml:space="preserve">Opium masak terdiri dari : </w:t>
      </w:r>
    </w:p>
    <w:p w:rsidR="0088334A" w:rsidRDefault="0088334A" w:rsidP="0072150B">
      <w:pPr>
        <w:pStyle w:val="BodyTextIndent3"/>
        <w:numPr>
          <w:ilvl w:val="0"/>
          <w:numId w:val="4"/>
        </w:numPr>
        <w:tabs>
          <w:tab w:val="left" w:pos="720"/>
          <w:tab w:val="left" w:pos="1276"/>
          <w:tab w:val="left" w:pos="1560"/>
          <w:tab w:val="left" w:pos="1701"/>
        </w:tabs>
        <w:autoSpaceDE w:val="0"/>
        <w:autoSpaceDN w:val="0"/>
        <w:adjustRightInd w:val="0"/>
        <w:spacing w:line="456" w:lineRule="auto"/>
        <w:ind w:left="723"/>
        <w:rPr>
          <w:color w:val="000000"/>
          <w:szCs w:val="24"/>
        </w:rPr>
      </w:pPr>
      <w:r>
        <w:rPr>
          <w:color w:val="000000"/>
          <w:szCs w:val="24"/>
        </w:rPr>
        <w:t xml:space="preserve">Candu, hasil yang diperoleh dari opium mentah melalui suatu rentetan pengolahan khususnya dengan pelarutan, pemanasan dan peragian dengan atau tanpa penambahan bahan-bahan lain, dengan maksud mengubahnya menjadi suatu ekstrak yang cocok untuk pemadatan. </w:t>
      </w:r>
    </w:p>
    <w:p w:rsidR="0088334A" w:rsidRDefault="0088334A" w:rsidP="0072150B">
      <w:pPr>
        <w:pStyle w:val="BodyTextIndent3"/>
        <w:numPr>
          <w:ilvl w:val="0"/>
          <w:numId w:val="4"/>
        </w:numPr>
        <w:tabs>
          <w:tab w:val="left" w:pos="720"/>
          <w:tab w:val="left" w:pos="1276"/>
          <w:tab w:val="left" w:pos="1560"/>
          <w:tab w:val="left" w:pos="1701"/>
        </w:tabs>
        <w:autoSpaceDE w:val="0"/>
        <w:autoSpaceDN w:val="0"/>
        <w:adjustRightInd w:val="0"/>
        <w:spacing w:line="528" w:lineRule="auto"/>
        <w:ind w:left="723"/>
        <w:rPr>
          <w:color w:val="000000"/>
          <w:szCs w:val="24"/>
        </w:rPr>
      </w:pPr>
      <w:r>
        <w:rPr>
          <w:color w:val="000000"/>
          <w:szCs w:val="24"/>
        </w:rPr>
        <w:t xml:space="preserve">Jicing, sisa-sisa dari candu setelah dihisap, tanpa memperhatikan apakah candu itu dicampur dengan daun atau bahan lain. </w:t>
      </w:r>
    </w:p>
    <w:p w:rsidR="0088334A" w:rsidRDefault="0088334A" w:rsidP="0072150B">
      <w:pPr>
        <w:pStyle w:val="BodyTextIndent3"/>
        <w:numPr>
          <w:ilvl w:val="0"/>
          <w:numId w:val="4"/>
        </w:numPr>
        <w:tabs>
          <w:tab w:val="left" w:pos="720"/>
          <w:tab w:val="left" w:pos="1276"/>
          <w:tab w:val="left" w:pos="1560"/>
          <w:tab w:val="left" w:pos="1701"/>
        </w:tabs>
        <w:autoSpaceDE w:val="0"/>
        <w:autoSpaceDN w:val="0"/>
        <w:adjustRightInd w:val="0"/>
        <w:spacing w:line="528" w:lineRule="auto"/>
        <w:ind w:left="723"/>
        <w:rPr>
          <w:color w:val="000000"/>
          <w:szCs w:val="24"/>
        </w:rPr>
      </w:pPr>
      <w:r>
        <w:rPr>
          <w:color w:val="000000"/>
          <w:szCs w:val="24"/>
        </w:rPr>
        <w:t xml:space="preserve">Jicingko, hasil yang diperoleh dari pengolahan jicing.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528" w:lineRule="auto"/>
        <w:ind w:left="360"/>
        <w:rPr>
          <w:color w:val="000000"/>
          <w:szCs w:val="24"/>
        </w:rPr>
      </w:pPr>
      <w:r>
        <w:rPr>
          <w:color w:val="000000"/>
          <w:szCs w:val="24"/>
        </w:rPr>
        <w:t xml:space="preserve">Tanaman koka, tanaman dari semua genus </w:t>
      </w:r>
      <w:r>
        <w:rPr>
          <w:i/>
          <w:iCs/>
          <w:color w:val="000000"/>
          <w:szCs w:val="24"/>
        </w:rPr>
        <w:t xml:space="preserve">Erythroxylon </w:t>
      </w:r>
      <w:r>
        <w:rPr>
          <w:color w:val="000000"/>
          <w:szCs w:val="24"/>
        </w:rPr>
        <w:t xml:space="preserve">dari keluarga </w:t>
      </w:r>
      <w:r>
        <w:rPr>
          <w:i/>
          <w:iCs/>
          <w:color w:val="000000"/>
          <w:szCs w:val="24"/>
        </w:rPr>
        <w:t xml:space="preserve">Erythroxylaceae </w:t>
      </w:r>
      <w:r>
        <w:rPr>
          <w:color w:val="000000"/>
          <w:szCs w:val="24"/>
        </w:rPr>
        <w:t xml:space="preserve">termasuk buah dan bijinya.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528" w:lineRule="auto"/>
        <w:ind w:left="360"/>
        <w:rPr>
          <w:color w:val="000000"/>
          <w:szCs w:val="24"/>
        </w:rPr>
      </w:pPr>
      <w:r>
        <w:rPr>
          <w:color w:val="000000"/>
          <w:szCs w:val="24"/>
        </w:rPr>
        <w:t xml:space="preserve">Daun koka, daun yang belum atau sudah dikeringkan atau dalam bentuk serbuk dari semua tanaman genus </w:t>
      </w:r>
      <w:r>
        <w:rPr>
          <w:i/>
          <w:iCs/>
          <w:color w:val="000000"/>
          <w:szCs w:val="24"/>
        </w:rPr>
        <w:t xml:space="preserve">Erythroxylon </w:t>
      </w:r>
      <w:r>
        <w:rPr>
          <w:color w:val="000000"/>
          <w:szCs w:val="24"/>
        </w:rPr>
        <w:t xml:space="preserve">dari keluarga </w:t>
      </w:r>
      <w:r>
        <w:rPr>
          <w:i/>
          <w:iCs/>
          <w:color w:val="000000"/>
          <w:szCs w:val="24"/>
        </w:rPr>
        <w:t xml:space="preserve">Erythroxylaceae </w:t>
      </w:r>
      <w:r>
        <w:rPr>
          <w:color w:val="000000"/>
          <w:szCs w:val="24"/>
        </w:rPr>
        <w:t xml:space="preserve">yang </w:t>
      </w:r>
      <w:r>
        <w:rPr>
          <w:color w:val="000000"/>
          <w:szCs w:val="24"/>
        </w:rPr>
        <w:lastRenderedPageBreak/>
        <w:t xml:space="preserve">menghasilkan kokain secara langsung atau melalui perubahan kimia.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528" w:lineRule="auto"/>
        <w:ind w:left="360"/>
        <w:rPr>
          <w:color w:val="000000"/>
          <w:szCs w:val="24"/>
        </w:rPr>
      </w:pPr>
      <w:r>
        <w:rPr>
          <w:color w:val="000000"/>
          <w:szCs w:val="24"/>
        </w:rPr>
        <w:t xml:space="preserve">Kokain mentah, semua hasil-hasil yang diperoleh dari daun koka yang dapat diolah secara langsung untuk mendapatkan kokaina.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528" w:lineRule="auto"/>
        <w:ind w:left="360"/>
        <w:rPr>
          <w:color w:val="000000"/>
          <w:szCs w:val="24"/>
        </w:rPr>
      </w:pPr>
      <w:r>
        <w:rPr>
          <w:color w:val="000000"/>
          <w:szCs w:val="24"/>
        </w:rPr>
        <w:t xml:space="preserve">Kokaina, </w:t>
      </w:r>
      <w:r>
        <w:rPr>
          <w:i/>
          <w:iCs/>
          <w:color w:val="000000"/>
          <w:szCs w:val="24"/>
        </w:rPr>
        <w:t>metil ester-1-bensoil ekgonina</w:t>
      </w:r>
      <w:r>
        <w:rPr>
          <w:color w:val="000000"/>
          <w:szCs w:val="24"/>
        </w:rPr>
        <w:t xml:space="preserve">. </w:t>
      </w:r>
    </w:p>
    <w:p w:rsidR="0088334A" w:rsidRDefault="0088334A" w:rsidP="0072150B">
      <w:pPr>
        <w:pStyle w:val="BodyTextIndent3"/>
        <w:numPr>
          <w:ilvl w:val="1"/>
          <w:numId w:val="3"/>
        </w:numPr>
        <w:tabs>
          <w:tab w:val="num" w:pos="360"/>
          <w:tab w:val="left" w:pos="1276"/>
          <w:tab w:val="left" w:pos="1560"/>
          <w:tab w:val="left" w:pos="1701"/>
        </w:tabs>
        <w:autoSpaceDE w:val="0"/>
        <w:autoSpaceDN w:val="0"/>
        <w:adjustRightInd w:val="0"/>
        <w:spacing w:line="528" w:lineRule="auto"/>
        <w:ind w:left="360"/>
        <w:rPr>
          <w:color w:val="000000"/>
          <w:szCs w:val="24"/>
        </w:rPr>
      </w:pPr>
      <w:r>
        <w:rPr>
          <w:color w:val="000000"/>
          <w:szCs w:val="24"/>
        </w:rPr>
        <w:t xml:space="preserve">Tanaman ganja, semua tanaman genus genus </w:t>
      </w:r>
      <w:r>
        <w:rPr>
          <w:i/>
          <w:iCs/>
          <w:color w:val="000000"/>
          <w:szCs w:val="24"/>
        </w:rPr>
        <w:t xml:space="preserve">cannabis </w:t>
      </w:r>
      <w:r>
        <w:rPr>
          <w:color w:val="000000"/>
          <w:szCs w:val="24"/>
        </w:rPr>
        <w:t xml:space="preserve">dan semua bagian dari tanaman termasuk biji, buah, jerami, hasil  olahan tanaman ganja atau bagian tanaman ganja termasuk damar ganja dan hasis. </w:t>
      </w:r>
    </w:p>
    <w:p w:rsidR="0088334A" w:rsidRDefault="0088334A" w:rsidP="0072150B">
      <w:pPr>
        <w:numPr>
          <w:ilvl w:val="3"/>
          <w:numId w:val="1"/>
        </w:numPr>
        <w:autoSpaceDE w:val="0"/>
        <w:autoSpaceDN w:val="0"/>
        <w:adjustRightInd w:val="0"/>
        <w:spacing w:line="456" w:lineRule="auto"/>
        <w:ind w:left="360"/>
        <w:jc w:val="both"/>
      </w:pPr>
      <w:r>
        <w:t>Narkotika golongan II.</w:t>
      </w:r>
    </w:p>
    <w:p w:rsidR="0088334A" w:rsidRDefault="0088334A" w:rsidP="0088334A">
      <w:pPr>
        <w:autoSpaceDE w:val="0"/>
        <w:autoSpaceDN w:val="0"/>
        <w:adjustRightInd w:val="0"/>
        <w:spacing w:line="456" w:lineRule="auto"/>
        <w:ind w:firstLine="720"/>
        <w:jc w:val="both"/>
      </w:pPr>
      <w:r>
        <w:t>Narkotika yang berkhasiat pengobatan, digunakan sebagai pilihan terakhir dan dapat digunakan dalam terapi dan/atau untuk tujuan pengembangan ilmu pengetahuan serta mempunyai potensi tinggi mengakibatkan ketergantungan, antara lain seperti:</w:t>
      </w:r>
    </w:p>
    <w:p w:rsidR="0088334A" w:rsidRDefault="0088334A" w:rsidP="0072150B">
      <w:pPr>
        <w:numPr>
          <w:ilvl w:val="4"/>
          <w:numId w:val="1"/>
        </w:numPr>
        <w:autoSpaceDE w:val="0"/>
        <w:autoSpaceDN w:val="0"/>
        <w:adjustRightInd w:val="0"/>
        <w:spacing w:line="456" w:lineRule="auto"/>
        <w:ind w:left="360"/>
        <w:jc w:val="both"/>
        <w:rPr>
          <w:color w:val="000000"/>
        </w:rPr>
      </w:pPr>
      <w:r>
        <w:rPr>
          <w:color w:val="000000"/>
        </w:rPr>
        <w:t xml:space="preserve">Alfasetilmetadol </w:t>
      </w:r>
    </w:p>
    <w:p w:rsidR="0088334A" w:rsidRDefault="0088334A" w:rsidP="0072150B">
      <w:pPr>
        <w:numPr>
          <w:ilvl w:val="4"/>
          <w:numId w:val="1"/>
        </w:numPr>
        <w:tabs>
          <w:tab w:val="num" w:pos="360"/>
        </w:tabs>
        <w:autoSpaceDE w:val="0"/>
        <w:autoSpaceDN w:val="0"/>
        <w:adjustRightInd w:val="0"/>
        <w:spacing w:line="456" w:lineRule="auto"/>
        <w:ind w:left="360"/>
        <w:jc w:val="both"/>
        <w:rPr>
          <w:color w:val="000000"/>
        </w:rPr>
      </w:pPr>
      <w:r>
        <w:rPr>
          <w:color w:val="000000"/>
        </w:rPr>
        <w:t xml:space="preserve">Alfameprodina </w:t>
      </w:r>
    </w:p>
    <w:p w:rsidR="0088334A" w:rsidRDefault="0088334A" w:rsidP="0072150B">
      <w:pPr>
        <w:numPr>
          <w:ilvl w:val="4"/>
          <w:numId w:val="1"/>
        </w:numPr>
        <w:tabs>
          <w:tab w:val="num" w:pos="360"/>
        </w:tabs>
        <w:autoSpaceDE w:val="0"/>
        <w:autoSpaceDN w:val="0"/>
        <w:adjustRightInd w:val="0"/>
        <w:spacing w:line="456" w:lineRule="auto"/>
        <w:ind w:left="360"/>
        <w:jc w:val="both"/>
        <w:rPr>
          <w:color w:val="000000"/>
        </w:rPr>
      </w:pPr>
      <w:r>
        <w:rPr>
          <w:color w:val="000000"/>
        </w:rPr>
        <w:t>Alfametadol</w:t>
      </w:r>
    </w:p>
    <w:p w:rsidR="0088334A" w:rsidRDefault="0088334A" w:rsidP="0072150B">
      <w:pPr>
        <w:numPr>
          <w:ilvl w:val="4"/>
          <w:numId w:val="1"/>
        </w:numPr>
        <w:tabs>
          <w:tab w:val="num" w:pos="360"/>
        </w:tabs>
        <w:autoSpaceDE w:val="0"/>
        <w:autoSpaceDN w:val="0"/>
        <w:adjustRightInd w:val="0"/>
        <w:spacing w:line="456" w:lineRule="auto"/>
        <w:ind w:left="360"/>
        <w:jc w:val="both"/>
        <w:rPr>
          <w:color w:val="000000"/>
        </w:rPr>
      </w:pPr>
      <w:r>
        <w:rPr>
          <w:color w:val="000000"/>
        </w:rPr>
        <w:t>Alfaprodina</w:t>
      </w:r>
    </w:p>
    <w:p w:rsidR="0088334A" w:rsidRDefault="0088334A" w:rsidP="0072150B">
      <w:pPr>
        <w:numPr>
          <w:ilvl w:val="4"/>
          <w:numId w:val="1"/>
        </w:numPr>
        <w:tabs>
          <w:tab w:val="num" w:pos="360"/>
        </w:tabs>
        <w:autoSpaceDE w:val="0"/>
        <w:autoSpaceDN w:val="0"/>
        <w:adjustRightInd w:val="0"/>
        <w:spacing w:line="456" w:lineRule="auto"/>
        <w:ind w:left="360"/>
        <w:jc w:val="both"/>
        <w:rPr>
          <w:color w:val="000000"/>
        </w:rPr>
      </w:pPr>
      <w:r>
        <w:rPr>
          <w:color w:val="000000"/>
        </w:rPr>
        <w:t>Alfentanil</w:t>
      </w:r>
    </w:p>
    <w:p w:rsidR="0088334A" w:rsidRDefault="0088334A" w:rsidP="0072150B">
      <w:pPr>
        <w:numPr>
          <w:ilvl w:val="4"/>
          <w:numId w:val="1"/>
        </w:numPr>
        <w:tabs>
          <w:tab w:val="num" w:pos="360"/>
        </w:tabs>
        <w:autoSpaceDE w:val="0"/>
        <w:autoSpaceDN w:val="0"/>
        <w:adjustRightInd w:val="0"/>
        <w:spacing w:line="456" w:lineRule="auto"/>
        <w:ind w:left="360"/>
        <w:jc w:val="both"/>
        <w:rPr>
          <w:color w:val="000000"/>
        </w:rPr>
      </w:pPr>
      <w:r>
        <w:rPr>
          <w:color w:val="000000"/>
        </w:rPr>
        <w:t>Allilprodina</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Anileridina</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Asetilmetadol</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lastRenderedPageBreak/>
        <w:t>Benzetidin</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Benzilmorfina</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Morfina-N-oksida</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Morfin metobromida dan turunan morfina nitrogen pentafalent lainnya termasuk bagian turunan morfina-N-oksida, salah satunya kodeina-N-oksida, dan lain-lain. </w:t>
      </w:r>
    </w:p>
    <w:p w:rsidR="0088334A" w:rsidRDefault="0088334A" w:rsidP="0072150B">
      <w:pPr>
        <w:numPr>
          <w:ilvl w:val="3"/>
          <w:numId w:val="1"/>
        </w:numPr>
        <w:tabs>
          <w:tab w:val="num" w:pos="360"/>
        </w:tabs>
        <w:autoSpaceDE w:val="0"/>
        <w:autoSpaceDN w:val="0"/>
        <w:adjustRightInd w:val="0"/>
        <w:spacing w:line="480" w:lineRule="auto"/>
        <w:ind w:left="360"/>
        <w:jc w:val="both"/>
      </w:pPr>
      <w:r>
        <w:t>Narkotika golongan III.</w:t>
      </w:r>
    </w:p>
    <w:p w:rsidR="0088334A" w:rsidRDefault="0088334A" w:rsidP="0088334A">
      <w:pPr>
        <w:autoSpaceDE w:val="0"/>
        <w:autoSpaceDN w:val="0"/>
        <w:adjustRightInd w:val="0"/>
        <w:spacing w:line="480" w:lineRule="auto"/>
        <w:ind w:firstLine="720"/>
        <w:jc w:val="both"/>
        <w:rPr>
          <w:color w:val="000000"/>
        </w:rPr>
      </w:pPr>
      <w:r>
        <w:rPr>
          <w:color w:val="000000"/>
        </w:rPr>
        <w:t>Narkotika yang berkhasiat pengobatan dan banyak digunakan dalam terapi dan/atau untuk tujuan pengembangan ilmu pengetahuan serta mempunyai potensi ringan mengakibatkan ketergantungan, antara lain seperti:</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Asetildihidrokodeina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Dekstropropoksifena : </w:t>
      </w:r>
      <w:r>
        <w:rPr>
          <w:i/>
          <w:iCs/>
          <w:color w:val="000000"/>
        </w:rPr>
        <w:t xml:space="preserve">α-(+)-4-dimetilamino-1,2-difenil-3-metil-2-butanol propionat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Dihidrokodeina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Etilmorfina : </w:t>
      </w:r>
      <w:r>
        <w:rPr>
          <w:i/>
          <w:iCs/>
          <w:color w:val="000000"/>
        </w:rPr>
        <w:t xml:space="preserve">3-etil morfina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Kodeina : </w:t>
      </w:r>
      <w:r>
        <w:rPr>
          <w:i/>
          <w:iCs/>
          <w:color w:val="000000"/>
        </w:rPr>
        <w:t xml:space="preserve">3-metil morfina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Nikodikodina : </w:t>
      </w:r>
      <w:r>
        <w:rPr>
          <w:i/>
          <w:iCs/>
          <w:color w:val="000000"/>
        </w:rPr>
        <w:t xml:space="preserve">6-nikotinildihidrokodeina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Nikokodina : </w:t>
      </w:r>
      <w:r>
        <w:rPr>
          <w:i/>
          <w:iCs/>
          <w:color w:val="000000"/>
        </w:rPr>
        <w:t xml:space="preserve">6-nikotinilkodeina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Norkodeina : </w:t>
      </w:r>
      <w:r>
        <w:rPr>
          <w:i/>
          <w:iCs/>
          <w:color w:val="000000"/>
        </w:rPr>
        <w:t xml:space="preserve">N-demetilkodeina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Polkodina : </w:t>
      </w:r>
      <w:r>
        <w:rPr>
          <w:i/>
          <w:iCs/>
          <w:color w:val="000000"/>
        </w:rPr>
        <w:t xml:space="preserve">Morfoliniletilmorfina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Propiram : </w:t>
      </w:r>
      <w:r>
        <w:rPr>
          <w:i/>
          <w:iCs/>
          <w:color w:val="000000"/>
        </w:rPr>
        <w:t xml:space="preserve">N-(1-metil-2-piperidinoetil)-N-2-piridilpropionamida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Buprenorfina : </w:t>
      </w:r>
      <w:r>
        <w:rPr>
          <w:i/>
          <w:iCs/>
          <w:color w:val="000000"/>
        </w:rPr>
        <w:t xml:space="preserve">21-siklopropil-7-α-[(S)-1-hidroksi-1,2,2-trimetilpropil]-6,14-endo-entano-6,7,8,14-tetrahidrooripavina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lastRenderedPageBreak/>
        <w:t xml:space="preserve">Garam-garam dari Narkotika dalam golongan tersebut di atas </w:t>
      </w:r>
    </w:p>
    <w:p w:rsidR="0088334A" w:rsidRDefault="0088334A" w:rsidP="0072150B">
      <w:pPr>
        <w:numPr>
          <w:ilvl w:val="4"/>
          <w:numId w:val="1"/>
        </w:numPr>
        <w:tabs>
          <w:tab w:val="num" w:pos="360"/>
        </w:tabs>
        <w:autoSpaceDE w:val="0"/>
        <w:autoSpaceDN w:val="0"/>
        <w:adjustRightInd w:val="0"/>
        <w:spacing w:line="480" w:lineRule="auto"/>
        <w:ind w:left="360"/>
        <w:jc w:val="both"/>
        <w:rPr>
          <w:color w:val="000000"/>
        </w:rPr>
      </w:pPr>
      <w:r>
        <w:rPr>
          <w:color w:val="000000"/>
        </w:rPr>
        <w:t xml:space="preserve">Campuran atau sediaan difenoksin dengan bahan lain bukan narkotika </w:t>
      </w:r>
    </w:p>
    <w:p w:rsidR="0088334A" w:rsidRDefault="0088334A" w:rsidP="0072150B">
      <w:pPr>
        <w:numPr>
          <w:ilvl w:val="4"/>
          <w:numId w:val="1"/>
        </w:numPr>
        <w:autoSpaceDE w:val="0"/>
        <w:autoSpaceDN w:val="0"/>
        <w:adjustRightInd w:val="0"/>
        <w:spacing w:line="480" w:lineRule="auto"/>
        <w:ind w:left="360"/>
        <w:jc w:val="both"/>
        <w:rPr>
          <w:color w:val="000000"/>
        </w:rPr>
      </w:pPr>
      <w:r>
        <w:rPr>
          <w:color w:val="000000"/>
        </w:rPr>
        <w:t>Campuran atau sediaan difenoksilat dengan bahan lain bukan narkotika.</w:t>
      </w:r>
    </w:p>
    <w:p w:rsidR="0088334A" w:rsidRDefault="0088334A" w:rsidP="0088334A">
      <w:pPr>
        <w:autoSpaceDE w:val="0"/>
        <w:autoSpaceDN w:val="0"/>
        <w:adjustRightInd w:val="0"/>
        <w:ind w:left="360"/>
        <w:jc w:val="both"/>
        <w:rPr>
          <w:color w:val="000000"/>
        </w:rPr>
      </w:pPr>
    </w:p>
    <w:p w:rsidR="0088334A" w:rsidRDefault="0088334A" w:rsidP="0072150B">
      <w:pPr>
        <w:pStyle w:val="BodyTextIndent"/>
        <w:numPr>
          <w:ilvl w:val="0"/>
          <w:numId w:val="1"/>
        </w:numPr>
        <w:tabs>
          <w:tab w:val="left" w:pos="720"/>
        </w:tabs>
        <w:ind w:left="360"/>
        <w:rPr>
          <w:b/>
          <w:szCs w:val="24"/>
        </w:rPr>
      </w:pPr>
      <w:r>
        <w:rPr>
          <w:b/>
          <w:szCs w:val="24"/>
        </w:rPr>
        <w:t xml:space="preserve">Tindak Pidana </w:t>
      </w:r>
      <w:r>
        <w:rPr>
          <w:b/>
          <w:szCs w:val="24"/>
          <w:lang w:val="sv-SE"/>
        </w:rPr>
        <w:t>Narkotika.</w:t>
      </w:r>
    </w:p>
    <w:p w:rsidR="0088334A" w:rsidRDefault="0088334A" w:rsidP="0088334A">
      <w:pPr>
        <w:pStyle w:val="BodyTextIndent"/>
        <w:spacing w:line="528" w:lineRule="auto"/>
        <w:ind w:firstLine="720"/>
        <w:rPr>
          <w:szCs w:val="24"/>
        </w:rPr>
      </w:pPr>
      <w:r>
        <w:rPr>
          <w:szCs w:val="24"/>
        </w:rPr>
        <w:t>Munculnya berbagai bentuk kejahatan dalam dimensi baru akhir-akhir ini menunjukkan, kejahatan itu selalu berkembang. Demikian juga dengan kejahatan narkotika tidak lepas dari perkembangan tersebut. Kejahatan narkotika (</w:t>
      </w:r>
      <w:r>
        <w:rPr>
          <w:i/>
          <w:iCs/>
          <w:szCs w:val="24"/>
        </w:rPr>
        <w:t>the drug trafficking industry</w:t>
      </w:r>
      <w:r>
        <w:rPr>
          <w:szCs w:val="24"/>
        </w:rPr>
        <w:t>), merupakan bagian dari kelompok kegiatan organisasi-organisasi kejahatan transnasional (</w:t>
      </w:r>
      <w:r>
        <w:rPr>
          <w:i/>
          <w:iCs/>
          <w:szCs w:val="24"/>
        </w:rPr>
        <w:t>Activities of Transnational Criminal Organizations</w:t>
      </w:r>
      <w:r>
        <w:rPr>
          <w:szCs w:val="24"/>
        </w:rPr>
        <w:t>) di samping jenis kejahatan lainnya.</w:t>
      </w:r>
      <w:r>
        <w:rPr>
          <w:rStyle w:val="FootnoteReference"/>
          <w:szCs w:val="24"/>
        </w:rPr>
        <w:footnoteReference w:id="9"/>
      </w:r>
    </w:p>
    <w:p w:rsidR="0088334A" w:rsidRDefault="0088334A" w:rsidP="0088334A">
      <w:pPr>
        <w:pStyle w:val="BodyTextIndent"/>
        <w:ind w:firstLine="720"/>
        <w:rPr>
          <w:szCs w:val="24"/>
        </w:rPr>
      </w:pPr>
      <w:r>
        <w:rPr>
          <w:szCs w:val="24"/>
        </w:rPr>
        <w:t xml:space="preserve">Kejahatan narkotika yang merupakan bagian dari kejahatan terorganisasi, pada dasarnya termasuk salah satu kejahatan terhadap pembangunan dan kejahatan terhadap kesejahteraan sosial yang menjadi pusat perhatian dan keprihatinan nasional dan internasional. Narkotika merupakan zat atau obat yang berasal dari tanaman atau bukan tanaman, baik sintesis maupun semisintesis yang dapat menyebabkan penurunan atau perubahan </w:t>
      </w:r>
      <w:r>
        <w:rPr>
          <w:szCs w:val="24"/>
        </w:rPr>
        <w:lastRenderedPageBreak/>
        <w:t>kesadaran, hilangnya rasa, mengurangi sampai menghilangkan rasa nyeri, dan dapat menimbulkan ketergantungan.</w:t>
      </w:r>
      <w:r>
        <w:rPr>
          <w:rStyle w:val="FootnoteReference"/>
          <w:szCs w:val="24"/>
        </w:rPr>
        <w:footnoteReference w:id="10"/>
      </w:r>
    </w:p>
    <w:p w:rsidR="0088334A" w:rsidRDefault="0088334A" w:rsidP="0088334A">
      <w:pPr>
        <w:pStyle w:val="BodyTextIndent"/>
        <w:ind w:firstLine="720"/>
        <w:rPr>
          <w:szCs w:val="24"/>
        </w:rPr>
      </w:pPr>
      <w:r>
        <w:rPr>
          <w:szCs w:val="24"/>
        </w:rPr>
        <w:t xml:space="preserve">Indonesia memandang bahwa kejahatan narkotika termasuk dalam </w:t>
      </w:r>
      <w:r>
        <w:rPr>
          <w:i/>
          <w:iCs/>
          <w:szCs w:val="24"/>
        </w:rPr>
        <w:t xml:space="preserve">extraordinary crime </w:t>
      </w:r>
      <w:r>
        <w:rPr>
          <w:szCs w:val="24"/>
        </w:rPr>
        <w:t xml:space="preserve">(kejahatan luar biasa) yang sudah sangat merajalela maka dari itu selayaknya diterapkan </w:t>
      </w:r>
      <w:r>
        <w:rPr>
          <w:i/>
          <w:iCs/>
          <w:szCs w:val="24"/>
        </w:rPr>
        <w:t xml:space="preserve">extraordinary law </w:t>
      </w:r>
      <w:r>
        <w:rPr>
          <w:szCs w:val="24"/>
        </w:rPr>
        <w:t>yang mana bahwa dalam kondisi darurat tindak kejahatan yang merajalela, menjarah, dan mengancam bangsa ini perlu sesegera mungkin dibinasakan dengan penegakan hukum yang seadil-adilnya dengan prosedur yang jelas dan penegakan hukum seadil-adilnya.</w:t>
      </w:r>
      <w:r>
        <w:rPr>
          <w:rStyle w:val="FootnoteReference"/>
          <w:szCs w:val="24"/>
        </w:rPr>
        <w:footnoteReference w:id="11"/>
      </w:r>
    </w:p>
    <w:p w:rsidR="0088334A" w:rsidRDefault="0088334A" w:rsidP="0088334A">
      <w:pPr>
        <w:pStyle w:val="BodyTextIndent"/>
        <w:ind w:firstLine="720"/>
        <w:rPr>
          <w:szCs w:val="24"/>
        </w:rPr>
      </w:pPr>
      <w:r>
        <w:rPr>
          <w:szCs w:val="24"/>
        </w:rPr>
        <w:t xml:space="preserve">Mencegah dan memberantas penyalahgunaan narkotika memerlukan suatu peraturan khusus yang mengatur tentang narkotika yaitu Undang-Undang Nomor Tahun 1976 Tentang Narkotika kemudian mengalami perubahan menjadi Undang-Undang Nomor 22 Tahun 1997 Tentang Narkotika, namun pada Sidang Umum Majelis Permusyawaratan Rakyat Republik Indonesia Tahun 2002 melalui Ketetapan Majelis Permusyawaratan Rakyat Republik Indonesia Nomor VI/MPR/2002 telah merekomendasikan kepada Dewan Perwakilan Rakyat Republik Indonesia dan Presiden Republik Indonesia untuk </w:t>
      </w:r>
      <w:r>
        <w:rPr>
          <w:szCs w:val="24"/>
        </w:rPr>
        <w:lastRenderedPageBreak/>
        <w:t>melakukan perubahan atas Undang-Undang Nomor 22 Tahun 1997 tentang Narkotika.</w:t>
      </w:r>
      <w:r>
        <w:rPr>
          <w:rStyle w:val="FootnoteReference"/>
          <w:szCs w:val="24"/>
        </w:rPr>
        <w:footnoteReference w:id="12"/>
      </w:r>
    </w:p>
    <w:p w:rsidR="0088334A" w:rsidRDefault="0088334A" w:rsidP="0088334A">
      <w:pPr>
        <w:pStyle w:val="BodyTextIndent"/>
        <w:ind w:firstLine="720"/>
        <w:rPr>
          <w:szCs w:val="24"/>
        </w:rPr>
      </w:pPr>
      <w:r>
        <w:rPr>
          <w:szCs w:val="24"/>
        </w:rPr>
        <w:t>Tindak pidana narkotika merupakan suatu perbuatan yang dapat dipidana oleh hukum, maka beberapa negara berpendapat bahwa perbuatan dan sikap batin seseorang dapat dipersatukan dan menjadi syarat suatu perbuatan yang dapat dipidana.</w:t>
      </w:r>
    </w:p>
    <w:p w:rsidR="0088334A" w:rsidRDefault="0088334A" w:rsidP="0088334A">
      <w:pPr>
        <w:pStyle w:val="BodyTextIndent"/>
        <w:ind w:firstLine="720"/>
        <w:rPr>
          <w:iCs/>
          <w:szCs w:val="24"/>
        </w:rPr>
      </w:pPr>
      <w:r>
        <w:rPr>
          <w:szCs w:val="24"/>
        </w:rPr>
        <w:t xml:space="preserve">Siswanto berpendapat bahwa asas tersebut adalah unsur </w:t>
      </w:r>
      <w:r>
        <w:rPr>
          <w:i/>
          <w:iCs/>
          <w:szCs w:val="24"/>
        </w:rPr>
        <w:t xml:space="preserve">actus reus </w:t>
      </w:r>
      <w:r>
        <w:rPr>
          <w:szCs w:val="24"/>
        </w:rPr>
        <w:t>harus didahulukan yaitu perbuatan criminal (</w:t>
      </w:r>
      <w:r>
        <w:rPr>
          <w:i/>
          <w:iCs/>
          <w:szCs w:val="24"/>
        </w:rPr>
        <w:t>criminal act</w:t>
      </w:r>
      <w:r>
        <w:rPr>
          <w:szCs w:val="24"/>
        </w:rPr>
        <w:t>). Hal tersebut sejalan dengan syarat pemidanaan (</w:t>
      </w:r>
      <w:r>
        <w:rPr>
          <w:i/>
          <w:iCs/>
          <w:szCs w:val="24"/>
        </w:rPr>
        <w:t>strafvoraus setzungen</w:t>
      </w:r>
      <w:r>
        <w:rPr>
          <w:szCs w:val="24"/>
        </w:rPr>
        <w:t>) yang mendahulukan adanya perbuatan pidana. Setelah diketahui adanya suatu perbuatan pidana sesuai rumusan undang-undang barulah diselidiki tentang sikap batin atau niat pembuat atau pelakunya (</w:t>
      </w:r>
      <w:r>
        <w:rPr>
          <w:i/>
          <w:iCs/>
          <w:szCs w:val="24"/>
        </w:rPr>
        <w:t>mens rea)</w:t>
      </w:r>
      <w:r>
        <w:rPr>
          <w:iCs/>
          <w:szCs w:val="24"/>
        </w:rPr>
        <w:t>.</w:t>
      </w:r>
      <w:r>
        <w:rPr>
          <w:rStyle w:val="FootnoteReference"/>
          <w:iCs/>
          <w:szCs w:val="24"/>
        </w:rPr>
        <w:footnoteReference w:id="13"/>
      </w:r>
    </w:p>
    <w:p w:rsidR="0088334A" w:rsidRDefault="0088334A" w:rsidP="0088334A">
      <w:pPr>
        <w:pStyle w:val="BodyTextIndent"/>
        <w:ind w:firstLine="720"/>
        <w:rPr>
          <w:color w:val="000000"/>
          <w:szCs w:val="24"/>
        </w:rPr>
      </w:pPr>
      <w:r>
        <w:rPr>
          <w:color w:val="000000"/>
          <w:szCs w:val="24"/>
        </w:rPr>
        <w:t>Undang-Undang Nomor 35 Tahun 2009 menyebutkan 4 kategori yang merupakan tindakan melawan hukum yang dilarang oleh undang-undang dan diancam dengan sanksi pidana, antara lain sebagai berikut :</w:t>
      </w:r>
      <w:r>
        <w:rPr>
          <w:rStyle w:val="FootnoteReference"/>
          <w:color w:val="000000"/>
          <w:szCs w:val="24"/>
        </w:rPr>
        <w:footnoteReference w:id="14"/>
      </w:r>
    </w:p>
    <w:p w:rsidR="0088334A" w:rsidRDefault="0088334A" w:rsidP="0072150B">
      <w:pPr>
        <w:pStyle w:val="BodyTextIndent"/>
        <w:numPr>
          <w:ilvl w:val="6"/>
          <w:numId w:val="1"/>
        </w:numPr>
        <w:tabs>
          <w:tab w:val="num" w:pos="360"/>
        </w:tabs>
        <w:autoSpaceDE w:val="0"/>
        <w:autoSpaceDN w:val="0"/>
        <w:adjustRightInd w:val="0"/>
        <w:ind w:left="360"/>
        <w:rPr>
          <w:color w:val="000000"/>
          <w:szCs w:val="24"/>
        </w:rPr>
      </w:pPr>
      <w:r>
        <w:rPr>
          <w:color w:val="000000"/>
          <w:szCs w:val="24"/>
        </w:rPr>
        <w:t xml:space="preserve">Kategori pertama, yaitu perbuatan-perbuatan berupa memiliki, menyimpan, menguasai, atau menyediakan narkotika dan prekursor narkotika ( Terdapat pada Pasal 111 dan Pasal 112 </w:t>
      </w:r>
      <w:r>
        <w:rPr>
          <w:color w:val="000000"/>
          <w:szCs w:val="24"/>
        </w:rPr>
        <w:lastRenderedPageBreak/>
        <w:t>untuk Narkotika Golongan I, Pasal 117 untuk Narkotika Golongan II, Pasal 122 untuk Narkotika Golongan III dan Pasal 129 Huruf (a)).</w:t>
      </w:r>
    </w:p>
    <w:p w:rsidR="0088334A" w:rsidRDefault="0088334A" w:rsidP="0072150B">
      <w:pPr>
        <w:pStyle w:val="BodyTextIndent"/>
        <w:numPr>
          <w:ilvl w:val="6"/>
          <w:numId w:val="1"/>
        </w:numPr>
        <w:tabs>
          <w:tab w:val="num" w:pos="360"/>
        </w:tabs>
        <w:autoSpaceDE w:val="0"/>
        <w:autoSpaceDN w:val="0"/>
        <w:adjustRightInd w:val="0"/>
        <w:ind w:left="360"/>
        <w:rPr>
          <w:color w:val="000000"/>
          <w:szCs w:val="24"/>
        </w:rPr>
      </w:pPr>
      <w:r>
        <w:rPr>
          <w:color w:val="000000"/>
          <w:szCs w:val="24"/>
        </w:rPr>
        <w:t>Kategori kedua, yaitu perbuatan-perbuatan berupa memproduksi, mengimpor, mengekspor, atau menyalurkan narkotika dan prekursor narkotika ( Terdapat pada Pasal 113 untuk Narkotika Golongan I, Pasal 118 untuk Narkotika Golongan II, Pasal 123 untuk Narkotika Golongan III, dan Pasal 129 (b))</w:t>
      </w:r>
    </w:p>
    <w:p w:rsidR="0088334A" w:rsidRDefault="0088334A" w:rsidP="0072150B">
      <w:pPr>
        <w:pStyle w:val="BodyTextIndent"/>
        <w:numPr>
          <w:ilvl w:val="3"/>
          <w:numId w:val="1"/>
        </w:numPr>
        <w:tabs>
          <w:tab w:val="num" w:pos="360"/>
        </w:tabs>
        <w:autoSpaceDE w:val="0"/>
        <w:autoSpaceDN w:val="0"/>
        <w:adjustRightInd w:val="0"/>
        <w:ind w:left="360"/>
        <w:rPr>
          <w:color w:val="000000"/>
          <w:szCs w:val="24"/>
        </w:rPr>
      </w:pPr>
      <w:r>
        <w:rPr>
          <w:color w:val="000000"/>
          <w:szCs w:val="24"/>
        </w:rPr>
        <w:t>Kategori ketiga, yaitu perbuatan-perbuatan berupa menawarkan untuk dijual, menjual, membeli, menerima, menjadi perantara dalam jual beli, menukar atau menyerahkan narkotika dan prekursor narkotika (Terdapat pada Pasal 114 dan Pasal 116 untuk Narkotika Golongan I, Pasal 119 dan  Pasal 121 untuk Narkotika Golongan II, Pasal 124 dan Pasal 126 untuk Golongan Narkotika Golongan III, dan Pasal 129 c)).</w:t>
      </w:r>
    </w:p>
    <w:p w:rsidR="0088334A" w:rsidRDefault="0088334A" w:rsidP="0072150B">
      <w:pPr>
        <w:pStyle w:val="BodyTextIndent"/>
        <w:numPr>
          <w:ilvl w:val="3"/>
          <w:numId w:val="1"/>
        </w:numPr>
        <w:tabs>
          <w:tab w:val="num" w:pos="360"/>
        </w:tabs>
        <w:autoSpaceDE w:val="0"/>
        <w:autoSpaceDN w:val="0"/>
        <w:adjustRightInd w:val="0"/>
        <w:ind w:left="360"/>
        <w:rPr>
          <w:color w:val="000000"/>
          <w:szCs w:val="24"/>
        </w:rPr>
      </w:pPr>
      <w:r>
        <w:rPr>
          <w:color w:val="000000"/>
          <w:szCs w:val="24"/>
        </w:rPr>
        <w:t xml:space="preserve">Kategori keempat, yakni perbuatan-perbuatan berupa membawa, mengirim, mengangkut, atau mentransit narkotika dan prekusor narkotika ( Terdapat pada Pasal 115 untuk Golongan I, Pasal 120 untuk Narkotika Golongan II, Pasal 125 untuk Narkotika Golongan III, dan Pasal 129 (d)). </w:t>
      </w:r>
    </w:p>
    <w:p w:rsidR="0088334A" w:rsidRDefault="0088334A" w:rsidP="0088334A">
      <w:pPr>
        <w:pStyle w:val="BodyTextIndent"/>
        <w:ind w:firstLine="720"/>
        <w:rPr>
          <w:szCs w:val="24"/>
        </w:rPr>
      </w:pPr>
      <w:r>
        <w:rPr>
          <w:szCs w:val="24"/>
        </w:rPr>
        <w:t xml:space="preserve">Berdasarkan kategori tersebut di atas, maka dapat disimpulkan bahwa berdasarkan Undang-undang No. 35 Tahun </w:t>
      </w:r>
      <w:r>
        <w:rPr>
          <w:szCs w:val="24"/>
        </w:rPr>
        <w:lastRenderedPageBreak/>
        <w:t>2009 tentang Narkotika, jenis-jenis tindak pidana narkotika yang terdapat dalam ketentuan yang diatur dalam Bab XV Undang-Undang Narkotika dapat dikelompokkan dari segi bentuk perbuatannya sebagai berikut :</w:t>
      </w:r>
      <w:r>
        <w:rPr>
          <w:rStyle w:val="FootnoteReference"/>
          <w:szCs w:val="24"/>
        </w:rPr>
        <w:footnoteReference w:id="15"/>
      </w:r>
    </w:p>
    <w:p w:rsidR="0088334A" w:rsidRDefault="0088334A" w:rsidP="0072150B">
      <w:pPr>
        <w:pStyle w:val="BodyTextIndent"/>
        <w:numPr>
          <w:ilvl w:val="6"/>
          <w:numId w:val="1"/>
        </w:numPr>
        <w:tabs>
          <w:tab w:val="num" w:pos="360"/>
        </w:tabs>
        <w:autoSpaceDE w:val="0"/>
        <w:autoSpaceDN w:val="0"/>
        <w:adjustRightInd w:val="0"/>
        <w:spacing w:line="456" w:lineRule="auto"/>
        <w:ind w:left="360" w:hanging="357"/>
        <w:rPr>
          <w:color w:val="000000"/>
          <w:szCs w:val="24"/>
        </w:rPr>
      </w:pPr>
      <w:r>
        <w:rPr>
          <w:color w:val="000000"/>
          <w:szCs w:val="24"/>
        </w:rPr>
        <w:t xml:space="preserve">Tindak Pidana yang berkaitan dengan penggolongan narkotika, dan prekusor narkotika, meliputi : </w:t>
      </w:r>
    </w:p>
    <w:p w:rsidR="0088334A" w:rsidRDefault="0088334A" w:rsidP="0072150B">
      <w:pPr>
        <w:pStyle w:val="BodyTextIndent"/>
        <w:numPr>
          <w:ilvl w:val="7"/>
          <w:numId w:val="1"/>
        </w:numPr>
        <w:tabs>
          <w:tab w:val="num" w:pos="720"/>
        </w:tabs>
        <w:autoSpaceDE w:val="0"/>
        <w:autoSpaceDN w:val="0"/>
        <w:adjustRightInd w:val="0"/>
        <w:spacing w:line="456" w:lineRule="auto"/>
        <w:ind w:left="720" w:hanging="357"/>
        <w:rPr>
          <w:color w:val="000000"/>
          <w:szCs w:val="24"/>
        </w:rPr>
      </w:pPr>
      <w:r>
        <w:rPr>
          <w:color w:val="000000"/>
          <w:szCs w:val="24"/>
        </w:rPr>
        <w:t xml:space="preserve">Menanam, memelihara, memiliki, menyimpan, menguasai, menyediakan narkotika golongan I dalam bentuk tanaman, dan bukan tanaman, narkotika golongan II. </w:t>
      </w:r>
    </w:p>
    <w:p w:rsidR="0088334A" w:rsidRDefault="0088334A" w:rsidP="0072150B">
      <w:pPr>
        <w:pStyle w:val="BodyTextIndent"/>
        <w:numPr>
          <w:ilvl w:val="7"/>
          <w:numId w:val="1"/>
        </w:numPr>
        <w:tabs>
          <w:tab w:val="num" w:pos="720"/>
        </w:tabs>
        <w:autoSpaceDE w:val="0"/>
        <w:autoSpaceDN w:val="0"/>
        <w:adjustRightInd w:val="0"/>
        <w:spacing w:line="456" w:lineRule="auto"/>
        <w:ind w:left="720" w:hanging="357"/>
        <w:rPr>
          <w:color w:val="000000"/>
          <w:szCs w:val="24"/>
        </w:rPr>
      </w:pPr>
      <w:r>
        <w:rPr>
          <w:color w:val="000000"/>
          <w:szCs w:val="24"/>
        </w:rPr>
        <w:t xml:space="preserve">Pengadaan dan peredaran narkotika golongan I, II, dan golongan III yang tidak menaati ketentuan perundang-undangan yang berlaku, yaitu : </w:t>
      </w:r>
    </w:p>
    <w:p w:rsidR="0088334A" w:rsidRDefault="0088334A" w:rsidP="0072150B">
      <w:pPr>
        <w:pStyle w:val="BodyTextIndent"/>
        <w:numPr>
          <w:ilvl w:val="0"/>
          <w:numId w:val="5"/>
        </w:numPr>
        <w:tabs>
          <w:tab w:val="left" w:pos="720"/>
        </w:tabs>
        <w:autoSpaceDE w:val="0"/>
        <w:autoSpaceDN w:val="0"/>
        <w:adjustRightInd w:val="0"/>
        <w:spacing w:line="456" w:lineRule="auto"/>
        <w:ind w:hanging="357"/>
        <w:rPr>
          <w:color w:val="000000"/>
          <w:szCs w:val="24"/>
        </w:rPr>
      </w:pPr>
      <w:r>
        <w:rPr>
          <w:color w:val="000000"/>
          <w:szCs w:val="24"/>
        </w:rPr>
        <w:t xml:space="preserve">Memproduksi, mengimpor, mengekspor, atau menyalurkan narkotika golongan I, narkotika golongan II, narkotika golongan III. </w:t>
      </w:r>
    </w:p>
    <w:p w:rsidR="0088334A" w:rsidRDefault="0088334A" w:rsidP="0072150B">
      <w:pPr>
        <w:pStyle w:val="BodyTextIndent"/>
        <w:numPr>
          <w:ilvl w:val="0"/>
          <w:numId w:val="5"/>
        </w:numPr>
        <w:tabs>
          <w:tab w:val="left" w:pos="720"/>
        </w:tabs>
        <w:autoSpaceDE w:val="0"/>
        <w:autoSpaceDN w:val="0"/>
        <w:adjustRightInd w:val="0"/>
        <w:spacing w:line="456" w:lineRule="auto"/>
        <w:ind w:hanging="357"/>
        <w:rPr>
          <w:color w:val="000000"/>
          <w:szCs w:val="24"/>
        </w:rPr>
      </w:pPr>
      <w:r>
        <w:rPr>
          <w:color w:val="000000"/>
          <w:szCs w:val="24"/>
        </w:rPr>
        <w:t xml:space="preserve">Menawarkan untuk dijual, menjual, membeli, menerima, menjadi perantara dalam jual beli, menukar atau menyerahkan narkotika golongan I, narkotika golongan II, narkotika golongan III. </w:t>
      </w:r>
    </w:p>
    <w:p w:rsidR="0088334A" w:rsidRDefault="0088334A" w:rsidP="0072150B">
      <w:pPr>
        <w:pStyle w:val="BodyTextIndent"/>
        <w:numPr>
          <w:ilvl w:val="0"/>
          <w:numId w:val="5"/>
        </w:numPr>
        <w:tabs>
          <w:tab w:val="left" w:pos="720"/>
        </w:tabs>
        <w:autoSpaceDE w:val="0"/>
        <w:autoSpaceDN w:val="0"/>
        <w:adjustRightInd w:val="0"/>
        <w:spacing w:line="456" w:lineRule="auto"/>
        <w:ind w:hanging="357"/>
        <w:rPr>
          <w:color w:val="000000"/>
          <w:szCs w:val="24"/>
        </w:rPr>
      </w:pPr>
      <w:r>
        <w:rPr>
          <w:color w:val="000000"/>
          <w:szCs w:val="24"/>
        </w:rPr>
        <w:t xml:space="preserve">Membawa, mengirim, mengangkut, atau mentransit narkotika golongan I, narkotika golongan II, narkotika golongan III. </w:t>
      </w:r>
    </w:p>
    <w:p w:rsidR="0088334A" w:rsidRDefault="0088334A" w:rsidP="0072150B">
      <w:pPr>
        <w:pStyle w:val="BodyTextIndent"/>
        <w:numPr>
          <w:ilvl w:val="0"/>
          <w:numId w:val="5"/>
        </w:numPr>
        <w:tabs>
          <w:tab w:val="left" w:pos="720"/>
        </w:tabs>
        <w:autoSpaceDE w:val="0"/>
        <w:autoSpaceDN w:val="0"/>
        <w:adjustRightInd w:val="0"/>
        <w:spacing w:line="456" w:lineRule="auto"/>
        <w:ind w:hanging="357"/>
        <w:rPr>
          <w:color w:val="000000"/>
          <w:szCs w:val="24"/>
        </w:rPr>
      </w:pPr>
      <w:r>
        <w:rPr>
          <w:color w:val="000000"/>
          <w:szCs w:val="24"/>
        </w:rPr>
        <w:lastRenderedPageBreak/>
        <w:t xml:space="preserve">Menggunakan narkotika golongan I terhadap orang lain, atau memberikan narkotika untuk digunakan orang lain, narkotika golongan I, narkotika golongan II, narkotika golongan III. </w:t>
      </w:r>
    </w:p>
    <w:p w:rsidR="0088334A" w:rsidRDefault="0088334A" w:rsidP="0072150B">
      <w:pPr>
        <w:pStyle w:val="BodyTextIndent"/>
        <w:numPr>
          <w:ilvl w:val="0"/>
          <w:numId w:val="5"/>
        </w:numPr>
        <w:tabs>
          <w:tab w:val="left" w:pos="720"/>
        </w:tabs>
        <w:autoSpaceDE w:val="0"/>
        <w:autoSpaceDN w:val="0"/>
        <w:adjustRightInd w:val="0"/>
        <w:rPr>
          <w:color w:val="000000"/>
          <w:szCs w:val="24"/>
        </w:rPr>
      </w:pPr>
      <w:r>
        <w:rPr>
          <w:color w:val="000000"/>
          <w:szCs w:val="24"/>
        </w:rPr>
        <w:t xml:space="preserve">Setiap penyalahguna narkotika golongan I, narkotika golongan II, dan narkotika golongan III bagi diri sendiri. </w:t>
      </w:r>
    </w:p>
    <w:p w:rsidR="0088334A" w:rsidRDefault="0088334A" w:rsidP="0072150B">
      <w:pPr>
        <w:pStyle w:val="BodyTextIndent"/>
        <w:numPr>
          <w:ilvl w:val="6"/>
          <w:numId w:val="1"/>
        </w:numPr>
        <w:tabs>
          <w:tab w:val="num" w:pos="360"/>
        </w:tabs>
        <w:autoSpaceDE w:val="0"/>
        <w:autoSpaceDN w:val="0"/>
        <w:adjustRightInd w:val="0"/>
        <w:spacing w:line="456" w:lineRule="auto"/>
        <w:ind w:left="357" w:hanging="357"/>
        <w:rPr>
          <w:color w:val="000000"/>
          <w:szCs w:val="24"/>
        </w:rPr>
      </w:pPr>
      <w:r>
        <w:rPr>
          <w:color w:val="000000"/>
          <w:szCs w:val="24"/>
        </w:rPr>
        <w:t xml:space="preserve">Tindak Pidana Orang Tua/ Wali dari Pecandu Narkotika yang Belum Cukup Umur. Tindak Pidana yang berkaitan dengan orang tua atau wali dari pecandu yang belum cukup umur yang sengaja tidak melaporkan adanya tindak Pidana Pasal 111 sampai dengan Pasal 129. </w:t>
      </w:r>
    </w:p>
    <w:p w:rsidR="0088334A" w:rsidRDefault="0088334A" w:rsidP="0072150B">
      <w:pPr>
        <w:pStyle w:val="BodyTextIndent"/>
        <w:numPr>
          <w:ilvl w:val="6"/>
          <w:numId w:val="1"/>
        </w:numPr>
        <w:tabs>
          <w:tab w:val="num" w:pos="360"/>
        </w:tabs>
        <w:autoSpaceDE w:val="0"/>
        <w:autoSpaceDN w:val="0"/>
        <w:adjustRightInd w:val="0"/>
        <w:spacing w:line="456" w:lineRule="auto"/>
        <w:ind w:left="357" w:hanging="357"/>
        <w:rPr>
          <w:color w:val="000000"/>
          <w:szCs w:val="24"/>
        </w:rPr>
      </w:pPr>
      <w:r>
        <w:rPr>
          <w:color w:val="000000"/>
          <w:szCs w:val="24"/>
        </w:rPr>
        <w:t xml:space="preserve">Tindak Pidana yang Dilakukan oleh Korporasi. Dalam hal tindak Pidana dalam Pasal 111 sampai dengan Pasal 126 dan Pasal 129 yang dilakukan oleh Korporasi atau dilakukan secara terorganisasi. </w:t>
      </w:r>
    </w:p>
    <w:p w:rsidR="0088334A" w:rsidRDefault="0088334A" w:rsidP="0072150B">
      <w:pPr>
        <w:pStyle w:val="BodyTextIndent"/>
        <w:numPr>
          <w:ilvl w:val="6"/>
          <w:numId w:val="1"/>
        </w:numPr>
        <w:tabs>
          <w:tab w:val="num" w:pos="360"/>
        </w:tabs>
        <w:autoSpaceDE w:val="0"/>
        <w:autoSpaceDN w:val="0"/>
        <w:adjustRightInd w:val="0"/>
        <w:spacing w:line="456" w:lineRule="auto"/>
        <w:ind w:left="357" w:hanging="357"/>
        <w:rPr>
          <w:color w:val="000000"/>
          <w:szCs w:val="24"/>
        </w:rPr>
      </w:pPr>
      <w:r>
        <w:rPr>
          <w:color w:val="000000"/>
          <w:szCs w:val="24"/>
        </w:rPr>
        <w:t xml:space="preserve">Tindak Pidana bagi Orang yang Tidak Melaporkan Adanya Tindak Pidana Narkotika. Setiap orang yang sengaja tidak melaporkan adanya tindak pidana Pasal 111 sampai dengan Pasal 129. </w:t>
      </w:r>
    </w:p>
    <w:p w:rsidR="0088334A" w:rsidRDefault="0088334A" w:rsidP="0072150B">
      <w:pPr>
        <w:pStyle w:val="BodyTextIndent"/>
        <w:numPr>
          <w:ilvl w:val="6"/>
          <w:numId w:val="1"/>
        </w:numPr>
        <w:tabs>
          <w:tab w:val="num" w:pos="360"/>
        </w:tabs>
        <w:autoSpaceDE w:val="0"/>
        <w:autoSpaceDN w:val="0"/>
        <w:adjustRightInd w:val="0"/>
        <w:spacing w:line="456" w:lineRule="auto"/>
        <w:ind w:left="357" w:hanging="357"/>
        <w:rPr>
          <w:color w:val="000000"/>
          <w:szCs w:val="24"/>
        </w:rPr>
      </w:pPr>
      <w:r>
        <w:rPr>
          <w:color w:val="000000"/>
          <w:szCs w:val="24"/>
        </w:rPr>
        <w:t xml:space="preserve">Tindak Pidana terhadap Percobaan dan Pemufakatan Jahat Melakukan Tindak Pidana Narkotika dan Prekursor. Percobaan atau pemufakatan jahat untuk melakukan tindak pidana narkotika dan prekusor narkotika dalam Pasal 111 sampai degan Pasal 126 dan Pasal 129 dipidana pidana penjara dan </w:t>
      </w:r>
      <w:r>
        <w:rPr>
          <w:color w:val="000000"/>
          <w:szCs w:val="24"/>
        </w:rPr>
        <w:lastRenderedPageBreak/>
        <w:t xml:space="preserve">pidana denda maksimumnya ditambah sepertiga, tapi pemberatan pidana tersebut tidak berlaku bagi tindak pidana yang diancam dengan pidana mati, pidana penjara seumur hidup atau pidana penjara 20 tahun. </w:t>
      </w:r>
    </w:p>
    <w:p w:rsidR="0088334A" w:rsidRDefault="0088334A" w:rsidP="0072150B">
      <w:pPr>
        <w:pStyle w:val="BodyTextIndent"/>
        <w:numPr>
          <w:ilvl w:val="6"/>
          <w:numId w:val="1"/>
        </w:numPr>
        <w:tabs>
          <w:tab w:val="num" w:pos="360"/>
        </w:tabs>
        <w:autoSpaceDE w:val="0"/>
        <w:autoSpaceDN w:val="0"/>
        <w:adjustRightInd w:val="0"/>
        <w:spacing w:line="456" w:lineRule="auto"/>
        <w:ind w:left="357" w:hanging="357"/>
        <w:rPr>
          <w:color w:val="000000"/>
          <w:szCs w:val="24"/>
        </w:rPr>
      </w:pPr>
      <w:r>
        <w:rPr>
          <w:color w:val="000000"/>
          <w:szCs w:val="24"/>
        </w:rPr>
        <w:t xml:space="preserve">Tindak Pidana berkaitan dengan Pemanfaatan Anak. Menyuruh, membujuk, memaksa dengan kekerasan, tipu muslihat, membujuk anak yang belum cukup umur untuk melakukan tindak pidana dalam Pasal 111 sampai dengan Pasal 126 dan Pasal 129. </w:t>
      </w:r>
    </w:p>
    <w:p w:rsidR="0088334A" w:rsidRDefault="0088334A" w:rsidP="0072150B">
      <w:pPr>
        <w:pStyle w:val="BodyTextIndent"/>
        <w:numPr>
          <w:ilvl w:val="6"/>
          <w:numId w:val="1"/>
        </w:numPr>
        <w:tabs>
          <w:tab w:val="num" w:pos="360"/>
        </w:tabs>
        <w:autoSpaceDE w:val="0"/>
        <w:autoSpaceDN w:val="0"/>
        <w:adjustRightInd w:val="0"/>
        <w:ind w:left="360"/>
        <w:rPr>
          <w:color w:val="000000"/>
          <w:szCs w:val="24"/>
        </w:rPr>
      </w:pPr>
      <w:r>
        <w:rPr>
          <w:color w:val="000000"/>
          <w:szCs w:val="24"/>
        </w:rPr>
        <w:t xml:space="preserve">Tindak Pidana bagi Pecandu Narkotika dan Keluarganya yang Tidak Melaporkan Diri. Pecandu narkotika yang sudak cukup umur dan dengan sengaja tidak melaporkan diri atau keluarga dari pecandu narkotika yang dengan sengaja tidak melaporkan pecandu narkotika tersebut. </w:t>
      </w:r>
    </w:p>
    <w:p w:rsidR="0088334A" w:rsidRDefault="0088334A" w:rsidP="0072150B">
      <w:pPr>
        <w:pStyle w:val="BodyTextIndent"/>
        <w:numPr>
          <w:ilvl w:val="6"/>
          <w:numId w:val="1"/>
        </w:numPr>
        <w:tabs>
          <w:tab w:val="num" w:pos="360"/>
        </w:tabs>
        <w:autoSpaceDE w:val="0"/>
        <w:autoSpaceDN w:val="0"/>
        <w:adjustRightInd w:val="0"/>
        <w:ind w:left="360"/>
        <w:rPr>
          <w:color w:val="000000"/>
          <w:szCs w:val="24"/>
        </w:rPr>
      </w:pPr>
      <w:r>
        <w:rPr>
          <w:color w:val="000000"/>
          <w:szCs w:val="24"/>
        </w:rPr>
        <w:t>Tindak Pidana terhadap Hasil-Hasil Tindak Pidana Narkotika dan/atau Prekusor Narkotika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Menempatkan, membayarkan, atau membelanjakan, menitipkan, menukarkan, menyembunyikan atau menyamarkan, menginvestasikan, menyimpan, menghibahkan, mewariskan, dan/atau mentransfer uang, harta, dan benda, atau asset baik dalam bentuk benda bergerak maupun tidak bergerak, berwujud atau tidak </w:t>
      </w:r>
      <w:r>
        <w:rPr>
          <w:color w:val="000000"/>
          <w:szCs w:val="24"/>
        </w:rPr>
        <w:lastRenderedPageBreak/>
        <w:t>berwujud, yang berasal dari tindak pidana narkotika dan/atau tindak pidana prekusor narkotika</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Menerima penempatan, pembayaran, atau pembelanjaan, penitipan, penukaran, penyembunyian, atau penyamaran investasi, simpanan atau transfer, hibah, waris, harta atau uang, benda atau asset, baik dalam bentuk benda bergerak maupun tidak bergerak, berwujud maupun tidak berwujud yang diketahui berdasar dari tindak pidana narkotika dan/atau tindak pidana prekusor narkotika. </w:t>
      </w:r>
    </w:p>
    <w:p w:rsidR="0088334A" w:rsidRDefault="0088334A" w:rsidP="0072150B">
      <w:pPr>
        <w:pStyle w:val="BodyTextIndent"/>
        <w:numPr>
          <w:ilvl w:val="6"/>
          <w:numId w:val="1"/>
        </w:numPr>
        <w:tabs>
          <w:tab w:val="num" w:pos="360"/>
        </w:tabs>
        <w:autoSpaceDE w:val="0"/>
        <w:autoSpaceDN w:val="0"/>
        <w:adjustRightInd w:val="0"/>
        <w:ind w:left="360"/>
        <w:rPr>
          <w:color w:val="000000"/>
          <w:szCs w:val="24"/>
        </w:rPr>
      </w:pPr>
      <w:r>
        <w:rPr>
          <w:color w:val="000000"/>
          <w:szCs w:val="24"/>
        </w:rPr>
        <w:t xml:space="preserve">Tindak pidana narkotika yang dilakukan oleh para pejabat yang berkaitan dengan narkotika, meliputi :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Pengurus industri farmasi yang tidak melaksanakan kewajiban menurut Pasal 45.</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Pimpian rumah sakit, pusat kesehatan masyarakat, balai pengobatan, sarana penyimpanan persediaan farmasi milik pemerintah, dan apotek yang mengedarkan narkotika golongan II dan III bukan untuk kepentingan masyarakat.</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Pimpinan, lembaga ilmu pengetahuan yang menanam, membeli, menyimpan atau menguasai tanaman narkotika bukan untuk kepentingan ilmu pengetahuan.</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Pimpinan industri farmasi tertentu yang memproduksi narkotika golongan I bukan untuk kepentingan lembaga ilmu pengetahuan.</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lastRenderedPageBreak/>
        <w:t>Pimpinan pedagang besar farmasi yang mengedarkan narkotika golongan I yaitu bukan untuk kepentingan pengembangan ilmu pengetahuan atau mengedarkan narkotika golongan II dan III bukan untuk kepentingan pelayanan kesehatan dan/atau bukan untuk kepentingan pengembangan ilmu pengetahuan.</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Nahkoda atau kapten penerbang yang secara melawan hukum tidak melaksanakan ketentuan dalam Pasal 27 atau Pasal 28 (Pasal 139).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Penyidik Pengawai Negeri Sipil yang secara melawan hukum tidak melaksanakan ketentuan dalam Pasal 88 dan Pasal 89 (Pasal 140 ayat (1)).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Penyidik Kepolisian Negara Republik Indonesia dan penyidik BNN yang tidak melaksanakan ketentuan dalam Pasal 87, Pasal 89, Pasal 90, Pasal 91 ayat (2), dan ayat (3), dan Pasal 92 ayat (1), ayat (2), ayat (3) dan ayat (4) (Pasal 140 ayat (2)).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Kepala Kejaksaan Negeri yang secara melawan hukum tidak melaksanakan ketentuan dalam Pasal 91 ayat (1) pidana penjara dan pidana denda (Pasal 141). </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Petugas Laboratorium yang memalsukan hasil pengujian atau secara melawan hukum tidak melakukan kewajiban tidak melaporkan hasil pengujiannya kepada penyidik atau </w:t>
      </w:r>
      <w:r>
        <w:rPr>
          <w:color w:val="000000"/>
          <w:szCs w:val="24"/>
        </w:rPr>
        <w:lastRenderedPageBreak/>
        <w:t>penuntut umum, dipidana dengan pidana penjara dan pidana denda.</w:t>
      </w:r>
    </w:p>
    <w:p w:rsidR="0088334A" w:rsidRDefault="0088334A" w:rsidP="0072150B">
      <w:pPr>
        <w:pStyle w:val="BodyTextIndent"/>
        <w:numPr>
          <w:ilvl w:val="7"/>
          <w:numId w:val="1"/>
        </w:numPr>
        <w:tabs>
          <w:tab w:val="num" w:pos="720"/>
        </w:tabs>
        <w:autoSpaceDE w:val="0"/>
        <w:autoSpaceDN w:val="0"/>
        <w:adjustRightInd w:val="0"/>
        <w:ind w:left="720"/>
        <w:rPr>
          <w:color w:val="000000"/>
          <w:szCs w:val="24"/>
        </w:rPr>
      </w:pPr>
      <w:r>
        <w:rPr>
          <w:color w:val="000000"/>
          <w:szCs w:val="24"/>
        </w:rPr>
        <w:t xml:space="preserve">Ketentuan lain dalam rangka pemeriksaan terhadap tindak pidana narkotik, meliputi: </w:t>
      </w:r>
    </w:p>
    <w:p w:rsidR="0088334A" w:rsidRDefault="0088334A" w:rsidP="0072150B">
      <w:pPr>
        <w:pStyle w:val="BodyTextIndent"/>
        <w:numPr>
          <w:ilvl w:val="0"/>
          <w:numId w:val="6"/>
        </w:numPr>
        <w:tabs>
          <w:tab w:val="left" w:pos="720"/>
        </w:tabs>
        <w:autoSpaceDE w:val="0"/>
        <w:autoSpaceDN w:val="0"/>
        <w:adjustRightInd w:val="0"/>
        <w:rPr>
          <w:color w:val="000000"/>
          <w:szCs w:val="24"/>
        </w:rPr>
      </w:pPr>
      <w:r>
        <w:rPr>
          <w:color w:val="000000"/>
          <w:szCs w:val="24"/>
        </w:rPr>
        <w:t>Menghalang-halangi atau mempersulit penyidikan serta penuntutan dan pemeriksaan perkara tindak pidana narkotika dan/atau tindak pidana prekusor narkotika di muka sidang pengadilan.</w:t>
      </w:r>
    </w:p>
    <w:p w:rsidR="0088334A" w:rsidRDefault="0088334A" w:rsidP="0072150B">
      <w:pPr>
        <w:pStyle w:val="BodyTextIndent"/>
        <w:numPr>
          <w:ilvl w:val="0"/>
          <w:numId w:val="6"/>
        </w:numPr>
        <w:tabs>
          <w:tab w:val="left" w:pos="720"/>
        </w:tabs>
        <w:autoSpaceDE w:val="0"/>
        <w:autoSpaceDN w:val="0"/>
        <w:adjustRightInd w:val="0"/>
        <w:rPr>
          <w:color w:val="000000"/>
          <w:szCs w:val="24"/>
        </w:rPr>
      </w:pPr>
      <w:r>
        <w:rPr>
          <w:color w:val="000000"/>
          <w:szCs w:val="24"/>
        </w:rPr>
        <w:t>Narkotika dan prekusor narkotika serta hasil-hasil yang diperoleh dari tindak pidana prekusor narkotika dan/atau tindak pidana prekusor narkotika, baik berupa asset dalam bentuk benda bergerak maupun tidak bergerak, berwujud atau tidak berwujud serta barang-barang atau peralatan yang digunakan untuk melakukan tindak pidana narkotika dan tindak pidana prekusor narkotika dirampas untuk negara.</w:t>
      </w:r>
    </w:p>
    <w:p w:rsidR="0088334A" w:rsidRDefault="0088334A" w:rsidP="0072150B">
      <w:pPr>
        <w:pStyle w:val="BodyTextIndent"/>
        <w:numPr>
          <w:ilvl w:val="0"/>
          <w:numId w:val="6"/>
        </w:numPr>
        <w:tabs>
          <w:tab w:val="left" w:pos="720"/>
        </w:tabs>
        <w:autoSpaceDE w:val="0"/>
        <w:autoSpaceDN w:val="0"/>
        <w:adjustRightInd w:val="0"/>
        <w:rPr>
          <w:color w:val="000000"/>
          <w:szCs w:val="24"/>
        </w:rPr>
      </w:pPr>
      <w:r>
        <w:rPr>
          <w:color w:val="000000"/>
          <w:szCs w:val="24"/>
        </w:rPr>
        <w:t>Saksi yang memberikan keterangan tidak benar dalam pemeriksaan perkara tindak pidana narkotika dan prekusor narkotika di muka pengadilan dipidana dengan pidana penjara dan pidana denda.</w:t>
      </w:r>
    </w:p>
    <w:p w:rsidR="0088334A" w:rsidRDefault="0088334A" w:rsidP="0072150B">
      <w:pPr>
        <w:pStyle w:val="BodyTextIndent"/>
        <w:numPr>
          <w:ilvl w:val="0"/>
          <w:numId w:val="1"/>
        </w:numPr>
        <w:tabs>
          <w:tab w:val="left" w:pos="426"/>
        </w:tabs>
        <w:ind w:left="426" w:hanging="426"/>
        <w:rPr>
          <w:color w:val="000000"/>
          <w:lang w:val="id-ID"/>
        </w:rPr>
      </w:pPr>
      <w:r>
        <w:rPr>
          <w:b/>
          <w:color w:val="000000"/>
          <w:szCs w:val="24"/>
        </w:rPr>
        <w:t xml:space="preserve">Rehabilitasi </w:t>
      </w:r>
      <w:r>
        <w:rPr>
          <w:b/>
          <w:color w:val="000000"/>
          <w:szCs w:val="24"/>
          <w:lang w:val="id-ID"/>
        </w:rPr>
        <w:t xml:space="preserve">Pecandu </w:t>
      </w:r>
      <w:r>
        <w:rPr>
          <w:b/>
          <w:color w:val="000000"/>
          <w:szCs w:val="24"/>
        </w:rPr>
        <w:t>Narko</w:t>
      </w:r>
      <w:r>
        <w:rPr>
          <w:b/>
          <w:color w:val="000000"/>
          <w:szCs w:val="24"/>
          <w:lang w:val="id-ID"/>
        </w:rPr>
        <w:t>tika</w:t>
      </w:r>
    </w:p>
    <w:p w:rsidR="0088334A" w:rsidRDefault="0088334A" w:rsidP="0088334A">
      <w:pPr>
        <w:pStyle w:val="BodyTextIndent"/>
        <w:ind w:firstLine="720"/>
        <w:rPr>
          <w:color w:val="000000"/>
        </w:rPr>
      </w:pPr>
      <w:r>
        <w:rPr>
          <w:color w:val="000000"/>
        </w:rPr>
        <w:t xml:space="preserve">Melindungi masyarakat dari peredaran gelap dan dampak buruk narkoba, telah ditegaskan dalam Pasal 54 Undang-Undang </w:t>
      </w:r>
      <w:r>
        <w:rPr>
          <w:color w:val="000000"/>
        </w:rPr>
        <w:lastRenderedPageBreak/>
        <w:t>Narkotika bahwa pecandu narkotika dan korban penyalahgunaan narkotika wajib menjalani rehabilitasi medis dan rehabilitasi sosial.</w:t>
      </w:r>
    </w:p>
    <w:p w:rsidR="0088334A" w:rsidRDefault="0088334A" w:rsidP="0088334A">
      <w:pPr>
        <w:pStyle w:val="BodyTextIndent"/>
        <w:ind w:firstLine="720"/>
        <w:rPr>
          <w:color w:val="000000"/>
        </w:rPr>
      </w:pPr>
      <w:r>
        <w:rPr>
          <w:color w:val="000000"/>
        </w:rPr>
        <w:t>Rehabilitasi adalah upaya pemilihan kesehatan jiwa dan raga yang ditujukan kepada pemakai narkoba yang sudah menjalani program kuratif. Tujuannya agar tidak memakai lagi dan bebas dari penyakit ikutan yang disebabkan oleh bekas pemakaian narkoba.</w:t>
      </w:r>
      <w:r>
        <w:rPr>
          <w:rStyle w:val="FootnoteReference"/>
          <w:color w:val="000000"/>
        </w:rPr>
        <w:footnoteReference w:id="16"/>
      </w:r>
    </w:p>
    <w:p w:rsidR="0088334A" w:rsidRDefault="0088334A" w:rsidP="0088334A">
      <w:pPr>
        <w:pStyle w:val="BodyTextIndent"/>
        <w:ind w:firstLine="720"/>
        <w:rPr>
          <w:rFonts w:eastAsia="Calibri"/>
          <w:color w:val="000000"/>
        </w:rPr>
      </w:pPr>
      <w:r>
        <w:rPr>
          <w:color w:val="000000"/>
        </w:rPr>
        <w:t>Menurut rehabilitasi adalah upaya memulihkan dan mengembalikan kondisi para mantan penyalahguna/ketergantungan Naza kembali sehat dalam arti sehat fisik, psikologik, sosial dan spiritual/agama (keiminan) dengan kondisi sehat tersebut diharapkan mereka akan mampu kembali berfungsi secara wajar dalam kehidupannya sehari-hari, baik di rumah, di sekolah/kampus, tempat kerja dan di lingkungan sosialnya.</w:t>
      </w:r>
      <w:r>
        <w:rPr>
          <w:rStyle w:val="FootnoteReference"/>
          <w:color w:val="000000"/>
        </w:rPr>
        <w:footnoteReference w:id="17"/>
      </w:r>
    </w:p>
    <w:p w:rsidR="0088334A" w:rsidRDefault="0088334A" w:rsidP="0088334A">
      <w:pPr>
        <w:pStyle w:val="BodyTextIndent"/>
        <w:ind w:firstLine="720"/>
        <w:rPr>
          <w:color w:val="000000"/>
        </w:rPr>
      </w:pPr>
      <w:r>
        <w:rPr>
          <w:color w:val="000000"/>
        </w:rPr>
        <w:t xml:space="preserve">Rehabilitasi bagi pecandu narkotika dilakukan dengan maksud untuk memulihkan dan/atau mengembangkan kemampuan fisik, mental, dan sosial penderita yang bersangkutan. Rehabilitasi adalah pemulihan kepada kedudukan (keadaan, nama baik) yang dahulu (semula) atau rehabilitasi juga dapat diartikan sebagai perbaikan anggota tubuh yang cacat dan </w:t>
      </w:r>
      <w:r>
        <w:rPr>
          <w:color w:val="000000"/>
        </w:rPr>
        <w:lastRenderedPageBreak/>
        <w:t>sebagainya atas individu (misalnya pasien rumah sakit, korban bencana) supaya menjadi manusia yang berguna dan memiliki tempat dalam masyarakat.</w:t>
      </w:r>
    </w:p>
    <w:p w:rsidR="0088334A" w:rsidRDefault="0088334A" w:rsidP="0088334A">
      <w:pPr>
        <w:pStyle w:val="BodyTextIndent"/>
        <w:ind w:firstLine="720"/>
        <w:rPr>
          <w:color w:val="000000"/>
        </w:rPr>
      </w:pPr>
      <w:r>
        <w:rPr>
          <w:color w:val="000000"/>
        </w:rPr>
        <w:t>Pusat rehabilitasi menggunakan berbagai metode yang berbeda terhadap si pasien, perawatan pun disesuaikan menurut penyakit si pasien dan seluk-beluk dari awal terhadap si pasien tersebut. Waktu juga menentukan perbedaan perawatan antar pasien. Para pasien yang masuk di pusat rehabilitasi kebanyakan menderita rendah diri dan kurangnya pandangan positif terhadap kehidupan, oleh karena itu psikologi memainkan peranan yang sangat besar dalam program rehabilitasi, dan hal ini juga sangat penting untuk menjaga pasien dari teman-teman dan lingkungan yang memungkinkan kecanduan kembali terhadap obat-obat terlarang.</w:t>
      </w:r>
    </w:p>
    <w:p w:rsidR="0088334A" w:rsidRDefault="0088334A" w:rsidP="0088334A">
      <w:pPr>
        <w:pStyle w:val="BodyTextIndent"/>
        <w:ind w:firstLine="720"/>
        <w:rPr>
          <w:rFonts w:eastAsia="Calibri"/>
          <w:color w:val="000000"/>
        </w:rPr>
      </w:pPr>
      <w:r>
        <w:rPr>
          <w:color w:val="000000"/>
        </w:rPr>
        <w:t xml:space="preserve">Arti umum rehabilitasi adalah pemulihan-pemulihan kembali. Rehabilitasi mengembalikan sesuatu kepada keadaan semula yang tadinya dalam keadaan baik, tetapi karena sesuatu hal kemudian menjadi tidak berfungsi atau rusak. Apabila dikaitkan dengan </w:t>
      </w:r>
      <w:r>
        <w:rPr>
          <w:i/>
          <w:iCs/>
          <w:color w:val="000000"/>
        </w:rPr>
        <w:t xml:space="preserve">disability </w:t>
      </w:r>
      <w:r>
        <w:rPr>
          <w:color w:val="000000"/>
        </w:rPr>
        <w:t xml:space="preserve">pengertiannya adalah pengembalian orang-orang cacat kepada kegunaan secara maksimal baik dalam aspek fisik, mental, personal, sosial, </w:t>
      </w:r>
      <w:r>
        <w:rPr>
          <w:i/>
          <w:iCs/>
          <w:color w:val="000000"/>
        </w:rPr>
        <w:t xml:space="preserve">vocational </w:t>
      </w:r>
      <w:r>
        <w:rPr>
          <w:color w:val="000000"/>
        </w:rPr>
        <w:t xml:space="preserve">serta ekonomi sesuai dengan kemampuannya. Diperlukan </w:t>
      </w:r>
      <w:r>
        <w:rPr>
          <w:i/>
          <w:iCs/>
          <w:color w:val="000000"/>
        </w:rPr>
        <w:t xml:space="preserve">koordinasi </w:t>
      </w:r>
      <w:r>
        <w:rPr>
          <w:color w:val="000000"/>
        </w:rPr>
        <w:t xml:space="preserve">dari berbagai bidang usaha itu menjadi suatu proses yang </w:t>
      </w:r>
      <w:r>
        <w:rPr>
          <w:color w:val="000000"/>
        </w:rPr>
        <w:lastRenderedPageBreak/>
        <w:t xml:space="preserve">berhubungan erat satu dengan yang lain, yang merupakan </w:t>
      </w:r>
      <w:r>
        <w:rPr>
          <w:i/>
          <w:iCs/>
          <w:color w:val="000000"/>
        </w:rPr>
        <w:t xml:space="preserve">team work </w:t>
      </w:r>
      <w:r>
        <w:rPr>
          <w:color w:val="000000"/>
        </w:rPr>
        <w:t xml:space="preserve">menuju kearah tujuan akhir. Rehabilitasi dipergunakan secara luas, mencakup rehabilitasi yang diartikan sebagai suatu usaha untuk membantu nereka yang mengalami kelainan sejak lahir atau pada masa kanak-kanak.Rehabilitasi merupakan pendekatan total, yang merupakan suatu pendekatan komprehenship, kesemuanya bertujuan membentuk individu yang utuh dalam aspek fisik, mental, emosional dan sosial agar ia dapat berguna. </w:t>
      </w:r>
      <w:r>
        <w:rPr>
          <w:rFonts w:eastAsia="Calibri"/>
          <w:color w:val="000000"/>
        </w:rPr>
        <w:t>Rehabilitasi itu bukan merupakan suatu usaha yang dilakukan oleh para ahli untuk para penyandang cacat, tetapi harus penderita sendirilah yang harus berusaha untuk melakukan prosedur yang telah ditetapkan, sehingga dapat merubah dirinya sendiri menjadi manusia mandiri.</w:t>
      </w:r>
    </w:p>
    <w:p w:rsidR="0088334A" w:rsidRDefault="0088334A" w:rsidP="0088334A">
      <w:pPr>
        <w:autoSpaceDE w:val="0"/>
        <w:autoSpaceDN w:val="0"/>
        <w:adjustRightInd w:val="0"/>
        <w:spacing w:line="480" w:lineRule="auto"/>
        <w:ind w:firstLine="720"/>
        <w:rPr>
          <w:color w:val="000000"/>
        </w:rPr>
      </w:pPr>
      <w:r>
        <w:rPr>
          <w:color w:val="000000"/>
        </w:rPr>
        <w:t xml:space="preserve">Tahap-tahap rehabilitasi bagi pecandu narkoba: </w:t>
      </w:r>
    </w:p>
    <w:p w:rsidR="0088334A" w:rsidRDefault="0088334A" w:rsidP="0072150B">
      <w:pPr>
        <w:numPr>
          <w:ilvl w:val="0"/>
          <w:numId w:val="7"/>
        </w:numPr>
        <w:autoSpaceDE w:val="0"/>
        <w:autoSpaceDN w:val="0"/>
        <w:adjustRightInd w:val="0"/>
        <w:spacing w:line="216" w:lineRule="auto"/>
        <w:ind w:left="1134" w:hanging="357"/>
        <w:jc w:val="both"/>
        <w:rPr>
          <w:color w:val="000000"/>
        </w:rPr>
      </w:pPr>
      <w:r>
        <w:rPr>
          <w:color w:val="000000"/>
        </w:rPr>
        <w:t xml:space="preserve">Tahap rehabilitasi medis </w:t>
      </w:r>
      <w:r>
        <w:rPr>
          <w:i/>
          <w:color w:val="000000"/>
        </w:rPr>
        <w:t>(detoksifikasi),</w:t>
      </w:r>
      <w:r>
        <w:rPr>
          <w:color w:val="000000"/>
        </w:rPr>
        <w:t xml:space="preserve"> tahap ini pecandu diperiksa seluruh kesehatannya baik fisik dan mental oleh dokter terlatih. Dokterlah yang memutuskan apakah pecandu perlu diberikan obat tertentu untuk mengurangi gejala putus zat (sakau) yang diderita pemberian obat tergantung dari jenis narkoba dan beerat ringannya gejala putus zat. Dalam hal ini dokter butuh kepekaan, pengalaman, dan keahlian guna mendeteksi gejala kecanduan narkoba tersebut.</w:t>
      </w:r>
    </w:p>
    <w:p w:rsidR="0088334A" w:rsidRDefault="0088334A" w:rsidP="0072150B">
      <w:pPr>
        <w:numPr>
          <w:ilvl w:val="0"/>
          <w:numId w:val="7"/>
        </w:numPr>
        <w:autoSpaceDE w:val="0"/>
        <w:autoSpaceDN w:val="0"/>
        <w:adjustRightInd w:val="0"/>
        <w:spacing w:line="216" w:lineRule="auto"/>
        <w:ind w:left="1134" w:hanging="357"/>
        <w:jc w:val="both"/>
        <w:rPr>
          <w:color w:val="000000"/>
        </w:rPr>
      </w:pPr>
      <w:r>
        <w:rPr>
          <w:color w:val="000000"/>
        </w:rPr>
        <w:t>Tahap rehabilitas non medis, tahap ini pecandu ikut dalam program rehabilitasi.</w:t>
      </w:r>
    </w:p>
    <w:p w:rsidR="0088334A" w:rsidRDefault="0088334A" w:rsidP="0072150B">
      <w:pPr>
        <w:numPr>
          <w:ilvl w:val="0"/>
          <w:numId w:val="7"/>
        </w:numPr>
        <w:autoSpaceDE w:val="0"/>
        <w:autoSpaceDN w:val="0"/>
        <w:adjustRightInd w:val="0"/>
        <w:spacing w:line="216" w:lineRule="auto"/>
        <w:ind w:left="1134" w:hanging="357"/>
        <w:jc w:val="both"/>
        <w:rPr>
          <w:color w:val="000000"/>
        </w:rPr>
      </w:pPr>
      <w:r>
        <w:rPr>
          <w:color w:val="000000"/>
        </w:rPr>
        <w:t xml:space="preserve">Tahap bina lanjut </w:t>
      </w:r>
      <w:r>
        <w:rPr>
          <w:i/>
          <w:color w:val="000000"/>
        </w:rPr>
        <w:t>(after care)</w:t>
      </w:r>
      <w:r>
        <w:rPr>
          <w:color w:val="000000"/>
        </w:rPr>
        <w:t>, tahap ini pecandu diberikan kegiatan sesuai dengan minat dan bakat untuk mengisi kegiatan sehari-hari, pecandu dapat kembali ke sekolah atau tempat kerja namun tetap berada di bawah pengawasan.</w:t>
      </w:r>
      <w:r>
        <w:rPr>
          <w:rStyle w:val="FootnoteReference"/>
          <w:color w:val="000000"/>
        </w:rPr>
        <w:footnoteReference w:id="18"/>
      </w:r>
    </w:p>
    <w:p w:rsidR="0088334A" w:rsidRDefault="0088334A" w:rsidP="0088334A">
      <w:pPr>
        <w:autoSpaceDE w:val="0"/>
        <w:autoSpaceDN w:val="0"/>
        <w:adjustRightInd w:val="0"/>
        <w:ind w:left="1134"/>
        <w:jc w:val="both"/>
        <w:rPr>
          <w:color w:val="000000"/>
        </w:rPr>
      </w:pPr>
    </w:p>
    <w:p w:rsidR="0088334A" w:rsidRDefault="0088334A" w:rsidP="0088334A">
      <w:pPr>
        <w:autoSpaceDE w:val="0"/>
        <w:autoSpaceDN w:val="0"/>
        <w:adjustRightInd w:val="0"/>
        <w:spacing w:line="432" w:lineRule="auto"/>
        <w:ind w:firstLine="720"/>
        <w:jc w:val="both"/>
        <w:rPr>
          <w:bCs/>
          <w:color w:val="000000"/>
        </w:rPr>
      </w:pPr>
      <w:r>
        <w:rPr>
          <w:bCs/>
          <w:color w:val="000000"/>
        </w:rPr>
        <w:lastRenderedPageBreak/>
        <w:t>Program rehabilitasi juga harus menyediakan pemeriksaan terhadap kemungkinan penyakit infeksi seperti HIV/AIDS, hepatitis B dan C, tuberculosis dan penyakit infeksi lainnya, juga mengubah kebiasaan mereka untuk dapat menghindarkan diri dari penyakit infeksi.</w:t>
      </w:r>
      <w:r>
        <w:rPr>
          <w:rStyle w:val="FootnoteReference"/>
          <w:bCs/>
          <w:color w:val="000000"/>
        </w:rPr>
        <w:footnoteReference w:id="19"/>
      </w:r>
    </w:p>
    <w:p w:rsidR="0088334A" w:rsidRDefault="0088334A" w:rsidP="0088334A">
      <w:pPr>
        <w:autoSpaceDE w:val="0"/>
        <w:autoSpaceDN w:val="0"/>
        <w:adjustRightInd w:val="0"/>
        <w:spacing w:line="480" w:lineRule="auto"/>
        <w:ind w:firstLine="720"/>
        <w:jc w:val="both"/>
        <w:rPr>
          <w:bCs/>
          <w:color w:val="000000"/>
        </w:rPr>
      </w:pPr>
      <w:r>
        <w:rPr>
          <w:bCs/>
          <w:color w:val="000000"/>
        </w:rPr>
        <w:t>Efektifitas program dan proses perawatan serta rehabilitasi penderita ketergantungan  narkoba ditentukan oleh banyak faktor yaitu:</w:t>
      </w:r>
    </w:p>
    <w:p w:rsidR="0088334A" w:rsidRDefault="0088334A" w:rsidP="0072150B">
      <w:pPr>
        <w:numPr>
          <w:ilvl w:val="0"/>
          <w:numId w:val="8"/>
        </w:numPr>
        <w:autoSpaceDE w:val="0"/>
        <w:autoSpaceDN w:val="0"/>
        <w:adjustRightInd w:val="0"/>
        <w:jc w:val="both"/>
        <w:rPr>
          <w:bCs/>
          <w:color w:val="000000"/>
        </w:rPr>
      </w:pPr>
      <w:r>
        <w:rPr>
          <w:bCs/>
          <w:color w:val="000000"/>
        </w:rPr>
        <w:t>Kemauan kuat serta kerjasama penderita sendiri.</w:t>
      </w:r>
    </w:p>
    <w:p w:rsidR="0088334A" w:rsidRDefault="0088334A" w:rsidP="0072150B">
      <w:pPr>
        <w:numPr>
          <w:ilvl w:val="0"/>
          <w:numId w:val="8"/>
        </w:numPr>
        <w:autoSpaceDE w:val="0"/>
        <w:autoSpaceDN w:val="0"/>
        <w:adjustRightInd w:val="0"/>
        <w:jc w:val="both"/>
        <w:rPr>
          <w:bCs/>
          <w:color w:val="000000"/>
        </w:rPr>
      </w:pPr>
      <w:r>
        <w:rPr>
          <w:bCs/>
          <w:color w:val="000000"/>
        </w:rPr>
        <w:t>Profesionalisme, kompetensi serta komitmen para pelaksananya.</w:t>
      </w:r>
    </w:p>
    <w:p w:rsidR="0088334A" w:rsidRDefault="0088334A" w:rsidP="0072150B">
      <w:pPr>
        <w:numPr>
          <w:ilvl w:val="0"/>
          <w:numId w:val="8"/>
        </w:numPr>
        <w:autoSpaceDE w:val="0"/>
        <w:autoSpaceDN w:val="0"/>
        <w:adjustRightInd w:val="0"/>
        <w:jc w:val="both"/>
        <w:rPr>
          <w:bCs/>
          <w:color w:val="000000"/>
        </w:rPr>
      </w:pPr>
      <w:r>
        <w:rPr>
          <w:bCs/>
          <w:color w:val="000000"/>
        </w:rPr>
        <w:t>Sistem  rujukan antara lembaga yang baik.</w:t>
      </w:r>
    </w:p>
    <w:p w:rsidR="0088334A" w:rsidRDefault="0088334A" w:rsidP="0072150B">
      <w:pPr>
        <w:numPr>
          <w:ilvl w:val="0"/>
          <w:numId w:val="8"/>
        </w:numPr>
        <w:autoSpaceDE w:val="0"/>
        <w:autoSpaceDN w:val="0"/>
        <w:adjustRightInd w:val="0"/>
        <w:jc w:val="both"/>
        <w:rPr>
          <w:bCs/>
          <w:color w:val="000000"/>
        </w:rPr>
      </w:pPr>
      <w:r>
        <w:rPr>
          <w:bCs/>
          <w:color w:val="000000"/>
        </w:rPr>
        <w:t>Prasarana, sarana dan fasilitas yang memadai.</w:t>
      </w:r>
    </w:p>
    <w:p w:rsidR="0088334A" w:rsidRDefault="0088334A" w:rsidP="0072150B">
      <w:pPr>
        <w:numPr>
          <w:ilvl w:val="0"/>
          <w:numId w:val="8"/>
        </w:numPr>
        <w:autoSpaceDE w:val="0"/>
        <w:autoSpaceDN w:val="0"/>
        <w:adjustRightInd w:val="0"/>
        <w:jc w:val="both"/>
        <w:rPr>
          <w:bCs/>
          <w:color w:val="000000"/>
        </w:rPr>
      </w:pPr>
      <w:r>
        <w:rPr>
          <w:bCs/>
          <w:color w:val="000000"/>
        </w:rPr>
        <w:t>Perhatian dan keterlibatan orang tua atau keluarga.</w:t>
      </w:r>
    </w:p>
    <w:p w:rsidR="0088334A" w:rsidRDefault="0088334A" w:rsidP="0072150B">
      <w:pPr>
        <w:numPr>
          <w:ilvl w:val="0"/>
          <w:numId w:val="8"/>
        </w:numPr>
        <w:autoSpaceDE w:val="0"/>
        <w:autoSpaceDN w:val="0"/>
        <w:adjustRightInd w:val="0"/>
        <w:jc w:val="both"/>
        <w:rPr>
          <w:bCs/>
          <w:color w:val="000000"/>
        </w:rPr>
      </w:pPr>
      <w:r>
        <w:rPr>
          <w:bCs/>
          <w:color w:val="000000"/>
        </w:rPr>
        <w:t>Dukungan dana yang memadai.</w:t>
      </w:r>
    </w:p>
    <w:p w:rsidR="0088334A" w:rsidRDefault="0088334A" w:rsidP="0072150B">
      <w:pPr>
        <w:numPr>
          <w:ilvl w:val="0"/>
          <w:numId w:val="8"/>
        </w:numPr>
        <w:autoSpaceDE w:val="0"/>
        <w:autoSpaceDN w:val="0"/>
        <w:adjustRightInd w:val="0"/>
        <w:jc w:val="both"/>
        <w:rPr>
          <w:bCs/>
          <w:color w:val="000000"/>
        </w:rPr>
      </w:pPr>
      <w:r>
        <w:rPr>
          <w:bCs/>
          <w:color w:val="000000"/>
        </w:rPr>
        <w:t>Kerjasama dan koordinasi lintas profesi yang baik.</w:t>
      </w:r>
      <w:r>
        <w:rPr>
          <w:rStyle w:val="FootnoteReference"/>
          <w:bCs/>
          <w:color w:val="000000"/>
        </w:rPr>
        <w:footnoteReference w:id="20"/>
      </w:r>
    </w:p>
    <w:p w:rsidR="0088334A" w:rsidRDefault="0088334A" w:rsidP="0088334A">
      <w:pPr>
        <w:autoSpaceDE w:val="0"/>
        <w:autoSpaceDN w:val="0"/>
        <w:adjustRightInd w:val="0"/>
        <w:ind w:left="1080"/>
        <w:jc w:val="both"/>
        <w:rPr>
          <w:bCs/>
          <w:color w:val="000000"/>
        </w:rPr>
      </w:pPr>
    </w:p>
    <w:p w:rsidR="0088334A" w:rsidRDefault="0088334A" w:rsidP="0088334A">
      <w:pPr>
        <w:autoSpaceDE w:val="0"/>
        <w:autoSpaceDN w:val="0"/>
        <w:adjustRightInd w:val="0"/>
        <w:spacing w:line="480" w:lineRule="auto"/>
        <w:ind w:firstLine="720"/>
        <w:rPr>
          <w:bCs/>
          <w:color w:val="000000"/>
        </w:rPr>
      </w:pPr>
      <w:r>
        <w:rPr>
          <w:bCs/>
          <w:color w:val="000000"/>
        </w:rPr>
        <w:t>Jenis-jenis rehabilitasi:</w:t>
      </w:r>
    </w:p>
    <w:p w:rsidR="0088334A" w:rsidRDefault="0088334A" w:rsidP="0072150B">
      <w:pPr>
        <w:numPr>
          <w:ilvl w:val="0"/>
          <w:numId w:val="9"/>
        </w:numPr>
        <w:autoSpaceDE w:val="0"/>
        <w:autoSpaceDN w:val="0"/>
        <w:adjustRightInd w:val="0"/>
        <w:spacing w:line="480" w:lineRule="auto"/>
        <w:ind w:left="360"/>
        <w:rPr>
          <w:color w:val="000000"/>
        </w:rPr>
      </w:pPr>
      <w:r>
        <w:rPr>
          <w:color w:val="000000"/>
        </w:rPr>
        <w:t xml:space="preserve">Rehabilitasi medis </w:t>
      </w:r>
      <w:r>
        <w:rPr>
          <w:i/>
          <w:iCs/>
          <w:color w:val="000000"/>
        </w:rPr>
        <w:t xml:space="preserve">(medical rehabilitation) </w:t>
      </w:r>
    </w:p>
    <w:p w:rsidR="0088334A" w:rsidRDefault="0088334A" w:rsidP="0088334A">
      <w:pPr>
        <w:autoSpaceDE w:val="0"/>
        <w:autoSpaceDN w:val="0"/>
        <w:adjustRightInd w:val="0"/>
        <w:spacing w:line="480" w:lineRule="auto"/>
        <w:ind w:firstLine="720"/>
        <w:jc w:val="both"/>
        <w:rPr>
          <w:color w:val="000000"/>
        </w:rPr>
      </w:pPr>
      <w:r>
        <w:rPr>
          <w:color w:val="000000"/>
        </w:rPr>
        <w:t>Pasal 1 Butir 6 Peraturan Pemerintah Republik Indonesia No. 25 Tahun 2011 Tentang Pelaksanaan Wajib Lapor Pecandu Narkotika menyebutkan rehabilitasi medis adalah suatu proses kegiatan pengobatan secara terpadu untuk membebaskan pecandu dari ketergantungan narkotika.</w:t>
      </w:r>
    </w:p>
    <w:p w:rsidR="0088334A" w:rsidRDefault="0088334A" w:rsidP="0088334A">
      <w:pPr>
        <w:autoSpaceDE w:val="0"/>
        <w:autoSpaceDN w:val="0"/>
        <w:adjustRightInd w:val="0"/>
        <w:spacing w:line="480" w:lineRule="auto"/>
        <w:ind w:firstLine="720"/>
        <w:jc w:val="both"/>
        <w:rPr>
          <w:color w:val="000000"/>
        </w:rPr>
      </w:pPr>
      <w:r>
        <w:rPr>
          <w:color w:val="000000"/>
        </w:rPr>
        <w:t>Termasuk dalam rehabilitasi medis adalah memulihkan kondisi fisik yang lemah, tidak cukup diberikan gizi makanan yang bernilai tinggi, tetapi juga kegiatan olahraga yang teratur disesuaikan dengan kemampuan masing-masing yang bersangkutan.</w:t>
      </w:r>
      <w:r>
        <w:rPr>
          <w:rStyle w:val="FootnoteReference"/>
          <w:color w:val="000000"/>
        </w:rPr>
        <w:footnoteReference w:id="21"/>
      </w:r>
      <w:r>
        <w:rPr>
          <w:color w:val="000000"/>
        </w:rPr>
        <w:t xml:space="preserve"> Rehabilitasi medis pecandu narkotika dilakukan di rumah sakit yang ditunjuk oleh Menteri. Selain itu lembaga rehabilitasi tertentu yang diselenggarakan oleh instansi pemerintah seperti Lapas Narkotika dan Pemerintah </w:t>
      </w:r>
      <w:r>
        <w:rPr>
          <w:color w:val="000000"/>
        </w:rPr>
        <w:lastRenderedPageBreak/>
        <w:t xml:space="preserve">Daerah dapat melakukan rehabilitasi medis terhadap penyalahguna narkotika setelah mendapat persetujuan menteri. </w:t>
      </w:r>
    </w:p>
    <w:p w:rsidR="0088334A" w:rsidRDefault="0088334A" w:rsidP="0072150B">
      <w:pPr>
        <w:numPr>
          <w:ilvl w:val="0"/>
          <w:numId w:val="9"/>
        </w:numPr>
        <w:autoSpaceDE w:val="0"/>
        <w:autoSpaceDN w:val="0"/>
        <w:adjustRightInd w:val="0"/>
        <w:spacing w:line="528" w:lineRule="auto"/>
        <w:ind w:left="360"/>
        <w:jc w:val="both"/>
        <w:rPr>
          <w:color w:val="000000"/>
        </w:rPr>
      </w:pPr>
      <w:r>
        <w:rPr>
          <w:color w:val="000000"/>
        </w:rPr>
        <w:t xml:space="preserve">Rehabilitasi Sosial </w:t>
      </w:r>
      <w:r>
        <w:rPr>
          <w:i/>
          <w:iCs/>
          <w:color w:val="000000"/>
        </w:rPr>
        <w:t xml:space="preserve">(Social Rehabilitation) </w:t>
      </w:r>
    </w:p>
    <w:p w:rsidR="0088334A" w:rsidRDefault="0088334A" w:rsidP="0088334A">
      <w:pPr>
        <w:autoSpaceDE w:val="0"/>
        <w:autoSpaceDN w:val="0"/>
        <w:adjustRightInd w:val="0"/>
        <w:spacing w:line="528" w:lineRule="auto"/>
        <w:ind w:firstLine="720"/>
        <w:jc w:val="both"/>
        <w:rPr>
          <w:color w:val="000000"/>
        </w:rPr>
      </w:pPr>
      <w:r>
        <w:rPr>
          <w:color w:val="000000"/>
        </w:rPr>
        <w:t xml:space="preserve">Rehabilitasi sosial merupakan bagian dari proses rehabilitasi penderita cacat yang berusaha untuk menghilangkan atau setidak-tidaknya mengurangi semaksimal mungkin pengaruh-pengaruh negatif yang disebabkan kecacatannya, sehingga penderita dapat aktif dalam kehidupan di masyarakat. </w:t>
      </w:r>
    </w:p>
    <w:p w:rsidR="0088334A" w:rsidRDefault="0088334A" w:rsidP="0088334A">
      <w:pPr>
        <w:pStyle w:val="BodyText"/>
        <w:spacing w:line="456" w:lineRule="auto"/>
        <w:ind w:firstLine="748"/>
        <w:rPr>
          <w:rFonts w:ascii="Times New Roman" w:hAnsi="Times New Roman"/>
          <w:color w:val="000000"/>
        </w:rPr>
      </w:pPr>
      <w:r>
        <w:rPr>
          <w:rFonts w:ascii="Times New Roman" w:hAnsi="Times New Roman"/>
          <w:color w:val="000000"/>
        </w:rPr>
        <w:t>Menangani pecandu narkoba, aparat penegak hukum harus berorientasi kepada sanksi tindakan berupa rehabilitasi demi menyelamatkan masa depan mereka. Untuk dapat memfungsikan peran hakim dalam memutus atau menetapkan rehabilitasi perlu dukungan dari aparat penegak hukum yang lain. Tentu hal ini harus berlandaskan pada adanya pemahaman dan kesepakatan bersama bahwa penyalahgunaan narkoba adalah masalah serius bangsa dan musuh bangsa. Pemerintah dan aparat penegak hukum wajib bersatu padu menyamakan visi dan misi untuk menanggulangi penyalahgunaan narkoba demi mewujudkan cita-cita luhur bangsa menjadikan generasi bangsa yang sehat.</w:t>
      </w:r>
    </w:p>
    <w:p w:rsidR="0088334A" w:rsidRDefault="0088334A" w:rsidP="0088334A">
      <w:pPr>
        <w:pStyle w:val="BodyText"/>
        <w:ind w:firstLine="748"/>
        <w:rPr>
          <w:rFonts w:ascii="Times New Roman" w:hAnsi="Times New Roman"/>
          <w:color w:val="000000"/>
        </w:rPr>
      </w:pPr>
      <w:r>
        <w:rPr>
          <w:rFonts w:ascii="Times New Roman" w:hAnsi="Times New Roman"/>
          <w:color w:val="000000"/>
        </w:rPr>
        <w:t xml:space="preserve">Pemahaman dan kesepakatan dari pemerintah dan aparat penegak hukum ini kemudian diwujudkan melalui Peraturan Bersama Ketua Mahkamah Agung Republik Indonesia, Menteri Hukum dan Hak Asasi Manusia Republik Indonesia, Menteri Kesehatan Republik Indonesia, Menteri Sosial Republik Indonesia, Jaksa Agung Republik Indonesia, Kepala Kepolisian Republik Indonesia, Kepala Badan Narkotika Nasional Republik Indonesia Nomor 01/PB/MA/III/2014, Nomor 03 Tahun 2014, Nomor 11 Tahun 2014, Nomor 03 Tahun 2014, Nomor PER-005/A/JA/03/2014, Nomor 1 Tahun 2014, Nomor PERBER/01/III/2014/BNN Tentang Penanganan Pecandu Narkotika dan Korban Penyalahgunaan Narkotika ke dalam Lembaga Rehabilitasi yang untuk penyebutan selanjutnya disingkat Peraturan Bersama. Dengan demikian pecandu narkoba tidak lagi bermuara pada sanksi pidana penjara melainkan bermuara di tempat rehabilitasi, karena sanksi bagi pecandu disepakati berupa rehabilitasi. </w:t>
      </w:r>
    </w:p>
    <w:p w:rsidR="0088334A" w:rsidRDefault="0088334A" w:rsidP="0088334A">
      <w:pPr>
        <w:pStyle w:val="BodyText"/>
        <w:ind w:firstLine="748"/>
        <w:rPr>
          <w:rFonts w:ascii="Times New Roman" w:hAnsi="Times New Roman"/>
          <w:color w:val="000000"/>
        </w:rPr>
      </w:pPr>
      <w:r>
        <w:rPr>
          <w:rFonts w:ascii="Times New Roman" w:hAnsi="Times New Roman"/>
          <w:color w:val="000000"/>
        </w:rPr>
        <w:lastRenderedPageBreak/>
        <w:t xml:space="preserve">Berdasar Peraturan Bersama tersebut dibentuk tim asesmen terpadu yang berkedudukan di tingkat pusat, tingkat propinsi, tingkat kabupaten/kota terdiri dari tim dokter dan tim hukum yang bertugas melaksanakan analisis peran tersangka yang ditangkap atas permintaan penyidik yang berkaitan dengan peredaran gelap narkoba terutama bagi pecandu. Tim tersebut kemudian melaksanakan analisis hukum, analisis medis dan analisis psikososial serta membuat rencana rehabilitasi yang memuat berapa lama rehabilitasi diperlukan. </w:t>
      </w:r>
    </w:p>
    <w:p w:rsidR="0088334A" w:rsidRDefault="0088334A" w:rsidP="0088334A">
      <w:r>
        <w:rPr>
          <w:color w:val="000000"/>
        </w:rPr>
        <w:t xml:space="preserve">Hasil asesmen tersebut sebagai kelengkapan berkas perkara berfungsi sebagai keterangan seperti </w:t>
      </w:r>
      <w:r>
        <w:rPr>
          <w:i/>
          <w:iCs/>
          <w:color w:val="000000"/>
        </w:rPr>
        <w:t>visum et repertum</w:t>
      </w:r>
      <w:r>
        <w:rPr>
          <w:color w:val="000000"/>
        </w:rPr>
        <w:t>. Hasil analisis akan memilah-milah peran tersangka sebagai penyalahguna, penyalahguna merangkap pengedar atau pengedar. Analisis Tim Asesmen terhadap penyalahguna ini akan menghasilkan tingkatan pecandu mulai dari pecandu kelas berat, menengah dan kelas ringan dimana setiap tingkatan pecandu memerlukan rehabilitasi yang berbeda</w:t>
      </w:r>
    </w:p>
    <w:p w:rsidR="00CE7FEB" w:rsidRPr="0088334A" w:rsidRDefault="00CE7FEB" w:rsidP="0088334A">
      <w:bookmarkStart w:id="0" w:name="_GoBack"/>
      <w:bookmarkEnd w:id="0"/>
    </w:p>
    <w:sectPr w:rsidR="00CE7FEB" w:rsidRPr="0088334A"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200" w:rsidRDefault="003F1200" w:rsidP="002D79FF">
      <w:r>
        <w:separator/>
      </w:r>
    </w:p>
  </w:endnote>
  <w:endnote w:type="continuationSeparator" w:id="1">
    <w:p w:rsidR="003F1200" w:rsidRDefault="003F1200"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F1200">
    <w:pPr>
      <w:pStyle w:val="Footer"/>
      <w:jc w:val="center"/>
    </w:pPr>
  </w:p>
  <w:p w:rsidR="00630637" w:rsidRDefault="003F1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200" w:rsidRDefault="003F1200" w:rsidP="002D79FF">
      <w:r>
        <w:separator/>
      </w:r>
    </w:p>
  </w:footnote>
  <w:footnote w:type="continuationSeparator" w:id="1">
    <w:p w:rsidR="003F1200" w:rsidRDefault="003F1200" w:rsidP="002D79FF">
      <w:r>
        <w:continuationSeparator/>
      </w:r>
    </w:p>
  </w:footnote>
  <w:footnote w:id="2">
    <w:p w:rsidR="0088334A" w:rsidRDefault="0088334A" w:rsidP="0088334A">
      <w:pPr>
        <w:pStyle w:val="FootnoteText"/>
        <w:ind w:firstLine="709"/>
        <w:jc w:val="both"/>
      </w:pPr>
      <w:r>
        <w:rPr>
          <w:rStyle w:val="FootnoteReference"/>
        </w:rPr>
        <w:footnoteRef/>
      </w:r>
      <w:r>
        <w:t xml:space="preserve"> Firmanzah dkk</w:t>
      </w:r>
      <w:r>
        <w:rPr>
          <w:lang w:val="id-ID"/>
        </w:rPr>
        <w:t xml:space="preserve">, </w:t>
      </w:r>
      <w:r>
        <w:rPr>
          <w:i/>
        </w:rPr>
        <w:t>Mengatasi Narkoba Dengan Welas  Asih</w:t>
      </w:r>
      <w:r>
        <w:t>, Gramedia Pustaka Utama,</w:t>
      </w:r>
      <w:r>
        <w:rPr>
          <w:lang w:val="id-ID"/>
        </w:rPr>
        <w:t>Jakarta, 2011, h. 11</w:t>
      </w:r>
      <w:r>
        <w:t>.</w:t>
      </w:r>
    </w:p>
  </w:footnote>
  <w:footnote w:id="3">
    <w:p w:rsidR="0088334A" w:rsidRDefault="0088334A" w:rsidP="0088334A">
      <w:pPr>
        <w:pStyle w:val="FootnoteText"/>
        <w:ind w:firstLine="709"/>
        <w:jc w:val="both"/>
      </w:pPr>
      <w:r>
        <w:rPr>
          <w:rStyle w:val="FootnoteReference"/>
        </w:rPr>
        <w:footnoteRef/>
      </w:r>
      <w:r>
        <w:t>Lydia Harlina Martono dan Satya Joewana</w:t>
      </w:r>
      <w:r>
        <w:rPr>
          <w:lang w:val="id-ID"/>
        </w:rPr>
        <w:t xml:space="preserve">, </w:t>
      </w:r>
      <w:r>
        <w:rPr>
          <w:i/>
        </w:rPr>
        <w:t xml:space="preserve">Pencegahan dan Penanggulangan Penyalahgunaan Narkoba Berbasis Sekolah. </w:t>
      </w:r>
      <w:r>
        <w:t xml:space="preserve"> Balai Pustaka</w:t>
      </w:r>
      <w:r>
        <w:rPr>
          <w:lang w:val="id-ID"/>
        </w:rPr>
        <w:t>,</w:t>
      </w:r>
      <w:r>
        <w:t xml:space="preserve"> Jakarta,</w:t>
      </w:r>
      <w:r>
        <w:rPr>
          <w:lang w:val="id-ID"/>
        </w:rPr>
        <w:t xml:space="preserve"> 2015,</w:t>
      </w:r>
      <w:r>
        <w:t xml:space="preserve">  h</w:t>
      </w:r>
      <w:r>
        <w:rPr>
          <w:lang w:val="id-ID"/>
        </w:rPr>
        <w:t>.</w:t>
      </w:r>
      <w:r>
        <w:t>1.</w:t>
      </w:r>
    </w:p>
  </w:footnote>
  <w:footnote w:id="4">
    <w:p w:rsidR="0088334A" w:rsidRDefault="0088334A" w:rsidP="0088334A">
      <w:pPr>
        <w:pStyle w:val="FootnoteText"/>
        <w:ind w:firstLine="709"/>
        <w:jc w:val="both"/>
      </w:pPr>
      <w:r>
        <w:rPr>
          <w:rStyle w:val="FootnoteReference"/>
        </w:rPr>
        <w:footnoteRef/>
      </w:r>
      <w:r>
        <w:rPr>
          <w:color w:val="000000"/>
        </w:rPr>
        <w:t xml:space="preserve">Ida Listryarini Handoyo, </w:t>
      </w:r>
      <w:r>
        <w:rPr>
          <w:i/>
          <w:color w:val="000000"/>
        </w:rPr>
        <w:t xml:space="preserve">Narkoba Perlukan Mengenalnya, </w:t>
      </w:r>
      <w:r>
        <w:rPr>
          <w:color w:val="000000"/>
        </w:rPr>
        <w:t>Pakar Raya, Yogyakarta, 2014, h</w:t>
      </w:r>
      <w:r>
        <w:rPr>
          <w:color w:val="000000"/>
          <w:lang w:val="id-ID"/>
        </w:rPr>
        <w:t>.</w:t>
      </w:r>
      <w:r>
        <w:rPr>
          <w:color w:val="000000"/>
        </w:rPr>
        <w:t>1</w:t>
      </w:r>
    </w:p>
  </w:footnote>
  <w:footnote w:id="5">
    <w:p w:rsidR="0088334A" w:rsidRDefault="0088334A" w:rsidP="0088334A">
      <w:pPr>
        <w:pStyle w:val="FootnoteText"/>
        <w:ind w:firstLine="709"/>
        <w:jc w:val="both"/>
      </w:pPr>
      <w:r>
        <w:rPr>
          <w:rStyle w:val="FootnoteReference"/>
        </w:rPr>
        <w:footnoteRef/>
      </w:r>
      <w:r>
        <w:t xml:space="preserve"> Widharto</w:t>
      </w:r>
      <w:r>
        <w:rPr>
          <w:lang w:val="id-ID"/>
        </w:rPr>
        <w:t xml:space="preserve">,  </w:t>
      </w:r>
      <w:r>
        <w:rPr>
          <w:i/>
        </w:rPr>
        <w:t xml:space="preserve">Stop Mirasantika. </w:t>
      </w:r>
      <w:r>
        <w:t xml:space="preserve"> Sunda Kelapa Pustaka, Jakarta, </w:t>
      </w:r>
      <w:r>
        <w:rPr>
          <w:lang w:val="id-ID"/>
        </w:rPr>
        <w:t xml:space="preserve">2017, </w:t>
      </w:r>
      <w:r>
        <w:t>h. 3.</w:t>
      </w:r>
    </w:p>
  </w:footnote>
  <w:footnote w:id="6">
    <w:p w:rsidR="0088334A" w:rsidRDefault="0088334A" w:rsidP="0088334A">
      <w:pPr>
        <w:pStyle w:val="FootnoteText"/>
        <w:ind w:firstLine="709"/>
        <w:jc w:val="both"/>
      </w:pPr>
      <w:r>
        <w:rPr>
          <w:rStyle w:val="FootnoteReference"/>
        </w:rPr>
        <w:footnoteRef/>
      </w:r>
      <w:r>
        <w:t xml:space="preserve"> Achmad Kabain, </w:t>
      </w:r>
      <w:r>
        <w:rPr>
          <w:i/>
        </w:rPr>
        <w:t xml:space="preserve">Peran Keluarga, Guru dan Sekolah Menyelematkan Anak dari Pengaruh Napza, </w:t>
      </w:r>
      <w:r>
        <w:t xml:space="preserve">Bengawan Ilmu,Semarang. </w:t>
      </w:r>
      <w:r>
        <w:rPr>
          <w:lang w:val="id-ID"/>
        </w:rPr>
        <w:t xml:space="preserve">2010, </w:t>
      </w:r>
      <w:r>
        <w:t xml:space="preserve"> h. 1.</w:t>
      </w:r>
    </w:p>
  </w:footnote>
  <w:footnote w:id="7">
    <w:p w:rsidR="0088334A" w:rsidRDefault="0088334A" w:rsidP="0088334A">
      <w:pPr>
        <w:pStyle w:val="FootnoteText"/>
        <w:ind w:firstLine="709"/>
        <w:jc w:val="both"/>
      </w:pPr>
      <w:r>
        <w:rPr>
          <w:rStyle w:val="FootnoteReference"/>
        </w:rPr>
        <w:footnoteRef/>
      </w:r>
      <w:r>
        <w:t xml:space="preserve"> Azis Syamsuddin, </w:t>
      </w:r>
      <w:r>
        <w:rPr>
          <w:i/>
        </w:rPr>
        <w:t>Tindak Pidana Khusus.</w:t>
      </w:r>
      <w:r>
        <w:t xml:space="preserve"> Sinar Grafika, Jakarta, 2014, h. 90.</w:t>
      </w:r>
    </w:p>
  </w:footnote>
  <w:footnote w:id="8">
    <w:p w:rsidR="0088334A" w:rsidRDefault="0088334A" w:rsidP="0088334A">
      <w:pPr>
        <w:pStyle w:val="FootnoteText"/>
        <w:ind w:firstLine="709"/>
        <w:jc w:val="both"/>
        <w:rPr>
          <w:lang w:val="id-ID"/>
        </w:rPr>
      </w:pPr>
      <w:r>
        <w:rPr>
          <w:rStyle w:val="FootnoteReference"/>
        </w:rPr>
        <w:footnoteRef/>
      </w:r>
      <w:r>
        <w:rPr>
          <w:lang w:val="id-ID" w:eastAsia="id-ID"/>
        </w:rPr>
        <w:t>Badan Narkotika Nasional ,</w:t>
      </w:r>
      <w:r>
        <w:rPr>
          <w:i/>
          <w:iCs/>
          <w:lang w:val="id-ID" w:eastAsia="id-ID"/>
        </w:rPr>
        <w:t>Potret Efektivitas Rehabilitasi Penyalahgunaan Narkotika Di Lembaga Permasyarakatan</w:t>
      </w:r>
      <w:r>
        <w:rPr>
          <w:lang w:val="id-ID" w:eastAsia="id-ID"/>
        </w:rPr>
        <w:t>, Pusat Penelitian, Data, dan Informasi Badan Narkotika Nasional Republik Indonesia, Jakarta,  2020, h.11.</w:t>
      </w:r>
    </w:p>
  </w:footnote>
  <w:footnote w:id="9">
    <w:p w:rsidR="0088334A" w:rsidRDefault="0088334A" w:rsidP="0088334A">
      <w:pPr>
        <w:pStyle w:val="FootnoteText"/>
        <w:ind w:firstLine="709"/>
        <w:jc w:val="both"/>
      </w:pPr>
      <w:r>
        <w:rPr>
          <w:rStyle w:val="FootnoteReference"/>
        </w:rPr>
        <w:footnoteRef/>
      </w:r>
      <w:r>
        <w:t xml:space="preserve"> Hari Sasangka, </w:t>
      </w:r>
      <w:r>
        <w:rPr>
          <w:i/>
        </w:rPr>
        <w:t>Narkotika dan Psikotropika Dalam Hukum Pidana</w:t>
      </w:r>
      <w:r>
        <w:t>. Mandar Maju. Bandung, 2017</w:t>
      </w:r>
      <w:r>
        <w:rPr>
          <w:i/>
          <w:iCs/>
        </w:rPr>
        <w:t xml:space="preserve">, </w:t>
      </w:r>
      <w:r>
        <w:t>h. 5</w:t>
      </w:r>
    </w:p>
  </w:footnote>
  <w:footnote w:id="10">
    <w:p w:rsidR="0088334A" w:rsidRDefault="0088334A" w:rsidP="0088334A">
      <w:pPr>
        <w:pStyle w:val="FootnoteText"/>
        <w:ind w:firstLine="709"/>
        <w:jc w:val="both"/>
      </w:pPr>
      <w:r>
        <w:rPr>
          <w:rStyle w:val="FootnoteReference"/>
        </w:rPr>
        <w:footnoteRef/>
      </w:r>
      <w:r>
        <w:t xml:space="preserve"> Pasal 1 Angka 1 Undang-Undang Nomor 35 Tahun 2019  </w:t>
      </w:r>
    </w:p>
  </w:footnote>
  <w:footnote w:id="11">
    <w:p w:rsidR="0088334A" w:rsidRDefault="0088334A" w:rsidP="0088334A">
      <w:pPr>
        <w:pStyle w:val="FootnoteText"/>
        <w:ind w:firstLine="709"/>
        <w:jc w:val="both"/>
      </w:pPr>
      <w:r>
        <w:rPr>
          <w:rStyle w:val="FootnoteReference"/>
        </w:rPr>
        <w:footnoteRef/>
      </w:r>
      <w:r>
        <w:t xml:space="preserve">Wiliam Agustiar, “Extraordinary Crime Extraordinary Law”, melalui </w:t>
      </w:r>
      <w:r>
        <w:rPr>
          <w:i/>
        </w:rPr>
        <w:t xml:space="preserve">http://www.kompasiana.com/santarosa/ </w:t>
      </w:r>
      <w:r>
        <w:t>diaskes pada tanggal 11 Agustus 2016  Pukul 21.</w:t>
      </w:r>
      <w:r>
        <w:rPr>
          <w:vertAlign w:val="superscript"/>
        </w:rPr>
        <w:t>00</w:t>
      </w:r>
      <w:r>
        <w:t xml:space="preserve"> Wib.</w:t>
      </w:r>
    </w:p>
  </w:footnote>
  <w:footnote w:id="12">
    <w:p w:rsidR="0088334A" w:rsidRDefault="0088334A" w:rsidP="0088334A">
      <w:pPr>
        <w:pStyle w:val="FootnoteText"/>
        <w:ind w:firstLine="709"/>
        <w:jc w:val="both"/>
      </w:pPr>
      <w:r>
        <w:rPr>
          <w:rStyle w:val="FootnoteReference"/>
        </w:rPr>
        <w:footnoteRef/>
      </w:r>
      <w:r>
        <w:t xml:space="preserve"> Harifin. A. Tumpa, </w:t>
      </w:r>
      <w:r>
        <w:rPr>
          <w:i/>
          <w:iCs/>
        </w:rPr>
        <w:t>Komentar dan Pembahasan Undang-Undang Nomor 35 Tahun 2019 tentang Narkotika</w:t>
      </w:r>
      <w:r>
        <w:t>,: Sinar Grafika, Jakarta</w:t>
      </w:r>
      <w:r>
        <w:rPr>
          <w:i/>
          <w:iCs/>
        </w:rPr>
        <w:t xml:space="preserve">, </w:t>
      </w:r>
      <w:r>
        <w:t xml:space="preserve">2011, h. 59  </w:t>
      </w:r>
    </w:p>
  </w:footnote>
  <w:footnote w:id="13">
    <w:p w:rsidR="0088334A" w:rsidRDefault="0088334A" w:rsidP="0088334A">
      <w:pPr>
        <w:pStyle w:val="FootnoteText"/>
        <w:ind w:firstLine="709"/>
        <w:jc w:val="both"/>
      </w:pPr>
      <w:r>
        <w:rPr>
          <w:rStyle w:val="FootnoteReference"/>
        </w:rPr>
        <w:footnoteRef/>
      </w:r>
      <w:r>
        <w:t xml:space="preserve"> Siswanto, </w:t>
      </w:r>
      <w:r>
        <w:rPr>
          <w:i/>
          <w:iCs/>
        </w:rPr>
        <w:t xml:space="preserve">Politik Hukum Dalam Undang-Undang Narkotika (UU Nomor 35 Tahun 2019), </w:t>
      </w:r>
      <w:r>
        <w:t>Rineka Cipta, Jakarta</w:t>
      </w:r>
      <w:r>
        <w:rPr>
          <w:i/>
          <w:iCs/>
        </w:rPr>
        <w:t xml:space="preserve">, </w:t>
      </w:r>
      <w:r>
        <w:t xml:space="preserve">2012,h. 250  </w:t>
      </w:r>
    </w:p>
  </w:footnote>
  <w:footnote w:id="14">
    <w:p w:rsidR="0088334A" w:rsidRDefault="0088334A" w:rsidP="0088334A">
      <w:pPr>
        <w:pStyle w:val="FootnoteText"/>
        <w:ind w:firstLine="709"/>
        <w:jc w:val="both"/>
      </w:pPr>
      <w:r>
        <w:rPr>
          <w:rStyle w:val="FootnoteReference"/>
        </w:rPr>
        <w:footnoteRef/>
      </w:r>
      <w:r>
        <w:rPr>
          <w:i/>
          <w:iCs/>
        </w:rPr>
        <w:t>Ibid</w:t>
      </w:r>
      <w:r>
        <w:t xml:space="preserve">,h. 256  </w:t>
      </w:r>
    </w:p>
  </w:footnote>
  <w:footnote w:id="15">
    <w:p w:rsidR="0088334A" w:rsidRDefault="0088334A" w:rsidP="0088334A">
      <w:pPr>
        <w:pStyle w:val="FootnoteText"/>
        <w:ind w:firstLine="709"/>
        <w:jc w:val="both"/>
      </w:pPr>
      <w:r>
        <w:rPr>
          <w:rStyle w:val="FootnoteReference"/>
        </w:rPr>
        <w:footnoteRef/>
      </w:r>
      <w:r>
        <w:rPr>
          <w:i/>
          <w:iCs/>
        </w:rPr>
        <w:t>Ibid</w:t>
      </w:r>
      <w:r>
        <w:t xml:space="preserve">, h. 25-29  </w:t>
      </w:r>
    </w:p>
  </w:footnote>
  <w:footnote w:id="16">
    <w:p w:rsidR="0088334A" w:rsidRDefault="0088334A" w:rsidP="0088334A">
      <w:pPr>
        <w:pStyle w:val="FootnoteText"/>
        <w:ind w:firstLine="709"/>
        <w:jc w:val="both"/>
      </w:pPr>
      <w:r>
        <w:rPr>
          <w:rStyle w:val="FootnoteReference"/>
        </w:rPr>
        <w:footnoteRef/>
      </w:r>
      <w:r>
        <w:t xml:space="preserve"> Dadang Hawari</w:t>
      </w:r>
      <w:r>
        <w:rPr>
          <w:lang w:val="id-ID"/>
        </w:rPr>
        <w:t xml:space="preserve">, </w:t>
      </w:r>
      <w:r>
        <w:rPr>
          <w:i/>
          <w:lang w:val="id-ID"/>
        </w:rPr>
        <w:t>Op.Cit</w:t>
      </w:r>
      <w:r>
        <w:t>, h. 132.</w:t>
      </w:r>
    </w:p>
  </w:footnote>
  <w:footnote w:id="17">
    <w:p w:rsidR="0088334A" w:rsidRDefault="0088334A" w:rsidP="0088334A">
      <w:pPr>
        <w:pStyle w:val="FootnoteText"/>
        <w:ind w:firstLine="709"/>
        <w:jc w:val="both"/>
      </w:pPr>
      <w:r>
        <w:rPr>
          <w:rStyle w:val="FootnoteReference"/>
        </w:rPr>
        <w:footnoteRef/>
      </w:r>
      <w:r>
        <w:rPr>
          <w:i/>
        </w:rPr>
        <w:t>Ibid</w:t>
      </w:r>
      <w:r>
        <w:t>, h. 133.</w:t>
      </w:r>
    </w:p>
  </w:footnote>
  <w:footnote w:id="18">
    <w:p w:rsidR="0088334A" w:rsidRDefault="0088334A" w:rsidP="0088334A">
      <w:pPr>
        <w:ind w:firstLine="709"/>
        <w:jc w:val="both"/>
        <w:rPr>
          <w:sz w:val="20"/>
          <w:szCs w:val="20"/>
        </w:rPr>
      </w:pPr>
      <w:r>
        <w:rPr>
          <w:rStyle w:val="FootnoteReference"/>
          <w:sz w:val="20"/>
        </w:rPr>
        <w:footnoteRef/>
      </w:r>
      <w:r>
        <w:rPr>
          <w:sz w:val="20"/>
          <w:szCs w:val="20"/>
        </w:rPr>
        <w:t xml:space="preserve"> Daru Wijayanti</w:t>
      </w:r>
      <w:r>
        <w:rPr>
          <w:sz w:val="20"/>
          <w:szCs w:val="20"/>
          <w:lang w:val="id-ID"/>
        </w:rPr>
        <w:t xml:space="preserve">, </w:t>
      </w:r>
      <w:r>
        <w:rPr>
          <w:i/>
          <w:sz w:val="20"/>
          <w:szCs w:val="20"/>
        </w:rPr>
        <w:t>Revolusi Mental Stop Penyalahgunaan Narkoba</w:t>
      </w:r>
      <w:r>
        <w:rPr>
          <w:sz w:val="20"/>
          <w:szCs w:val="20"/>
        </w:rPr>
        <w:t xml:space="preserve">, Indoliterasi, Yogyakarta, 2016, h. 197. </w:t>
      </w:r>
    </w:p>
  </w:footnote>
  <w:footnote w:id="19">
    <w:p w:rsidR="0088334A" w:rsidRDefault="0088334A" w:rsidP="0088334A">
      <w:pPr>
        <w:pStyle w:val="FootnoteText"/>
        <w:ind w:firstLine="709"/>
        <w:jc w:val="both"/>
      </w:pPr>
      <w:r>
        <w:rPr>
          <w:rStyle w:val="FootnoteReference"/>
        </w:rPr>
        <w:footnoteRef/>
      </w:r>
      <w:r>
        <w:t xml:space="preserve"> Darmono</w:t>
      </w:r>
      <w:r>
        <w:rPr>
          <w:lang w:val="id-ID"/>
        </w:rPr>
        <w:t xml:space="preserve">, </w:t>
      </w:r>
      <w:r>
        <w:rPr>
          <w:i/>
        </w:rPr>
        <w:t>Toksikologi Narkoba dan Alkohol</w:t>
      </w:r>
      <w:r>
        <w:t>, UI Press, Jakarta, 2015, h. 76.</w:t>
      </w:r>
    </w:p>
  </w:footnote>
  <w:footnote w:id="20">
    <w:p w:rsidR="0088334A" w:rsidRDefault="0088334A" w:rsidP="0088334A">
      <w:pPr>
        <w:pStyle w:val="FootnoteText"/>
        <w:ind w:firstLine="709"/>
        <w:jc w:val="both"/>
      </w:pPr>
      <w:r>
        <w:rPr>
          <w:rStyle w:val="FootnoteReference"/>
        </w:rPr>
        <w:footnoteRef/>
      </w:r>
      <w:r>
        <w:t xml:space="preserve"> Badan Narkotika Nasional</w:t>
      </w:r>
      <w:r>
        <w:rPr>
          <w:lang w:val="id-ID"/>
        </w:rPr>
        <w:t>,</w:t>
      </w:r>
      <w:r>
        <w:rPr>
          <w:i/>
        </w:rPr>
        <w:t>Pedoman Pencegahan Penyalahgunaan Narkoba Bagi Remaja</w:t>
      </w:r>
      <w:r>
        <w:t>. BNN, Jakarta, 2014, h. 74.</w:t>
      </w:r>
    </w:p>
  </w:footnote>
  <w:footnote w:id="21">
    <w:p w:rsidR="0088334A" w:rsidRDefault="0088334A" w:rsidP="0088334A">
      <w:pPr>
        <w:pStyle w:val="FootnoteText"/>
        <w:ind w:firstLine="709"/>
        <w:jc w:val="both"/>
      </w:pPr>
      <w:r>
        <w:rPr>
          <w:rStyle w:val="FootnoteReference"/>
        </w:rPr>
        <w:footnoteRef/>
      </w:r>
      <w:r>
        <w:t xml:space="preserve">Dadang Hawari, </w:t>
      </w:r>
      <w:r>
        <w:rPr>
          <w:i/>
        </w:rPr>
        <w:t>Op.Cit</w:t>
      </w:r>
      <w:r>
        <w:t>., h. 135.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F120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F12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0403"/>
    <w:multiLevelType w:val="hybridMultilevel"/>
    <w:tmpl w:val="38465370"/>
    <w:lvl w:ilvl="0" w:tplc="C22A5B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3BA5C60"/>
    <w:multiLevelType w:val="hybridMultilevel"/>
    <w:tmpl w:val="0ED6A248"/>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
    <w:nsid w:val="34C111AC"/>
    <w:multiLevelType w:val="hybridMultilevel"/>
    <w:tmpl w:val="057E18D0"/>
    <w:lvl w:ilvl="0" w:tplc="57A27610">
      <w:start w:val="1"/>
      <w:numFmt w:val="decimal"/>
      <w:lvlText w:val="%1)"/>
      <w:lvlJc w:val="left"/>
      <w:pPr>
        <w:ind w:left="1080" w:hanging="360"/>
      </w:pPr>
    </w:lvl>
    <w:lvl w:ilvl="1" w:tplc="349A88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CDF4F37"/>
    <w:multiLevelType w:val="hybridMultilevel"/>
    <w:tmpl w:val="E7343716"/>
    <w:lvl w:ilvl="0" w:tplc="CCD45B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F6156C7"/>
    <w:multiLevelType w:val="hybridMultilevel"/>
    <w:tmpl w:val="31EE0938"/>
    <w:lvl w:ilvl="0" w:tplc="CCD45B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E32E1F"/>
    <w:multiLevelType w:val="hybridMultilevel"/>
    <w:tmpl w:val="30885DC0"/>
    <w:lvl w:ilvl="0" w:tplc="152A427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2563674"/>
    <w:multiLevelType w:val="hybridMultilevel"/>
    <w:tmpl w:val="879CFB1A"/>
    <w:lvl w:ilvl="0" w:tplc="AC466B76">
      <w:start w:val="1"/>
      <w:numFmt w:val="decimal"/>
      <w:lvlText w:val="%1)"/>
      <w:lvlJc w:val="left"/>
      <w:pPr>
        <w:ind w:left="1080" w:hanging="360"/>
      </w:pPr>
    </w:lvl>
    <w:lvl w:ilvl="1" w:tplc="C568C9EC">
      <w:start w:val="1"/>
      <w:numFmt w:val="decimal"/>
      <w:lvlText w:val="%2."/>
      <w:lvlJc w:val="left"/>
      <w:pPr>
        <w:ind w:left="1800" w:hanging="360"/>
      </w:pPr>
    </w:lvl>
    <w:lvl w:ilvl="2" w:tplc="BC942442">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CB57BE8"/>
    <w:multiLevelType w:val="hybridMultilevel"/>
    <w:tmpl w:val="756E722C"/>
    <w:lvl w:ilvl="0" w:tplc="9BE08218">
      <w:start w:val="1"/>
      <w:numFmt w:val="upperLetter"/>
      <w:lvlText w:val="%1."/>
      <w:lvlJc w:val="left"/>
      <w:pPr>
        <w:ind w:left="3960" w:hanging="360"/>
      </w:pPr>
      <w:rPr>
        <w:b/>
      </w:rPr>
    </w:lvl>
    <w:lvl w:ilvl="1" w:tplc="04210019">
      <w:start w:val="1"/>
      <w:numFmt w:val="lowerLetter"/>
      <w:lvlText w:val="%2."/>
      <w:lvlJc w:val="left"/>
      <w:pPr>
        <w:ind w:left="4680" w:hanging="360"/>
      </w:pPr>
    </w:lvl>
    <w:lvl w:ilvl="2" w:tplc="0421001B">
      <w:start w:val="1"/>
      <w:numFmt w:val="lowerRoman"/>
      <w:lvlText w:val="%3."/>
      <w:lvlJc w:val="right"/>
      <w:pPr>
        <w:ind w:left="5400" w:hanging="180"/>
      </w:pPr>
    </w:lvl>
    <w:lvl w:ilvl="3" w:tplc="0421000F">
      <w:start w:val="1"/>
      <w:numFmt w:val="decimal"/>
      <w:lvlText w:val="%4."/>
      <w:lvlJc w:val="left"/>
      <w:pPr>
        <w:ind w:left="6120" w:hanging="360"/>
      </w:pPr>
    </w:lvl>
    <w:lvl w:ilvl="4" w:tplc="04210019">
      <w:start w:val="1"/>
      <w:numFmt w:val="lowerLetter"/>
      <w:lvlText w:val="%5."/>
      <w:lvlJc w:val="left"/>
      <w:pPr>
        <w:ind w:left="6840" w:hanging="360"/>
      </w:pPr>
    </w:lvl>
    <w:lvl w:ilvl="5" w:tplc="0421001B">
      <w:start w:val="1"/>
      <w:numFmt w:val="lowerRoman"/>
      <w:lvlText w:val="%6."/>
      <w:lvlJc w:val="right"/>
      <w:pPr>
        <w:ind w:left="7560" w:hanging="180"/>
      </w:pPr>
    </w:lvl>
    <w:lvl w:ilvl="6" w:tplc="0421000F">
      <w:start w:val="1"/>
      <w:numFmt w:val="decimal"/>
      <w:lvlText w:val="%7."/>
      <w:lvlJc w:val="left"/>
      <w:pPr>
        <w:ind w:left="8280" w:hanging="360"/>
      </w:pPr>
    </w:lvl>
    <w:lvl w:ilvl="7" w:tplc="04210019">
      <w:start w:val="1"/>
      <w:numFmt w:val="lowerLetter"/>
      <w:lvlText w:val="%8."/>
      <w:lvlJc w:val="left"/>
      <w:pPr>
        <w:ind w:left="9000" w:hanging="360"/>
      </w:pPr>
    </w:lvl>
    <w:lvl w:ilvl="8" w:tplc="0421001B">
      <w:start w:val="1"/>
      <w:numFmt w:val="lowerRoman"/>
      <w:lvlText w:val="%9."/>
      <w:lvlJc w:val="right"/>
      <w:pPr>
        <w:ind w:left="97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vAjualQxb+rq7xNZ8SJcRJp8Jyo=" w:salt="I5bUk9aIMGy7qLPseu7so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3F1200"/>
    <w:rsid w:val="004406F7"/>
    <w:rsid w:val="004772E1"/>
    <w:rsid w:val="00490063"/>
    <w:rsid w:val="00497A5F"/>
    <w:rsid w:val="0054651A"/>
    <w:rsid w:val="00567E71"/>
    <w:rsid w:val="00574EE8"/>
    <w:rsid w:val="00581765"/>
    <w:rsid w:val="00584929"/>
    <w:rsid w:val="006068DC"/>
    <w:rsid w:val="0066422A"/>
    <w:rsid w:val="00676048"/>
    <w:rsid w:val="006C4D00"/>
    <w:rsid w:val="00714D7E"/>
    <w:rsid w:val="0072150B"/>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D5F3B"/>
    <w:rsid w:val="00A92261"/>
    <w:rsid w:val="00AA3A59"/>
    <w:rsid w:val="00AD02E7"/>
    <w:rsid w:val="00AE04B0"/>
    <w:rsid w:val="00AF2729"/>
    <w:rsid w:val="00B45FD9"/>
    <w:rsid w:val="00C50CF6"/>
    <w:rsid w:val="00C52FF9"/>
    <w:rsid w:val="00C72C38"/>
    <w:rsid w:val="00C81419"/>
    <w:rsid w:val="00C949F5"/>
    <w:rsid w:val="00CB0398"/>
    <w:rsid w:val="00CC194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2026-04-10T08:45:00Z</dcterms:created>
  <dcterms:modified xsi:type="dcterms:W3CDTF">2026-04-10T08:45:00Z</dcterms:modified>
</cp:coreProperties>
</file>