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1AC" w:rsidRDefault="00ED61AC" w:rsidP="00ED61AC">
      <w:pPr>
        <w:autoSpaceDE w:val="0"/>
        <w:autoSpaceDN w:val="0"/>
        <w:adjustRightInd w:val="0"/>
        <w:spacing w:line="480" w:lineRule="auto"/>
        <w:jc w:val="center"/>
        <w:rPr>
          <w:b/>
          <w:color w:val="000000"/>
          <w:lang w:val="sv-SE"/>
        </w:rPr>
      </w:pPr>
      <w:r>
        <w:rPr>
          <w:b/>
          <w:color w:val="000000"/>
          <w:lang w:val="sv-SE"/>
        </w:rPr>
        <w:t>BAB IV</w:t>
      </w:r>
    </w:p>
    <w:p w:rsidR="00ED61AC" w:rsidRDefault="00ED61AC" w:rsidP="00ED61AC">
      <w:pPr>
        <w:autoSpaceDE w:val="0"/>
        <w:autoSpaceDN w:val="0"/>
        <w:adjustRightInd w:val="0"/>
        <w:spacing w:line="480" w:lineRule="auto"/>
        <w:jc w:val="center"/>
        <w:rPr>
          <w:b/>
          <w:color w:val="000000"/>
          <w:lang w:val="sv-SE"/>
        </w:rPr>
      </w:pPr>
      <w:r>
        <w:rPr>
          <w:b/>
          <w:color w:val="000000"/>
          <w:lang w:val="sv-SE"/>
        </w:rPr>
        <w:t>HASIL PENELITIAN DAN PEMBAHASAN</w:t>
      </w:r>
    </w:p>
    <w:p w:rsidR="00ED61AC" w:rsidRDefault="00ED61AC" w:rsidP="00E22298">
      <w:pPr>
        <w:numPr>
          <w:ilvl w:val="7"/>
          <w:numId w:val="3"/>
        </w:numPr>
        <w:tabs>
          <w:tab w:val="clear" w:pos="5400"/>
          <w:tab w:val="num" w:pos="360"/>
          <w:tab w:val="num" w:pos="5760"/>
        </w:tabs>
        <w:autoSpaceDE w:val="0"/>
        <w:autoSpaceDN w:val="0"/>
        <w:adjustRightInd w:val="0"/>
        <w:spacing w:line="480" w:lineRule="auto"/>
        <w:ind w:left="360"/>
        <w:jc w:val="both"/>
        <w:rPr>
          <w:b/>
          <w:color w:val="000000"/>
          <w:lang w:val="sv-SE"/>
        </w:rPr>
      </w:pPr>
      <w:r>
        <w:rPr>
          <w:b/>
          <w:color w:val="000000"/>
        </w:rPr>
        <w:t>Ketentuan Sanksi Pidana Penjara dan Rehabilitasi Terhadap Pecandu Narkotika Jenis Shabu  Dalam Undang-Undang Nomor 35 Tahun 2009 Tentang Narkotika</w:t>
      </w:r>
    </w:p>
    <w:p w:rsidR="00ED61AC" w:rsidRDefault="00ED61AC" w:rsidP="00ED61AC">
      <w:pPr>
        <w:autoSpaceDE w:val="0"/>
        <w:autoSpaceDN w:val="0"/>
        <w:adjustRightInd w:val="0"/>
        <w:spacing w:line="480" w:lineRule="auto"/>
        <w:ind w:firstLine="720"/>
        <w:jc w:val="both"/>
        <w:rPr>
          <w:i/>
          <w:iCs/>
          <w:color w:val="000000"/>
        </w:rPr>
      </w:pPr>
      <w:r>
        <w:rPr>
          <w:color w:val="000000"/>
        </w:rPr>
        <w:t>Indonesia mempunyai Undang-Undang Nomor 35 Tahun 2009 tentang Narkotika (Lembaran Negara Tahun 2009 Nomor: 143), tanggal 12 Oktober 2009, yang menggantikan Undang-Undang Nomor 22 Tahun 2007 Tentang Narkotika (lembaran Negara Tahun 2007 Nomor 67), karena sebagaimana pada bagian menimbang dari Undang-Undang Narkotika huruf e dikemukakan bahwa tindak pidana Narkotika telah bersifat transnasional yang dilakukan dengan menggunakan modus operandi yang tinggi, teknologi canggih, didukung oleh jaringan organisasi yang luas, dan sudah banyak menimbulkan korban, terutama di kalangan generasi muda bangsa yang sangat membahayakan kehidupan masyarakat, bangsa, dan negara sehingga Undang-Undang Nomor 22 Tahun 1997 Tentang Narkotika sudah tidak sesuai lagi dengan perkembangan situasi dan kondisi yang berkembang untuk menanggulangi dan memberantas tindak pidana tersebut. Berdasarkan ketentuan 153 Undang-Undang Narkotika, bahwa dengan berlakunya Undang-Undang Narkotika, maka Undang-Undang Nomor 22 Tahun 1997 dicabut dan dinyatakan tidak berlaku.</w:t>
      </w:r>
    </w:p>
    <w:p w:rsidR="00ED61AC" w:rsidRDefault="00ED61AC" w:rsidP="00ED61AC">
      <w:pPr>
        <w:autoSpaceDE w:val="0"/>
        <w:autoSpaceDN w:val="0"/>
        <w:adjustRightInd w:val="0"/>
        <w:spacing w:line="516" w:lineRule="auto"/>
        <w:ind w:firstLine="720"/>
        <w:jc w:val="both"/>
        <w:rPr>
          <w:color w:val="000000"/>
        </w:rPr>
      </w:pPr>
      <w:r>
        <w:rPr>
          <w:color w:val="000000"/>
        </w:rPr>
        <w:t xml:space="preserve"> Dikaitkan dengan beberapa ahli hukum tentang politik hukum khususnya, hukum itu diberlakukan dalam bentuk undang-undang yang kemudian hari dalam penerapannya banyak terdapat kendala, yang juga bersumber dari undang-undang </w:t>
      </w:r>
      <w:r>
        <w:rPr>
          <w:color w:val="000000"/>
        </w:rPr>
        <w:lastRenderedPageBreak/>
        <w:t>dan politik hukum pemberlakuan undang-undang. Beberapa ahli tersebut berpendapat bahwa politik hukum itu sendiri berbeda dengan pendapat penerapan hukum oleh ahli hukum lainnya, sama halnya dengan pendapat ahli hukum tentang apa itu hukum, pastilah menemukan jawaban yang berbeda antara yang satu dengan yang lainya.</w:t>
      </w:r>
      <w:r>
        <w:rPr>
          <w:rStyle w:val="FootnoteReference"/>
          <w:color w:val="000000"/>
        </w:rPr>
        <w:footnoteReference w:id="2"/>
      </w:r>
    </w:p>
    <w:p w:rsidR="00ED61AC" w:rsidRDefault="00ED61AC" w:rsidP="00ED61AC">
      <w:pPr>
        <w:autoSpaceDE w:val="0"/>
        <w:autoSpaceDN w:val="0"/>
        <w:adjustRightInd w:val="0"/>
        <w:spacing w:line="516" w:lineRule="auto"/>
        <w:ind w:firstLine="720"/>
        <w:jc w:val="both"/>
        <w:rPr>
          <w:color w:val="000000"/>
        </w:rPr>
      </w:pPr>
      <w:r>
        <w:rPr>
          <w:color w:val="000000"/>
        </w:rPr>
        <w:t>Dilihat dari pandangan beberapa ahli ini dihubungkan dengan Undang-Undang Narkotika adalah undang-undang narkotika yang disahkan pada 14 September 2009 merupakan revisi dari Undang-Undang Nomor 22 Tahun 1997 Tentang Narkotika. Pemerintah menilai Undang-Undang Nomor 22 Tahun 1997 tidak lagi dapat mencegah secara efektif tindak pidana narkotika yang semakin lama semakin meningkat secara kuantitatif maupun kualitatif, serta bentuk kejahatannya yang terorganisir. Secara substansial, perubahan yang signifikan pada Undang-Undang Narkotika dibandingkan dengan undang-undang terdahulu, adalah pada penekanan pada ketentuan kewajiban rehabilitasi, penggunaan pidana yang berlebihan, dan kewenangan Badan Narkotika Nasional (BNN) yang sangat besar.</w:t>
      </w:r>
      <w:r>
        <w:rPr>
          <w:rStyle w:val="FootnoteReference"/>
          <w:color w:val="000000"/>
        </w:rPr>
        <w:footnoteReference w:id="3"/>
      </w:r>
    </w:p>
    <w:p w:rsidR="00ED61AC" w:rsidRDefault="00ED61AC" w:rsidP="00ED61AC">
      <w:pPr>
        <w:autoSpaceDE w:val="0"/>
        <w:autoSpaceDN w:val="0"/>
        <w:adjustRightInd w:val="0"/>
        <w:spacing w:line="516" w:lineRule="auto"/>
        <w:ind w:firstLine="720"/>
        <w:jc w:val="both"/>
        <w:rPr>
          <w:color w:val="000000"/>
        </w:rPr>
      </w:pPr>
      <w:r>
        <w:rPr>
          <w:color w:val="000000"/>
        </w:rPr>
        <w:t>Melihat sejarah lahirnya Undang-Undang Narkotika ini, ada tersirat bahwa Undang-Undang ini dirubah karena terdapat kekurangan. Beberapa hal yang dapat dicermati tentang perubahan-perubahan subtansi antara Undang-Undang Nomor 22 Tahun 1997 dengan Undang-Undang Narkotika antara lain pada:</w:t>
      </w:r>
    </w:p>
    <w:p w:rsidR="00ED61AC" w:rsidRDefault="00ED61AC" w:rsidP="00E22298">
      <w:pPr>
        <w:numPr>
          <w:ilvl w:val="3"/>
          <w:numId w:val="4"/>
        </w:numPr>
        <w:tabs>
          <w:tab w:val="num" w:pos="360"/>
        </w:tabs>
        <w:autoSpaceDE w:val="0"/>
        <w:autoSpaceDN w:val="0"/>
        <w:adjustRightInd w:val="0"/>
        <w:spacing w:line="468" w:lineRule="auto"/>
        <w:ind w:left="357"/>
        <w:jc w:val="both"/>
        <w:rPr>
          <w:color w:val="000000"/>
        </w:rPr>
      </w:pPr>
      <w:r>
        <w:rPr>
          <w:color w:val="000000"/>
        </w:rPr>
        <w:lastRenderedPageBreak/>
        <w:t>Hal pembatasan penyimpanan</w:t>
      </w:r>
    </w:p>
    <w:p w:rsidR="00ED61AC" w:rsidRDefault="00ED61AC" w:rsidP="00ED61AC">
      <w:pPr>
        <w:autoSpaceDE w:val="0"/>
        <w:autoSpaceDN w:val="0"/>
        <w:adjustRightInd w:val="0"/>
        <w:spacing w:line="468" w:lineRule="auto"/>
        <w:ind w:left="357"/>
        <w:jc w:val="both"/>
        <w:rPr>
          <w:color w:val="000000"/>
        </w:rPr>
      </w:pPr>
      <w:r>
        <w:rPr>
          <w:color w:val="000000"/>
        </w:rPr>
        <w:t>Masyarakat tidak diperbolehkan menyimpan narkotika untuk jenis dan golongan apapun, namun hanya diperbolehkan terbatas pada industri farmasi, pedagang besar farmasi, apotek, rumah sakit, pusat kesehatan masyarakat, balai pengobatan, dokter dan lembaga ilmu pengetahuan. Masyarakat tidak diperbolehkan menyimpan narkotika untuk jenis dan golongan apapun.</w:t>
      </w:r>
    </w:p>
    <w:p w:rsidR="00ED61AC" w:rsidRDefault="00ED61AC" w:rsidP="00E22298">
      <w:pPr>
        <w:numPr>
          <w:ilvl w:val="3"/>
          <w:numId w:val="4"/>
        </w:numPr>
        <w:tabs>
          <w:tab w:val="num" w:pos="360"/>
        </w:tabs>
        <w:autoSpaceDE w:val="0"/>
        <w:autoSpaceDN w:val="0"/>
        <w:adjustRightInd w:val="0"/>
        <w:spacing w:line="468" w:lineRule="auto"/>
        <w:ind w:left="357"/>
        <w:jc w:val="both"/>
        <w:rPr>
          <w:color w:val="000000"/>
        </w:rPr>
      </w:pPr>
      <w:r>
        <w:rPr>
          <w:color w:val="000000"/>
        </w:rPr>
        <w:t>Hal rehabilitasi dan pengobatan</w:t>
      </w:r>
    </w:p>
    <w:p w:rsidR="00ED61AC" w:rsidRDefault="00ED61AC" w:rsidP="00ED61AC">
      <w:pPr>
        <w:autoSpaceDE w:val="0"/>
        <w:autoSpaceDN w:val="0"/>
        <w:adjustRightInd w:val="0"/>
        <w:spacing w:line="468" w:lineRule="auto"/>
        <w:ind w:left="357"/>
        <w:jc w:val="both"/>
        <w:rPr>
          <w:color w:val="000000"/>
        </w:rPr>
      </w:pPr>
      <w:r>
        <w:rPr>
          <w:color w:val="000000"/>
        </w:rPr>
        <w:t>Undang-undang terdahulu, pasien dapat memiliki, menyimpan, dan/atau membawa narkotika yang digunakan untuk dirinya sendiri yang diperoleh dari dokter dan dilengkapi dengan bukti yang sah. Melalui Undang-Undang Narkotika, kebebasan dan atas kehendak sendiri untuk sembuh tidak lagi diberikan. Para pecandu mempunyai kewajiban rehabilitasi medis dan rehabilitasi sosial, dimana para pecandu narkotika diwajibkan untuk melaporkan diri mereka kepada pusat kesehatan masyarakat, rumah sakit, dan/atau lembaga rehabilitasi medis dan rehabilitasi sosial. Kewajiban tersebut juga menjadi tanggung jawab orang tua dan keluarga. Rehabiltasi medis dan sosial dapat diselenggarakan oleh instansi pemerintah ataupun masyarakat yang akan diatur dalam Peraturan Menteri.</w:t>
      </w:r>
    </w:p>
    <w:p w:rsidR="00ED61AC" w:rsidRDefault="00ED61AC" w:rsidP="00E22298">
      <w:pPr>
        <w:numPr>
          <w:ilvl w:val="3"/>
          <w:numId w:val="4"/>
        </w:numPr>
        <w:tabs>
          <w:tab w:val="num" w:pos="360"/>
        </w:tabs>
        <w:autoSpaceDE w:val="0"/>
        <w:autoSpaceDN w:val="0"/>
        <w:adjustRightInd w:val="0"/>
        <w:spacing w:line="468" w:lineRule="auto"/>
        <w:ind w:left="357"/>
        <w:jc w:val="both"/>
        <w:rPr>
          <w:color w:val="000000"/>
        </w:rPr>
      </w:pPr>
      <w:r>
        <w:rPr>
          <w:color w:val="000000"/>
        </w:rPr>
        <w:t>Hal kewenangan penyelidikan dan penyidikan yang diemban Badan Narkotika Nasional (BNN)</w:t>
      </w:r>
    </w:p>
    <w:p w:rsidR="00ED61AC" w:rsidRDefault="00ED61AC" w:rsidP="00ED61AC">
      <w:pPr>
        <w:autoSpaceDE w:val="0"/>
        <w:autoSpaceDN w:val="0"/>
        <w:adjustRightInd w:val="0"/>
        <w:spacing w:line="480" w:lineRule="auto"/>
        <w:ind w:left="357"/>
        <w:jc w:val="both"/>
        <w:rPr>
          <w:color w:val="000000"/>
        </w:rPr>
      </w:pPr>
      <w:r>
        <w:rPr>
          <w:color w:val="000000"/>
        </w:rPr>
        <w:t xml:space="preserve">Porsi besar bagi BNN diberikan oleh Undang-Undang Narkotika untuk mencegah dan memberantas penyalahgunaan dan peredaran Nakotika dan prekursor narkotika merupakan salah satunya. Selain itu BNN juga dapat memantau, mengarahkan dan meningkatkan kapasitas masyarakat untuk </w:t>
      </w:r>
      <w:r>
        <w:rPr>
          <w:color w:val="000000"/>
        </w:rPr>
        <w:lastRenderedPageBreak/>
        <w:t>melakukan pencegahan terhadap penyalahgunaan narkotika dengan cara memberdayakan anggota masyarakat. Selain dari pada itu, BNN diberi kewenangan untuk melakukan penyelidikan dan penyidikan terhadap penyalahgunaan, peredaran narkotika, dan prekursor narkotika beserta dengan kewenangan yang dimiliki penyelidik dan penyidik seperti penangkapan selama 3 x 24 jam dan dapat diperpanjang 3 x 24 jam ditambah penyadapan dalam hal melakukan kewenangannya dalam pemberantasan narkotika. Mencegah dan memberantas penyalahgunaan dan peredaran gelap Narkotika dan Prekursor Narkotika yang modus operandinya semakin canggih, maka di dalam Undang-Undang Narkotika juga diatur mengenai perluasan teknik penyidikan penyadapan (</w:t>
      </w:r>
      <w:r>
        <w:rPr>
          <w:i/>
          <w:iCs/>
          <w:color w:val="000000"/>
        </w:rPr>
        <w:t>wiretapping</w:t>
      </w:r>
      <w:r>
        <w:rPr>
          <w:color w:val="000000"/>
        </w:rPr>
        <w:t>), teknik pembelian terselubung (</w:t>
      </w:r>
      <w:r>
        <w:rPr>
          <w:i/>
          <w:iCs/>
          <w:color w:val="000000"/>
        </w:rPr>
        <w:t>under cover buy</w:t>
      </w:r>
      <w:r>
        <w:rPr>
          <w:color w:val="000000"/>
        </w:rPr>
        <w:t>) dan teknik penyerahan yang diawasi (</w:t>
      </w:r>
      <w:r>
        <w:rPr>
          <w:i/>
          <w:iCs/>
          <w:color w:val="000000"/>
        </w:rPr>
        <w:t>controlled delevery</w:t>
      </w:r>
      <w:r>
        <w:rPr>
          <w:color w:val="000000"/>
        </w:rPr>
        <w:t>) serta teknik penyidikan lainnya guna melacak dan mengungkap penyalahgunaan dan peredaran gelap narkotika.</w:t>
      </w:r>
    </w:p>
    <w:p w:rsidR="00ED61AC" w:rsidRDefault="00ED61AC" w:rsidP="00E22298">
      <w:pPr>
        <w:numPr>
          <w:ilvl w:val="3"/>
          <w:numId w:val="4"/>
        </w:numPr>
        <w:tabs>
          <w:tab w:val="num" w:pos="360"/>
        </w:tabs>
        <w:autoSpaceDE w:val="0"/>
        <w:autoSpaceDN w:val="0"/>
        <w:adjustRightInd w:val="0"/>
        <w:spacing w:line="480" w:lineRule="auto"/>
        <w:ind w:left="360"/>
        <w:jc w:val="both"/>
        <w:rPr>
          <w:color w:val="000000"/>
        </w:rPr>
      </w:pPr>
      <w:r>
        <w:rPr>
          <w:color w:val="000000"/>
        </w:rPr>
        <w:t>Putusan rehabiltasi bagi para pecandu narkotika</w:t>
      </w:r>
    </w:p>
    <w:p w:rsidR="00ED61AC" w:rsidRDefault="00ED61AC" w:rsidP="00ED61AC">
      <w:pPr>
        <w:autoSpaceDE w:val="0"/>
        <w:autoSpaceDN w:val="0"/>
        <w:adjustRightInd w:val="0"/>
        <w:spacing w:line="480" w:lineRule="auto"/>
        <w:ind w:left="360"/>
        <w:jc w:val="both"/>
        <w:rPr>
          <w:color w:val="000000"/>
        </w:rPr>
      </w:pPr>
      <w:r>
        <w:rPr>
          <w:color w:val="000000"/>
        </w:rPr>
        <w:t>Kata “dapat” pada Pasal 103 ayat (1) Undang-Undang Narkotika digunakan untuk menempatkan para pengguna narkotika baik yang bersalah maupun yang tidak bersalah untuk menjalani pengobatan dan/atau perawatan melalui rehabilitasi.</w:t>
      </w:r>
    </w:p>
    <w:p w:rsidR="00ED61AC" w:rsidRDefault="00ED61AC" w:rsidP="00E22298">
      <w:pPr>
        <w:numPr>
          <w:ilvl w:val="3"/>
          <w:numId w:val="4"/>
        </w:numPr>
        <w:tabs>
          <w:tab w:val="num" w:pos="360"/>
        </w:tabs>
        <w:autoSpaceDE w:val="0"/>
        <w:autoSpaceDN w:val="0"/>
        <w:adjustRightInd w:val="0"/>
        <w:spacing w:line="468" w:lineRule="auto"/>
        <w:ind w:left="360"/>
        <w:jc w:val="both"/>
        <w:rPr>
          <w:color w:val="000000"/>
        </w:rPr>
      </w:pPr>
      <w:r>
        <w:rPr>
          <w:color w:val="000000"/>
        </w:rPr>
        <w:t>Peran serta masyarakat diperlukan</w:t>
      </w:r>
    </w:p>
    <w:p w:rsidR="00ED61AC" w:rsidRDefault="00ED61AC" w:rsidP="00ED61AC">
      <w:pPr>
        <w:autoSpaceDE w:val="0"/>
        <w:autoSpaceDN w:val="0"/>
        <w:adjustRightInd w:val="0"/>
        <w:spacing w:line="468" w:lineRule="auto"/>
        <w:ind w:left="360"/>
        <w:jc w:val="both"/>
        <w:rPr>
          <w:color w:val="000000"/>
        </w:rPr>
      </w:pPr>
      <w:r>
        <w:rPr>
          <w:color w:val="000000"/>
        </w:rPr>
        <w:t xml:space="preserve">Selain Polri, BNN dan Penegak Hukum lainnya, Undang-Undang Narkotika juga mewajibkan masyarakat untuk berperan aktif dalam upaya pencegahan dan pemberantasan narkotika. Artinya masyarakat diberi wewenang seperti </w:t>
      </w:r>
      <w:r>
        <w:rPr>
          <w:color w:val="000000"/>
        </w:rPr>
        <w:lastRenderedPageBreak/>
        <w:t>penyelidik dengan cara mencari, memperoleh, dan memberikan informasi dan mendapatkan pelayanan dalam hal-hal tersebut. Peran serta masyarakat yang terpayungi oleh Undang-Undang Narkotika memberikan legitimasi bagi masyarakat untuk melakukan pencegahan dan pemberantasan narkotika tanpa adanya hak yang ditentukan oleh undang-undang.</w:t>
      </w:r>
    </w:p>
    <w:p w:rsidR="00ED61AC" w:rsidRDefault="00ED61AC" w:rsidP="00E22298">
      <w:pPr>
        <w:numPr>
          <w:ilvl w:val="3"/>
          <w:numId w:val="4"/>
        </w:numPr>
        <w:tabs>
          <w:tab w:val="num" w:pos="360"/>
        </w:tabs>
        <w:autoSpaceDE w:val="0"/>
        <w:autoSpaceDN w:val="0"/>
        <w:adjustRightInd w:val="0"/>
        <w:spacing w:line="468" w:lineRule="auto"/>
        <w:ind w:left="357"/>
        <w:jc w:val="both"/>
        <w:rPr>
          <w:color w:val="000000"/>
        </w:rPr>
      </w:pPr>
      <w:r>
        <w:rPr>
          <w:color w:val="000000"/>
        </w:rPr>
        <w:t>Tidak mementingkan unsur kesengajaan</w:t>
      </w:r>
    </w:p>
    <w:p w:rsidR="00ED61AC" w:rsidRDefault="00ED61AC" w:rsidP="00ED61AC">
      <w:pPr>
        <w:autoSpaceDE w:val="0"/>
        <w:autoSpaceDN w:val="0"/>
        <w:adjustRightInd w:val="0"/>
        <w:spacing w:line="468" w:lineRule="auto"/>
        <w:ind w:left="357"/>
        <w:jc w:val="both"/>
        <w:rPr>
          <w:color w:val="000000"/>
        </w:rPr>
      </w:pPr>
      <w:r>
        <w:rPr>
          <w:color w:val="000000"/>
        </w:rPr>
        <w:t>Penggunaan kata “setiap orang tanpa hak dan melawan hukum” dalam beberapa pasal Undang-Undang Narkotika dengan tidak memperdulikan unsur kesengajaan, dapat menjerat orang-orang yang memang sebenarnya tidak mempunyai niat melakukan tindak pidana narkotika, baik karena adanya paksaan, desakan, ataupun ketidaktahuaan. Hal ini berpotensi menjerat orang untuk dijadikan tersangka dalam tindak pidana narkotika yang tidak sengaja, baik karena “dijebak” oleh orang lain maupun atas kekurang-tahuan atas bentuk jenis narkotika yang ada maupun kondisi lain yang memungkinkan seperti: menerima titipan barang dari orang lain untuk diantar ke suatu tempat dan tanpa sepengetahuannya di dalam barang tersebut ada narkotika yang diselipkan, menerima paket dari pos dan kondisi lainnya.</w:t>
      </w:r>
    </w:p>
    <w:p w:rsidR="00ED61AC" w:rsidRDefault="00ED61AC" w:rsidP="00E22298">
      <w:pPr>
        <w:numPr>
          <w:ilvl w:val="3"/>
          <w:numId w:val="4"/>
        </w:numPr>
        <w:tabs>
          <w:tab w:val="num" w:pos="360"/>
        </w:tabs>
        <w:autoSpaceDE w:val="0"/>
        <w:autoSpaceDN w:val="0"/>
        <w:adjustRightInd w:val="0"/>
        <w:spacing w:line="504" w:lineRule="auto"/>
        <w:ind w:left="357"/>
        <w:jc w:val="both"/>
        <w:rPr>
          <w:color w:val="000000"/>
        </w:rPr>
      </w:pPr>
      <w:r>
        <w:rPr>
          <w:color w:val="000000"/>
        </w:rPr>
        <w:t>Penggunaan sistem pidana minimal</w:t>
      </w:r>
    </w:p>
    <w:p w:rsidR="00ED61AC" w:rsidRDefault="00ED61AC" w:rsidP="00ED61AC">
      <w:pPr>
        <w:autoSpaceDE w:val="0"/>
        <w:autoSpaceDN w:val="0"/>
        <w:adjustRightInd w:val="0"/>
        <w:spacing w:line="504" w:lineRule="auto"/>
        <w:ind w:left="357"/>
        <w:jc w:val="both"/>
        <w:rPr>
          <w:color w:val="000000"/>
        </w:rPr>
      </w:pPr>
      <w:r>
        <w:rPr>
          <w:color w:val="000000"/>
        </w:rPr>
        <w:t xml:space="preserve">Penggunaan sistem pidana minimal dalam Undang-Undang Narkotika memperkuat asumsi bahwa undang-undang tersebut memang diberlakukan untuk memidanakan masyarakat yang berhubungan dengan narkotika. Penggunaan pidana minimal juga akan menutup hakim dalam menjatuhkan putusan walaupun di dalam prakteknya, hakim dapat menjatuhkan putusan </w:t>
      </w:r>
      <w:r>
        <w:rPr>
          <w:color w:val="000000"/>
        </w:rPr>
        <w:lastRenderedPageBreak/>
        <w:t>kurang dari pidana minimal dan hal tersebut diperbolehkan oleh Ketua Mahkamah Agung.</w:t>
      </w:r>
    </w:p>
    <w:p w:rsidR="00ED61AC" w:rsidRDefault="00ED61AC" w:rsidP="00E22298">
      <w:pPr>
        <w:numPr>
          <w:ilvl w:val="3"/>
          <w:numId w:val="4"/>
        </w:numPr>
        <w:tabs>
          <w:tab w:val="num" w:pos="360"/>
        </w:tabs>
        <w:autoSpaceDE w:val="0"/>
        <w:autoSpaceDN w:val="0"/>
        <w:adjustRightInd w:val="0"/>
        <w:spacing w:line="480" w:lineRule="auto"/>
        <w:ind w:left="360"/>
        <w:jc w:val="both"/>
        <w:rPr>
          <w:color w:val="000000"/>
        </w:rPr>
      </w:pPr>
      <w:r>
        <w:rPr>
          <w:color w:val="000000"/>
        </w:rPr>
        <w:t>Persamaan hukuman bagi percobaan dan tindak pidana selesai</w:t>
      </w:r>
    </w:p>
    <w:p w:rsidR="00ED61AC" w:rsidRDefault="00ED61AC" w:rsidP="00ED61AC">
      <w:pPr>
        <w:autoSpaceDE w:val="0"/>
        <w:autoSpaceDN w:val="0"/>
        <w:adjustRightInd w:val="0"/>
        <w:spacing w:line="480" w:lineRule="auto"/>
        <w:ind w:left="360"/>
        <w:jc w:val="both"/>
        <w:rPr>
          <w:color w:val="000000"/>
        </w:rPr>
      </w:pPr>
      <w:r>
        <w:rPr>
          <w:color w:val="000000"/>
        </w:rPr>
        <w:t xml:space="preserve">Undang-undang pidana lain ada pembedaan </w:t>
      </w:r>
      <w:r>
        <w:rPr>
          <w:i/>
          <w:iCs/>
          <w:color w:val="000000"/>
        </w:rPr>
        <w:t xml:space="preserve">punishment </w:t>
      </w:r>
      <w:r>
        <w:rPr>
          <w:color w:val="000000"/>
        </w:rPr>
        <w:t>antara suatu tindak pidana selesai dengan suatu tidak pidana tidak selesai (percobaan), sedangkan Undang-Undang Narkotika menyamakan hukuman pidana bagi pelaku tidak pidana selesai dengan pelaku tidak pidana percobaan. Tindak Pidana Narkotika adalah suatu kejahatan karena perbuatan tersebut memiliki efek yang buruk. Delik percobaan mensyaratkan suatu tindak pidana tersebut terjadi, namun tindak pidana tersebut tidak selesai, sehingga seharusnya pemidanaan antara pelaku tidak pidana percobaan dan pelaku tidak pidana selesai harus dibedakan</w:t>
      </w:r>
    </w:p>
    <w:p w:rsidR="00ED61AC" w:rsidRDefault="00ED61AC" w:rsidP="00ED61AC">
      <w:pPr>
        <w:autoSpaceDE w:val="0"/>
        <w:autoSpaceDN w:val="0"/>
        <w:adjustRightInd w:val="0"/>
        <w:spacing w:line="480" w:lineRule="auto"/>
        <w:ind w:firstLine="720"/>
        <w:jc w:val="both"/>
        <w:rPr>
          <w:color w:val="000000"/>
        </w:rPr>
      </w:pPr>
      <w:r>
        <w:rPr>
          <w:color w:val="000000"/>
        </w:rPr>
        <w:t>Pecandu narkotika menurut undang-undang di satu sisi merupakan pelaku tindak pidana penyalahgunaan narkotika adalah dengan adanya ketentuan undang-undang narkotika yang mengatur mengenai pidana penjara yang diberikan kepada para pelaku penyalahgunaan narkotika. Kemudian, di sisi lainnya dapat dikatakan bahwa menurut undang-undang narkotika, pecandu narkotika tersebut merupakan korban adalah ditunjukkan dengan adanya ketentuan bahwa terhadap pecandu narkotika dapat dijatuhi vonis rehabilitasi. Hal ini berarti undang-undang di satu sisi masih menganggap pecandu narkotika sebagai pelaku tindak pidana, dan di sisi lain merupakan korban dari penyalahgunaan narkotika yang dilakukannya.</w:t>
      </w:r>
    </w:p>
    <w:p w:rsidR="00ED61AC" w:rsidRDefault="00ED61AC" w:rsidP="00ED61AC">
      <w:pPr>
        <w:autoSpaceDE w:val="0"/>
        <w:autoSpaceDN w:val="0"/>
        <w:adjustRightInd w:val="0"/>
        <w:spacing w:line="480" w:lineRule="auto"/>
        <w:ind w:firstLine="720"/>
        <w:jc w:val="both"/>
        <w:rPr>
          <w:color w:val="000000"/>
        </w:rPr>
      </w:pPr>
      <w:r>
        <w:rPr>
          <w:color w:val="000000"/>
        </w:rPr>
        <w:t>Undang-Undang Narkotika mengatur  mengenai ketentuan pidana terhadap penyalahgunaan narkotika yaitu:</w:t>
      </w:r>
    </w:p>
    <w:p w:rsidR="00ED61AC" w:rsidRDefault="00ED61AC" w:rsidP="00E22298">
      <w:pPr>
        <w:numPr>
          <w:ilvl w:val="0"/>
          <w:numId w:val="5"/>
        </w:numPr>
        <w:autoSpaceDE w:val="0"/>
        <w:autoSpaceDN w:val="0"/>
        <w:adjustRightInd w:val="0"/>
        <w:spacing w:line="480" w:lineRule="auto"/>
        <w:ind w:left="360"/>
        <w:jc w:val="both"/>
        <w:rPr>
          <w:color w:val="000000"/>
        </w:rPr>
      </w:pPr>
      <w:r>
        <w:rPr>
          <w:color w:val="000000"/>
        </w:rPr>
        <w:lastRenderedPageBreak/>
        <w:t>Pasal 116 Undang-Undang Narkotika:</w:t>
      </w:r>
    </w:p>
    <w:p w:rsidR="00ED61AC" w:rsidRDefault="00ED61AC" w:rsidP="00E22298">
      <w:pPr>
        <w:numPr>
          <w:ilvl w:val="4"/>
          <w:numId w:val="6"/>
        </w:numPr>
        <w:autoSpaceDE w:val="0"/>
        <w:autoSpaceDN w:val="0"/>
        <w:adjustRightInd w:val="0"/>
        <w:ind w:left="1080"/>
        <w:jc w:val="both"/>
        <w:rPr>
          <w:color w:val="000000"/>
        </w:rPr>
      </w:pPr>
      <w:r>
        <w:rPr>
          <w:color w:val="000000"/>
        </w:rPr>
        <w:t xml:space="preserve">Setiap orang yang tanpa hak atau melawan hukum menggunakan Narkotika Golongan I terhadap orang lain atau memberikan Narkotika Golongan I untuk digunakan orang lain, dipidana dengan pidana penjara paling singkat 5 (lima) tahun dan paling lama 15 (lima belas) tahun dan pidana denda paling sedikit Rp1.000.000.000,00 (satu miliar rupiah) dan paling banyak Rp10.000.000.000,00 (sepuluh miliar rupiah). </w:t>
      </w:r>
    </w:p>
    <w:p w:rsidR="00ED61AC" w:rsidRDefault="00ED61AC" w:rsidP="00E22298">
      <w:pPr>
        <w:numPr>
          <w:ilvl w:val="4"/>
          <w:numId w:val="6"/>
        </w:numPr>
        <w:autoSpaceDE w:val="0"/>
        <w:autoSpaceDN w:val="0"/>
        <w:adjustRightInd w:val="0"/>
        <w:ind w:left="1080"/>
        <w:jc w:val="both"/>
        <w:rPr>
          <w:color w:val="000000"/>
        </w:rPr>
      </w:pPr>
      <w:r>
        <w:rPr>
          <w:color w:val="000000"/>
        </w:rPr>
        <w:t>Dalam hal penggunaan narkotika terhadap orang lain atau pemberian Narkotika Golongan I untuk digunakan orang lain sebagaimana dimaksud pada ayat (1) mengakibatkan orang lain mati atau cacat permanen, pelaku dipidana dengan pidana mati, pidana penjara seumur hidup, atau pidana penjara paling singkat 5 (lima) tahundan paling lama 20 (dua puluh) tahun dan pidana denda maksimum sebagaimana dimaksud pada ayat (1) ditambah 1/3 (sepertiga).</w:t>
      </w:r>
    </w:p>
    <w:p w:rsidR="00ED61AC" w:rsidRDefault="00ED61AC" w:rsidP="00ED61AC">
      <w:pPr>
        <w:autoSpaceDE w:val="0"/>
        <w:autoSpaceDN w:val="0"/>
        <w:adjustRightInd w:val="0"/>
        <w:ind w:left="1418"/>
        <w:jc w:val="both"/>
        <w:rPr>
          <w:color w:val="000000"/>
        </w:rPr>
      </w:pPr>
    </w:p>
    <w:p w:rsidR="00ED61AC" w:rsidRDefault="00ED61AC" w:rsidP="00E22298">
      <w:pPr>
        <w:numPr>
          <w:ilvl w:val="0"/>
          <w:numId w:val="5"/>
        </w:numPr>
        <w:autoSpaceDE w:val="0"/>
        <w:autoSpaceDN w:val="0"/>
        <w:adjustRightInd w:val="0"/>
        <w:spacing w:line="480" w:lineRule="auto"/>
        <w:ind w:left="360"/>
        <w:jc w:val="both"/>
        <w:rPr>
          <w:color w:val="000000"/>
        </w:rPr>
      </w:pPr>
      <w:r>
        <w:rPr>
          <w:color w:val="000000"/>
        </w:rPr>
        <w:t>Pasal 121 Undang-Undang Narkotika:</w:t>
      </w:r>
    </w:p>
    <w:p w:rsidR="00ED61AC" w:rsidRDefault="00ED61AC" w:rsidP="00E22298">
      <w:pPr>
        <w:numPr>
          <w:ilvl w:val="2"/>
          <w:numId w:val="7"/>
        </w:numPr>
        <w:autoSpaceDE w:val="0"/>
        <w:autoSpaceDN w:val="0"/>
        <w:adjustRightInd w:val="0"/>
        <w:ind w:left="1134"/>
        <w:jc w:val="both"/>
        <w:rPr>
          <w:color w:val="000000"/>
        </w:rPr>
      </w:pPr>
      <w:r>
        <w:rPr>
          <w:color w:val="000000"/>
        </w:rPr>
        <w:t xml:space="preserve">Setiap orang yang tanpa hak atau melawan hukum menggunakan Narkotika Golongan II terhadap orang lain atau memberikan Narkotika Golongan II untuk digunakan orang lain, dipidana dengan pidana penjara paling singkat 4(empat) tahun dan paling lama 12 (dua belas) tahun dan pidana denda paling sedikit Rp800.000.000,00 (delapan ratus juta rupiah) dan paling banyak Rp8.000.000.000,00(delapan miliar rupiah). </w:t>
      </w:r>
    </w:p>
    <w:p w:rsidR="00ED61AC" w:rsidRDefault="00ED61AC" w:rsidP="00E22298">
      <w:pPr>
        <w:numPr>
          <w:ilvl w:val="2"/>
          <w:numId w:val="7"/>
        </w:numPr>
        <w:autoSpaceDE w:val="0"/>
        <w:autoSpaceDN w:val="0"/>
        <w:adjustRightInd w:val="0"/>
        <w:ind w:left="1134"/>
        <w:jc w:val="both"/>
        <w:rPr>
          <w:color w:val="000000"/>
        </w:rPr>
      </w:pPr>
      <w:r>
        <w:rPr>
          <w:color w:val="000000"/>
        </w:rPr>
        <w:t>Dalam hal penggunaan Narkotika terhadap orang lain atau pemberian Narkotika Golongan II untuk digunakan orang lain sebagaimana dimaksud pada ayat (1) mengakibatkan orang lain mati atau cacat permanen, pelaku dipidana dengan pidana mati, pidana penjara seumur hidup, atau pidana penjara paling singkat 5 (lima) tahun dan paling lama 20 (dua puluh) tahun dan pidana denda maksimum sebagaimana dimaksud pada ayat (1) ditambah 1/3(sepertiga).</w:t>
      </w:r>
    </w:p>
    <w:p w:rsidR="00ED61AC" w:rsidRDefault="00ED61AC" w:rsidP="00ED61AC">
      <w:pPr>
        <w:autoSpaceDE w:val="0"/>
        <w:autoSpaceDN w:val="0"/>
        <w:adjustRightInd w:val="0"/>
        <w:ind w:left="1134"/>
        <w:jc w:val="both"/>
        <w:rPr>
          <w:color w:val="000000"/>
        </w:rPr>
      </w:pPr>
    </w:p>
    <w:p w:rsidR="00ED61AC" w:rsidRDefault="00ED61AC" w:rsidP="00E22298">
      <w:pPr>
        <w:numPr>
          <w:ilvl w:val="0"/>
          <w:numId w:val="5"/>
        </w:numPr>
        <w:autoSpaceDE w:val="0"/>
        <w:autoSpaceDN w:val="0"/>
        <w:adjustRightInd w:val="0"/>
        <w:spacing w:line="480" w:lineRule="auto"/>
        <w:ind w:left="360"/>
        <w:jc w:val="both"/>
        <w:rPr>
          <w:color w:val="000000"/>
        </w:rPr>
      </w:pPr>
      <w:r>
        <w:rPr>
          <w:color w:val="000000"/>
        </w:rPr>
        <w:t xml:space="preserve">Pasal 127 Undang-Undang Narkotika: </w:t>
      </w:r>
    </w:p>
    <w:p w:rsidR="00ED61AC" w:rsidRDefault="00ED61AC" w:rsidP="00E22298">
      <w:pPr>
        <w:numPr>
          <w:ilvl w:val="3"/>
          <w:numId w:val="8"/>
        </w:numPr>
        <w:autoSpaceDE w:val="0"/>
        <w:autoSpaceDN w:val="0"/>
        <w:adjustRightInd w:val="0"/>
        <w:ind w:left="1134"/>
        <w:jc w:val="both"/>
        <w:rPr>
          <w:color w:val="000000"/>
        </w:rPr>
      </w:pPr>
      <w:r>
        <w:rPr>
          <w:color w:val="000000"/>
        </w:rPr>
        <w:t xml:space="preserve">Setiap Penyalah Guna: </w:t>
      </w:r>
    </w:p>
    <w:p w:rsidR="00ED61AC" w:rsidRDefault="00ED61AC" w:rsidP="00E22298">
      <w:pPr>
        <w:numPr>
          <w:ilvl w:val="4"/>
          <w:numId w:val="8"/>
        </w:numPr>
        <w:tabs>
          <w:tab w:val="left" w:pos="1560"/>
        </w:tabs>
        <w:autoSpaceDE w:val="0"/>
        <w:autoSpaceDN w:val="0"/>
        <w:adjustRightInd w:val="0"/>
        <w:ind w:left="1560" w:hanging="426"/>
        <w:jc w:val="both"/>
        <w:rPr>
          <w:color w:val="000000"/>
        </w:rPr>
      </w:pPr>
      <w:r>
        <w:rPr>
          <w:color w:val="000000"/>
        </w:rPr>
        <w:t>Narkotika golongan I bagi diri sendiri dipidana dengan pidana penjara paling lama 4 (empat) tahun.</w:t>
      </w:r>
    </w:p>
    <w:p w:rsidR="00ED61AC" w:rsidRDefault="00ED61AC" w:rsidP="00E22298">
      <w:pPr>
        <w:numPr>
          <w:ilvl w:val="4"/>
          <w:numId w:val="8"/>
        </w:numPr>
        <w:tabs>
          <w:tab w:val="left" w:pos="1560"/>
        </w:tabs>
        <w:autoSpaceDE w:val="0"/>
        <w:autoSpaceDN w:val="0"/>
        <w:adjustRightInd w:val="0"/>
        <w:ind w:left="1560" w:hanging="426"/>
        <w:jc w:val="both"/>
        <w:rPr>
          <w:color w:val="000000"/>
        </w:rPr>
      </w:pPr>
      <w:r>
        <w:rPr>
          <w:color w:val="000000"/>
        </w:rPr>
        <w:t>Narkotika golongan II bagi diri sendiri dipidana dengan pidana penjara paling lama 2 (dua) tahun.</w:t>
      </w:r>
    </w:p>
    <w:p w:rsidR="00ED61AC" w:rsidRDefault="00ED61AC" w:rsidP="00E22298">
      <w:pPr>
        <w:numPr>
          <w:ilvl w:val="4"/>
          <w:numId w:val="8"/>
        </w:numPr>
        <w:tabs>
          <w:tab w:val="left" w:pos="1560"/>
        </w:tabs>
        <w:autoSpaceDE w:val="0"/>
        <w:autoSpaceDN w:val="0"/>
        <w:adjustRightInd w:val="0"/>
        <w:ind w:left="1560" w:hanging="426"/>
        <w:jc w:val="both"/>
        <w:rPr>
          <w:color w:val="000000"/>
        </w:rPr>
      </w:pPr>
      <w:r>
        <w:rPr>
          <w:color w:val="000000"/>
        </w:rPr>
        <w:t>Narkotika golongan III bagi diri sendiri dipidana dengan pidana penjara paling lama 1 (satu) tahun.</w:t>
      </w:r>
    </w:p>
    <w:p w:rsidR="00ED61AC" w:rsidRDefault="00ED61AC" w:rsidP="00E22298">
      <w:pPr>
        <w:numPr>
          <w:ilvl w:val="3"/>
          <w:numId w:val="8"/>
        </w:numPr>
        <w:autoSpaceDE w:val="0"/>
        <w:autoSpaceDN w:val="0"/>
        <w:adjustRightInd w:val="0"/>
        <w:ind w:left="1134"/>
        <w:jc w:val="both"/>
        <w:rPr>
          <w:color w:val="000000"/>
        </w:rPr>
      </w:pPr>
      <w:r>
        <w:rPr>
          <w:color w:val="000000"/>
        </w:rPr>
        <w:t xml:space="preserve">Dalam memutus perkara sebagaimana dimaksud pada ayat (1), hakim wajib memperhatikan ketentuan sebagaimana dimaksud dalam Pasal 54, Pasal 55, dan Pasal 103. </w:t>
      </w:r>
    </w:p>
    <w:p w:rsidR="00ED61AC" w:rsidRDefault="00ED61AC" w:rsidP="00E22298">
      <w:pPr>
        <w:numPr>
          <w:ilvl w:val="3"/>
          <w:numId w:val="8"/>
        </w:numPr>
        <w:autoSpaceDE w:val="0"/>
        <w:autoSpaceDN w:val="0"/>
        <w:adjustRightInd w:val="0"/>
        <w:ind w:left="1134"/>
        <w:jc w:val="both"/>
        <w:rPr>
          <w:color w:val="000000"/>
        </w:rPr>
      </w:pPr>
      <w:r>
        <w:rPr>
          <w:color w:val="000000"/>
        </w:rPr>
        <w:lastRenderedPageBreak/>
        <w:t>Dalam hal penyalah guna sebagaimana dimaksud pada ayat (1) dapat dibuktikan atau terbukti sebagai korban penyalahgunaan narkotika, penyalahguna tersebut wajib menjalani rehabilitasi medis dan rehabilitasi sosial.</w:t>
      </w:r>
    </w:p>
    <w:p w:rsidR="00ED61AC" w:rsidRDefault="00ED61AC" w:rsidP="00ED61AC">
      <w:pPr>
        <w:autoSpaceDE w:val="0"/>
        <w:autoSpaceDN w:val="0"/>
        <w:adjustRightInd w:val="0"/>
        <w:ind w:left="1134"/>
        <w:jc w:val="both"/>
        <w:rPr>
          <w:color w:val="000000"/>
        </w:rPr>
      </w:pPr>
    </w:p>
    <w:p w:rsidR="00ED61AC" w:rsidRDefault="00ED61AC" w:rsidP="00ED61AC">
      <w:pPr>
        <w:autoSpaceDE w:val="0"/>
        <w:autoSpaceDN w:val="0"/>
        <w:adjustRightInd w:val="0"/>
        <w:spacing w:line="480" w:lineRule="auto"/>
        <w:ind w:firstLine="709"/>
        <w:jc w:val="both"/>
        <w:rPr>
          <w:color w:val="000000"/>
        </w:rPr>
      </w:pPr>
      <w:r>
        <w:rPr>
          <w:color w:val="000000"/>
        </w:rPr>
        <w:t>Seorang pelaku telah memenuhi syarat untuk dapat dimintai pertanggungjawaban pidananya, dan di dalam hal ini adalah terkait dengan penyalahgunaan narkotika, maka seseorang tersebut dapat dijatuhi pidana sesuai dengan ketentuan Undang-Undang Narkotika yakni:</w:t>
      </w:r>
    </w:p>
    <w:p w:rsidR="00ED61AC" w:rsidRDefault="00ED61AC" w:rsidP="00E22298">
      <w:pPr>
        <w:numPr>
          <w:ilvl w:val="0"/>
          <w:numId w:val="9"/>
        </w:numPr>
        <w:autoSpaceDE w:val="0"/>
        <w:autoSpaceDN w:val="0"/>
        <w:adjustRightInd w:val="0"/>
        <w:spacing w:line="480" w:lineRule="auto"/>
        <w:ind w:left="360"/>
        <w:jc w:val="both"/>
        <w:rPr>
          <w:color w:val="000000"/>
        </w:rPr>
      </w:pPr>
      <w:r>
        <w:rPr>
          <w:color w:val="000000"/>
        </w:rPr>
        <w:t xml:space="preserve">Adanya kehendak yang disadari yang ditujukan untuk melakukan kejahatan penyalahgunaan narkotika, hal tersebut berarti telah  memenuhi unsur sengaja yang merupakan bagian dari unsur adanya kesalahan. </w:t>
      </w:r>
    </w:p>
    <w:p w:rsidR="00ED61AC" w:rsidRDefault="00ED61AC" w:rsidP="00E22298">
      <w:pPr>
        <w:numPr>
          <w:ilvl w:val="0"/>
          <w:numId w:val="9"/>
        </w:numPr>
        <w:autoSpaceDE w:val="0"/>
        <w:autoSpaceDN w:val="0"/>
        <w:adjustRightInd w:val="0"/>
        <w:spacing w:line="480" w:lineRule="auto"/>
        <w:ind w:left="360" w:hanging="357"/>
        <w:jc w:val="both"/>
        <w:rPr>
          <w:color w:val="000000"/>
        </w:rPr>
      </w:pPr>
      <w:r>
        <w:rPr>
          <w:color w:val="000000"/>
        </w:rPr>
        <w:t xml:space="preserve">Dapat dipertanggungjawabkan perbuatannya menyalahgunakan narkotika maksudnya ia ada pada suatu keadaan jiwa pembuat, yang memiliki cukup akal dan kemauan, oleh karena cukup mampu untuk mengerti arti perbuatannya yang telah menyalahgunakan narkotika dan sesuai dengan pandangan itu untuk menentukan kemauannya untuk melakukan perbuatan tersebut. Kemampuan berfikir terdapat pada orang-orang normal dan oleh sebab itu kemampuan berfikir dapat diduga pada si pembuat. Dengan kata lain dapat dipertanggunjawabkan perbuatan pidana itu kepada pelaku penyalahguna narkotika tersebut apabila pelaku mempunyai kemampuan berfikir dan menginsyafi arti perbuatannya. </w:t>
      </w:r>
    </w:p>
    <w:p w:rsidR="00ED61AC" w:rsidRDefault="00ED61AC" w:rsidP="00E22298">
      <w:pPr>
        <w:numPr>
          <w:ilvl w:val="0"/>
          <w:numId w:val="9"/>
        </w:numPr>
        <w:autoSpaceDE w:val="0"/>
        <w:autoSpaceDN w:val="0"/>
        <w:adjustRightInd w:val="0"/>
        <w:spacing w:line="480" w:lineRule="auto"/>
        <w:ind w:left="360" w:hanging="357"/>
        <w:jc w:val="both"/>
        <w:rPr>
          <w:color w:val="000000"/>
        </w:rPr>
      </w:pPr>
      <w:r>
        <w:rPr>
          <w:color w:val="000000"/>
        </w:rPr>
        <w:t xml:space="preserve">Pertanggungjawaban pidana memerlukan syarat bahwa pembuat mampu bertanggungjawab, karena tidaklah mungkin seseorang dapat dipertanggungjawabkan apabila ia tidak mampu bertanggungjawab. Simons mengatakan bahwa kemampuan bertanggungjawab adalah suatu keadaan </w:t>
      </w:r>
      <w:r>
        <w:rPr>
          <w:color w:val="000000"/>
        </w:rPr>
        <w:lastRenderedPageBreak/>
        <w:t xml:space="preserve">psychis, yang membenarkan adanya penerapan suatu upaya pemidanaan, baik dilihat dari sudut umum ataupun orangnya. dan dalam hal ini, pelaku dapat dijatuhi pidana penyalahgunaan narkotika jika ia berjiwa sehat, yakni apabila: </w:t>
      </w:r>
    </w:p>
    <w:p w:rsidR="00ED61AC" w:rsidRDefault="00ED61AC" w:rsidP="00E22298">
      <w:pPr>
        <w:numPr>
          <w:ilvl w:val="0"/>
          <w:numId w:val="10"/>
        </w:numPr>
        <w:autoSpaceDE w:val="0"/>
        <w:autoSpaceDN w:val="0"/>
        <w:adjustRightInd w:val="0"/>
        <w:spacing w:line="480" w:lineRule="auto"/>
        <w:ind w:hanging="357"/>
        <w:jc w:val="both"/>
        <w:rPr>
          <w:color w:val="000000"/>
        </w:rPr>
      </w:pPr>
      <w:r>
        <w:rPr>
          <w:color w:val="000000"/>
        </w:rPr>
        <w:t>Mampu untuk mengerti nilai dari akibat-akibat perbuatannya menyalahgunakan narkotika.</w:t>
      </w:r>
    </w:p>
    <w:p w:rsidR="00ED61AC" w:rsidRDefault="00ED61AC" w:rsidP="00E22298">
      <w:pPr>
        <w:numPr>
          <w:ilvl w:val="0"/>
          <w:numId w:val="10"/>
        </w:numPr>
        <w:autoSpaceDE w:val="0"/>
        <w:autoSpaceDN w:val="0"/>
        <w:adjustRightInd w:val="0"/>
        <w:spacing w:line="480" w:lineRule="auto"/>
        <w:ind w:hanging="357"/>
        <w:jc w:val="both"/>
        <w:rPr>
          <w:color w:val="000000"/>
        </w:rPr>
      </w:pPr>
      <w:r>
        <w:rPr>
          <w:color w:val="000000"/>
        </w:rPr>
        <w:t>Mampu untuk mengetahui atau menyadari bahwa perbuatannya menyalahgunakan narkotika bertentangan dengan hukum.</w:t>
      </w:r>
    </w:p>
    <w:p w:rsidR="00ED61AC" w:rsidRDefault="00ED61AC" w:rsidP="00E22298">
      <w:pPr>
        <w:numPr>
          <w:ilvl w:val="0"/>
          <w:numId w:val="10"/>
        </w:numPr>
        <w:autoSpaceDE w:val="0"/>
        <w:autoSpaceDN w:val="0"/>
        <w:adjustRightInd w:val="0"/>
        <w:spacing w:line="480" w:lineRule="auto"/>
        <w:jc w:val="both"/>
        <w:rPr>
          <w:color w:val="000000"/>
        </w:rPr>
      </w:pPr>
      <w:r>
        <w:rPr>
          <w:color w:val="000000"/>
        </w:rPr>
        <w:t>Mampu menentukan kehendaknya sesuai dengan kesadaran tersebut.</w:t>
      </w:r>
    </w:p>
    <w:p w:rsidR="00ED61AC" w:rsidRDefault="00ED61AC" w:rsidP="00E22298">
      <w:pPr>
        <w:pStyle w:val="Default"/>
        <w:numPr>
          <w:ilvl w:val="0"/>
          <w:numId w:val="9"/>
        </w:numPr>
        <w:spacing w:line="480" w:lineRule="auto"/>
        <w:ind w:left="360"/>
        <w:jc w:val="both"/>
        <w:rPr>
          <w:rFonts w:ascii="Times New Roman" w:hAnsi="Times New Roman" w:cs="Times New Roman"/>
        </w:rPr>
      </w:pPr>
      <w:r>
        <w:rPr>
          <w:rFonts w:ascii="Times New Roman" w:hAnsi="Times New Roman" w:cs="Times New Roman"/>
        </w:rPr>
        <w:t xml:space="preserve">Tidak memenuhi syarat-syarat alasan penghapus pidana, dan dalam hal penyalahgunaan narkotika, apabila pelaku tersebut tidak sengaja menggunakan Narkotika karena dibujuk, diperdaya, ditipu, dipaksa, dan/atau diancam untuk menggunakan narkotika, maka sesuai dengan ketentuan Pasal 54 Undang-Undang Narkotika merupakan korban dari penyalahgunaan narkotika yang wajib menjalani rehabilitasi. </w:t>
      </w:r>
    </w:p>
    <w:p w:rsidR="00ED61AC" w:rsidRDefault="00ED61AC" w:rsidP="00ED61AC">
      <w:pPr>
        <w:autoSpaceDE w:val="0"/>
        <w:autoSpaceDN w:val="0"/>
        <w:adjustRightInd w:val="0"/>
        <w:spacing w:line="480" w:lineRule="auto"/>
        <w:ind w:firstLine="720"/>
        <w:jc w:val="both"/>
        <w:rPr>
          <w:color w:val="000000"/>
        </w:rPr>
      </w:pPr>
      <w:r>
        <w:rPr>
          <w:color w:val="000000"/>
        </w:rPr>
        <w:t>Menurut peraturan perundang-undangan yang mengatur tentang narkotika bahwa pecandu narkotika yang diakui secara hukum dibagi menjadi dua yaitu:</w:t>
      </w:r>
    </w:p>
    <w:p w:rsidR="00ED61AC" w:rsidRDefault="00ED61AC" w:rsidP="00E22298">
      <w:pPr>
        <w:numPr>
          <w:ilvl w:val="0"/>
          <w:numId w:val="11"/>
        </w:numPr>
        <w:autoSpaceDE w:val="0"/>
        <w:autoSpaceDN w:val="0"/>
        <w:adjustRightInd w:val="0"/>
        <w:spacing w:line="480" w:lineRule="auto"/>
        <w:ind w:left="360"/>
        <w:jc w:val="both"/>
        <w:rPr>
          <w:bCs/>
          <w:color w:val="000000"/>
        </w:rPr>
      </w:pPr>
      <w:r>
        <w:rPr>
          <w:bCs/>
          <w:color w:val="000000"/>
        </w:rPr>
        <w:t>Pecandu Narkotika Karena Melapor Kepada Institusi Penerima Wajib Lapor (IPWL).</w:t>
      </w:r>
    </w:p>
    <w:p w:rsidR="00ED61AC" w:rsidRDefault="00ED61AC" w:rsidP="00ED61AC">
      <w:pPr>
        <w:autoSpaceDE w:val="0"/>
        <w:autoSpaceDN w:val="0"/>
        <w:adjustRightInd w:val="0"/>
        <w:spacing w:line="480" w:lineRule="auto"/>
        <w:ind w:firstLine="709"/>
        <w:jc w:val="both"/>
        <w:rPr>
          <w:color w:val="000000"/>
        </w:rPr>
      </w:pPr>
      <w:r>
        <w:rPr>
          <w:color w:val="000000"/>
        </w:rPr>
        <w:t>Indonesia telah memiliki Undang-Undang Narkotika yang dalam Pasal 54  menyatakan bahwa Pecandu Narkotika dan korban penyalahgunaan Narkotika wajib menjalani rehabilitasi medis dan rehabilitasi sosial. Bagi pecandu, terapi dan rehabilitasi adalah langkah terbaik. Ketergantungan adalah penyakit yang harus disembuhkan dan bukan dihukum.</w:t>
      </w:r>
    </w:p>
    <w:p w:rsidR="00ED61AC" w:rsidRDefault="00ED61AC" w:rsidP="00ED61AC">
      <w:pPr>
        <w:autoSpaceDE w:val="0"/>
        <w:autoSpaceDN w:val="0"/>
        <w:adjustRightInd w:val="0"/>
        <w:spacing w:line="480" w:lineRule="auto"/>
        <w:ind w:firstLine="709"/>
        <w:jc w:val="both"/>
        <w:rPr>
          <w:color w:val="000000"/>
        </w:rPr>
      </w:pPr>
      <w:r>
        <w:rPr>
          <w:color w:val="000000"/>
        </w:rPr>
        <w:lastRenderedPageBreak/>
        <w:t xml:space="preserve">Ketentuan tentang wajib lapor bagi seorang penyalahguna narkotika yang merupakan pecandu narkotika semakin dipertegas dengan keluarnya Peraturan Pemerintah Nomor 25 tahun 2011 Tentang Pelaksanaan Wajib Lapor Pecandu Narkotika, diterangkan dalam Peraturan Pemerintah ini bahwa wajib lapor adalah kegiatan melaporkan diri yang dilakukan oleh pecandu narkotika yang sudah cukup umur atau keluarganya, dan/atau orang tua atau wali dari pecandu narkotika yang belum cukup umur kepada institusi penerima wajib lapor untuk mendapatkan pengobatan dan/atau perawatan melalui rehabilitasi medis dan rehabilitasi sosial. Peraturan Pemerintah Nomor 25 Tahun 2011 ini mengatur secara lebih jelas menerangkan bahwa Institusi Penerima Wajib Lapor adalah pusat kesehatan masyarakat, rumah sakit, dan/atau lembaga rehabilitasi medis dan lembaga rehabilitasi sosial yang ditunjuk oleh Pemerintah. </w:t>
      </w:r>
    </w:p>
    <w:p w:rsidR="00ED61AC" w:rsidRDefault="00ED61AC" w:rsidP="00ED61AC">
      <w:pPr>
        <w:autoSpaceDE w:val="0"/>
        <w:autoSpaceDN w:val="0"/>
        <w:adjustRightInd w:val="0"/>
        <w:spacing w:line="480" w:lineRule="auto"/>
        <w:ind w:firstLine="709"/>
        <w:jc w:val="both"/>
        <w:rPr>
          <w:color w:val="000000"/>
        </w:rPr>
      </w:pPr>
      <w:r>
        <w:rPr>
          <w:color w:val="000000"/>
        </w:rPr>
        <w:t>Wajib Lapor dapat dilakukan oleh orang tua atau wali pecandu narkotika yang belum cukup umur dan Pecandu Narkotika yang sudah cukup umur atau keluarganya. Pasal 4 mengatakan bahwa Wajib Lapor Pecandu Narkotika dilakukan di Institusi Penerima Wajib Lapor, Pusat kesehatan masyarakat, rumah sakit, dan/atau lembaga rehabilitasi medis sebagai Institusi Penerima Wajib Lapor ditetapkan oleh Menteri kesehatan, Lembaga rehabilitasi sosial sebagai Institusi Penerima Wajib Lapor ditetapkan oleh menteri yang menyelenggarakan urusan pemerintahan di bidang sosial.</w:t>
      </w:r>
    </w:p>
    <w:p w:rsidR="00ED61AC" w:rsidRDefault="00ED61AC" w:rsidP="00ED61AC">
      <w:pPr>
        <w:autoSpaceDE w:val="0"/>
        <w:autoSpaceDN w:val="0"/>
        <w:adjustRightInd w:val="0"/>
        <w:spacing w:line="480" w:lineRule="auto"/>
        <w:ind w:firstLine="709"/>
        <w:jc w:val="both"/>
        <w:rPr>
          <w:color w:val="000000"/>
        </w:rPr>
      </w:pPr>
      <w:r>
        <w:rPr>
          <w:color w:val="000000"/>
        </w:rPr>
        <w:t xml:space="preserve">Peraturan Pemerintah ini juga mengatur tentang tata cara wajib lapor, seperti diterangkan dalam Pasal 6 yang mengatakan Wajib Lapor sebagaimana dilakukan dengan melaporkan Pecandu Narkotika kepada Institusi Penerima </w:t>
      </w:r>
      <w:r>
        <w:rPr>
          <w:color w:val="000000"/>
        </w:rPr>
        <w:lastRenderedPageBreak/>
        <w:t>Wajib Lapor, dalam hal laporan dilakukan selain pada Institusi Penerima Wajib Lapor, petugas yang menerima laporan meneruskannya kepada Institusi Penerima Wajib Lapor.</w:t>
      </w:r>
    </w:p>
    <w:p w:rsidR="00ED61AC" w:rsidRDefault="00ED61AC" w:rsidP="00ED61AC">
      <w:pPr>
        <w:autoSpaceDE w:val="0"/>
        <w:autoSpaceDN w:val="0"/>
        <w:adjustRightInd w:val="0"/>
        <w:spacing w:line="480" w:lineRule="auto"/>
        <w:ind w:firstLine="709"/>
        <w:jc w:val="both"/>
        <w:rPr>
          <w:color w:val="000000"/>
        </w:rPr>
      </w:pPr>
      <w:r>
        <w:rPr>
          <w:color w:val="000000"/>
        </w:rPr>
        <w:t xml:space="preserve">Pasal 7 menjelaskan bahwa Institusi Penerima Wajib Lapor sebagaimana dimaksud dalam Pasal 6 wajib melakukan </w:t>
      </w:r>
      <w:r>
        <w:rPr>
          <w:i/>
          <w:color w:val="000000"/>
        </w:rPr>
        <w:t>asesmen(asesmen</w:t>
      </w:r>
      <w:r>
        <w:rPr>
          <w:color w:val="000000"/>
        </w:rPr>
        <w:t xml:space="preserve"> yaitu suatu tahap dalam pra terapi bagi calon pasien untuk menilai tingkat keparahan dan atau menentukan kebutuhan penyembuhan) terhadap pecandu narkotika untuk mengetahui kondisi pecandu narkotika, </w:t>
      </w:r>
      <w:r>
        <w:rPr>
          <w:i/>
          <w:color w:val="000000"/>
        </w:rPr>
        <w:t>Asesmen</w:t>
      </w:r>
      <w:r>
        <w:rPr>
          <w:color w:val="000000"/>
        </w:rPr>
        <w:t xml:space="preserve"> meliputi aspek medis dan aspek sosial. Pasal 8 mengatakan </w:t>
      </w:r>
      <w:r>
        <w:rPr>
          <w:i/>
          <w:color w:val="000000"/>
        </w:rPr>
        <w:t>Asesmen</w:t>
      </w:r>
      <w:r>
        <w:rPr>
          <w:color w:val="000000"/>
        </w:rPr>
        <w:t xml:space="preserve"> sebagaimana dilakukan dengan cara wawancara, observasi, serta pemeriksaan fisik dan psikis terhadap Pecandu Narkotika. Wawancara meliputi riwayat kesehatan, riwayat penggunaan Narkotika, riwayat pengobatan dan perawatan, riwayat keterlibatan pada tindak kriminalitas, riwayat psikiatris, serta riwayat keluarga dan sosial pecandu narkotika. Observasi yang dilakukan meliputi observasi atas perilaku Pecandu Narkotika.</w:t>
      </w:r>
    </w:p>
    <w:p w:rsidR="00ED61AC" w:rsidRDefault="00ED61AC" w:rsidP="00ED61AC">
      <w:pPr>
        <w:autoSpaceDE w:val="0"/>
        <w:autoSpaceDN w:val="0"/>
        <w:adjustRightInd w:val="0"/>
        <w:spacing w:line="480" w:lineRule="auto"/>
        <w:ind w:firstLine="709"/>
        <w:jc w:val="both"/>
        <w:rPr>
          <w:color w:val="000000"/>
        </w:rPr>
      </w:pPr>
      <w:r>
        <w:rPr>
          <w:color w:val="000000"/>
        </w:rPr>
        <w:t xml:space="preserve">Pasal 9 menjelaskan fase setelah </w:t>
      </w:r>
      <w:r>
        <w:rPr>
          <w:i/>
          <w:color w:val="000000"/>
        </w:rPr>
        <w:t>asesmen</w:t>
      </w:r>
      <w:r>
        <w:rPr>
          <w:color w:val="000000"/>
        </w:rPr>
        <w:t xml:space="preserve"> yaitu hasil </w:t>
      </w:r>
      <w:r>
        <w:rPr>
          <w:i/>
          <w:color w:val="000000"/>
        </w:rPr>
        <w:t>asesmen</w:t>
      </w:r>
      <w:r>
        <w:rPr>
          <w:color w:val="000000"/>
        </w:rPr>
        <w:t xml:space="preserve"> dicatat pada rekam medis atau catatan perubahan perilaku Pecandu Narkotika, hasil </w:t>
      </w:r>
      <w:r>
        <w:rPr>
          <w:i/>
          <w:color w:val="000000"/>
        </w:rPr>
        <w:t>asesmen</w:t>
      </w:r>
      <w:r>
        <w:rPr>
          <w:color w:val="000000"/>
        </w:rPr>
        <w:t xml:space="preserve"> bersifat rahasia dan merupakan dasar dalam rencana rehabilitasi terhadap Pecandu Narkotika yang bersangkutan, kerahasiaan hasil </w:t>
      </w:r>
      <w:r>
        <w:rPr>
          <w:i/>
          <w:color w:val="000000"/>
        </w:rPr>
        <w:t>asesmen</w:t>
      </w:r>
      <w:r>
        <w:rPr>
          <w:color w:val="000000"/>
        </w:rPr>
        <w:t xml:space="preserve"> dilaksanakan sesuai dengan ketentuan peraturan perundang-undangan. Rencana rehabilitasi kemudian disepakati oleh pecandu narkotika, orang tua, wali, atau keluarga pecandu narkotika dan pimpinan Institusi Penerima Wajib Lapor. </w:t>
      </w:r>
    </w:p>
    <w:p w:rsidR="00ED61AC" w:rsidRDefault="00ED61AC" w:rsidP="00ED61AC">
      <w:pPr>
        <w:autoSpaceDE w:val="0"/>
        <w:autoSpaceDN w:val="0"/>
        <w:adjustRightInd w:val="0"/>
        <w:spacing w:line="480" w:lineRule="auto"/>
        <w:ind w:firstLine="709"/>
        <w:jc w:val="both"/>
        <w:rPr>
          <w:color w:val="000000"/>
        </w:rPr>
      </w:pPr>
      <w:r>
        <w:rPr>
          <w:color w:val="000000"/>
        </w:rPr>
        <w:lastRenderedPageBreak/>
        <w:t xml:space="preserve">Pasal 10 menjelaskan Pecandu Narkotika yang telah melaporkan diri atau dilaporkan kepada Institusi Penerima Wajib Lapor diberi kartu lapor diri setelah menjalani </w:t>
      </w:r>
      <w:r>
        <w:rPr>
          <w:i/>
          <w:color w:val="000000"/>
        </w:rPr>
        <w:t>asesmen</w:t>
      </w:r>
      <w:r>
        <w:rPr>
          <w:color w:val="000000"/>
        </w:rPr>
        <w:t>. Kartu lapor diri berlaku untuk 2 (dua) kali masa perawatan, Kartu lapor diri diberikan oleh Pimpinan Institusi Penerima Wajib Lapor.</w:t>
      </w:r>
    </w:p>
    <w:p w:rsidR="00ED61AC" w:rsidRDefault="00ED61AC" w:rsidP="00E22298">
      <w:pPr>
        <w:numPr>
          <w:ilvl w:val="0"/>
          <w:numId w:val="11"/>
        </w:numPr>
        <w:autoSpaceDE w:val="0"/>
        <w:autoSpaceDN w:val="0"/>
        <w:adjustRightInd w:val="0"/>
        <w:spacing w:line="480" w:lineRule="auto"/>
        <w:ind w:left="360"/>
        <w:jc w:val="both"/>
        <w:rPr>
          <w:bCs/>
          <w:color w:val="000000"/>
        </w:rPr>
      </w:pPr>
      <w:r>
        <w:rPr>
          <w:bCs/>
          <w:color w:val="000000"/>
        </w:rPr>
        <w:t>Pecandu Narkotika Karena Mengajukan Permohonan Pada Saat Menjalani Proses Peradilan.</w:t>
      </w:r>
    </w:p>
    <w:p w:rsidR="00ED61AC" w:rsidRDefault="00ED61AC" w:rsidP="00ED61AC">
      <w:pPr>
        <w:autoSpaceDE w:val="0"/>
        <w:autoSpaceDN w:val="0"/>
        <w:adjustRightInd w:val="0"/>
        <w:spacing w:line="480" w:lineRule="auto"/>
        <w:ind w:firstLine="709"/>
        <w:jc w:val="both"/>
        <w:rPr>
          <w:color w:val="000000"/>
        </w:rPr>
      </w:pPr>
      <w:r>
        <w:rPr>
          <w:color w:val="000000"/>
        </w:rPr>
        <w:t xml:space="preserve">Kewajiban rehabilitasi medis atau rehabilitasi sosial ini juga berlaku pada pecandu narkotika yang masih berada pada tahap-tahap peradilan walaupun belum jatuh vonis seperti yang tertuang dalam ketentuan Peraturan Pemerintah Nomor 25 Tahun 2011 Tentang Pelaksanaan Wajib Lapor Pecandu Narkotika dalam Pasal 13 menjelaskan Kewajiban menjalani rehabilitasi medis dan/atau rehabilitasi sosial berlaku juga bagi pecandu narkotika yang diperintahkan berdasarkan: </w:t>
      </w:r>
    </w:p>
    <w:p w:rsidR="00ED61AC" w:rsidRDefault="00ED61AC" w:rsidP="00E22298">
      <w:pPr>
        <w:numPr>
          <w:ilvl w:val="0"/>
          <w:numId w:val="12"/>
        </w:numPr>
        <w:autoSpaceDE w:val="0"/>
        <w:autoSpaceDN w:val="0"/>
        <w:adjustRightInd w:val="0"/>
        <w:spacing w:line="480" w:lineRule="auto"/>
        <w:ind w:left="360"/>
        <w:jc w:val="both"/>
        <w:rPr>
          <w:color w:val="000000"/>
        </w:rPr>
      </w:pPr>
      <w:r>
        <w:rPr>
          <w:color w:val="000000"/>
        </w:rPr>
        <w:t>Putusan pengadilan jika Pecandu Narkotika terbukti bersalah melakukan tindak pidana narkotika.</w:t>
      </w:r>
    </w:p>
    <w:p w:rsidR="00ED61AC" w:rsidRDefault="00ED61AC" w:rsidP="00E22298">
      <w:pPr>
        <w:numPr>
          <w:ilvl w:val="0"/>
          <w:numId w:val="12"/>
        </w:numPr>
        <w:autoSpaceDE w:val="0"/>
        <w:autoSpaceDN w:val="0"/>
        <w:adjustRightInd w:val="0"/>
        <w:spacing w:line="480" w:lineRule="auto"/>
        <w:ind w:left="360"/>
        <w:jc w:val="both"/>
        <w:rPr>
          <w:color w:val="000000"/>
        </w:rPr>
      </w:pPr>
      <w:r>
        <w:rPr>
          <w:color w:val="000000"/>
        </w:rPr>
        <w:t>Penetapan pengadilan jika Pecandu Narkotika tidak terbukti bersalah melakukan tindak pidana narkotika.</w:t>
      </w:r>
    </w:p>
    <w:p w:rsidR="00ED61AC" w:rsidRDefault="00ED61AC" w:rsidP="00ED61AC">
      <w:pPr>
        <w:autoSpaceDE w:val="0"/>
        <w:autoSpaceDN w:val="0"/>
        <w:adjustRightInd w:val="0"/>
        <w:spacing w:line="480" w:lineRule="auto"/>
        <w:ind w:firstLine="720"/>
        <w:jc w:val="both"/>
        <w:rPr>
          <w:color w:val="000000"/>
        </w:rPr>
      </w:pPr>
      <w:r>
        <w:rPr>
          <w:color w:val="000000"/>
        </w:rPr>
        <w:t xml:space="preserve">Pasal 13 ini juga mengatakan bahwa Pecandu Narkotika yang sedang menjalani proses peradilan dapat ditempatkan dalam lembaga rehabilitasi medis dan/atau rehabilitasi sosial. Penempatan dalam lembaga rehabilitasi medis dan/atau rehabilitasi sosial sebagaimana dimaksud uraian diatas merupakan kewenangan penyidik, penuntut umum, atau hakim sesuai dengan tingkat pemeriksaan setelah mendapatkan rekomendasi dari Tim Dokter. Ketentuan </w:t>
      </w:r>
      <w:r>
        <w:rPr>
          <w:color w:val="000000"/>
        </w:rPr>
        <w:lastRenderedPageBreak/>
        <w:t>penempatan dalam lembaga rehabilitasi medis dan/atau rehabilitasi sosial berlaku juga bagi korban penyalahgunaan narkotika.</w:t>
      </w:r>
    </w:p>
    <w:p w:rsidR="00ED61AC" w:rsidRDefault="00ED61AC" w:rsidP="00ED61AC">
      <w:pPr>
        <w:autoSpaceDE w:val="0"/>
        <w:autoSpaceDN w:val="0"/>
        <w:adjustRightInd w:val="0"/>
        <w:spacing w:line="480" w:lineRule="auto"/>
        <w:ind w:firstLine="720"/>
        <w:jc w:val="both"/>
        <w:rPr>
          <w:color w:val="000000"/>
        </w:rPr>
      </w:pPr>
      <w:r>
        <w:rPr>
          <w:color w:val="000000"/>
        </w:rPr>
        <w:t>Ketentuan yang diatur dalam Peraturan Pemerintah Nomor 25 Tahun 2011 sebenarnya sangat memberi kewenangan kepada para penegak hukum untuk dapat memeriksa secara benar apakah seseorang itu penyalahguna murni atau memang dia juga seorang pecandu, jika dia adalah seorang pecandu maka ia harus segera di rehabilitasi untuk mendapatkan pengobatan.</w:t>
      </w:r>
    </w:p>
    <w:p w:rsidR="00ED61AC" w:rsidRDefault="00ED61AC" w:rsidP="00ED61AC">
      <w:pPr>
        <w:autoSpaceDE w:val="0"/>
        <w:autoSpaceDN w:val="0"/>
        <w:adjustRightInd w:val="0"/>
        <w:spacing w:line="480" w:lineRule="auto"/>
        <w:ind w:firstLine="720"/>
        <w:jc w:val="both"/>
        <w:rPr>
          <w:color w:val="000000"/>
        </w:rPr>
      </w:pPr>
      <w:r>
        <w:rPr>
          <w:color w:val="000000"/>
        </w:rPr>
        <w:t>Peraturan Pemerintah Nomor 25 Tahun 2011 ini di perkuat dengan dikeluarkannya Surat Edaran Mahkamah Agung No 3 Tahun 2011 tentang Penempatan Korban Penyalahgunaan Narkotika Di Dalam Lembaga Rehabilitasi Medis Dan Rehabilitasi Sosial, dalam SEMA No 3 Tahun 2011 ini Mahkamah Agung menyatakan bahwa dengan adanya aturan-aturan dalam Undang-Undang Narkotika dan Peraturan Pemerintah Nomor 25 Tahun 2011 Tentang Pelaksanaan Wajib Lapor Pecandu Narkotika, yang juga mengatur mengenai rehabilitasi bagi korban narkotika, memberikan posisi yang sangat sentral kepada Polisi, Jaksa dan Hakim khususnya terkait dengan penempatan dalam lembaga rehabilitasi medis dan sosial sejak dalam proses penyidikan, penuntutan sampai proses pemeriksaan di persidangan untuk membentuk penetapan, namun demikian hakim tetap diminta dalam memberikan perintah penetapan maupun putusan tetap memperhatikan dan merujuk pada Surat Edaran Mahkamah Agung No 4 Tahun 2010.</w:t>
      </w:r>
    </w:p>
    <w:p w:rsidR="00ED61AC" w:rsidRDefault="00ED61AC" w:rsidP="00ED61AC">
      <w:pPr>
        <w:autoSpaceDE w:val="0"/>
        <w:autoSpaceDN w:val="0"/>
        <w:adjustRightInd w:val="0"/>
        <w:spacing w:line="480" w:lineRule="auto"/>
        <w:ind w:firstLine="720"/>
        <w:jc w:val="both"/>
        <w:rPr>
          <w:color w:val="000000"/>
        </w:rPr>
      </w:pPr>
      <w:r>
        <w:rPr>
          <w:color w:val="000000"/>
        </w:rPr>
        <w:t xml:space="preserve">Badan Narkotika Nasional dalam menyikapi Peraturan Pemerintah Nomor 25 Tahun 2011 ini telah mengeluarkan Peraturan yaitu Peraturan Kepala Badan </w:t>
      </w:r>
      <w:r>
        <w:rPr>
          <w:color w:val="000000"/>
        </w:rPr>
        <w:lastRenderedPageBreak/>
        <w:t>Narkotika Nasional Republik Indonesia Nomor 2 Tahun 2011 Tentang Tata Cara Penanganan Tersangka atau Terdakwa Penyalahguna, Korban Penyalahgunaan, Dan Pecandu Narkotika, dalam pertimbangannya menyatakan bahwa penyalahguna, korban penyalahgunaan dan pecandu narkotika yang ditetapkan sebagai tersangka atau Terdakwa dalam perkara tindak pidana Narkotika dan Prekusor Narkotika selama proses peradilan perlu penanganan secara khusus melalui penempatannya dalam lembaga Rehabilitasi Medis dan/atau Rehabilitasi Sosial guna memperoleh pengobatan dan Perawatan dalam rangka pemulihan.</w:t>
      </w:r>
    </w:p>
    <w:p w:rsidR="00ED61AC" w:rsidRDefault="00ED61AC" w:rsidP="00ED61AC">
      <w:pPr>
        <w:autoSpaceDE w:val="0"/>
        <w:autoSpaceDN w:val="0"/>
        <w:adjustRightInd w:val="0"/>
        <w:spacing w:line="480" w:lineRule="auto"/>
        <w:ind w:firstLine="720"/>
        <w:jc w:val="both"/>
        <w:rPr>
          <w:color w:val="000000"/>
        </w:rPr>
      </w:pPr>
      <w:r>
        <w:rPr>
          <w:color w:val="000000"/>
        </w:rPr>
        <w:t>Peraturan Kepala BNN ini memberikan pedoman teknis dalam penanganan penyalahguna yang ditetapkan sebagai tersangka atau terdakwa untuk dapat menjalani rehabilitasi medis dan/atau Rehabilitasi sosial selama proses peradilan berlangsung. Pasal 3 sampai dengan Pasal 7 Peraturan ini Kepala Badan Narkotika Nasional Republik Indonesia Nomor 2 Tahun 2011 dijelaskan tata cara pengajuan permohonan agar tersangka atau terdakwa dapat di rehabilitasi yaitu tersangka atau terdakwa harus mengajukan permohonan secara tertulis kepada penyidik, Jaksa Penuntut Umum, atau Hakim sesuai tingkat pemeriksaan, dalam Pasal 6 Peraturan ini juga dijelaskan syarat-syarat yang harus dilengkapi agar permohonan dapat diproses lebih lanjut.</w:t>
      </w:r>
    </w:p>
    <w:p w:rsidR="00ED61AC" w:rsidRDefault="00ED61AC" w:rsidP="00E22298">
      <w:pPr>
        <w:numPr>
          <w:ilvl w:val="7"/>
          <w:numId w:val="3"/>
        </w:numPr>
        <w:tabs>
          <w:tab w:val="clear" w:pos="5400"/>
          <w:tab w:val="num" w:pos="360"/>
          <w:tab w:val="num" w:pos="5760"/>
        </w:tabs>
        <w:autoSpaceDE w:val="0"/>
        <w:autoSpaceDN w:val="0"/>
        <w:adjustRightInd w:val="0"/>
        <w:spacing w:line="480" w:lineRule="auto"/>
        <w:ind w:left="360"/>
        <w:jc w:val="both"/>
        <w:rPr>
          <w:b/>
          <w:color w:val="000000"/>
          <w:lang w:val="sv-SE"/>
        </w:rPr>
      </w:pPr>
      <w:r>
        <w:rPr>
          <w:b/>
          <w:color w:val="000000"/>
        </w:rPr>
        <w:t xml:space="preserve">Tujuan </w:t>
      </w:r>
      <w:bookmarkStart w:id="0" w:name="_Hlk177571586"/>
      <w:r>
        <w:rPr>
          <w:b/>
          <w:color w:val="000000"/>
          <w:lang w:val="id-ID"/>
        </w:rPr>
        <w:t xml:space="preserve">Pemidanaan Melalui Sanksi Pidana Penjara </w:t>
      </w:r>
      <w:r>
        <w:rPr>
          <w:b/>
          <w:color w:val="000000"/>
        </w:rPr>
        <w:t xml:space="preserve">dan </w:t>
      </w:r>
      <w:r>
        <w:rPr>
          <w:b/>
          <w:color w:val="000000"/>
          <w:lang w:val="id-ID"/>
        </w:rPr>
        <w:t xml:space="preserve">Rehabilitasi Terhadap Pecandu Narkotika </w:t>
      </w:r>
      <w:bookmarkEnd w:id="0"/>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 xml:space="preserve">Setiap pemidanaan pada dasarnya menyatakan perbuatan terpidana adalah salah, tidak dapat diterima oleh masyarakat dan bahwa terpidana telah bertindak melawan kewajibannya dalam masyarakat, sehingga dalam proses pemidanaan, </w:t>
      </w:r>
      <w:r>
        <w:rPr>
          <w:color w:val="000000"/>
          <w:lang w:val="id-ID" w:eastAsia="id-ID"/>
        </w:rPr>
        <w:lastRenderedPageBreak/>
        <w:t>terpidana dibantu untuk menyadari dan mengakui kesalahan yang dituduhkan atasnya.</w:t>
      </w:r>
      <w:r>
        <w:rPr>
          <w:rStyle w:val="FootnoteReference"/>
          <w:color w:val="000000"/>
          <w:lang w:val="id-ID" w:eastAsia="id-ID"/>
        </w:rPr>
        <w:footnoteReference w:id="4"/>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Muladi memunculkan konsep tujuan pemidanaan yang disebutnya sebagai tujuan pemidanaan yang integratif (kemanusiaan dalam sistem Pancasila). Teori tujuan pemidanaan integratif tersebut berangkat dari asumsi dasar bahwa tindak pidana merupakan gangguan terhadap keseimbangan, keselarasan dan keserasian dalam kehidupan masyarakat yang menimbulkan kerusakan individual dan masyarakat, tujuan pemidanaan adalah untuk memperbaiki kerusakan-kerusakan yang diakibatkan oleh tindak pidana.</w:t>
      </w:r>
      <w:r>
        <w:rPr>
          <w:rStyle w:val="FootnoteReference"/>
          <w:color w:val="000000"/>
          <w:lang w:val="id-ID" w:eastAsia="id-ID"/>
        </w:rPr>
        <w:footnoteReference w:id="5"/>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Bermuara dari konsepsi-konsepsi aliran hukum pidana, lahirlah ide individualisasi pidana yang memiliki beberapa karakteristik sebagai berikut:</w:t>
      </w:r>
    </w:p>
    <w:p w:rsidR="00ED61AC" w:rsidRDefault="00ED61AC" w:rsidP="00E22298">
      <w:pPr>
        <w:numPr>
          <w:ilvl w:val="2"/>
          <w:numId w:val="2"/>
        </w:numPr>
        <w:tabs>
          <w:tab w:val="num" w:pos="1080"/>
        </w:tabs>
        <w:autoSpaceDE w:val="0"/>
        <w:autoSpaceDN w:val="0"/>
        <w:adjustRightInd w:val="0"/>
        <w:ind w:left="1080"/>
        <w:jc w:val="both"/>
        <w:rPr>
          <w:color w:val="000000"/>
          <w:lang w:val="id-ID" w:eastAsia="id-ID"/>
        </w:rPr>
      </w:pPr>
      <w:r>
        <w:rPr>
          <w:color w:val="000000"/>
          <w:lang w:val="id-ID" w:eastAsia="id-ID"/>
        </w:rPr>
        <w:t>Pertanggungjawaban (pidana) bersifat pribadi/perorangan (asas personal).</w:t>
      </w:r>
    </w:p>
    <w:p w:rsidR="00ED61AC" w:rsidRDefault="00ED61AC" w:rsidP="00E22298">
      <w:pPr>
        <w:numPr>
          <w:ilvl w:val="2"/>
          <w:numId w:val="2"/>
        </w:numPr>
        <w:tabs>
          <w:tab w:val="num" w:pos="1080"/>
        </w:tabs>
        <w:autoSpaceDE w:val="0"/>
        <w:autoSpaceDN w:val="0"/>
        <w:adjustRightInd w:val="0"/>
        <w:ind w:left="1080"/>
        <w:jc w:val="both"/>
        <w:rPr>
          <w:color w:val="000000"/>
          <w:lang w:val="id-ID" w:eastAsia="id-ID"/>
        </w:rPr>
      </w:pPr>
      <w:r>
        <w:rPr>
          <w:color w:val="000000"/>
          <w:lang w:val="id-ID" w:eastAsia="id-ID"/>
        </w:rPr>
        <w:t xml:space="preserve">Pidana hanya diberikan kepada orang yang bersalah (asas </w:t>
      </w:r>
      <w:r>
        <w:rPr>
          <w:i/>
          <w:color w:val="000000"/>
          <w:lang w:val="id-ID" w:eastAsia="id-ID"/>
        </w:rPr>
        <w:t xml:space="preserve">culpabilitas </w:t>
      </w:r>
      <w:r>
        <w:rPr>
          <w:color w:val="000000"/>
          <w:lang w:val="id-ID" w:eastAsia="id-ID"/>
        </w:rPr>
        <w:t>bahwa tiada pidana tanpa kesalahan).</w:t>
      </w:r>
    </w:p>
    <w:p w:rsidR="00ED61AC" w:rsidRDefault="00ED61AC" w:rsidP="00E22298">
      <w:pPr>
        <w:numPr>
          <w:ilvl w:val="2"/>
          <w:numId w:val="2"/>
        </w:numPr>
        <w:tabs>
          <w:tab w:val="num" w:pos="1080"/>
        </w:tabs>
        <w:autoSpaceDE w:val="0"/>
        <w:autoSpaceDN w:val="0"/>
        <w:adjustRightInd w:val="0"/>
        <w:ind w:left="1080"/>
        <w:jc w:val="both"/>
        <w:rPr>
          <w:color w:val="000000"/>
          <w:lang w:val="id-ID" w:eastAsia="id-ID"/>
        </w:rPr>
      </w:pPr>
      <w:r>
        <w:rPr>
          <w:color w:val="000000"/>
          <w:lang w:val="id-ID" w:eastAsia="id-ID"/>
        </w:rPr>
        <w:t>Pidana harus disesuaikan dengan karakteristik dan kondisi pelaku. Ini berarti harus ada kelonggaran/fleksibelitas bagi hakim dalam memilih sanksi pidana (jenis maupun berat ringannya sanksi) dan harus ada kemungkinan modifikasi pidana (perubahan/penyesuaian) dalam pelaksanaannya.</w:t>
      </w:r>
      <w:r>
        <w:rPr>
          <w:rStyle w:val="FootnoteReference"/>
          <w:color w:val="000000"/>
          <w:lang w:val="id-ID" w:eastAsia="id-ID"/>
        </w:rPr>
        <w:footnoteReference w:id="6"/>
      </w:r>
    </w:p>
    <w:p w:rsidR="00ED61AC" w:rsidRDefault="00ED61AC" w:rsidP="00ED61AC">
      <w:pPr>
        <w:autoSpaceDE w:val="0"/>
        <w:autoSpaceDN w:val="0"/>
        <w:adjustRightInd w:val="0"/>
        <w:ind w:left="1080"/>
        <w:jc w:val="both"/>
        <w:rPr>
          <w:color w:val="000000"/>
          <w:lang w:val="id-ID" w:eastAsia="id-ID"/>
        </w:rPr>
      </w:pPr>
    </w:p>
    <w:p w:rsidR="00ED61AC" w:rsidRDefault="00ED61AC" w:rsidP="00ED61AC">
      <w:pPr>
        <w:autoSpaceDE w:val="0"/>
        <w:autoSpaceDN w:val="0"/>
        <w:adjustRightInd w:val="0"/>
        <w:spacing w:line="504" w:lineRule="auto"/>
        <w:ind w:firstLine="720"/>
        <w:jc w:val="both"/>
        <w:rPr>
          <w:rStyle w:val="markedcontent"/>
        </w:rPr>
      </w:pPr>
      <w:r>
        <w:rPr>
          <w:rStyle w:val="markedcontent"/>
          <w:color w:val="000000"/>
        </w:rPr>
        <w:t xml:space="preserve">Pencegahan sebagai tujuan pokok pidana yang hendak dicapai adalah </w:t>
      </w:r>
      <w:r>
        <w:rPr>
          <w:color w:val="000000"/>
        </w:rPr>
        <w:br/>
      </w:r>
      <w:r>
        <w:rPr>
          <w:rStyle w:val="markedcontent"/>
          <w:color w:val="000000"/>
        </w:rPr>
        <w:t xml:space="preserve">pencegahan ditujukan kepada khlayak ramai/kepada semua orang agar supaya </w:t>
      </w:r>
      <w:r>
        <w:rPr>
          <w:color w:val="000000"/>
        </w:rPr>
        <w:br/>
      </w:r>
      <w:r>
        <w:rPr>
          <w:rStyle w:val="markedcontent"/>
          <w:color w:val="000000"/>
        </w:rPr>
        <w:t>tidak melakukan pelanggaran terhadap ketertiban masyarakat.</w:t>
      </w:r>
      <w:r>
        <w:rPr>
          <w:rStyle w:val="FootnoteReference"/>
          <w:color w:val="000000"/>
        </w:rPr>
        <w:footnoteReference w:id="7"/>
      </w:r>
      <w:r>
        <w:rPr>
          <w:rStyle w:val="markedcontent"/>
          <w:color w:val="000000"/>
        </w:rPr>
        <w:t xml:space="preserve"> Pencegahan dalam tindak pidana narkotika dapat dibagi menjadi dua yakni pertama penerapan </w:t>
      </w:r>
      <w:r>
        <w:rPr>
          <w:rStyle w:val="markedcontent"/>
          <w:color w:val="000000"/>
          <w:lang w:val="id-ID"/>
        </w:rPr>
        <w:t>P</w:t>
      </w:r>
      <w:r>
        <w:rPr>
          <w:rStyle w:val="markedcontent"/>
          <w:color w:val="000000"/>
        </w:rPr>
        <w:t xml:space="preserve">asal </w:t>
      </w:r>
      <w:r>
        <w:rPr>
          <w:rStyle w:val="markedcontent"/>
          <w:color w:val="000000"/>
        </w:rPr>
        <w:lastRenderedPageBreak/>
        <w:t xml:space="preserve">127 Undang-Undang No. 35 Tahun 2009 </w:t>
      </w:r>
      <w:r>
        <w:rPr>
          <w:rStyle w:val="markedcontent"/>
          <w:color w:val="000000"/>
          <w:lang w:val="id-ID"/>
        </w:rPr>
        <w:t xml:space="preserve">Tentang Narkotika </w:t>
      </w:r>
      <w:r>
        <w:rPr>
          <w:rStyle w:val="markedcontent"/>
          <w:color w:val="000000"/>
        </w:rPr>
        <w:t>dengan menerapkan rehabilitasi medis</w:t>
      </w:r>
      <w:r>
        <w:rPr>
          <w:rStyle w:val="markedcontent"/>
          <w:color w:val="000000"/>
          <w:lang w:val="id-ID"/>
        </w:rPr>
        <w:t xml:space="preserve"> d</w:t>
      </w:r>
      <w:r>
        <w:rPr>
          <w:rStyle w:val="markedcontent"/>
          <w:color w:val="000000"/>
        </w:rPr>
        <w:t xml:space="preserve">an sosial dan kedua melakukan berbagai upaya berupa kampanye, pendidikan dan penyuluhan mengenai narkotika sehingga narkotika menjadi barang yang tidak dikonsumsi secara tidak benar. Upaya ini pemidanaan dimaksudkan untuk memperbaiki sikap atau tingkah laku terpidana dan di pihak lain pemidanaan itu juga dimaksudkan untuk mencegah orang lain dari kemungkinan melakukan perbuatan yang serupa. Pandangan ini dikatakan berorientasi ke depan </w:t>
      </w:r>
      <w:r>
        <w:rPr>
          <w:rStyle w:val="markedcontent"/>
          <w:i/>
          <w:color w:val="000000"/>
        </w:rPr>
        <w:t>(forward-looking)</w:t>
      </w:r>
      <w:r>
        <w:rPr>
          <w:rStyle w:val="markedcontent"/>
          <w:color w:val="000000"/>
        </w:rPr>
        <w:t xml:space="preserve"> dan sekaligus mempunyai sifat pencegahan </w:t>
      </w:r>
      <w:r>
        <w:rPr>
          <w:rStyle w:val="markedcontent"/>
          <w:i/>
          <w:color w:val="000000"/>
        </w:rPr>
        <w:t>(detterence)</w:t>
      </w:r>
      <w:r>
        <w:rPr>
          <w:rStyle w:val="markedcontent"/>
          <w:color w:val="000000"/>
        </w:rPr>
        <w:t>.</w:t>
      </w:r>
      <w:r>
        <w:rPr>
          <w:rStyle w:val="FootnoteReference"/>
          <w:color w:val="000000"/>
        </w:rPr>
        <w:footnoteReference w:id="8"/>
      </w:r>
    </w:p>
    <w:p w:rsidR="00ED61AC" w:rsidRDefault="00ED61AC" w:rsidP="00ED61AC">
      <w:pPr>
        <w:autoSpaceDE w:val="0"/>
        <w:autoSpaceDN w:val="0"/>
        <w:adjustRightInd w:val="0"/>
        <w:spacing w:line="504" w:lineRule="auto"/>
        <w:ind w:firstLine="720"/>
        <w:jc w:val="both"/>
        <w:rPr>
          <w:rStyle w:val="markedcontent"/>
          <w:color w:val="000000"/>
        </w:rPr>
      </w:pPr>
      <w:r>
        <w:rPr>
          <w:rStyle w:val="markedcontent"/>
          <w:color w:val="000000"/>
        </w:rPr>
        <w:t xml:space="preserve">Tujuan pemidanaan, yaitu pencegahan (prevention) dan retribusi (retribution). Dasar retribusi dalam just desert model menganggap bahwa pelanggar akan dinilai dengan sanksi yang patut diterima oleh mereka mengingat </w:t>
      </w:r>
      <w:r>
        <w:rPr>
          <w:color w:val="000000"/>
        </w:rPr>
        <w:br/>
      </w:r>
      <w:r>
        <w:rPr>
          <w:rStyle w:val="markedcontent"/>
          <w:color w:val="000000"/>
        </w:rPr>
        <w:t>kejahatan-kejahatan yang telah dilakukannya, sanksi yang tepat akan mencegah para kriminal melakukan tindakan-tindakan kejahatan lagi dan mencegah orang-</w:t>
      </w:r>
      <w:r>
        <w:rPr>
          <w:color w:val="000000"/>
        </w:rPr>
        <w:br/>
      </w:r>
      <w:r>
        <w:rPr>
          <w:rStyle w:val="markedcontent"/>
          <w:color w:val="000000"/>
        </w:rPr>
        <w:t>orang lain melakukan kejahatan yang dimasukan dalam katagori pencandu narkotika.</w:t>
      </w:r>
    </w:p>
    <w:p w:rsidR="00ED61AC" w:rsidRDefault="00ED61AC" w:rsidP="00ED61AC">
      <w:pPr>
        <w:autoSpaceDE w:val="0"/>
        <w:autoSpaceDN w:val="0"/>
        <w:adjustRightInd w:val="0"/>
        <w:spacing w:line="480" w:lineRule="auto"/>
        <w:ind w:firstLine="720"/>
        <w:jc w:val="both"/>
        <w:rPr>
          <w:rStyle w:val="markedcontent"/>
          <w:color w:val="000000"/>
          <w:lang w:val="id-ID"/>
        </w:rPr>
      </w:pPr>
      <w:r>
        <w:rPr>
          <w:color w:val="000000"/>
        </w:rPr>
        <w:t xml:space="preserve">Penyalahgunaan narkotika telah dikualifikasikan sebagai tindak pidana </w:t>
      </w:r>
      <w:r>
        <w:rPr>
          <w:color w:val="000000"/>
          <w:lang w:val="id-ID"/>
        </w:rPr>
        <w:t>sebagaimana diatur dalam</w:t>
      </w:r>
      <w:r>
        <w:rPr>
          <w:color w:val="000000"/>
        </w:rPr>
        <w:t xml:space="preserve"> Pasal 1 Undang-undang Nomor 35 Tahun 2009 disebutkan penyalahguna adalah orang yang menggunakan narkotika tanpa hak atau melawan hukum. Penyalah guna narkotika dimungkinkan berstatus sebagai pecandu narkotika atau korban</w:t>
      </w:r>
      <w:r>
        <w:rPr>
          <w:color w:val="000000"/>
          <w:lang w:val="id-ID" w:eastAsia="id-ID"/>
        </w:rPr>
        <w:t>penyalahgunaan narkotika.</w:t>
      </w:r>
    </w:p>
    <w:p w:rsidR="00ED61AC" w:rsidRDefault="00ED61AC" w:rsidP="00ED61AC">
      <w:pPr>
        <w:autoSpaceDE w:val="0"/>
        <w:autoSpaceDN w:val="0"/>
        <w:adjustRightInd w:val="0"/>
        <w:spacing w:line="480" w:lineRule="auto"/>
        <w:ind w:firstLine="720"/>
        <w:jc w:val="both"/>
        <w:rPr>
          <w:rStyle w:val="markedcontent"/>
          <w:color w:val="000000"/>
          <w:lang w:val="id-ID"/>
        </w:rPr>
      </w:pPr>
      <w:r>
        <w:rPr>
          <w:rStyle w:val="markedcontent"/>
          <w:color w:val="000000"/>
        </w:rPr>
        <w:lastRenderedPageBreak/>
        <w:t xml:space="preserve">Pecandu narkotika menurut Undang-Undang No. 35 Tahun 2009 ini di </w:t>
      </w:r>
      <w:r>
        <w:rPr>
          <w:color w:val="000000"/>
        </w:rPr>
        <w:br/>
      </w:r>
      <w:r>
        <w:rPr>
          <w:rStyle w:val="markedcontent"/>
          <w:color w:val="000000"/>
        </w:rPr>
        <w:t xml:space="preserve">satu sisi merupakan pelaku tindak pidana penyalahgunaan narkotika adalah </w:t>
      </w:r>
      <w:r>
        <w:rPr>
          <w:color w:val="000000"/>
        </w:rPr>
        <w:br/>
      </w:r>
      <w:r>
        <w:rPr>
          <w:rStyle w:val="markedcontent"/>
          <w:color w:val="000000"/>
        </w:rPr>
        <w:t xml:space="preserve">dengan adanya ketentuan Undang-Undang No. 35 Tahun 2009 yang mengatur </w:t>
      </w:r>
      <w:r>
        <w:rPr>
          <w:color w:val="000000"/>
        </w:rPr>
        <w:br/>
      </w:r>
      <w:r>
        <w:rPr>
          <w:rStyle w:val="markedcontent"/>
          <w:color w:val="000000"/>
        </w:rPr>
        <w:t xml:space="preserve">mengenai pidana penjara yang diberikan kepada para pelaku penyalahgunaan </w:t>
      </w:r>
      <w:r>
        <w:rPr>
          <w:color w:val="000000"/>
        </w:rPr>
        <w:br/>
      </w:r>
      <w:r>
        <w:rPr>
          <w:rStyle w:val="markedcontent"/>
          <w:color w:val="000000"/>
        </w:rPr>
        <w:t>narkotika kemudian, di sisi lainnya dapat dikatakan bahwa menurut Undang-</w:t>
      </w:r>
      <w:r>
        <w:rPr>
          <w:color w:val="000000"/>
        </w:rPr>
        <w:br/>
      </w:r>
      <w:r>
        <w:rPr>
          <w:rStyle w:val="markedcontent"/>
          <w:color w:val="000000"/>
        </w:rPr>
        <w:t xml:space="preserve">Undang No. 35 Tahun 2009, pecandu narkotika tersebut merupakan korban adalah </w:t>
      </w:r>
      <w:r>
        <w:rPr>
          <w:color w:val="000000"/>
        </w:rPr>
        <w:br/>
      </w:r>
      <w:r>
        <w:rPr>
          <w:rStyle w:val="markedcontent"/>
          <w:color w:val="000000"/>
        </w:rPr>
        <w:t xml:space="preserve">ditunjukkan dengan adanya ketentuan bahwa terhadap pecandu narkotika dapat </w:t>
      </w:r>
      <w:r>
        <w:rPr>
          <w:color w:val="000000"/>
        </w:rPr>
        <w:br/>
      </w:r>
      <w:r>
        <w:rPr>
          <w:rStyle w:val="markedcontent"/>
          <w:color w:val="000000"/>
        </w:rPr>
        <w:t>dijatuhi vonis rehabilitasi. Hal ini berarti Undang-Undang Nomor 35 Tahun 2009 disatu sisi masih menganggap pecandu narkotika sebagai pelaku tindak pidana, dan disisi lain merupakan korban dari penyalahgunaan narkotika yang dilakukan</w:t>
      </w:r>
      <w:r>
        <w:rPr>
          <w:rStyle w:val="markedcontent"/>
          <w:color w:val="000000"/>
          <w:lang w:val="id-ID"/>
        </w:rPr>
        <w:t>.</w:t>
      </w:r>
    </w:p>
    <w:p w:rsidR="00ED61AC" w:rsidRDefault="00ED61AC" w:rsidP="00ED61AC">
      <w:pPr>
        <w:autoSpaceDE w:val="0"/>
        <w:autoSpaceDN w:val="0"/>
        <w:adjustRightInd w:val="0"/>
        <w:spacing w:line="480" w:lineRule="auto"/>
        <w:ind w:firstLine="720"/>
        <w:jc w:val="both"/>
        <w:rPr>
          <w:lang w:eastAsia="id-ID"/>
        </w:rPr>
      </w:pPr>
      <w:r>
        <w:rPr>
          <w:color w:val="000000"/>
          <w:lang w:val="id-ID" w:eastAsia="id-ID"/>
        </w:rPr>
        <w:t>Pelaku-pelaku penyalahgunaan narkotika bukanlah termasuk pengedar ataupun terlibat dalam sindikat peredaran gelap narkotika, sering kali motivasi menggunakan narkotika hanya karena didorong rasa penasaran, mengikuti jejak teman-temannya, mencoba mencari eksistensi diri dalam pergaulan dengan cara yang salah. Orang-orang terutama generasi muda yang menggunakan narkotika hanya sebatas coba-coba kemudian sampai mengalami ketergantungan tentunya juga harus dianggap sebagai korban peredaran gelap narkotika. Bermula dari coba-coba padahal penggunaan narkotika tujuannya menimbulkan kenikmatan bagi pemakai, sehingga terjadi suatu ketergantungan psikologis.</w:t>
      </w:r>
      <w:r>
        <w:rPr>
          <w:rStyle w:val="FootnoteReference"/>
          <w:color w:val="000000"/>
          <w:lang w:val="id-ID" w:eastAsia="id-ID"/>
        </w:rPr>
        <w:footnoteReference w:id="9"/>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 xml:space="preserve"> Ketergantungan terhadap narkotika juga menjadi salah satu penyebab munculnya perilaku melanggar hukum. Tentunya terhadap kondisi seperti ini juga harus diperlakukan berbeda dengan orang-orang yang memang sengaja mengeruk </w:t>
      </w:r>
      <w:r>
        <w:rPr>
          <w:color w:val="000000"/>
          <w:lang w:val="id-ID" w:eastAsia="id-ID"/>
        </w:rPr>
        <w:lastRenderedPageBreak/>
        <w:t xml:space="preserve">keuntungan dari peredaran gelap narkotika). Para penyalahguna narkotika, sangat dimungkinkan sudah mengalami kecanduan sehingga sulit untuk melepaskan diri dari jerat pemakaian narkotika tanpa mendapat bantuan dari ahli. </w:t>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Penerapan pidana penjara bagi penyalahguna khususnya pecandu narkotika dipandang sebagai tindakan yang kurang tepat karena pidana penjara hanya memberikan nestapa saja kepada pelaku tanpa menyembuhkan ketergantungannya dari narkotika. Selain itu, dengan dipenjaranya pecandu narkotika membuka peluang pecandu narkotika menjadi pengedar atau bahkan menjadi pelaku tindak pidana lainnya karena pidana penjara kondisi lembaga pemasyarakatan yang ada di Indonesia belum dapat maksimal dalam melakukan pembinaan terhadap warga binaannya.</w:t>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 xml:space="preserve">Penjatuhan pidana terhadap penyalahguna narkotika tentunya diharapkan tidak saja memberikan efek jera bagi pelakunya namun juga sebagai sarana penanggulangan kejahatan. Pendekatan </w:t>
      </w:r>
      <w:r>
        <w:rPr>
          <w:i/>
          <w:iCs/>
          <w:color w:val="000000"/>
          <w:lang w:val="id-ID" w:eastAsia="id-ID"/>
        </w:rPr>
        <w:t xml:space="preserve">humanistic </w:t>
      </w:r>
      <w:r>
        <w:rPr>
          <w:color w:val="000000"/>
          <w:lang w:val="id-ID" w:eastAsia="id-ID"/>
        </w:rPr>
        <w:t xml:space="preserve">juga harus diperhatikan dalam memberikan sanksi hukum kepada penyalahguna narkotika. Pendekatan yang berorientasi pada nilai </w:t>
      </w:r>
      <w:r>
        <w:rPr>
          <w:i/>
          <w:iCs/>
          <w:color w:val="000000"/>
          <w:lang w:val="id-ID" w:eastAsia="id-ID"/>
        </w:rPr>
        <w:t xml:space="preserve">humanistic </w:t>
      </w:r>
      <w:r>
        <w:rPr>
          <w:color w:val="000000"/>
          <w:lang w:val="id-ID" w:eastAsia="id-ID"/>
        </w:rPr>
        <w:t>inilah yang menghedaki diperhatikannya prinsip individualisasi pidana dalam penggunaan sanksi pidana sebagai salah satu sarana penanggulangan kejahatan.</w:t>
      </w:r>
      <w:r>
        <w:rPr>
          <w:rStyle w:val="FootnoteReference"/>
          <w:color w:val="000000"/>
          <w:lang w:val="id-ID" w:eastAsia="id-ID"/>
        </w:rPr>
        <w:footnoteReference w:id="10"/>
      </w:r>
    </w:p>
    <w:p w:rsidR="00ED61AC" w:rsidRDefault="00ED61AC" w:rsidP="00ED61AC">
      <w:pPr>
        <w:autoSpaceDE w:val="0"/>
        <w:autoSpaceDN w:val="0"/>
        <w:adjustRightInd w:val="0"/>
        <w:spacing w:line="480" w:lineRule="auto"/>
        <w:ind w:firstLine="720"/>
        <w:jc w:val="both"/>
        <w:rPr>
          <w:color w:val="000000"/>
        </w:rPr>
      </w:pPr>
      <w:r>
        <w:rPr>
          <w:color w:val="000000"/>
        </w:rPr>
        <w:t xml:space="preserve">Penerapan pidana penjara bagi penyalahguna khususnya pecandu narkotika tidak akan mampu menyelesaikan akar persoalan apabila pelaku tidak diberikan perawatan sehingga mampu untuk melepaskan diri dari ketergantungan terhadap narkotika. Pecandu narkotika memerlukan treatment khusus baik secara </w:t>
      </w:r>
      <w:r>
        <w:rPr>
          <w:color w:val="000000"/>
        </w:rPr>
        <w:lastRenderedPageBreak/>
        <w:t>medis maupun sosial agar yang bersangkutan dapat kembali ke dalam masyarakat secara normal.</w:t>
      </w:r>
    </w:p>
    <w:p w:rsidR="00ED61AC" w:rsidRDefault="00ED61AC" w:rsidP="00ED61AC">
      <w:pPr>
        <w:autoSpaceDE w:val="0"/>
        <w:autoSpaceDN w:val="0"/>
        <w:adjustRightInd w:val="0"/>
        <w:spacing w:line="516" w:lineRule="auto"/>
        <w:ind w:firstLine="720"/>
        <w:jc w:val="both"/>
        <w:rPr>
          <w:color w:val="000000"/>
          <w:lang w:val="id-ID" w:eastAsia="id-ID"/>
        </w:rPr>
      </w:pPr>
      <w:r>
        <w:rPr>
          <w:color w:val="000000"/>
          <w:lang w:val="id-ID" w:eastAsia="id-ID"/>
        </w:rPr>
        <w:t>Pemidanaan tidak hanya berangkat pada pemikiran pembalasan kepada pelaku kejahatan atau pencegahan supaya melindungi masyarakat tetapi telah meluas hingga kepada suatu sistem pidana yang terpadu yang menyatukan berbagai sendi penegak hukum dalam melaksanakan sistem tersebut sesuai dengan yang dicita-citakan. Tanggung jawab sistem pidana sudah harus dimulai sejak dilakukannya pencegahan sejak dilakukannya kejahatan, terciptanya kejahatan oleh pelaku kejahatan, dan tahapan-tahapan lainnya hingga kepada berintegrasinya kembali pelaku kejahatan sebagai manusia yang seutuhnya di dalam masyarakat serta kuatnya penegak hukum di dalamnya.</w:t>
      </w:r>
      <w:r>
        <w:rPr>
          <w:rStyle w:val="FootnoteReference"/>
          <w:color w:val="000000"/>
          <w:lang w:val="id-ID" w:eastAsia="id-ID"/>
        </w:rPr>
        <w:footnoteReference w:id="11"/>
      </w:r>
    </w:p>
    <w:p w:rsidR="00ED61AC" w:rsidRDefault="00ED61AC" w:rsidP="00ED61AC">
      <w:pPr>
        <w:autoSpaceDE w:val="0"/>
        <w:autoSpaceDN w:val="0"/>
        <w:adjustRightInd w:val="0"/>
        <w:spacing w:line="516" w:lineRule="auto"/>
        <w:ind w:firstLine="720"/>
        <w:jc w:val="both"/>
        <w:rPr>
          <w:b/>
          <w:bCs/>
          <w:color w:val="000000"/>
          <w:lang w:val="id-ID" w:eastAsia="id-ID"/>
        </w:rPr>
      </w:pPr>
      <w:r>
        <w:rPr>
          <w:color w:val="000000"/>
          <w:lang w:val="id-ID" w:eastAsia="id-ID"/>
        </w:rPr>
        <w:t>Tujuan pemidanaan terhadap penyalahguna narkotika sebagaimana dalam Undang-undang Nomor 35 Tahun 2009 tidak semata-mata untuk memberikan efek jera bagi pelaku maupun mencegah orang lain untuk melakukan perbuatan yang sama namun juga mengupayakan agar pelaku memperoleh perawatan sehingga dapat kembali ke masyarakat dalam keadaan yang baik. Tentunya pelaku dengan keadaan yang sudah terbebas dari kergantungan narkotika dengan sendirinya akan menghindarkan pelaku kembali terjerumus dalam perbuatan yang sama. Hal ini tentu saja juga berdampak pada kembalinya keadaan sosial yang sempat tercabik oleh perbuatan pelaku dan secara tidak langsung menghadirkan kedamaian di lingkungannya</w:t>
      </w:r>
      <w:r>
        <w:rPr>
          <w:rFonts w:ascii="Calibri" w:hAnsi="Calibri" w:cs="Calibri"/>
          <w:color w:val="000000"/>
          <w:lang w:val="id-ID" w:eastAsia="id-ID"/>
        </w:rPr>
        <w:t>.</w:t>
      </w:r>
    </w:p>
    <w:p w:rsidR="00ED61AC" w:rsidRDefault="00ED61AC" w:rsidP="00ED61AC">
      <w:pPr>
        <w:autoSpaceDE w:val="0"/>
        <w:autoSpaceDN w:val="0"/>
        <w:adjustRightInd w:val="0"/>
        <w:spacing w:line="456" w:lineRule="auto"/>
        <w:ind w:firstLine="720"/>
        <w:jc w:val="both"/>
      </w:pPr>
      <w:r>
        <w:lastRenderedPageBreak/>
        <w:t xml:space="preserve">Setiap perkara narkotika, sebenarnya para penegak hukum hingga pemutus perkaranya berangkat dari aturan yang sama yaitu Undang-Undang Nomor 35 Tahun 2009 tentang Narkotika yang merupakan regulasi khusus yang menyimpang dari sistem pemidanaan yang selama ini berlaku di Indonesia. Dikatakan khusus karena undang-undang ini menganut </w:t>
      </w:r>
      <w:r>
        <w:rPr>
          <w:i/>
          <w:iCs/>
        </w:rPr>
        <w:t xml:space="preserve">double tracksystem </w:t>
      </w:r>
      <w:r>
        <w:t>pemidanaan bagi penyalahguna untuk diri sendiri dengan kewajiban bagi seluruh lembaga pengadilan di Indonesia untuk menghukum rehabilitasi sedangkan pengedarnya dihukum penjara atau mati.</w:t>
      </w:r>
      <w:r>
        <w:rPr>
          <w:rStyle w:val="FootnoteReference"/>
        </w:rPr>
        <w:footnoteReference w:id="12"/>
      </w:r>
    </w:p>
    <w:p w:rsidR="00ED61AC" w:rsidRDefault="00ED61AC" w:rsidP="00ED61AC">
      <w:pPr>
        <w:autoSpaceDE w:val="0"/>
        <w:autoSpaceDN w:val="0"/>
        <w:adjustRightInd w:val="0"/>
        <w:spacing w:line="456" w:lineRule="auto"/>
        <w:ind w:firstLine="720"/>
        <w:jc w:val="both"/>
      </w:pPr>
      <w:r>
        <w:t>Namun, di wilayah Indonesia masih terdapat putusan hakim terhadap penyalahguna narkotika dijatuhkan pidana penjara tidak disertai rehabilitasi. Ini tentu mengabaikan esensi dari regulasi yang sudah ada.  Efek lain dari hal tersebut menyebabkan beban bagi negara yang harus membiayai terpidana narkotika selama menjalani masa pidananya di dalam lembaga pemasyarakatan.</w:t>
      </w:r>
      <w:r>
        <w:rPr>
          <w:rStyle w:val="FootnoteReference"/>
        </w:rPr>
        <w:footnoteReference w:id="13"/>
      </w:r>
    </w:p>
    <w:p w:rsidR="00ED61AC" w:rsidRDefault="00ED61AC" w:rsidP="00ED61AC">
      <w:pPr>
        <w:autoSpaceDE w:val="0"/>
        <w:autoSpaceDN w:val="0"/>
        <w:adjustRightInd w:val="0"/>
        <w:spacing w:line="480" w:lineRule="auto"/>
        <w:ind w:firstLine="720"/>
        <w:jc w:val="both"/>
      </w:pPr>
      <w:r>
        <w:t xml:space="preserve">Menurut Pasal 112 Undang-Undang Nomor 35 Tahun 2009 tentang Narkotika.menyatakan setiap orang yang tanpa hak atau melawan hukum memiliki, menyimpan, menguasai, atau  menyediakan Narkotika Golongan I bukan tanaman, dipidana dengan pidana penjara paling singkat  4 (empat) tahun, dan paling lama 12 (dua belas) tahun dan pidana  denda paling sedikit  Rp.800 juta  dan paling banyak Rp 8 milyar. Pasal itulah yang membuat para korban pengguna narkoba dapat di penjara. Hakim dalam konsep rehabilitasi dapat memutuskan pengguna narkoba untuk menjalani rehabilitasi medis maupun </w:t>
      </w:r>
      <w:r>
        <w:lastRenderedPageBreak/>
        <w:t>rehabilitasi sosial dalam upaya mengembalikan pengguna untuk hidup normal kembali.</w:t>
      </w:r>
      <w:r>
        <w:rPr>
          <w:rStyle w:val="FootnoteReference"/>
        </w:rPr>
        <w:footnoteReference w:id="14"/>
      </w:r>
    </w:p>
    <w:p w:rsidR="00ED61AC" w:rsidRDefault="00ED61AC" w:rsidP="00ED61AC">
      <w:pPr>
        <w:autoSpaceDE w:val="0"/>
        <w:autoSpaceDN w:val="0"/>
        <w:adjustRightInd w:val="0"/>
        <w:spacing w:line="516" w:lineRule="auto"/>
        <w:ind w:firstLine="720"/>
        <w:jc w:val="both"/>
      </w:pPr>
      <w:r>
        <w:t xml:space="preserve">Rehabilitasi jauh lebih baik dari pada penjara sebab jika pengguna direhabilitasi maka akan pulih dari ketergantungannya dan tidak akan mengkonsumsi barang haram lagi. Pasalnya konstruksi  hukum di negeri ini menganut </w:t>
      </w:r>
      <w:r>
        <w:rPr>
          <w:i/>
          <w:iCs/>
        </w:rPr>
        <w:t>double track system</w:t>
      </w:r>
      <w:r>
        <w:t xml:space="preserve"> pemidanaan, yang pada intinya, pengguna yang diputus pidana maka pidananya dijalankan untuk rehabilitasi. Rehabilitasinya tidak dilaksanakan di dalam lembaga pemasyarakatan tetapi ditempat khusus untuk rehabilitasi.</w:t>
      </w:r>
      <w:r>
        <w:rPr>
          <w:rStyle w:val="FootnoteReference"/>
        </w:rPr>
        <w:footnoteReference w:id="15"/>
      </w:r>
    </w:p>
    <w:p w:rsidR="00ED61AC" w:rsidRDefault="00ED61AC" w:rsidP="00ED61AC">
      <w:pPr>
        <w:autoSpaceDE w:val="0"/>
        <w:autoSpaceDN w:val="0"/>
        <w:adjustRightInd w:val="0"/>
        <w:spacing w:line="516" w:lineRule="auto"/>
        <w:ind w:firstLine="720"/>
        <w:jc w:val="both"/>
      </w:pPr>
      <w:r>
        <w:t>Rehabilitasi merupakan salah satu cara untuk menyelamatkan korban pengguna narkotika dari ketergantungan. Pasal  54 Undang-Undang Nomor 35 Tahun 2009 tentang Narkotika disebutkan bahwa pecandu narkotika dan korban penyalahgunaan narkotika wajib menjalani rehabilitasi medis dan sosial. Pasal 103 Undang-Undang Nomor 35 Tahun 2009 tentang Narkotika.memberi kewenangan hakim memerintahkan pecandu dan korban penyalahguna narkotika sebagai terdakwa menjalani rehabilitasi melalui putusannya jika mereka terbukti bersalah menyalahgunakan narkotika.</w:t>
      </w:r>
      <w:r>
        <w:rPr>
          <w:rStyle w:val="FootnoteReference"/>
        </w:rPr>
        <w:footnoteReference w:id="16"/>
      </w:r>
    </w:p>
    <w:p w:rsidR="00ED61AC" w:rsidRDefault="00ED61AC" w:rsidP="00ED61AC">
      <w:pPr>
        <w:autoSpaceDE w:val="0"/>
        <w:autoSpaceDN w:val="0"/>
        <w:adjustRightInd w:val="0"/>
        <w:spacing w:line="480" w:lineRule="auto"/>
        <w:ind w:firstLine="720"/>
        <w:jc w:val="both"/>
      </w:pPr>
      <w:r>
        <w:t>Terkait penerapan Pasal 103 Undang-Undang Nomor 35 Tahun 2009 tentang Narkotika.ini, Mahkama Agung mengeluarkan SEMA Nomor 4 Tahun 2010  </w:t>
      </w:r>
      <w:r>
        <w:rPr>
          <w:rStyle w:val="Emphasis"/>
        </w:rPr>
        <w:t>jo </w:t>
      </w:r>
      <w:r>
        <w:t xml:space="preserve">SEMA Nomor 3 Tahun 2011 tentang Penempatan Penyalahguna, Korban </w:t>
      </w:r>
      <w:r>
        <w:lastRenderedPageBreak/>
        <w:t>Penyalahgunaan, dan Pecandu Narkotika dalam Lembaga Rehabilitasi Medis dan Rehabilitasi Sosial. Menurut SEMA Nomor 4 Tahun 2010 yang dapat dijatuhkan tindakan rehabilitasi yakni terdakwa tertangkap tangan penyidik Polri dan BNN, saat tertangkap tangan ditemukan barang bukti pemakaian 1 (satu) hari, adanya surat keterangan uji laboratorium positif menggunakan narkotika berdasarkan permintaan penyidik, adanya surat keterangan dari psikiater pemerintah yang ditunjuk hakim, tidak terbukti yang bersangkutan terlibat dalam peredaran gelap narkotika.</w:t>
      </w:r>
      <w:r>
        <w:rPr>
          <w:rStyle w:val="FootnoteReference"/>
        </w:rPr>
        <w:footnoteReference w:id="17"/>
      </w:r>
    </w:p>
    <w:p w:rsidR="00ED61AC" w:rsidRDefault="00ED61AC" w:rsidP="00ED61AC">
      <w:pPr>
        <w:autoSpaceDE w:val="0"/>
        <w:autoSpaceDN w:val="0"/>
        <w:adjustRightInd w:val="0"/>
        <w:spacing w:line="444" w:lineRule="auto"/>
        <w:ind w:firstLine="720"/>
        <w:jc w:val="both"/>
      </w:pPr>
      <w:r>
        <w:t>Syarat tersangka, terdakwa yang dapat direhabilitasi medis atau sosial dalam perspektif jaksa penuntut umum yakni positif menggunakan narkotika (BAP hasil laboratorium), ada rekomendasi Tim Asesmen Terpadu, tidak berperan sebagai bandar, pengedar, kurir atau produsen; bukan merupakan residivis kasus narkotika dan saat ditangkap atau tertangkap tangan tanpa barang bukti atau dengan barang bukti yang tidak melebihi jumlah tertentu.</w:t>
      </w:r>
      <w:r>
        <w:rPr>
          <w:rStyle w:val="FootnoteReference"/>
        </w:rPr>
        <w:footnoteReference w:id="18"/>
      </w:r>
    </w:p>
    <w:p w:rsidR="00ED61AC" w:rsidRDefault="00ED61AC" w:rsidP="00ED61AC">
      <w:pPr>
        <w:autoSpaceDE w:val="0"/>
        <w:autoSpaceDN w:val="0"/>
        <w:adjustRightInd w:val="0"/>
        <w:spacing w:line="480" w:lineRule="auto"/>
        <w:ind w:firstLine="720"/>
        <w:jc w:val="both"/>
        <w:rPr>
          <w:color w:val="000000"/>
          <w:lang w:eastAsia="id-ID"/>
        </w:rPr>
      </w:pPr>
      <w:r>
        <w:t xml:space="preserve">Pidana penjara bagi korban penyalahgunaan narkotika merupakan perampasan kemerdekaan dan mengandung sisi negatif sehingga tujuan pemidanaan tidak dapat diwujudkan secara maksimal sedangkan rehabilitasi dimaksudkan agar penyalahgumaan yang dikategorikan pecandu ini bebas dari ketergantungannya. Bukannya lepas atau pun bebas dari pemidanaan seperti halnya penjara, tapi dibina. Jika di dalam penjara bukannya terjadi pembinaan di lembaga pemasyarakatan tetapi penyalahguna makin parah dan hasilnya putusan </w:t>
      </w:r>
      <w:r>
        <w:lastRenderedPageBreak/>
        <w:t>hakim tidak membawa manfaat bagi penyalahguna dan kemudian orang tersebut kembali kemasyarakat tidak akan menjadi orang yang lebih baik.</w:t>
      </w:r>
      <w:r>
        <w:rPr>
          <w:rStyle w:val="FootnoteReference"/>
        </w:rPr>
        <w:footnoteReference w:id="19"/>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 xml:space="preserve">Pemenjaraan pengguna narkotika dan obat berbahaya terbukti tidak efektif. Salah satu tindakan yang diperkenankan ialah tindakan rehabilitasi bagi pengguna narkotika bahwa pemakai (penyalahguna) juga dapat dipidana. Namun demikian pembuat undang-undang juga sudah mengakomodir tindakan terhadap pemakai (pengguna). Hakim dalam memutus perkara setiap penyalahgunan narkotika wajib memperhatikan ketentuan sebagaimana dimaksud dalam Pasal 54, Pasal 55, dan Pasal 103 </w:t>
      </w:r>
      <w:r>
        <w:rPr>
          <w:color w:val="000000"/>
        </w:rPr>
        <w:t>Undang-Undang Nomor 35 Tahun 2009 Tentang Narkotika</w:t>
      </w:r>
      <w:r>
        <w:rPr>
          <w:color w:val="000000"/>
          <w:lang w:val="id-ID" w:eastAsia="id-ID"/>
        </w:rPr>
        <w:t xml:space="preserve">. Pasal 54 </w:t>
      </w:r>
      <w:r>
        <w:rPr>
          <w:color w:val="000000"/>
        </w:rPr>
        <w:t>Undang-Undang Nomor 35 Tahun 2009 Tentang Narkotika</w:t>
      </w:r>
      <w:r>
        <w:rPr>
          <w:color w:val="000000"/>
          <w:lang w:val="id-ID" w:eastAsia="id-ID"/>
        </w:rPr>
        <w:t xml:space="preserve"> memuat pecandu narkotika dan korban penyalahgunaan narkotika wajib menjalani rehabilitasi medis dan rehabilitasi sosiai.</w:t>
      </w:r>
      <w:r>
        <w:rPr>
          <w:rStyle w:val="FootnoteReference"/>
          <w:color w:val="000000"/>
          <w:lang w:val="id-ID" w:eastAsia="id-ID"/>
        </w:rPr>
        <w:footnoteReference w:id="20"/>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 xml:space="preserve">Pasal 55 </w:t>
      </w:r>
      <w:r>
        <w:rPr>
          <w:color w:val="000000"/>
        </w:rPr>
        <w:t>Undang-Undang Nomor 35 Tahun 2009 Tentang Narkotika</w:t>
      </w:r>
      <w:r>
        <w:rPr>
          <w:color w:val="000000"/>
          <w:lang w:val="id-ID" w:eastAsia="id-ID"/>
        </w:rPr>
        <w:t xml:space="preserve"> memuat Orang tua atau wali dan pecandu narkotika yang belum cukup umur wajib melaporkan kepada pusat kesehatan masyarakat, rumah sakit, dan/atau lembaga rehabilitasi medis dan rehabilitasi sosiai yang ditunjuk oleh Pemerintah untuk mendapatkan pengobatan dan/atau perawatan melalui rehabilitasi medis dan rehabilitasi sosiai. Selanjutnya dalam Pasal 127 ayat (3)</w:t>
      </w:r>
      <w:r>
        <w:rPr>
          <w:color w:val="000000"/>
        </w:rPr>
        <w:t xml:space="preserve"> Undang-Undang Nomor 35 Tahun 2009 Tentang Narkotika</w:t>
      </w:r>
      <w:r>
        <w:rPr>
          <w:color w:val="000000"/>
          <w:lang w:val="id-ID" w:eastAsia="id-ID"/>
        </w:rPr>
        <w:t xml:space="preserve"> memuat tentang dalam hal pemakai (penyalahguna) dapat dibuktikan atau terbukti sebagai korban penyalahgunaan narkotika  wajib menjalani rehabilitasi medis dan rehabilitasi sosial.</w:t>
      </w:r>
      <w:r>
        <w:rPr>
          <w:rStyle w:val="FootnoteReference"/>
          <w:color w:val="000000"/>
          <w:lang w:val="id-ID" w:eastAsia="id-ID"/>
        </w:rPr>
        <w:footnoteReference w:id="21"/>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lastRenderedPageBreak/>
        <w:t>Masyarakat takut melaporkan secara sukarela untuk memperoleh perawatan medis dan yang masih menjadi kendala adalah kadang para pengguna narkoba baru memikirkan tentang rehabilitasi setelah mereka terjerat hukum, padahal seharusnya mau itu terjerat hukum atau tidak, setiap pengguna narkoba harus segera mendapatkan pertologan melalui suatu rehabilitasi. Oleh karena itu perlu adanya perhatian dari lingkungan sekitar terutama keluarga sebagai lingkungan terdekat agar peka terhadap anggota keluarga mereka , bila ada yang terkena kasus penyalahgunaan narkoba, segera bertindak dengan mulai mencari suatu lembaga rehabilitasi bagi para pecandu NAPZA.</w:t>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Tingginya ancaman hukuman bagi pengguna narkotika dengan kurangnya pengaturan akses pendekatan kesehatan dan sosial melalui rehabilitasi bagi pengguna, mengakibatkan banyak pengguna narkotika yang harus dihukum tanpa diberikan akses kesehatan dan rehabilitasi. Upaya pendekatan pemidanaan tanpa memperhitungkan akses rehabilitasi medis dan sosial di dalamnya, tidak menyelesaikan permasalahan peredaran gelap narkotika, karena siklus akan terulang setelah pengguna keluar dari penjara. Lebih parah, upaya pendekatan pemidanaan menimbulkan permasalahan beralih ke tempat-tempat penahanan di mana akhirnya peredaran gelap narkotika di dalam tahanan semakin berkembang.</w:t>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Tindakan hukum yang dikenakan terhadap korban penyalahgunaan narkotika dalam pemidanaan dikenai tindakan berupa rehabilitasi karena rehabilitasi merupakan salah satu upaya pemerintah dalam menanggulangi penyalahgunaan narkotika.</w:t>
      </w:r>
      <w:r>
        <w:rPr>
          <w:rStyle w:val="FootnoteReference"/>
          <w:color w:val="000000"/>
          <w:lang w:val="id-ID" w:eastAsia="id-ID"/>
        </w:rPr>
        <w:footnoteReference w:id="22"/>
      </w:r>
      <w:r>
        <w:rPr>
          <w:color w:val="000000"/>
          <w:lang w:val="id-ID" w:eastAsia="id-ID"/>
        </w:rPr>
        <w:t xml:space="preserve"> Penetapan rehabilitasi bagi korban penyalahgunaan </w:t>
      </w:r>
      <w:r>
        <w:rPr>
          <w:color w:val="000000"/>
          <w:lang w:val="id-ID" w:eastAsia="id-ID"/>
        </w:rPr>
        <w:lastRenderedPageBreak/>
        <w:t>narkotika merupakan pidana alternatif yang dijatuhkan oleh hakim dan diperhitungkan sebagai masa menjalani hukuman. Tindakan hukum yang berupa rehabilitasi ialah suatu proses pemulihan klien gangguan penggunaan narkoba baik dalam jangka waktu tertentu yang bertujuan mengubah prilaku untuk mengubah fungsi individu dimasyarakat sebagaimana sebelum mereka mengkonsumsi narkotika.</w:t>
      </w:r>
      <w:r>
        <w:rPr>
          <w:rStyle w:val="FootnoteReference"/>
          <w:color w:val="000000"/>
          <w:lang w:val="id-ID" w:eastAsia="id-ID"/>
        </w:rPr>
        <w:footnoteReference w:id="23"/>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Tindakan hukum yang dikenakan terhadap korban penyalahgunaan narkotika tercermin dalam Surat Edaran No.04 Tahun 2010 yang pada prinsipnya dalam hal hakim menjatuhkan pemidanaan berupa perintah untuk dilakukan tindakan hukum berupa rehabilitasi atas diri terdakwa, Majelis Hakim harus menunjuk secara tegas dan jelas tempat rehabilitasi yang terdekat dalam amar putusannya.</w:t>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 xml:space="preserve">Menjatuhkan sanksi pidana dalam tindak pidana narkotika dikenal pula sistim </w:t>
      </w:r>
      <w:r>
        <w:rPr>
          <w:i/>
          <w:iCs/>
          <w:color w:val="000000"/>
          <w:lang w:val="id-ID" w:eastAsia="id-ID"/>
        </w:rPr>
        <w:t xml:space="preserve">double track system, </w:t>
      </w:r>
      <w:r>
        <w:rPr>
          <w:color w:val="000000"/>
          <w:lang w:val="id-ID" w:eastAsia="id-ID"/>
        </w:rPr>
        <w:t xml:space="preserve">bermakna berbicara tentang gagasan dasar mengenai sistem sanksi yang menjadi dasar kebijakan dan penggunaan sanksi dalam hukum pidana. Dalam hal ini, sistem </w:t>
      </w:r>
      <w:r>
        <w:rPr>
          <w:i/>
          <w:iCs/>
          <w:color w:val="000000"/>
          <w:lang w:val="id-ID" w:eastAsia="id-ID"/>
        </w:rPr>
        <w:t xml:space="preserve">dua jalur </w:t>
      </w:r>
      <w:r>
        <w:rPr>
          <w:color w:val="000000"/>
          <w:lang w:val="id-ID" w:eastAsia="id-ID"/>
        </w:rPr>
        <w:t xml:space="preserve">mengenai sanksi dalam hukum pidana. Meski dalam literatur yang ada tidak pernah ditemukan penegasan eksplisit soal gagasan dasar </w:t>
      </w:r>
      <w:r>
        <w:rPr>
          <w:i/>
          <w:iCs/>
          <w:color w:val="000000"/>
          <w:lang w:val="id-ID" w:eastAsia="id-ID"/>
        </w:rPr>
        <w:t xml:space="preserve">double track </w:t>
      </w:r>
      <w:r>
        <w:rPr>
          <w:color w:val="000000"/>
          <w:lang w:val="id-ID" w:eastAsia="id-ID"/>
        </w:rPr>
        <w:t>system, namun dilihat dari latar belakang kemunculannya dapat disimpulkan bahwa ide dasar sistem tersebut adalah kesetaraan antara sanksi pidana dan sanksi tindakan. Ide kesetaraan ini dapat ditelusuri lewat perkembangan yang terjadi dalam sistem sanksi hukum pidana dari aliran klasik ke aliran modern dan aliran neo-klasik.</w:t>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lastRenderedPageBreak/>
        <w:t>Demikian pula dengan rehabilitasi dan prevensi (sebagai tujuan mama dari jenis sanksi tindakan/treatment). Meski cara ini memiliki keistimewaan dari segi proses resosialisasi pelaku sehingga diharapkan mampu memulihkan kualitas sosial dan moral seseorang agar dapat berintegrasi lagi dalam masyarakat, namun terbukti kurang efektif memperbaiki seorang penjahat karena dianggap terlalu memanjakannya. Justru seperti dikatakan oleh C.S. Lewis, bahwa rehabilitasi yang pendekatannya melalui treatment telah mengundang tirani individu dan penolakan terhadap hak asasi manusia.</w:t>
      </w:r>
      <w:r>
        <w:rPr>
          <w:rStyle w:val="FootnoteReference"/>
          <w:color w:val="000000"/>
          <w:lang w:val="id-ID" w:eastAsia="id-ID"/>
        </w:rPr>
        <w:footnoteReference w:id="24"/>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 xml:space="preserve">Atas kesadaran itulah, maka </w:t>
      </w:r>
      <w:r>
        <w:rPr>
          <w:i/>
          <w:iCs/>
          <w:color w:val="000000"/>
          <w:lang w:val="id-ID" w:eastAsia="id-ID"/>
        </w:rPr>
        <w:t xml:space="preserve">double track </w:t>
      </w:r>
      <w:r>
        <w:rPr>
          <w:color w:val="000000"/>
          <w:lang w:val="id-ID" w:eastAsia="id-ID"/>
        </w:rPr>
        <w:t xml:space="preserve">system menghendaki agar unsur pencelaan/penderitaan dan unsur pembinaan sama-sama diakomodasi dalam sistem sanksi hukum pidana. Inilah yang menjadi dasar penjelasan mengapa dalam </w:t>
      </w:r>
      <w:r>
        <w:rPr>
          <w:i/>
          <w:iCs/>
          <w:color w:val="000000"/>
          <w:lang w:val="id-ID" w:eastAsia="id-ID"/>
        </w:rPr>
        <w:t xml:space="preserve">double track system </w:t>
      </w:r>
      <w:r>
        <w:rPr>
          <w:color w:val="000000"/>
          <w:lang w:val="id-ID" w:eastAsia="id-ID"/>
        </w:rPr>
        <w:t>dituntut adanya kesetaraan antara sanksi pidana dan sanksi tindakan.</w:t>
      </w:r>
      <w:r>
        <w:rPr>
          <w:rStyle w:val="FootnoteReference"/>
          <w:color w:val="000000"/>
          <w:lang w:val="id-ID" w:eastAsia="id-ID"/>
        </w:rPr>
        <w:footnoteReference w:id="25"/>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 xml:space="preserve">Sanksi tindakan dapat mengwujudkan tujuan pemidanaan sebagai rehabilitasi. Teori tujuan menganggap pula pemidanaan sebagai jalan untuk mencapai reformasi atau rehabilitasi pada terpidana. Kesalahan atau tindakan kejahatan dianggap sebagai suatu penyakit sosial yang disintegratif dalam masyarakat. Kejahatan itu dibaca pula sebagai simpton disharmoni mental atau ketidakseimbangan personal yang membutuhkan terapi psikiatris, </w:t>
      </w:r>
      <w:r>
        <w:rPr>
          <w:i/>
          <w:iCs/>
          <w:color w:val="000000"/>
          <w:lang w:val="id-ID" w:eastAsia="id-ID"/>
        </w:rPr>
        <w:t xml:space="preserve">conselling, </w:t>
      </w:r>
      <w:r>
        <w:rPr>
          <w:color w:val="000000"/>
          <w:lang w:val="id-ID" w:eastAsia="id-ID"/>
        </w:rPr>
        <w:t>latihan-latihan spiritual, dan sebagainya.</w:t>
      </w:r>
      <w:r>
        <w:rPr>
          <w:rStyle w:val="FootnoteReference"/>
          <w:color w:val="000000"/>
          <w:lang w:val="id-ID" w:eastAsia="id-ID"/>
        </w:rPr>
        <w:footnoteReference w:id="26"/>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 xml:space="preserve">Itulah sebabnya ciri khas dari pandangan tersebut ialah pemidanaan merupakan proses pengobatan sosial dan moral bagi seorang terpidana agar </w:t>
      </w:r>
      <w:r>
        <w:rPr>
          <w:color w:val="000000"/>
          <w:lang w:val="id-ID" w:eastAsia="id-ID"/>
        </w:rPr>
        <w:lastRenderedPageBreak/>
        <w:t>kembali berintegrasi dalam komunitas atau masyarakatnya secara wajar. Dalam bahasa utilitarianisme dapat dikatakan bahwa efek preventif dalam proses rehabilitasi ini terutama terpusat pada terpidana.</w:t>
      </w:r>
      <w:r>
        <w:rPr>
          <w:rStyle w:val="FootnoteReference"/>
          <w:color w:val="000000"/>
          <w:lang w:val="id-ID" w:eastAsia="id-ID"/>
        </w:rPr>
        <w:footnoteReference w:id="27"/>
      </w:r>
      <w:r>
        <w:rPr>
          <w:color w:val="000000"/>
          <w:lang w:val="id-ID" w:eastAsia="id-ID"/>
        </w:rPr>
        <w:t xml:space="preserve"> Pemidanaan berupa tindakan hukum berupa rehabilitasi merupakan proses pengobatan sosial dan moral bagi seorang terpidana agar kembali berintegrasi dalam komunitas atau masyarakatnya secara wajar. </w:t>
      </w:r>
      <w:r>
        <w:rPr>
          <w:rStyle w:val="FootnoteReference"/>
          <w:color w:val="000000"/>
          <w:lang w:val="id-ID" w:eastAsia="id-ID"/>
        </w:rPr>
        <w:footnoteReference w:id="28"/>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Undang-Undang Nomor 35 Tahun 2009 Tentang Narkotika menentukan bahwa pemidanaan berupa tindakan sebagai berikut :</w:t>
      </w:r>
    </w:p>
    <w:p w:rsidR="00ED61AC" w:rsidRDefault="00ED61AC" w:rsidP="00E22298">
      <w:pPr>
        <w:numPr>
          <w:ilvl w:val="4"/>
          <w:numId w:val="8"/>
        </w:numPr>
        <w:autoSpaceDE w:val="0"/>
        <w:autoSpaceDN w:val="0"/>
        <w:adjustRightInd w:val="0"/>
        <w:spacing w:line="480" w:lineRule="auto"/>
        <w:ind w:left="1080"/>
        <w:jc w:val="both"/>
        <w:rPr>
          <w:color w:val="000000"/>
          <w:lang w:val="id-ID" w:eastAsia="id-ID"/>
        </w:rPr>
      </w:pPr>
      <w:r>
        <w:rPr>
          <w:color w:val="000000"/>
          <w:lang w:val="id-ID" w:eastAsia="id-ID"/>
        </w:rPr>
        <w:t>Hakim yang memeriksa perkara pecandu narkotika dapat :</w:t>
      </w:r>
    </w:p>
    <w:p w:rsidR="00ED61AC" w:rsidRDefault="00ED61AC" w:rsidP="00E22298">
      <w:pPr>
        <w:numPr>
          <w:ilvl w:val="7"/>
          <w:numId w:val="4"/>
        </w:numPr>
        <w:tabs>
          <w:tab w:val="num" w:pos="1440"/>
        </w:tabs>
        <w:autoSpaceDE w:val="0"/>
        <w:autoSpaceDN w:val="0"/>
        <w:adjustRightInd w:val="0"/>
        <w:ind w:left="1440"/>
        <w:jc w:val="both"/>
        <w:rPr>
          <w:color w:val="000000"/>
          <w:lang w:val="id-ID" w:eastAsia="id-ID"/>
        </w:rPr>
      </w:pPr>
      <w:r>
        <w:rPr>
          <w:color w:val="000000"/>
          <w:lang w:val="id-ID" w:eastAsia="id-ID"/>
        </w:rPr>
        <w:t xml:space="preserve">Memutus untuk memerintahkan yang bersangkutan menjalani pengobatan dan/atau perawatan melalui rehabilitasi jika pecandu narkotika tersebut terbukti bersalah melakukan tindak pidana Narkotika; </w:t>
      </w:r>
    </w:p>
    <w:p w:rsidR="00ED61AC" w:rsidRDefault="00ED61AC" w:rsidP="00E22298">
      <w:pPr>
        <w:numPr>
          <w:ilvl w:val="7"/>
          <w:numId w:val="4"/>
        </w:numPr>
        <w:tabs>
          <w:tab w:val="num" w:pos="1440"/>
        </w:tabs>
        <w:autoSpaceDE w:val="0"/>
        <w:autoSpaceDN w:val="0"/>
        <w:adjustRightInd w:val="0"/>
        <w:ind w:left="1440"/>
        <w:jc w:val="both"/>
        <w:rPr>
          <w:color w:val="000000"/>
          <w:lang w:val="id-ID" w:eastAsia="id-ID"/>
        </w:rPr>
      </w:pPr>
      <w:r>
        <w:rPr>
          <w:color w:val="000000"/>
          <w:lang w:val="id-ID" w:eastAsia="id-ID"/>
        </w:rPr>
        <w:t>Menetapkan untuk memerintahkan yang bersangkutan menjalani pengobatan dan/atau perawatan melalui rehabilitasi jika pecandu narkotika tersebut tidak terbukti bersalah melakukan tindak pidana narkotika.</w:t>
      </w:r>
    </w:p>
    <w:p w:rsidR="00ED61AC" w:rsidRDefault="00ED61AC" w:rsidP="00E22298">
      <w:pPr>
        <w:numPr>
          <w:ilvl w:val="0"/>
          <w:numId w:val="4"/>
        </w:numPr>
        <w:autoSpaceDE w:val="0"/>
        <w:autoSpaceDN w:val="0"/>
        <w:adjustRightInd w:val="0"/>
        <w:ind w:left="1134" w:hanging="425"/>
        <w:jc w:val="both"/>
        <w:rPr>
          <w:color w:val="000000"/>
          <w:lang w:val="id-ID" w:eastAsia="id-ID"/>
        </w:rPr>
      </w:pPr>
      <w:r>
        <w:rPr>
          <w:color w:val="000000"/>
          <w:lang w:val="id-ID" w:eastAsia="id-ID"/>
        </w:rPr>
        <w:t>Masa menjalani pengobatan dan/atau perawatan bagi pecandu narkotika sebagaimana dimaksud pada ayat (1) huruf a diperhitungkan sebagai masa menjalani hukuman.</w:t>
      </w:r>
      <w:r>
        <w:rPr>
          <w:rStyle w:val="FootnoteReference"/>
          <w:color w:val="000000"/>
          <w:lang w:val="id-ID" w:eastAsia="id-ID"/>
        </w:rPr>
        <w:footnoteReference w:id="29"/>
      </w:r>
    </w:p>
    <w:p w:rsidR="00ED61AC" w:rsidRDefault="00ED61AC" w:rsidP="00ED61AC">
      <w:pPr>
        <w:autoSpaceDE w:val="0"/>
        <w:autoSpaceDN w:val="0"/>
        <w:adjustRightInd w:val="0"/>
        <w:rPr>
          <w:color w:val="000000"/>
          <w:lang w:val="id-ID" w:eastAsia="id-ID"/>
        </w:rPr>
      </w:pP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 xml:space="preserve">Hal tersebut di atas telah mencerminkan bentuk pemidanaan terhadap pelaku sebagai pecandu narkotika.  Bentuk tindakan hukum yang dikenakan terhadap korban penyalahgunaan narkotika dalam pemidanaan dikenai tindakan berupa rehabilitasi yang merupakan salah satu upaya pemerintah dalam menanggulangi penyalahgunaan narkotika. Penetapan rehabilitasi bagi korban penyalahgunaan narkotika merupakan pidana alternatif yang dijatuhkan oleh hakim dan diperhitungkan sebagai masa menjalani hukuman. Tindakan hukum </w:t>
      </w:r>
      <w:r>
        <w:rPr>
          <w:color w:val="000000"/>
          <w:lang w:val="id-ID" w:eastAsia="id-ID"/>
        </w:rPr>
        <w:lastRenderedPageBreak/>
        <w:t>yang berupa rehabilitasi ialah suatu proses pemulihan klien gangguan penggunaan narkoba baik dalam jangka waktu tertentu yang bertujuan mengubah prilaku untuk mengubah fungsi individu dimasyarakat sebagaimana sebelum mereka mengkonsumsi narkotika.</w:t>
      </w:r>
      <w:r>
        <w:rPr>
          <w:rStyle w:val="FootnoteReference"/>
          <w:color w:val="000000"/>
          <w:lang w:val="id-ID" w:eastAsia="id-ID"/>
        </w:rPr>
        <w:footnoteReference w:id="30"/>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Prosedur tindakan diatur dalam Surat Edaran Mahkamah Agung No. 04 Tahun 2010 Tentang Penempatan Penyalahgunaan, Korban Penyalahgunaan dan Pecandu Narkotika ke Dalam Lembaga Rehabilitasi Medis dan Rehabilitasi Sosial yang ditujukan kepada Ketua Pengadilan Tinggi dan Pengadilan Negeri diseluruh Indonesia mengenai penerapan pemidanaan sebagaimana yang dimaksud dalam Pasal 103 huruf a dan b Undang-Undang No. 35 Tahun 2009 Tentang Narkotika hanya dapat dijatuhkan pada klasifikasi tindak pidana sebagai berikut :</w:t>
      </w:r>
    </w:p>
    <w:p w:rsidR="00ED61AC" w:rsidRDefault="00ED61AC" w:rsidP="00E22298">
      <w:pPr>
        <w:numPr>
          <w:ilvl w:val="3"/>
          <w:numId w:val="4"/>
        </w:numPr>
        <w:tabs>
          <w:tab w:val="num" w:pos="1080"/>
        </w:tabs>
        <w:autoSpaceDE w:val="0"/>
        <w:autoSpaceDN w:val="0"/>
        <w:adjustRightInd w:val="0"/>
        <w:ind w:left="1080"/>
        <w:jc w:val="both"/>
        <w:rPr>
          <w:color w:val="000000"/>
          <w:lang w:val="id-ID" w:eastAsia="id-ID"/>
        </w:rPr>
      </w:pPr>
      <w:r>
        <w:rPr>
          <w:color w:val="000000"/>
          <w:lang w:val="id-ID" w:eastAsia="id-ID"/>
        </w:rPr>
        <w:t>Terdakwa pada saat ditangkap oleh penyidik Polri dan BNN dalam kondisi tertangkap tangan.</w:t>
      </w:r>
    </w:p>
    <w:p w:rsidR="00ED61AC" w:rsidRDefault="00ED61AC" w:rsidP="00E22298">
      <w:pPr>
        <w:numPr>
          <w:ilvl w:val="3"/>
          <w:numId w:val="4"/>
        </w:numPr>
        <w:tabs>
          <w:tab w:val="num" w:pos="1080"/>
        </w:tabs>
        <w:autoSpaceDE w:val="0"/>
        <w:autoSpaceDN w:val="0"/>
        <w:adjustRightInd w:val="0"/>
        <w:ind w:left="1080"/>
        <w:jc w:val="both"/>
        <w:rPr>
          <w:color w:val="000000"/>
          <w:lang w:val="id-ID" w:eastAsia="id-ID"/>
        </w:rPr>
      </w:pPr>
      <w:r>
        <w:rPr>
          <w:color w:val="000000"/>
          <w:lang w:val="id-ID" w:eastAsia="id-ID"/>
        </w:rPr>
        <w:t>Pada saat tertangkap tangan sesuai butir a di atas ditemukan barang bukti pemakaian 1 (satu) hari dengan perincian antara lain sebagai berikut :</w:t>
      </w:r>
    </w:p>
    <w:p w:rsidR="00ED61AC" w:rsidRDefault="00ED61AC" w:rsidP="00E22298">
      <w:pPr>
        <w:numPr>
          <w:ilvl w:val="4"/>
          <w:numId w:val="4"/>
        </w:numPr>
        <w:tabs>
          <w:tab w:val="num" w:pos="1440"/>
        </w:tabs>
        <w:autoSpaceDE w:val="0"/>
        <w:autoSpaceDN w:val="0"/>
        <w:adjustRightInd w:val="0"/>
        <w:ind w:left="1440"/>
        <w:jc w:val="both"/>
        <w:rPr>
          <w:color w:val="000000"/>
          <w:lang w:val="id-ID" w:eastAsia="id-ID"/>
        </w:rPr>
      </w:pPr>
      <w:r>
        <w:rPr>
          <w:color w:val="000000"/>
          <w:lang w:val="id-ID" w:eastAsia="id-ID"/>
        </w:rPr>
        <w:t>Kelompok metamphetamine (shabu) 1 gram.</w:t>
      </w:r>
    </w:p>
    <w:p w:rsidR="00ED61AC" w:rsidRDefault="00ED61AC" w:rsidP="00E22298">
      <w:pPr>
        <w:numPr>
          <w:ilvl w:val="4"/>
          <w:numId w:val="4"/>
        </w:numPr>
        <w:tabs>
          <w:tab w:val="num" w:pos="1440"/>
        </w:tabs>
        <w:autoSpaceDE w:val="0"/>
        <w:autoSpaceDN w:val="0"/>
        <w:adjustRightInd w:val="0"/>
        <w:ind w:left="1440"/>
        <w:jc w:val="both"/>
        <w:rPr>
          <w:color w:val="000000"/>
          <w:lang w:val="id-ID" w:eastAsia="id-ID"/>
        </w:rPr>
      </w:pPr>
      <w:r>
        <w:rPr>
          <w:color w:val="000000"/>
          <w:lang w:val="id-ID" w:eastAsia="id-ID"/>
        </w:rPr>
        <w:t>Kelompok MDMA (ekstasi) 2.4 gram.</w:t>
      </w:r>
    </w:p>
    <w:p w:rsidR="00ED61AC" w:rsidRDefault="00ED61AC" w:rsidP="00E22298">
      <w:pPr>
        <w:numPr>
          <w:ilvl w:val="4"/>
          <w:numId w:val="4"/>
        </w:numPr>
        <w:tabs>
          <w:tab w:val="num" w:pos="1440"/>
        </w:tabs>
        <w:autoSpaceDE w:val="0"/>
        <w:autoSpaceDN w:val="0"/>
        <w:adjustRightInd w:val="0"/>
        <w:ind w:left="1440"/>
        <w:jc w:val="both"/>
        <w:rPr>
          <w:color w:val="000000"/>
          <w:lang w:val="id-ID" w:eastAsia="id-ID"/>
        </w:rPr>
      </w:pPr>
      <w:r>
        <w:rPr>
          <w:color w:val="000000"/>
          <w:lang w:val="id-ID" w:eastAsia="id-ID"/>
        </w:rPr>
        <w:t>Kelompok Heroin 1.8 gram.</w:t>
      </w:r>
    </w:p>
    <w:p w:rsidR="00ED61AC" w:rsidRDefault="00ED61AC" w:rsidP="00E22298">
      <w:pPr>
        <w:numPr>
          <w:ilvl w:val="4"/>
          <w:numId w:val="4"/>
        </w:numPr>
        <w:tabs>
          <w:tab w:val="num" w:pos="1440"/>
        </w:tabs>
        <w:autoSpaceDE w:val="0"/>
        <w:autoSpaceDN w:val="0"/>
        <w:adjustRightInd w:val="0"/>
        <w:ind w:left="1440"/>
        <w:jc w:val="both"/>
        <w:rPr>
          <w:color w:val="000000"/>
          <w:lang w:val="id-ID" w:eastAsia="id-ID"/>
        </w:rPr>
      </w:pPr>
      <w:r>
        <w:rPr>
          <w:color w:val="000000"/>
          <w:lang w:val="id-ID" w:eastAsia="id-ID"/>
        </w:rPr>
        <w:t>Kelompok Kokain 1.8 gram.</w:t>
      </w:r>
    </w:p>
    <w:p w:rsidR="00ED61AC" w:rsidRDefault="00ED61AC" w:rsidP="00E22298">
      <w:pPr>
        <w:numPr>
          <w:ilvl w:val="4"/>
          <w:numId w:val="4"/>
        </w:numPr>
        <w:tabs>
          <w:tab w:val="num" w:pos="1440"/>
        </w:tabs>
        <w:autoSpaceDE w:val="0"/>
        <w:autoSpaceDN w:val="0"/>
        <w:adjustRightInd w:val="0"/>
        <w:ind w:left="1440"/>
        <w:jc w:val="both"/>
        <w:rPr>
          <w:color w:val="000000"/>
          <w:lang w:val="id-ID" w:eastAsia="id-ID"/>
        </w:rPr>
      </w:pPr>
      <w:r>
        <w:rPr>
          <w:color w:val="000000"/>
          <w:lang w:val="id-ID" w:eastAsia="id-ID"/>
        </w:rPr>
        <w:t>Kelompok Ganja 5 gram.</w:t>
      </w:r>
    </w:p>
    <w:p w:rsidR="00ED61AC" w:rsidRDefault="00ED61AC" w:rsidP="00E22298">
      <w:pPr>
        <w:numPr>
          <w:ilvl w:val="4"/>
          <w:numId w:val="4"/>
        </w:numPr>
        <w:tabs>
          <w:tab w:val="num" w:pos="1440"/>
        </w:tabs>
        <w:autoSpaceDE w:val="0"/>
        <w:autoSpaceDN w:val="0"/>
        <w:adjustRightInd w:val="0"/>
        <w:ind w:left="1440"/>
        <w:jc w:val="both"/>
        <w:rPr>
          <w:color w:val="000000"/>
          <w:lang w:val="id-ID" w:eastAsia="id-ID"/>
        </w:rPr>
      </w:pPr>
      <w:r>
        <w:rPr>
          <w:color w:val="000000"/>
          <w:lang w:val="id-ID" w:eastAsia="id-ID"/>
        </w:rPr>
        <w:t>Daun Koka 5 gram.</w:t>
      </w:r>
    </w:p>
    <w:p w:rsidR="00ED61AC" w:rsidRDefault="00ED61AC" w:rsidP="00E22298">
      <w:pPr>
        <w:numPr>
          <w:ilvl w:val="4"/>
          <w:numId w:val="4"/>
        </w:numPr>
        <w:tabs>
          <w:tab w:val="num" w:pos="1440"/>
        </w:tabs>
        <w:autoSpaceDE w:val="0"/>
        <w:autoSpaceDN w:val="0"/>
        <w:adjustRightInd w:val="0"/>
        <w:ind w:left="1440"/>
        <w:jc w:val="both"/>
        <w:rPr>
          <w:color w:val="000000"/>
          <w:lang w:val="id-ID" w:eastAsia="id-ID"/>
        </w:rPr>
      </w:pPr>
      <w:r>
        <w:rPr>
          <w:color w:val="000000"/>
          <w:lang w:val="id-ID" w:eastAsia="id-ID"/>
        </w:rPr>
        <w:t>Meskalin 5 gram.</w:t>
      </w:r>
    </w:p>
    <w:p w:rsidR="00ED61AC" w:rsidRDefault="00ED61AC" w:rsidP="00E22298">
      <w:pPr>
        <w:numPr>
          <w:ilvl w:val="4"/>
          <w:numId w:val="4"/>
        </w:numPr>
        <w:tabs>
          <w:tab w:val="num" w:pos="1440"/>
        </w:tabs>
        <w:autoSpaceDE w:val="0"/>
        <w:autoSpaceDN w:val="0"/>
        <w:adjustRightInd w:val="0"/>
        <w:ind w:left="1440"/>
        <w:jc w:val="both"/>
        <w:rPr>
          <w:color w:val="000000"/>
          <w:lang w:val="id-ID" w:eastAsia="id-ID"/>
        </w:rPr>
      </w:pPr>
      <w:r>
        <w:rPr>
          <w:color w:val="000000"/>
          <w:lang w:val="id-ID" w:eastAsia="id-ID"/>
        </w:rPr>
        <w:t xml:space="preserve">Kelompok Fentamil 1 gram. </w:t>
      </w:r>
    </w:p>
    <w:p w:rsidR="00ED61AC" w:rsidRDefault="00ED61AC" w:rsidP="00E22298">
      <w:pPr>
        <w:numPr>
          <w:ilvl w:val="4"/>
          <w:numId w:val="4"/>
        </w:numPr>
        <w:tabs>
          <w:tab w:val="num" w:pos="1440"/>
        </w:tabs>
        <w:autoSpaceDE w:val="0"/>
        <w:autoSpaceDN w:val="0"/>
        <w:adjustRightInd w:val="0"/>
        <w:ind w:left="1440"/>
        <w:jc w:val="both"/>
        <w:rPr>
          <w:color w:val="000000"/>
          <w:lang w:val="id-ID" w:eastAsia="id-ID"/>
        </w:rPr>
      </w:pPr>
      <w:r>
        <w:rPr>
          <w:color w:val="000000"/>
          <w:lang w:val="id-ID" w:eastAsia="id-ID"/>
        </w:rPr>
        <w:t>Kelompok Metadon 0.5 gram.</w:t>
      </w:r>
    </w:p>
    <w:p w:rsidR="00ED61AC" w:rsidRDefault="00ED61AC" w:rsidP="00E22298">
      <w:pPr>
        <w:numPr>
          <w:ilvl w:val="4"/>
          <w:numId w:val="4"/>
        </w:numPr>
        <w:tabs>
          <w:tab w:val="num" w:pos="1440"/>
        </w:tabs>
        <w:autoSpaceDE w:val="0"/>
        <w:autoSpaceDN w:val="0"/>
        <w:adjustRightInd w:val="0"/>
        <w:ind w:left="1440"/>
        <w:jc w:val="both"/>
        <w:rPr>
          <w:color w:val="000000"/>
          <w:lang w:val="id-ID" w:eastAsia="id-ID"/>
        </w:rPr>
      </w:pPr>
      <w:r>
        <w:rPr>
          <w:color w:val="000000"/>
          <w:lang w:val="id-ID" w:eastAsia="id-ID"/>
        </w:rPr>
        <w:t>Kelompok morfin 1.8 gram.</w:t>
      </w:r>
    </w:p>
    <w:p w:rsidR="00ED61AC" w:rsidRDefault="00ED61AC" w:rsidP="00E22298">
      <w:pPr>
        <w:numPr>
          <w:ilvl w:val="4"/>
          <w:numId w:val="4"/>
        </w:numPr>
        <w:tabs>
          <w:tab w:val="num" w:pos="1440"/>
        </w:tabs>
        <w:autoSpaceDE w:val="0"/>
        <w:autoSpaceDN w:val="0"/>
        <w:adjustRightInd w:val="0"/>
        <w:ind w:left="1440"/>
        <w:jc w:val="both"/>
        <w:rPr>
          <w:color w:val="000000"/>
          <w:lang w:val="id-ID" w:eastAsia="id-ID"/>
        </w:rPr>
      </w:pPr>
      <w:r>
        <w:rPr>
          <w:color w:val="000000"/>
          <w:lang w:val="id-ID" w:eastAsia="id-ID"/>
        </w:rPr>
        <w:t>Kelompok Petidin 0.96 gram.</w:t>
      </w:r>
    </w:p>
    <w:p w:rsidR="00ED61AC" w:rsidRDefault="00ED61AC" w:rsidP="00E22298">
      <w:pPr>
        <w:numPr>
          <w:ilvl w:val="4"/>
          <w:numId w:val="4"/>
        </w:numPr>
        <w:tabs>
          <w:tab w:val="num" w:pos="1440"/>
        </w:tabs>
        <w:autoSpaceDE w:val="0"/>
        <w:autoSpaceDN w:val="0"/>
        <w:adjustRightInd w:val="0"/>
        <w:ind w:left="1440"/>
        <w:jc w:val="both"/>
        <w:rPr>
          <w:color w:val="000000"/>
          <w:lang w:val="id-ID" w:eastAsia="id-ID"/>
        </w:rPr>
      </w:pPr>
      <w:r>
        <w:rPr>
          <w:color w:val="000000"/>
          <w:lang w:val="id-ID" w:eastAsia="id-ID"/>
        </w:rPr>
        <w:t>Kelompok Kodein 72 gram.</w:t>
      </w:r>
    </w:p>
    <w:p w:rsidR="00ED61AC" w:rsidRDefault="00ED61AC" w:rsidP="00E22298">
      <w:pPr>
        <w:numPr>
          <w:ilvl w:val="4"/>
          <w:numId w:val="4"/>
        </w:numPr>
        <w:tabs>
          <w:tab w:val="num" w:pos="1440"/>
        </w:tabs>
        <w:autoSpaceDE w:val="0"/>
        <w:autoSpaceDN w:val="0"/>
        <w:adjustRightInd w:val="0"/>
        <w:ind w:left="1440"/>
        <w:jc w:val="both"/>
        <w:rPr>
          <w:color w:val="000000"/>
          <w:lang w:val="id-ID" w:eastAsia="id-ID"/>
        </w:rPr>
      </w:pPr>
      <w:r>
        <w:rPr>
          <w:color w:val="000000"/>
          <w:lang w:val="id-ID" w:eastAsia="id-ID"/>
        </w:rPr>
        <w:t>Kelompok Bufrenorfin 32 mg.</w:t>
      </w:r>
    </w:p>
    <w:p w:rsidR="00ED61AC" w:rsidRDefault="00ED61AC" w:rsidP="00E22298">
      <w:pPr>
        <w:numPr>
          <w:ilvl w:val="3"/>
          <w:numId w:val="4"/>
        </w:numPr>
        <w:tabs>
          <w:tab w:val="num" w:pos="1080"/>
        </w:tabs>
        <w:autoSpaceDE w:val="0"/>
        <w:autoSpaceDN w:val="0"/>
        <w:adjustRightInd w:val="0"/>
        <w:ind w:left="1080"/>
        <w:jc w:val="both"/>
        <w:rPr>
          <w:color w:val="000000"/>
          <w:lang w:val="id-ID" w:eastAsia="id-ID"/>
        </w:rPr>
      </w:pPr>
      <w:r>
        <w:rPr>
          <w:color w:val="000000"/>
          <w:lang w:val="id-ID" w:eastAsia="id-ID"/>
        </w:rPr>
        <w:t>Surat uji Laboratorium positif menggunakan narkotika berdasarkan permintaan penyidik.</w:t>
      </w:r>
    </w:p>
    <w:p w:rsidR="00ED61AC" w:rsidRDefault="00ED61AC" w:rsidP="00E22298">
      <w:pPr>
        <w:numPr>
          <w:ilvl w:val="3"/>
          <w:numId w:val="4"/>
        </w:numPr>
        <w:tabs>
          <w:tab w:val="num" w:pos="1080"/>
        </w:tabs>
        <w:autoSpaceDE w:val="0"/>
        <w:autoSpaceDN w:val="0"/>
        <w:adjustRightInd w:val="0"/>
        <w:ind w:left="1080"/>
        <w:jc w:val="both"/>
        <w:rPr>
          <w:color w:val="000000"/>
          <w:lang w:val="id-ID" w:eastAsia="id-ID"/>
        </w:rPr>
      </w:pPr>
      <w:r>
        <w:rPr>
          <w:color w:val="000000"/>
          <w:lang w:val="id-ID" w:eastAsia="id-ID"/>
        </w:rPr>
        <w:t>Perlu surat keterangan dari dokter jiwa psikiater pemerintah yang ditunjuk oleh Hakim.</w:t>
      </w:r>
    </w:p>
    <w:p w:rsidR="00ED61AC" w:rsidRDefault="00ED61AC" w:rsidP="00E22298">
      <w:pPr>
        <w:numPr>
          <w:ilvl w:val="3"/>
          <w:numId w:val="4"/>
        </w:numPr>
        <w:tabs>
          <w:tab w:val="num" w:pos="1080"/>
        </w:tabs>
        <w:autoSpaceDE w:val="0"/>
        <w:autoSpaceDN w:val="0"/>
        <w:adjustRightInd w:val="0"/>
        <w:ind w:left="1080"/>
        <w:jc w:val="both"/>
        <w:rPr>
          <w:color w:val="000000"/>
          <w:lang w:val="id-ID" w:eastAsia="id-ID"/>
        </w:rPr>
      </w:pPr>
      <w:r>
        <w:rPr>
          <w:color w:val="000000"/>
          <w:lang w:val="id-ID" w:eastAsia="id-ID"/>
        </w:rPr>
        <w:lastRenderedPageBreak/>
        <w:t>Tidak terdapat bukti bahwa yang bersangkutan terlibat dalam peredaran gelap narkotika.</w:t>
      </w:r>
    </w:p>
    <w:p w:rsidR="00ED61AC" w:rsidRDefault="00ED61AC" w:rsidP="00ED61AC">
      <w:pPr>
        <w:autoSpaceDE w:val="0"/>
        <w:autoSpaceDN w:val="0"/>
        <w:adjustRightInd w:val="0"/>
        <w:ind w:left="1080"/>
        <w:jc w:val="both"/>
        <w:rPr>
          <w:color w:val="000000"/>
          <w:lang w:val="id-ID" w:eastAsia="id-ID"/>
        </w:rPr>
      </w:pPr>
    </w:p>
    <w:p w:rsidR="00ED61AC" w:rsidRDefault="00ED61AC" w:rsidP="00ED61AC">
      <w:pPr>
        <w:autoSpaceDE w:val="0"/>
        <w:autoSpaceDN w:val="0"/>
        <w:adjustRightInd w:val="0"/>
        <w:spacing w:line="504" w:lineRule="auto"/>
        <w:ind w:firstLine="720"/>
        <w:jc w:val="both"/>
        <w:rPr>
          <w:color w:val="000000"/>
          <w:lang w:val="id-ID" w:eastAsia="id-ID"/>
        </w:rPr>
      </w:pPr>
      <w:r>
        <w:rPr>
          <w:color w:val="000000"/>
          <w:lang w:val="id-ID" w:eastAsia="id-ID"/>
        </w:rPr>
        <w:t>Hakim dalam hal menjatuhkan lamanya proses rehabilitasi harus dengan sungguh-sungguh mempertimbangkan kondisi taraf kecanduan terdakwa, sehingga wajib diperlukan adanya keterangan ahli dan sebagai standar dalam proses terapi dan rehabilitasi adalah sebagai berikut :</w:t>
      </w:r>
    </w:p>
    <w:p w:rsidR="00ED61AC" w:rsidRDefault="00ED61AC" w:rsidP="00E22298">
      <w:pPr>
        <w:numPr>
          <w:ilvl w:val="6"/>
          <w:numId w:val="4"/>
        </w:numPr>
        <w:tabs>
          <w:tab w:val="num" w:pos="360"/>
        </w:tabs>
        <w:autoSpaceDE w:val="0"/>
        <w:autoSpaceDN w:val="0"/>
        <w:adjustRightInd w:val="0"/>
        <w:spacing w:line="504" w:lineRule="auto"/>
        <w:ind w:left="360"/>
        <w:jc w:val="both"/>
        <w:rPr>
          <w:color w:val="000000"/>
          <w:lang w:val="id-ID" w:eastAsia="id-ID"/>
        </w:rPr>
      </w:pPr>
      <w:r>
        <w:rPr>
          <w:color w:val="000000"/>
          <w:lang w:val="id-ID" w:eastAsia="id-ID"/>
        </w:rPr>
        <w:t>Program Detoksifikasi dan Stabilisasi : lamanya 1 (satu) bulan.</w:t>
      </w:r>
    </w:p>
    <w:p w:rsidR="00ED61AC" w:rsidRDefault="00ED61AC" w:rsidP="00E22298">
      <w:pPr>
        <w:numPr>
          <w:ilvl w:val="6"/>
          <w:numId w:val="4"/>
        </w:numPr>
        <w:tabs>
          <w:tab w:val="num" w:pos="360"/>
        </w:tabs>
        <w:autoSpaceDE w:val="0"/>
        <w:autoSpaceDN w:val="0"/>
        <w:adjustRightInd w:val="0"/>
        <w:spacing w:line="504" w:lineRule="auto"/>
        <w:ind w:left="360"/>
        <w:jc w:val="both"/>
        <w:rPr>
          <w:color w:val="000000"/>
          <w:lang w:val="id-ID" w:eastAsia="id-ID"/>
        </w:rPr>
      </w:pPr>
      <w:r>
        <w:rPr>
          <w:color w:val="000000"/>
          <w:lang w:val="id-ID" w:eastAsia="id-ID"/>
        </w:rPr>
        <w:t>Program Primer : lamanya 6 (enam) bulan.</w:t>
      </w:r>
    </w:p>
    <w:p w:rsidR="00ED61AC" w:rsidRDefault="00ED61AC" w:rsidP="00E22298">
      <w:pPr>
        <w:numPr>
          <w:ilvl w:val="6"/>
          <w:numId w:val="4"/>
        </w:numPr>
        <w:tabs>
          <w:tab w:val="num" w:pos="360"/>
        </w:tabs>
        <w:autoSpaceDE w:val="0"/>
        <w:autoSpaceDN w:val="0"/>
        <w:adjustRightInd w:val="0"/>
        <w:spacing w:line="504" w:lineRule="auto"/>
        <w:ind w:left="360"/>
        <w:jc w:val="both"/>
        <w:rPr>
          <w:color w:val="000000"/>
          <w:lang w:val="id-ID" w:eastAsia="id-ID"/>
        </w:rPr>
      </w:pPr>
      <w:r>
        <w:rPr>
          <w:color w:val="000000"/>
          <w:lang w:val="id-ID" w:eastAsia="id-ID"/>
        </w:rPr>
        <w:t>Program Re-</w:t>
      </w:r>
      <w:r>
        <w:rPr>
          <w:color w:val="000000"/>
          <w:lang w:eastAsia="id-ID"/>
        </w:rPr>
        <w:t>e</w:t>
      </w:r>
      <w:r>
        <w:rPr>
          <w:color w:val="000000"/>
          <w:lang w:val="id-ID" w:eastAsia="id-ID"/>
        </w:rPr>
        <w:t>ntry.</w:t>
      </w:r>
      <w:r>
        <w:rPr>
          <w:rStyle w:val="FootnoteReference"/>
          <w:color w:val="000000"/>
          <w:lang w:val="id-ID" w:eastAsia="id-ID"/>
        </w:rPr>
        <w:footnoteReference w:id="31"/>
      </w:r>
    </w:p>
    <w:p w:rsidR="00ED61AC" w:rsidRDefault="00ED61AC" w:rsidP="00ED61AC">
      <w:pPr>
        <w:autoSpaceDE w:val="0"/>
        <w:autoSpaceDN w:val="0"/>
        <w:adjustRightInd w:val="0"/>
        <w:spacing w:line="504" w:lineRule="auto"/>
        <w:ind w:firstLine="720"/>
        <w:jc w:val="both"/>
        <w:rPr>
          <w:color w:val="000000"/>
        </w:rPr>
      </w:pPr>
      <w:r>
        <w:rPr>
          <w:color w:val="000000"/>
        </w:rPr>
        <w:t>Penerapan tindakan rehabilitasi bagi pecandu narkotika mencerminkan pendekatan humanisti</w:t>
      </w:r>
      <w:r>
        <w:rPr>
          <w:color w:val="000000"/>
          <w:lang w:val="id-ID"/>
        </w:rPr>
        <w:t>k</w:t>
      </w:r>
      <w:r>
        <w:rPr>
          <w:color w:val="000000"/>
        </w:rPr>
        <w:t xml:space="preserve"> dalam penegakan hukum terhadap penyalahguna narkotika. </w:t>
      </w:r>
      <w:r>
        <w:rPr>
          <w:color w:val="000000"/>
          <w:lang w:val="id-ID" w:eastAsia="id-ID"/>
        </w:rPr>
        <w:t xml:space="preserve">Undang-Undang Nomor 35 Tahun 2009 Tentang Narkotika </w:t>
      </w:r>
      <w:r>
        <w:rPr>
          <w:color w:val="000000"/>
        </w:rPr>
        <w:t>menghendaki Hakim untuk dengan seksama mempertimbangkan keadaan dan kepentingan pelaku. Sanksi hukum tidak serta merta dijadikan sebagai alat pembalasan tapi juga harus mampu mengembalikan pelaku ke dalam masyarakat, dengan kata kata lain undang-undang ini juga berorientasi pada perlindungan kepentingan pelaku.</w:t>
      </w:r>
    </w:p>
    <w:p w:rsidR="00ED61AC" w:rsidRDefault="00ED61AC" w:rsidP="00ED61AC">
      <w:pPr>
        <w:autoSpaceDE w:val="0"/>
        <w:autoSpaceDN w:val="0"/>
        <w:adjustRightInd w:val="0"/>
        <w:spacing w:line="456" w:lineRule="auto"/>
        <w:ind w:firstLine="720"/>
        <w:jc w:val="both"/>
        <w:rPr>
          <w:color w:val="000000"/>
          <w:lang w:val="id-ID"/>
        </w:rPr>
      </w:pPr>
      <w:r>
        <w:rPr>
          <w:color w:val="000000"/>
        </w:rPr>
        <w:t>Ketentuan tentang rehabilitasi tersebut juga mencerminkan prinsip individualisasi pidana. Prinsip individualisasi pidana menurut Sudarto adalah dalam memberikan sanksi pidana selalu memperhatikan sifat-sifat dan keadaan-keadaan si pembuat.</w:t>
      </w:r>
      <w:r>
        <w:rPr>
          <w:rStyle w:val="FootnoteReference"/>
          <w:color w:val="000000"/>
        </w:rPr>
        <w:footnoteReference w:id="32"/>
      </w:r>
      <w:r>
        <w:rPr>
          <w:color w:val="000000"/>
        </w:rPr>
        <w:t xml:space="preserve"> Prinsip ini bertolak dari kepentingan individu pelaku tindak pidana dalam sistem hukum pidana. Prinsip ini juga merupakan salah satu ciri dari </w:t>
      </w:r>
      <w:r>
        <w:rPr>
          <w:color w:val="000000"/>
        </w:rPr>
        <w:lastRenderedPageBreak/>
        <w:t>aliran hukum modern yang berorientasi tidak hanya pada perbuatan tapi juga pada manusia/pelaku. Pendekatan ini juga disebut sebagai pendekatan mono-dualistik, dalam arti memperhatikan keseimbangan dan kepentingan antara kepentingan masyarakat dan individu</w:t>
      </w:r>
      <w:r>
        <w:rPr>
          <w:color w:val="000000"/>
          <w:lang w:val="id-ID"/>
        </w:rPr>
        <w:t>.</w:t>
      </w:r>
      <w:r>
        <w:rPr>
          <w:rStyle w:val="FootnoteReference"/>
          <w:color w:val="000000"/>
          <w:lang w:val="id-ID"/>
        </w:rPr>
        <w:footnoteReference w:id="33"/>
      </w:r>
    </w:p>
    <w:p w:rsidR="00ED61AC" w:rsidRDefault="00ED61AC" w:rsidP="00ED61AC">
      <w:pPr>
        <w:autoSpaceDE w:val="0"/>
        <w:autoSpaceDN w:val="0"/>
        <w:adjustRightInd w:val="0"/>
        <w:spacing w:line="456" w:lineRule="auto"/>
        <w:ind w:firstLine="720"/>
        <w:jc w:val="both"/>
        <w:rPr>
          <w:color w:val="000000"/>
          <w:lang w:val="id-ID" w:eastAsia="id-ID"/>
        </w:rPr>
      </w:pPr>
      <w:r>
        <w:rPr>
          <w:color w:val="000000"/>
        </w:rPr>
        <w:t>Menurut Barda Nawawi Arief</w:t>
      </w:r>
      <w:r>
        <w:rPr>
          <w:color w:val="000000"/>
          <w:lang w:val="id-ID"/>
        </w:rPr>
        <w:t xml:space="preserve"> bahwa p</w:t>
      </w:r>
      <w:r>
        <w:rPr>
          <w:color w:val="000000"/>
        </w:rPr>
        <w:t>idana harus disesuaikan dengan karakteristik dan kondisi si pelaku; ini berarti harus ada kelonggaran/fleksibilitas bagi hakim dalam memilih sanksi pidana (jenis maupun berat ringannya sanksi) dan harus ada kemungkinan modifikasi pidana (perubahan/penyesuain) dalam pelaksanaannya</w:t>
      </w:r>
      <w:r>
        <w:rPr>
          <w:color w:val="000000"/>
          <w:lang w:val="id-ID"/>
        </w:rPr>
        <w:t>.</w:t>
      </w:r>
      <w:r>
        <w:rPr>
          <w:rStyle w:val="FootnoteReference"/>
          <w:color w:val="000000"/>
          <w:lang w:val="id-ID"/>
        </w:rPr>
        <w:footnoteReference w:id="34"/>
      </w:r>
      <w:r>
        <w:rPr>
          <w:color w:val="000000"/>
        </w:rPr>
        <w:t>Merujuk pendapat dari Barda Nawai Arief, maka ketentuan dalam Pasal 54 dan 103 Undang-Und</w:t>
      </w:r>
      <w:r>
        <w:rPr>
          <w:color w:val="000000"/>
          <w:lang w:val="id-ID"/>
        </w:rPr>
        <w:t>a</w:t>
      </w:r>
      <w:r>
        <w:rPr>
          <w:color w:val="000000"/>
        </w:rPr>
        <w:t>ng Nomor 35 Tahun 2009 menghendaki pidana terhadap penyalahguna narkotika harus disesuaikan dengan karakteristik dan kondisi pelaku. Para penyalahguna narkotika harus melalui serangakain pemeriksaan untuk menentukan apakah yang bersangkutan sebagai pecandu atau korban penyalahguna narkotika. Dengan demikian nantinya pidana yang dterapkan sesuai dengan kebutuhan pelaku. Pendekatan dari sisi individu pelaku selaras dengan pendapat Sudarto yang mengemukakan :”kalau membicarakan pidana, maka harus membicarakan orang yang melakukan</w:t>
      </w:r>
      <w:r>
        <w:rPr>
          <w:color w:val="000000"/>
          <w:lang w:val="id-ID" w:eastAsia="id-ID"/>
        </w:rPr>
        <w:t>kejahatan. Orang ini adalah seperti kita semua, tidak berbeda sedikitpun, kecuali bahwaia telah melakukan perbuatan yang dilarang dan dinyatakan bersalah oleh hakim. Jadi pembaharuan hukum pidana tetap berkisar kepada manusia sehingga ia tidak boleh sekali-kali meninggalkan nilai-nilai kemanusiaan, ialah kasih sayang terhadap manusia.</w:t>
      </w:r>
      <w:r>
        <w:rPr>
          <w:rStyle w:val="FootnoteReference"/>
          <w:color w:val="000000"/>
          <w:lang w:val="id-ID" w:eastAsia="id-ID"/>
        </w:rPr>
        <w:footnoteReference w:id="35"/>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lastRenderedPageBreak/>
        <w:t xml:space="preserve">Pecandu narkotika baik secara fisik maupun psikhis membutuhkan pertolongan medis dan sosial. Terapi yang digunakan untuk mengentaskan mereka dari kecanduan tidak dapat dilakukan dengan cara pemberian sanksi pidana penjara saja. Penerapan pidana penjara bagi pecandu tidak mmapu menyembuhkan ketergantungannya dari narkotika. Apalah artinya jika pecandu narkotika dipenjara tanpa diikuti dengan tindakan pengobatan, tentunya ketika pecandu ini keluar dari penjara akan tetap menjadi seorang pecandu. </w:t>
      </w:r>
      <w:r>
        <w:rPr>
          <w:rStyle w:val="FootnoteReference"/>
          <w:color w:val="000000"/>
          <w:lang w:val="id-ID" w:eastAsia="id-ID"/>
        </w:rPr>
        <w:footnoteReference w:id="36"/>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Pecandu narkotika memerlukan bantuan medis untuk menyembuhkan ketergantungannya. Undang-undang Nomor 35 Tahun 2009 telah mengakomodir perlindungan terhadap para penyalahguna narkotika yang termasuk pecandu narkotika dan korban penyalahguna narkotika berupa dibukanya penerapan tindakan berupa rehabilitasi medis dan sosial, hal ini tentunya mengubah paradigma tujuan pemidanaan terhadap penyalahguna narkotika.</w:t>
      </w:r>
    </w:p>
    <w:p w:rsidR="00ED61AC" w:rsidRDefault="00ED61AC" w:rsidP="00E22298">
      <w:pPr>
        <w:numPr>
          <w:ilvl w:val="0"/>
          <w:numId w:val="13"/>
        </w:numPr>
        <w:autoSpaceDE w:val="0"/>
        <w:autoSpaceDN w:val="0"/>
        <w:adjustRightInd w:val="0"/>
        <w:spacing w:line="480" w:lineRule="auto"/>
        <w:ind w:left="360"/>
        <w:jc w:val="both"/>
        <w:rPr>
          <w:b/>
          <w:color w:val="000000"/>
          <w:lang w:val="sv-SE"/>
        </w:rPr>
      </w:pPr>
      <w:r>
        <w:rPr>
          <w:b/>
          <w:color w:val="000000"/>
          <w:lang w:val="sv-SE"/>
        </w:rPr>
        <w:t xml:space="preserve">Pertimbangan Hukum Hakim Dalam </w:t>
      </w:r>
      <w:r>
        <w:rPr>
          <w:b/>
          <w:color w:val="000000"/>
        </w:rPr>
        <w:t xml:space="preserve">Menjatuhkan Pidana Penjara Dan Rehabilitasi </w:t>
      </w:r>
      <w:r>
        <w:rPr>
          <w:b/>
          <w:color w:val="000000"/>
          <w:lang w:val="fi-FI"/>
        </w:rPr>
        <w:t>Pengguna Narkotika</w:t>
      </w:r>
      <w:r>
        <w:rPr>
          <w:b/>
          <w:color w:val="000000"/>
        </w:rPr>
        <w:t xml:space="preserve">Jenis Shabu Dalam </w:t>
      </w:r>
      <w:r>
        <w:rPr>
          <w:b/>
          <w:color w:val="000000"/>
          <w:spacing w:val="4"/>
        </w:rPr>
        <w:t xml:space="preserve">Putusan Pengadilan Negeri Sei Rampah Nomor </w:t>
      </w:r>
      <w:r>
        <w:rPr>
          <w:b/>
        </w:rPr>
        <w:t>9/Pid.Sus/2024/PN Srh</w:t>
      </w:r>
    </w:p>
    <w:p w:rsidR="00ED61AC" w:rsidRDefault="00ED61AC" w:rsidP="00E22298">
      <w:pPr>
        <w:numPr>
          <w:ilvl w:val="4"/>
          <w:numId w:val="14"/>
        </w:numPr>
        <w:tabs>
          <w:tab w:val="left" w:pos="426"/>
        </w:tabs>
        <w:spacing w:line="480" w:lineRule="auto"/>
        <w:ind w:left="786"/>
        <w:jc w:val="both"/>
        <w:rPr>
          <w:b/>
          <w:color w:val="000000"/>
        </w:rPr>
      </w:pPr>
      <w:r>
        <w:rPr>
          <w:b/>
          <w:color w:val="000000"/>
        </w:rPr>
        <w:t>Kronologi Kasus.</w:t>
      </w:r>
    </w:p>
    <w:p w:rsidR="00ED61AC" w:rsidRDefault="00ED61AC" w:rsidP="00ED61AC">
      <w:pPr>
        <w:spacing w:line="444" w:lineRule="auto"/>
        <w:ind w:firstLine="720"/>
        <w:jc w:val="both"/>
        <w:rPr>
          <w:bCs/>
          <w:i/>
          <w:iCs/>
        </w:rPr>
      </w:pPr>
      <w:r>
        <w:rPr>
          <w:color w:val="000000"/>
        </w:rPr>
        <w:t xml:space="preserve">Terdakwa dalam kasus ini adalah </w:t>
      </w:r>
      <w:r>
        <w:rPr>
          <w:bCs/>
        </w:rPr>
        <w:t xml:space="preserve">Tengku Harry Nur Arrafat Alias Ari </w:t>
      </w:r>
      <w:r>
        <w:t xml:space="preserve">pada hari Kamis tanggal 14 September 2023 sekira pukul 22.00 Wib atau setidak-tidaknya pada suatu waktu dalam bulan September 2023 bertempat di jalan umum perumahan graha sergei indah tepatnya Dusun II Desa Firdaus Kec. Sei Rampah Kab. Serdang Bedagai atau setidak-tidaknya pada suatu tempat lain yang masih termasuk dalam daerah hukum Pengadilan Negeri Sei Rampah yang berwenang </w:t>
      </w:r>
      <w:r>
        <w:lastRenderedPageBreak/>
        <w:t>memeriksa dan mengadilinya, telah “</w:t>
      </w:r>
      <w:r>
        <w:rPr>
          <w:bCs/>
        </w:rPr>
        <w:t>tanpa hak atau melawan hukum menyalahgunakan narkotika Golongan I bagi diri sendiri</w:t>
      </w:r>
      <w:r>
        <w:rPr>
          <w:bCs/>
          <w:i/>
          <w:iCs/>
        </w:rPr>
        <w:t>.</w:t>
      </w:r>
    </w:p>
    <w:p w:rsidR="00ED61AC" w:rsidRDefault="00ED61AC" w:rsidP="00ED61AC">
      <w:pPr>
        <w:spacing w:line="444" w:lineRule="auto"/>
        <w:ind w:firstLine="720"/>
        <w:jc w:val="both"/>
      </w:pPr>
      <w:r>
        <w:t xml:space="preserve">Perbuatan tersebut dilakukan terdakwa dengan cara bermula saksi Bripka Febrian Syahputra, saksi Briptu Riki Rizki P. Lubis, dan saksi Bripka Muhammad Fauzy S. Ramadhan (ketiganya personal petugas Polres Serdang Bedagai) memperoleh informasi dari masyarakat yang dapat dipercaya bahwa di Dusun II Desa Firdaus Kecamatan Sei Rampah Kabupaten Serdang Bedagai sering dijadikan lokasi tempat peredaran Narkotika jenis shabu, kemudian setelah mendapatkan informasi tersebut para saksi melakukan patroli diseputaran lokasi tersebut dan melihat ada 2 (dua) orang yang sedang mengendarai sepeda motor dengan mencurigakan. </w:t>
      </w:r>
    </w:p>
    <w:p w:rsidR="00ED61AC" w:rsidRDefault="00ED61AC" w:rsidP="00ED61AC">
      <w:pPr>
        <w:spacing w:line="504" w:lineRule="auto"/>
        <w:ind w:firstLine="720"/>
        <w:jc w:val="both"/>
      </w:pPr>
      <w:r>
        <w:t xml:space="preserve">Selanjutnya para saksi mencoba menghadang namun kedua orang tersebut mencoba melarikan diri dan saat itu para saksi langsung melakukan pengejaran hingga kedua orang tersebut terjatuh keparit dan 1 berhasil melarikan diri sedangkan 1 orang lagi berhasil diamankan. Kemudian dilakukan intrograsi terhadapnya mengaku bernama terdakwa </w:t>
      </w:r>
      <w:r>
        <w:rPr>
          <w:bCs/>
        </w:rPr>
        <w:t>Tengku Harry Nur Arrafat Alias Ari</w:t>
      </w:r>
      <w:r>
        <w:t xml:space="preserve"> dan dilakukan penggeledahan dan pencarian ditemukan diduga Narkotika jenis shabu didekat tempat terjatuh.</w:t>
      </w:r>
    </w:p>
    <w:p w:rsidR="00ED61AC" w:rsidRDefault="00ED61AC" w:rsidP="00ED61AC">
      <w:pPr>
        <w:spacing w:line="504" w:lineRule="auto"/>
        <w:ind w:firstLine="720"/>
        <w:jc w:val="both"/>
      </w:pPr>
      <w:r>
        <w:t xml:space="preserve">Selanjutnya dilakukan intrograsi terhadap </w:t>
      </w:r>
      <w:r>
        <w:rPr>
          <w:bCs/>
        </w:rPr>
        <w:t>Tengku Harry Nur Arrafat Alias Ari</w:t>
      </w:r>
      <w:r>
        <w:t xml:space="preserve"> mengakui bahwa Narkotika jenis shabu tersebut merupakan miliknya yang dibuang sebelum berhasil diamankan. Kemudian para saksi langsung mengamankan barang bukti beserta dengan </w:t>
      </w:r>
      <w:r>
        <w:rPr>
          <w:bCs/>
        </w:rPr>
        <w:t>Tengku Harry Nur Arrafat Alias Ari</w:t>
      </w:r>
      <w:r>
        <w:t xml:space="preserve"> untuk dibawa dan diproses lebih lanjut;</w:t>
      </w:r>
    </w:p>
    <w:p w:rsidR="00ED61AC" w:rsidRDefault="00ED61AC" w:rsidP="00ED61AC">
      <w:pPr>
        <w:spacing w:line="504" w:lineRule="auto"/>
        <w:ind w:firstLine="720"/>
        <w:jc w:val="both"/>
      </w:pPr>
      <w:r>
        <w:lastRenderedPageBreak/>
        <w:t xml:space="preserve">Terdakwa tidak memiliki izin dari pihak yang berwenang untuk menggunakan Narkotika Golongan I jenis shabu dan berdasarkan Rekomendasi Hasil Pelaksanaan Asesmen Terpadu Nomor : R/602/IX/KA/PB.00/2023/BNNK tanggal 20 September 2023 yang ditandatangani oleh Kepala BNNK Sedang Bedagai Ir. Pinondang Poltak Marganda, M.Si dengan kesimpulan Terdakwa </w:t>
      </w:r>
      <w:r>
        <w:rPr>
          <w:bCs/>
        </w:rPr>
        <w:t>Tengku Harry Nur Arrafat Alias Ari</w:t>
      </w:r>
      <w:r>
        <w:t xml:space="preserve"> untuk menjalani program rehabilitasi Rawat Inap dan berdasarkan Surat Keterangan Nomor : SKET/321/IX/2012/UPT T&amp;R telah mengikuti program rehabilitasi di UPT Terapi &amp; Rehabilitaasi BNN dari tanggal 28 Juni 2012 sampai dengan 21 September 2012 yang ditandatangani oleh Kepala UPT Terapi &amp; Rehabilitasi BNN Dra. Yunis Farida O.T.,M.Si. </w:t>
      </w:r>
    </w:p>
    <w:p w:rsidR="00ED61AC" w:rsidRDefault="00ED61AC" w:rsidP="00ED61AC">
      <w:pPr>
        <w:spacing w:line="480" w:lineRule="auto"/>
        <w:ind w:firstLine="720"/>
        <w:jc w:val="both"/>
      </w:pPr>
      <w:r>
        <w:t xml:space="preserve">Berdasarkan Berita Acara Penimbangan dari Kantor PT Pegadaian UPC Desa Pon Nomor : 254/UL.10053/2023 Tanggal 15 September 2023 yang ditandatangani oleh Iswadi F. SK menyatakan bahwa 1 (satu) bungkus plastik klip transparan ukuran kecil yang berisikan narkotika jenis shabu dengan berat kotor 0,28 (nol koma dua delapan) gram dan berat bersih 0,18 (nol koma satu delapan) gram, serta berdasarkan Berita Acara Pemeriksaan Laboratoris Kriminalistik No. LAB 5753/NNF/2023 yang diperiksa dan ditandatangani Debora M. Hutagaol, S.Si., M.Farm., Apt. dan Husnah Sari M. Tanjung, S.Pd. yang pada kesimpulannya bahwa barang bukti berupa 1 (satu) bungkus plastik klip transparan ukuran kecil yang berisikan narkotika jenis shabu dengan berat netto 0,18 (nol koma satu delapan) gram dan satu 1 (satu) botol plastik berisi 25 (dua puluh lima) ml urine yang diperiksa milik Terdakwa </w:t>
      </w:r>
      <w:r>
        <w:rPr>
          <w:bCs/>
        </w:rPr>
        <w:t>Tengku Harry Nur Arrafat Alias Ari</w:t>
      </w:r>
      <w:r>
        <w:t xml:space="preserve">dan 1 (satu) botol plastik berisi 25 (dua puluh lima) ml urine adalah </w:t>
      </w:r>
      <w:r>
        <w:lastRenderedPageBreak/>
        <w:t>benar mengandung Metamfetamina dan terdaftar dalam Golongan I (satu) nomor urut 61 Lampiran I Undang-undang Republik Indonesia No. 35 Tahun 2009 tentang Narkotika;</w:t>
      </w:r>
    </w:p>
    <w:p w:rsidR="00ED61AC" w:rsidRDefault="00ED61AC" w:rsidP="00E22298">
      <w:pPr>
        <w:numPr>
          <w:ilvl w:val="4"/>
          <w:numId w:val="14"/>
        </w:numPr>
        <w:tabs>
          <w:tab w:val="left" w:pos="426"/>
        </w:tabs>
        <w:spacing w:line="480" w:lineRule="auto"/>
        <w:ind w:left="360"/>
        <w:jc w:val="both"/>
        <w:rPr>
          <w:b/>
          <w:color w:val="000000"/>
        </w:rPr>
      </w:pPr>
      <w:r>
        <w:rPr>
          <w:b/>
          <w:color w:val="000000"/>
        </w:rPr>
        <w:t>Dakwaan Penuntut Umum</w:t>
      </w:r>
      <w:r>
        <w:rPr>
          <w:b/>
          <w:color w:val="000000"/>
        </w:rPr>
        <w:tab/>
      </w:r>
      <w:r>
        <w:rPr>
          <w:b/>
          <w:color w:val="000000"/>
        </w:rPr>
        <w:tab/>
      </w:r>
    </w:p>
    <w:p w:rsidR="00ED61AC" w:rsidRDefault="00ED61AC" w:rsidP="00ED61AC">
      <w:pPr>
        <w:spacing w:line="480" w:lineRule="auto"/>
        <w:ind w:firstLine="720"/>
        <w:jc w:val="both"/>
        <w:rPr>
          <w:color w:val="000000"/>
        </w:rPr>
      </w:pPr>
      <w:r>
        <w:rPr>
          <w:color w:val="000000"/>
        </w:rPr>
        <w:t>Adapun dakwaan</w:t>
      </w:r>
      <w:r>
        <w:rPr>
          <w:rStyle w:val="FootnoteReference"/>
          <w:color w:val="000000"/>
        </w:rPr>
        <w:footnoteReference w:id="37"/>
      </w:r>
      <w:r>
        <w:rPr>
          <w:color w:val="000000"/>
        </w:rPr>
        <w:t xml:space="preserve"> Jaksa Penuntut Umum adalah  </w:t>
      </w:r>
      <w:r>
        <w:rPr>
          <w:bCs/>
          <w:iCs/>
        </w:rPr>
        <w:t>Perbuatan terdakwa sebagaimana diatur dan diancam pidana dalam Pasal 127 Ayat (1) Undang-undang RI Nomor 35 Tahun 2009 tentang Narkotika</w:t>
      </w:r>
    </w:p>
    <w:p w:rsidR="00ED61AC" w:rsidRDefault="00ED61AC" w:rsidP="00ED61AC">
      <w:pPr>
        <w:jc w:val="both"/>
        <w:rPr>
          <w:color w:val="000000"/>
        </w:rPr>
      </w:pPr>
    </w:p>
    <w:p w:rsidR="00ED61AC" w:rsidRDefault="00ED61AC" w:rsidP="00E22298">
      <w:pPr>
        <w:numPr>
          <w:ilvl w:val="4"/>
          <w:numId w:val="14"/>
        </w:numPr>
        <w:tabs>
          <w:tab w:val="num" w:pos="360"/>
          <w:tab w:val="left" w:pos="426"/>
        </w:tabs>
        <w:spacing w:line="480" w:lineRule="auto"/>
        <w:ind w:left="360"/>
        <w:jc w:val="both"/>
        <w:rPr>
          <w:b/>
          <w:color w:val="000000"/>
        </w:rPr>
      </w:pPr>
      <w:r>
        <w:rPr>
          <w:b/>
          <w:color w:val="000000"/>
        </w:rPr>
        <w:t>Tuntutan Penuntut Umum.</w:t>
      </w:r>
    </w:p>
    <w:p w:rsidR="00ED61AC" w:rsidRDefault="00ED61AC" w:rsidP="00ED61AC">
      <w:pPr>
        <w:spacing w:line="504" w:lineRule="auto"/>
        <w:ind w:firstLine="720"/>
        <w:jc w:val="both"/>
        <w:rPr>
          <w:color w:val="000000"/>
        </w:rPr>
      </w:pPr>
      <w:r>
        <w:rPr>
          <w:color w:val="000000"/>
        </w:rPr>
        <w:t>Tuntutan pidana</w:t>
      </w:r>
      <w:r>
        <w:rPr>
          <w:rStyle w:val="FootnoteReference"/>
          <w:color w:val="000000"/>
        </w:rPr>
        <w:footnoteReference w:id="38"/>
      </w:r>
      <w:r>
        <w:rPr>
          <w:color w:val="000000"/>
        </w:rPr>
        <w:t xml:space="preserve"> Jaksa Penuntut Umum pada Kejaksaan Negeri Sei Rampah sebagai berikut :</w:t>
      </w:r>
    </w:p>
    <w:p w:rsidR="00ED61AC" w:rsidRDefault="00ED61AC" w:rsidP="00E22298">
      <w:pPr>
        <w:numPr>
          <w:ilvl w:val="0"/>
          <w:numId w:val="15"/>
        </w:numPr>
        <w:autoSpaceDE w:val="0"/>
        <w:autoSpaceDN w:val="0"/>
        <w:adjustRightInd w:val="0"/>
        <w:spacing w:line="480" w:lineRule="auto"/>
        <w:ind w:left="360"/>
        <w:jc w:val="both"/>
        <w:rPr>
          <w:b/>
          <w:bCs/>
        </w:rPr>
      </w:pPr>
      <w:r>
        <w:rPr>
          <w:color w:val="000000"/>
          <w:lang w:val="id-ID" w:eastAsia="id-ID"/>
        </w:rPr>
        <w:t xml:space="preserve">Menyatakan </w:t>
      </w:r>
      <w:r>
        <w:t xml:space="preserve">Terdakwa </w:t>
      </w:r>
      <w:r>
        <w:rPr>
          <w:bCs/>
        </w:rPr>
        <w:t xml:space="preserve">Tengku Harry Nur Arrafat Als Ari </w:t>
      </w:r>
      <w:r>
        <w:t>bersalah melakukan tindak pidana “</w:t>
      </w:r>
      <w:r>
        <w:rPr>
          <w:bCs/>
        </w:rPr>
        <w:t>yang tanpa hak atau melawan hukum menyalahgunakan narkotika golongan I bagi diri sendiri</w:t>
      </w:r>
      <w:r>
        <w:t>“sebagaimana diatur dan diancam pidana dalam Pasal 127 Ayat (1) huruf a Undang-undang RI Nomor 35 Tahun 2009 dalam surat dakwaan tunggal.</w:t>
      </w:r>
    </w:p>
    <w:p w:rsidR="00ED61AC" w:rsidRDefault="00ED61AC" w:rsidP="00E22298">
      <w:pPr>
        <w:numPr>
          <w:ilvl w:val="0"/>
          <w:numId w:val="15"/>
        </w:numPr>
        <w:autoSpaceDE w:val="0"/>
        <w:autoSpaceDN w:val="0"/>
        <w:adjustRightInd w:val="0"/>
        <w:spacing w:line="504" w:lineRule="auto"/>
        <w:ind w:left="360"/>
        <w:jc w:val="both"/>
      </w:pPr>
      <w:r>
        <w:t xml:space="preserve">Menjatuhkan Terdakwa </w:t>
      </w:r>
      <w:r>
        <w:rPr>
          <w:bCs/>
        </w:rPr>
        <w:t>Tengku Harry Nur Arrafat Als Ari</w:t>
      </w:r>
      <w:r>
        <w:t xml:space="preserve"> dihukum pidana penjara selama </w:t>
      </w:r>
      <w:r>
        <w:rPr>
          <w:bCs/>
        </w:rPr>
        <w:t>4 (empat) tahun</w:t>
      </w:r>
      <w:r>
        <w:t>penjara dikurangi selama terdakwa dalam tahanan dan dengan perintah terdakwa tetap ditahan.</w:t>
      </w:r>
    </w:p>
    <w:p w:rsidR="00ED61AC" w:rsidRDefault="00ED61AC" w:rsidP="00E22298">
      <w:pPr>
        <w:numPr>
          <w:ilvl w:val="0"/>
          <w:numId w:val="15"/>
        </w:numPr>
        <w:autoSpaceDE w:val="0"/>
        <w:autoSpaceDN w:val="0"/>
        <w:adjustRightInd w:val="0"/>
        <w:spacing w:line="504" w:lineRule="auto"/>
        <w:ind w:left="360"/>
        <w:jc w:val="both"/>
      </w:pPr>
      <w:r>
        <w:lastRenderedPageBreak/>
        <w:t>Menyatakan barang bukti berupa :</w:t>
      </w:r>
    </w:p>
    <w:p w:rsidR="00ED61AC" w:rsidRDefault="00ED61AC" w:rsidP="00E22298">
      <w:pPr>
        <w:numPr>
          <w:ilvl w:val="4"/>
          <w:numId w:val="1"/>
        </w:numPr>
        <w:autoSpaceDE w:val="0"/>
        <w:autoSpaceDN w:val="0"/>
        <w:adjustRightInd w:val="0"/>
        <w:spacing w:line="504" w:lineRule="auto"/>
        <w:ind w:left="720"/>
        <w:jc w:val="both"/>
      </w:pPr>
      <w:r>
        <w:t xml:space="preserve">1 (satu) bungkus plastik klip transparan ukuran kecil didalamnya diduga berisikan narkotika jenis shabu dengan berat bruto 0,28 (nol koma dua delapan) gram dan netto 0,18 (nol koma satu delapan) gram </w:t>
      </w:r>
    </w:p>
    <w:p w:rsidR="00ED61AC" w:rsidRDefault="00ED61AC" w:rsidP="00ED61AC">
      <w:pPr>
        <w:autoSpaceDE w:val="0"/>
        <w:autoSpaceDN w:val="0"/>
        <w:adjustRightInd w:val="0"/>
        <w:spacing w:line="504" w:lineRule="auto"/>
        <w:ind w:left="720"/>
        <w:jc w:val="both"/>
      </w:pPr>
      <w:r>
        <w:rPr>
          <w:bCs/>
          <w:iCs/>
        </w:rPr>
        <w:t>Dirampas untuk dimusnahkan.</w:t>
      </w:r>
    </w:p>
    <w:p w:rsidR="00ED61AC" w:rsidRDefault="00ED61AC" w:rsidP="00E22298">
      <w:pPr>
        <w:numPr>
          <w:ilvl w:val="4"/>
          <w:numId w:val="1"/>
        </w:numPr>
        <w:autoSpaceDE w:val="0"/>
        <w:autoSpaceDN w:val="0"/>
        <w:adjustRightInd w:val="0"/>
        <w:spacing w:line="504" w:lineRule="auto"/>
        <w:ind w:left="720"/>
        <w:jc w:val="both"/>
      </w:pPr>
      <w:r>
        <w:t>1 (satu) unit sepeda notor merek Yamaha Mio warna hijau BK 5426 XF.</w:t>
      </w:r>
    </w:p>
    <w:p w:rsidR="00ED61AC" w:rsidRDefault="00ED61AC" w:rsidP="00ED61AC">
      <w:pPr>
        <w:autoSpaceDE w:val="0"/>
        <w:autoSpaceDN w:val="0"/>
        <w:adjustRightInd w:val="0"/>
        <w:spacing w:line="504" w:lineRule="auto"/>
        <w:ind w:left="720"/>
        <w:jc w:val="both"/>
      </w:pPr>
      <w:r>
        <w:rPr>
          <w:bCs/>
          <w:iCs/>
        </w:rPr>
        <w:t>Dikembalikan kepada Terdakwa.</w:t>
      </w:r>
    </w:p>
    <w:p w:rsidR="00ED61AC" w:rsidRDefault="00ED61AC" w:rsidP="00E22298">
      <w:pPr>
        <w:numPr>
          <w:ilvl w:val="0"/>
          <w:numId w:val="1"/>
        </w:numPr>
        <w:tabs>
          <w:tab w:val="num" w:pos="360"/>
        </w:tabs>
        <w:autoSpaceDE w:val="0"/>
        <w:autoSpaceDN w:val="0"/>
        <w:adjustRightInd w:val="0"/>
        <w:spacing w:line="480" w:lineRule="auto"/>
        <w:ind w:left="360"/>
        <w:jc w:val="both"/>
        <w:rPr>
          <w:b/>
          <w:bCs/>
        </w:rPr>
      </w:pPr>
      <w:r>
        <w:t xml:space="preserve">Menetapkan agar terdakwa </w:t>
      </w:r>
      <w:r>
        <w:rPr>
          <w:bCs/>
        </w:rPr>
        <w:t>Tengku Harry Nur Arrafat Als Ari</w:t>
      </w:r>
      <w:r>
        <w:t>membayar biaya perkara sebesar Rp. 5.000,- (lima ribu rupiah).</w:t>
      </w:r>
    </w:p>
    <w:p w:rsidR="00ED61AC" w:rsidRDefault="00ED61AC" w:rsidP="00ED61AC">
      <w:pPr>
        <w:pStyle w:val="ListParagraph"/>
        <w:tabs>
          <w:tab w:val="left" w:pos="426"/>
        </w:tabs>
        <w:autoSpaceDE w:val="0"/>
        <w:autoSpaceDN w:val="0"/>
        <w:adjustRightInd w:val="0"/>
        <w:spacing w:line="240" w:lineRule="auto"/>
        <w:ind w:left="426"/>
        <w:rPr>
          <w:rFonts w:ascii="Times New Roman" w:hAnsi="Times New Roman"/>
          <w:color w:val="000000"/>
          <w:sz w:val="24"/>
          <w:szCs w:val="24"/>
        </w:rPr>
      </w:pPr>
    </w:p>
    <w:p w:rsidR="00ED61AC" w:rsidRDefault="00ED61AC" w:rsidP="00E22298">
      <w:pPr>
        <w:numPr>
          <w:ilvl w:val="4"/>
          <w:numId w:val="14"/>
        </w:numPr>
        <w:tabs>
          <w:tab w:val="num" w:pos="360"/>
          <w:tab w:val="left" w:pos="426"/>
        </w:tabs>
        <w:spacing w:line="480" w:lineRule="auto"/>
        <w:ind w:left="360"/>
        <w:jc w:val="both"/>
        <w:rPr>
          <w:b/>
          <w:color w:val="000000"/>
        </w:rPr>
      </w:pPr>
      <w:r>
        <w:rPr>
          <w:b/>
          <w:color w:val="000000"/>
        </w:rPr>
        <w:t>Amar Putusan.</w:t>
      </w:r>
    </w:p>
    <w:p w:rsidR="00ED61AC" w:rsidRDefault="00ED61AC" w:rsidP="00ED61AC">
      <w:pPr>
        <w:spacing w:line="480" w:lineRule="auto"/>
        <w:ind w:firstLine="720"/>
        <w:jc w:val="both"/>
        <w:rPr>
          <w:color w:val="000000"/>
          <w:lang w:val="id-ID" w:eastAsia="id-ID"/>
        </w:rPr>
      </w:pPr>
      <w:r>
        <w:rPr>
          <w:color w:val="000000"/>
        </w:rPr>
        <w:t xml:space="preserve">Berdasarkan tuntutan Jaksa Penuntut Umum, Hakim Pengadilan Negeri </w:t>
      </w:r>
      <w:r>
        <w:t>Sei Rampah</w:t>
      </w:r>
      <w:r>
        <w:rPr>
          <w:color w:val="000000"/>
          <w:lang w:val="id-ID" w:eastAsia="id-ID"/>
        </w:rPr>
        <w:t xml:space="preserve"> memberikan putusan yang amar lengkapnya sebagai berikut :</w:t>
      </w:r>
    </w:p>
    <w:p w:rsidR="00ED61AC" w:rsidRDefault="00ED61AC" w:rsidP="00E22298">
      <w:pPr>
        <w:numPr>
          <w:ilvl w:val="6"/>
          <w:numId w:val="14"/>
        </w:numPr>
        <w:autoSpaceDE w:val="0"/>
        <w:autoSpaceDN w:val="0"/>
        <w:adjustRightInd w:val="0"/>
        <w:spacing w:line="480" w:lineRule="auto"/>
        <w:ind w:left="360"/>
        <w:jc w:val="both"/>
      </w:pPr>
      <w:r>
        <w:rPr>
          <w:color w:val="000000"/>
          <w:lang w:val="id-ID" w:eastAsia="id-ID"/>
        </w:rPr>
        <w:t>Menyatakan</w:t>
      </w:r>
      <w:r>
        <w:t xml:space="preserve"> Terdakwa </w:t>
      </w:r>
      <w:r>
        <w:rPr>
          <w:bCs/>
        </w:rPr>
        <w:t xml:space="preserve">Tengku Harry Nur Arrafat Alias Ari </w:t>
      </w:r>
      <w:r>
        <w:t xml:space="preserve">tersebut diatas, telah terbukti secara sah dan meyakinkan bersalah melakukan tindak pidana </w:t>
      </w:r>
      <w:r>
        <w:rPr>
          <w:bCs/>
        </w:rPr>
        <w:t>penyalahgunaan narkotika Golongan I bagi diri sendiri</w:t>
      </w:r>
      <w:r>
        <w:t>, sebagaimana dalam dakwaan tunggal.</w:t>
      </w:r>
    </w:p>
    <w:p w:rsidR="00ED61AC" w:rsidRDefault="00ED61AC" w:rsidP="00E22298">
      <w:pPr>
        <w:numPr>
          <w:ilvl w:val="6"/>
          <w:numId w:val="14"/>
        </w:numPr>
        <w:autoSpaceDE w:val="0"/>
        <w:autoSpaceDN w:val="0"/>
        <w:adjustRightInd w:val="0"/>
        <w:spacing w:line="480" w:lineRule="auto"/>
        <w:ind w:left="360"/>
        <w:jc w:val="both"/>
      </w:pPr>
      <w:r>
        <w:t xml:space="preserve">Memerintahkan kepada Terdakwa untuk menjalani tindakan hukum berupa rehabilitasi medis dan rehabilitasi sosial selama </w:t>
      </w:r>
      <w:r>
        <w:rPr>
          <w:bCs/>
        </w:rPr>
        <w:t xml:space="preserve">1 (satu) tahun </w:t>
      </w:r>
      <w:r>
        <w:t>di Loka Rehabilitasi BNN Deli Serdang.</w:t>
      </w:r>
    </w:p>
    <w:p w:rsidR="00ED61AC" w:rsidRDefault="00ED61AC" w:rsidP="00E22298">
      <w:pPr>
        <w:numPr>
          <w:ilvl w:val="6"/>
          <w:numId w:val="14"/>
        </w:numPr>
        <w:autoSpaceDE w:val="0"/>
        <w:autoSpaceDN w:val="0"/>
        <w:adjustRightInd w:val="0"/>
        <w:spacing w:line="480" w:lineRule="auto"/>
        <w:ind w:left="360"/>
        <w:jc w:val="both"/>
        <w:rPr>
          <w:color w:val="000000"/>
          <w:lang w:val="id-ID" w:eastAsia="id-ID"/>
        </w:rPr>
      </w:pPr>
      <w:r>
        <w:t>Menetapkan lamanya masa penangkapan dan masa rehabilitasi yang telah dijalani oleh Terdakwa sebelum putusan ini, diperhitungkan dan dikurangi seluruhnya dari masa rehabilitasi yang dijatuhkan.</w:t>
      </w:r>
    </w:p>
    <w:p w:rsidR="00ED61AC" w:rsidRDefault="00ED61AC" w:rsidP="00E22298">
      <w:pPr>
        <w:numPr>
          <w:ilvl w:val="6"/>
          <w:numId w:val="14"/>
        </w:numPr>
        <w:autoSpaceDE w:val="0"/>
        <w:autoSpaceDN w:val="0"/>
        <w:adjustRightInd w:val="0"/>
        <w:spacing w:line="480" w:lineRule="auto"/>
        <w:ind w:left="360"/>
        <w:jc w:val="both"/>
        <w:rPr>
          <w:rFonts w:eastAsia="OpenSymbol"/>
        </w:rPr>
      </w:pPr>
      <w:r>
        <w:lastRenderedPageBreak/>
        <w:t>Menetapkan barang bukti berupa:</w:t>
      </w:r>
    </w:p>
    <w:p w:rsidR="00ED61AC" w:rsidRDefault="00ED61AC" w:rsidP="00E22298">
      <w:pPr>
        <w:numPr>
          <w:ilvl w:val="1"/>
          <w:numId w:val="1"/>
        </w:numPr>
        <w:autoSpaceDE w:val="0"/>
        <w:autoSpaceDN w:val="0"/>
        <w:adjustRightInd w:val="0"/>
        <w:spacing w:line="480" w:lineRule="auto"/>
        <w:ind w:left="720"/>
        <w:jc w:val="both"/>
        <w:rPr>
          <w:rFonts w:eastAsia="OpenSymbol"/>
          <w:bCs/>
        </w:rPr>
      </w:pPr>
      <w:r>
        <w:rPr>
          <w:rFonts w:eastAsia="OpenSymbol"/>
        </w:rPr>
        <w:t xml:space="preserve"> 1 (satu) bungkus plastik klip transparan ukuran kecil didalamnya diduga berisikan narkotika jenis shabu dengan berat bruto 0,28 (nol koma dua delapan) gram dan netto 0,18 (nol koma satu delapan) gram; </w:t>
      </w:r>
    </w:p>
    <w:p w:rsidR="00ED61AC" w:rsidRDefault="00ED61AC" w:rsidP="00ED61AC">
      <w:pPr>
        <w:autoSpaceDE w:val="0"/>
        <w:autoSpaceDN w:val="0"/>
        <w:adjustRightInd w:val="0"/>
        <w:spacing w:line="480" w:lineRule="auto"/>
        <w:ind w:left="720"/>
        <w:jc w:val="both"/>
        <w:rPr>
          <w:rFonts w:eastAsia="OpenSymbol"/>
        </w:rPr>
      </w:pPr>
      <w:r>
        <w:rPr>
          <w:rFonts w:eastAsia="OpenSymbol"/>
          <w:bCs/>
        </w:rPr>
        <w:t>Dirampas Untuk Dimusnahkan;</w:t>
      </w:r>
    </w:p>
    <w:p w:rsidR="00ED61AC" w:rsidRDefault="00ED61AC" w:rsidP="00E22298">
      <w:pPr>
        <w:numPr>
          <w:ilvl w:val="1"/>
          <w:numId w:val="1"/>
        </w:numPr>
        <w:autoSpaceDE w:val="0"/>
        <w:autoSpaceDN w:val="0"/>
        <w:adjustRightInd w:val="0"/>
        <w:spacing w:line="480" w:lineRule="auto"/>
        <w:ind w:left="720"/>
        <w:jc w:val="both"/>
        <w:rPr>
          <w:rFonts w:eastAsia="OpenSymbol"/>
          <w:bCs/>
        </w:rPr>
      </w:pPr>
      <w:r>
        <w:rPr>
          <w:rFonts w:eastAsia="OpenSymbol"/>
        </w:rPr>
        <w:t>1 (satu) unit sepeda notor merek Yamaha Mio warna hijau BK 5426 XF;</w:t>
      </w:r>
    </w:p>
    <w:p w:rsidR="00ED61AC" w:rsidRDefault="00ED61AC" w:rsidP="00ED61AC">
      <w:pPr>
        <w:autoSpaceDE w:val="0"/>
        <w:autoSpaceDN w:val="0"/>
        <w:adjustRightInd w:val="0"/>
        <w:spacing w:line="480" w:lineRule="auto"/>
        <w:ind w:left="720"/>
        <w:jc w:val="both"/>
        <w:rPr>
          <w:rFonts w:eastAsia="OpenSymbol"/>
          <w:bCs/>
        </w:rPr>
      </w:pPr>
      <w:r>
        <w:rPr>
          <w:rFonts w:eastAsia="OpenSymbol"/>
          <w:bCs/>
        </w:rPr>
        <w:t>Dikembalikan kepada Terdakwa;</w:t>
      </w:r>
    </w:p>
    <w:p w:rsidR="00ED61AC" w:rsidRDefault="00ED61AC" w:rsidP="00E22298">
      <w:pPr>
        <w:numPr>
          <w:ilvl w:val="0"/>
          <w:numId w:val="1"/>
        </w:numPr>
        <w:tabs>
          <w:tab w:val="num" w:pos="360"/>
        </w:tabs>
        <w:autoSpaceDE w:val="0"/>
        <w:autoSpaceDN w:val="0"/>
        <w:adjustRightInd w:val="0"/>
        <w:spacing w:line="480" w:lineRule="auto"/>
        <w:ind w:left="360"/>
        <w:jc w:val="both"/>
        <w:rPr>
          <w:rFonts w:eastAsia="OpenSymbol"/>
        </w:rPr>
      </w:pPr>
      <w:r>
        <w:rPr>
          <w:rFonts w:eastAsia="OpenSymbol"/>
        </w:rPr>
        <w:t>Membebankan kepada Terdakwa membayar biaya perkara sejumlah Rp5.000,00 (lima ribu rupiah);</w:t>
      </w:r>
    </w:p>
    <w:p w:rsidR="00ED61AC" w:rsidRDefault="00ED61AC" w:rsidP="00ED61AC">
      <w:pPr>
        <w:autoSpaceDE w:val="0"/>
        <w:autoSpaceDN w:val="0"/>
        <w:adjustRightInd w:val="0"/>
        <w:ind w:left="360"/>
        <w:jc w:val="both"/>
        <w:rPr>
          <w:color w:val="000000"/>
          <w:lang w:val="id-ID" w:eastAsia="id-ID"/>
        </w:rPr>
      </w:pPr>
    </w:p>
    <w:p w:rsidR="00ED61AC" w:rsidRDefault="00ED61AC" w:rsidP="00E22298">
      <w:pPr>
        <w:numPr>
          <w:ilvl w:val="4"/>
          <w:numId w:val="14"/>
        </w:numPr>
        <w:tabs>
          <w:tab w:val="num" w:pos="360"/>
        </w:tabs>
        <w:spacing w:line="480" w:lineRule="auto"/>
        <w:ind w:left="360"/>
        <w:jc w:val="both"/>
        <w:rPr>
          <w:b/>
          <w:color w:val="000000"/>
        </w:rPr>
      </w:pPr>
      <w:r>
        <w:rPr>
          <w:b/>
          <w:color w:val="000000"/>
        </w:rPr>
        <w:t xml:space="preserve">Analisis KasusPutusan </w:t>
      </w:r>
      <w:r>
        <w:rPr>
          <w:b/>
        </w:rPr>
        <w:t>Pengadilan Sei Rampah Nomor 9/Pid.Sus/2024/PN Srh</w:t>
      </w:r>
    </w:p>
    <w:p w:rsidR="00ED61AC" w:rsidRDefault="00ED61AC" w:rsidP="00ED61AC">
      <w:pPr>
        <w:autoSpaceDE w:val="0"/>
        <w:autoSpaceDN w:val="0"/>
        <w:adjustRightInd w:val="0"/>
        <w:spacing w:line="480" w:lineRule="auto"/>
        <w:ind w:firstLine="720"/>
        <w:jc w:val="both"/>
        <w:rPr>
          <w:color w:val="000000"/>
        </w:rPr>
      </w:pPr>
      <w:r>
        <w:rPr>
          <w:color w:val="000000"/>
        </w:rPr>
        <w:t>Berdasarkan Putusan putusan</w:t>
      </w:r>
      <w:r>
        <w:t>Pengadilan Sei Rampah Nomor 9/Pid.Sus/2024/PN Srh</w:t>
      </w:r>
      <w:r>
        <w:rPr>
          <w:color w:val="000000"/>
        </w:rPr>
        <w:t xml:space="preserve">, surat dakwaan yang telah diuraikan Penuntut Umum dalam putusan Pengadilan Negeri </w:t>
      </w:r>
      <w:r>
        <w:t>Sei Rampah</w:t>
      </w:r>
      <w:r>
        <w:rPr>
          <w:color w:val="000000"/>
        </w:rPr>
        <w:t xml:space="preserve">telah sesuai dengan ketentuan Pasal 143 ayat (2) KUHAP dan hukum pidana materiil sebagaimana didakwakan pada dakwaan kedua yakni perbuatan terdakwa </w:t>
      </w:r>
      <w:r>
        <w:rPr>
          <w:bCs/>
        </w:rPr>
        <w:t>Tengku Harry Nur Arrafat Alias Ari</w:t>
      </w:r>
      <w:r>
        <w:rPr>
          <w:color w:val="000000"/>
        </w:rPr>
        <w:t xml:space="preserve"> tersebut sebagaimana diatur dan diancam pidana sesuai </w:t>
      </w:r>
      <w:bookmarkStart w:id="5" w:name="_Hlk176980044"/>
      <w:r>
        <w:rPr>
          <w:color w:val="000000"/>
        </w:rPr>
        <w:t xml:space="preserve">dengan </w:t>
      </w:r>
      <w:r>
        <w:t>Pasal 127 ayat (1) huruf a, Pasal 54, Pasal 103 Undang-undang Republik Indonesia Nomor 35 Tahun 2009 tentang Narkotika</w:t>
      </w:r>
      <w:bookmarkEnd w:id="5"/>
      <w:r>
        <w:rPr>
          <w:color w:val="000000"/>
        </w:rPr>
        <w:t>.</w:t>
      </w:r>
    </w:p>
    <w:p w:rsidR="00ED61AC" w:rsidRDefault="00ED61AC" w:rsidP="00ED61AC">
      <w:pPr>
        <w:autoSpaceDE w:val="0"/>
        <w:autoSpaceDN w:val="0"/>
        <w:adjustRightInd w:val="0"/>
        <w:spacing w:line="480" w:lineRule="auto"/>
        <w:ind w:firstLine="720"/>
        <w:jc w:val="both"/>
        <w:rPr>
          <w:color w:val="000000"/>
          <w:lang w:val="id-ID"/>
        </w:rPr>
      </w:pPr>
      <w:r>
        <w:rPr>
          <w:color w:val="000000"/>
        </w:rPr>
        <w:t xml:space="preserve">Penerapan hukum materiil yang dilakukan oleh Jaksa penuntut Umum yang dijadikan acuan oleh Jaksa Penuntut Umum </w:t>
      </w:r>
      <w:r>
        <w:rPr>
          <w:color w:val="000000"/>
          <w:lang w:val="id-ID"/>
        </w:rPr>
        <w:t>adalah berdasarkan</w:t>
      </w:r>
      <w:r>
        <w:rPr>
          <w:color w:val="000000"/>
        </w:rPr>
        <w:t xml:space="preserve"> penyidikan dan keterangan saksi serta pengakuan dari terdakwa, telah terbukti terdakwa </w:t>
      </w:r>
      <w:r>
        <w:rPr>
          <w:color w:val="000000"/>
          <w:lang w:val="id-ID" w:eastAsia="id-ID"/>
        </w:rPr>
        <w:t xml:space="preserve">secara sah dan meyakinkan bersalah melakukan tindak pidana tanpa hak </w:t>
      </w:r>
      <w:r>
        <w:rPr>
          <w:color w:val="000000"/>
          <w:lang w:val="id-ID" w:eastAsia="id-ID"/>
        </w:rPr>
        <w:lastRenderedPageBreak/>
        <w:t xml:space="preserve">menyalahgunakan narkotika golongan I bukan tanaman bagi diri sendiri sebagaimana dakwaan Kedua Penuntut Umum </w:t>
      </w:r>
      <w:r>
        <w:rPr>
          <w:color w:val="000000"/>
        </w:rPr>
        <w:t xml:space="preserve">telah memenuhi unsur dengan </w:t>
      </w:r>
      <w:r>
        <w:t>Pasal 127 ayat (1) huruf a, Pasal 54, Pasal 103 Undang-undang Republik Indonesia Nomor 35 Tahun 2009 tentang Narkotika</w:t>
      </w:r>
      <w:r>
        <w:rPr>
          <w:color w:val="000000"/>
          <w:lang w:val="id-ID"/>
        </w:rPr>
        <w:t>.</w:t>
      </w:r>
    </w:p>
    <w:p w:rsidR="00ED61AC" w:rsidRDefault="00ED61AC" w:rsidP="00ED61AC">
      <w:pPr>
        <w:autoSpaceDE w:val="0"/>
        <w:autoSpaceDN w:val="0"/>
        <w:adjustRightInd w:val="0"/>
        <w:spacing w:line="480" w:lineRule="auto"/>
        <w:ind w:firstLine="720"/>
        <w:jc w:val="both"/>
        <w:rPr>
          <w:color w:val="000000"/>
        </w:rPr>
      </w:pPr>
      <w:r>
        <w:rPr>
          <w:color w:val="000000"/>
        </w:rPr>
        <w:t xml:space="preserve">Majelis hakim yang melakukan pemeriksaan kasus ini memutuskan untuk memilih dakwaan kedua sebagai dasar pengambilan putusan. Pertimbangan-pertimbangan hukum yang dijadikan dasar Majelis Hakim adalah semua unsur dari dengan </w:t>
      </w:r>
      <w:r>
        <w:t>Pasal 127 ayat (1) huruf a, Pasal 54, Pasal 103 Undang-undang Republik Indonesia Nomor 35 Tahun 2009 tentang Narkotika</w:t>
      </w:r>
      <w:r>
        <w:rPr>
          <w:color w:val="000000"/>
        </w:rPr>
        <w:t xml:space="preserve"> telah terpenuhi. Kemudian Jaksa Penuntut Umum menuntut agar menjatuhkan pidana terhadap terdakwa dengan pidana penjara </w:t>
      </w:r>
      <w:r>
        <w:t xml:space="preserve">selama </w:t>
      </w:r>
      <w:r>
        <w:rPr>
          <w:bCs/>
        </w:rPr>
        <w:t>4 (empat) tahun</w:t>
      </w:r>
      <w:r>
        <w:t>penjara</w:t>
      </w:r>
    </w:p>
    <w:p w:rsidR="00ED61AC" w:rsidRDefault="00ED61AC" w:rsidP="00ED61AC">
      <w:pPr>
        <w:autoSpaceDE w:val="0"/>
        <w:autoSpaceDN w:val="0"/>
        <w:adjustRightInd w:val="0"/>
        <w:spacing w:line="480" w:lineRule="auto"/>
        <w:ind w:firstLine="720"/>
        <w:jc w:val="both"/>
        <w:rPr>
          <w:color w:val="000000"/>
          <w:lang w:eastAsia="id-ID"/>
        </w:rPr>
      </w:pPr>
      <w:r>
        <w:rPr>
          <w:color w:val="000000"/>
        </w:rPr>
        <w:t xml:space="preserve">Penerapan hukum tindak </w:t>
      </w:r>
      <w:r>
        <w:rPr>
          <w:color w:val="000000"/>
          <w:lang w:val="id-ID" w:eastAsia="id-ID"/>
        </w:rPr>
        <w:t xml:space="preserve">pidana tanpa hak menyalahgunakan narkotika golongan I bukan tanaman bagi diri sendiri </w:t>
      </w:r>
      <w:r>
        <w:rPr>
          <w:color w:val="000000"/>
        </w:rPr>
        <w:t xml:space="preserve">telah memenuhi unsur </w:t>
      </w:r>
      <w:r>
        <w:t xml:space="preserve">Pasal 127 ayat (1) huruf a, Pasal 54, Pasal 103 Undang-undang Republik Indonesia Nomor 35 Tahun 2009 tentang Narkotika </w:t>
      </w:r>
      <w:r>
        <w:rPr>
          <w:color w:val="000000"/>
        </w:rPr>
        <w:t xml:space="preserve">telah sesuai dengan tindak pidana yang dilakukan oleh terdakwa. Unsur-unsurnya pun telah mencocoki rumusan delik. Mengenai putusan yang dijatuhkan hakim yaitu pidana </w:t>
      </w:r>
      <w:r>
        <w:rPr>
          <w:color w:val="000000"/>
          <w:lang w:val="id-ID" w:eastAsia="id-ID"/>
        </w:rPr>
        <w:t xml:space="preserve"> terhadap Terdakwa Tengku Harry Nur Arrafat Alias Ari oleh karena itu dengan pidana </w:t>
      </w:r>
      <w:r>
        <w:t xml:space="preserve">berupa rehabilitasi medis dan rehabilitasi sosial selama </w:t>
      </w:r>
      <w:r>
        <w:rPr>
          <w:bCs/>
        </w:rPr>
        <w:t xml:space="preserve">1 (satu) tahun </w:t>
      </w:r>
      <w:r>
        <w:t xml:space="preserve">di Loka Rehabilitasi BNN Deli Serdang </w:t>
      </w:r>
      <w:r>
        <w:rPr>
          <w:color w:val="000000"/>
          <w:lang w:val="id-ID" w:eastAsia="id-ID"/>
        </w:rPr>
        <w:t xml:space="preserve"> yang diperhitungkan dengan masa pidana yang dijatuhkan</w:t>
      </w:r>
      <w:r>
        <w:rPr>
          <w:color w:val="000000"/>
          <w:lang w:eastAsia="id-ID"/>
        </w:rPr>
        <w:t xml:space="preserve">. </w:t>
      </w:r>
    </w:p>
    <w:p w:rsidR="00ED61AC" w:rsidRDefault="00ED61AC" w:rsidP="00ED61AC">
      <w:pPr>
        <w:autoSpaceDE w:val="0"/>
        <w:autoSpaceDN w:val="0"/>
        <w:adjustRightInd w:val="0"/>
        <w:spacing w:line="480" w:lineRule="auto"/>
        <w:ind w:firstLine="720"/>
        <w:jc w:val="both"/>
        <w:rPr>
          <w:color w:val="000000"/>
        </w:rPr>
      </w:pPr>
      <w:r>
        <w:rPr>
          <w:color w:val="000000"/>
          <w:lang w:eastAsia="id-ID"/>
        </w:rPr>
        <w:t>Hakim</w:t>
      </w:r>
      <w:r>
        <w:rPr>
          <w:color w:val="000000"/>
        </w:rPr>
        <w:t xml:space="preserve"> dalam menjatuhkan putusannya memiliki pertimbangan-pertimbangan, yang dalam hal ini dapat meringankan hukuman terdakwa, sehingga hukuman yang dijatuhkan hakim lebih ringan daripada tuntutan jaksa. </w:t>
      </w:r>
      <w:r>
        <w:rPr>
          <w:color w:val="000000"/>
        </w:rPr>
        <w:lastRenderedPageBreak/>
        <w:t xml:space="preserve">Menurut hakim perbuatan terdawa telah memenuhi unsur-unsur dari </w:t>
      </w:r>
      <w:r>
        <w:t xml:space="preserve">Pasal 127 ayat (1) huruf a </w:t>
      </w:r>
      <w:r>
        <w:rPr>
          <w:color w:val="000000"/>
        </w:rPr>
        <w:t xml:space="preserve">yaitu </w:t>
      </w:r>
      <w:r>
        <w:rPr>
          <w:color w:val="000000"/>
          <w:lang w:val="id-ID"/>
        </w:rPr>
        <w:t xml:space="preserve">sebagai berikut </w:t>
      </w:r>
      <w:r>
        <w:rPr>
          <w:color w:val="000000"/>
        </w:rPr>
        <w:t>:</w:t>
      </w:r>
    </w:p>
    <w:p w:rsidR="00ED61AC" w:rsidRDefault="00ED61AC" w:rsidP="00E22298">
      <w:pPr>
        <w:numPr>
          <w:ilvl w:val="1"/>
          <w:numId w:val="16"/>
        </w:numPr>
        <w:tabs>
          <w:tab w:val="num" w:pos="360"/>
        </w:tabs>
        <w:autoSpaceDE w:val="0"/>
        <w:autoSpaceDN w:val="0"/>
        <w:adjustRightInd w:val="0"/>
        <w:spacing w:line="480" w:lineRule="auto"/>
        <w:ind w:left="360"/>
        <w:jc w:val="both"/>
        <w:rPr>
          <w:color w:val="000000"/>
        </w:rPr>
      </w:pPr>
      <w:r>
        <w:rPr>
          <w:color w:val="000000"/>
        </w:rPr>
        <w:t xml:space="preserve">Unsur setiap </w:t>
      </w:r>
      <w:r>
        <w:rPr>
          <w:bCs/>
        </w:rPr>
        <w:t>penyalahguna</w:t>
      </w:r>
      <w:r>
        <w:rPr>
          <w:color w:val="000000"/>
        </w:rPr>
        <w:t xml:space="preserve">. </w:t>
      </w:r>
    </w:p>
    <w:p w:rsidR="00ED61AC" w:rsidRDefault="00ED61AC" w:rsidP="00ED61AC">
      <w:pPr>
        <w:autoSpaceDE w:val="0"/>
        <w:autoSpaceDN w:val="0"/>
        <w:adjustRightInd w:val="0"/>
        <w:spacing w:line="480" w:lineRule="auto"/>
        <w:ind w:firstLine="720"/>
        <w:jc w:val="both"/>
      </w:pPr>
      <w:r>
        <w:t>Menurut Pasal 1 angka 15 Undang-Undang Nomor 35 Tahun 2009 Tentang Narkotika, yang dimaksud dengan “Penyalah Guna” adalah orang yang menggunakan Narkotika tanpa hak atau melawan hukum. Berdasarkan definisi dalam Pasal 1 angka 15 Undang-Undang Nomor 35 Tahun 2009 Tentang Narkotika tersebut di atas, maka dalam unsur “Penyalah Guna” terdapat beberapa sub-unsur yaitu:</w:t>
      </w:r>
    </w:p>
    <w:p w:rsidR="00ED61AC" w:rsidRDefault="00ED61AC" w:rsidP="00E22298">
      <w:pPr>
        <w:numPr>
          <w:ilvl w:val="2"/>
          <w:numId w:val="16"/>
        </w:numPr>
        <w:tabs>
          <w:tab w:val="num" w:pos="390"/>
        </w:tabs>
        <w:autoSpaceDE w:val="0"/>
        <w:autoSpaceDN w:val="0"/>
        <w:adjustRightInd w:val="0"/>
        <w:spacing w:line="480" w:lineRule="auto"/>
        <w:ind w:left="390"/>
        <w:jc w:val="both"/>
      </w:pPr>
      <w:r>
        <w:t>Orang;</w:t>
      </w:r>
    </w:p>
    <w:p w:rsidR="00ED61AC" w:rsidRDefault="00ED61AC" w:rsidP="00E22298">
      <w:pPr>
        <w:numPr>
          <w:ilvl w:val="2"/>
          <w:numId w:val="16"/>
        </w:numPr>
        <w:tabs>
          <w:tab w:val="num" w:pos="390"/>
        </w:tabs>
        <w:autoSpaceDE w:val="0"/>
        <w:autoSpaceDN w:val="0"/>
        <w:adjustRightInd w:val="0"/>
        <w:spacing w:line="480" w:lineRule="auto"/>
        <w:ind w:left="390"/>
        <w:jc w:val="both"/>
      </w:pPr>
      <w:r>
        <w:t>Yang Menggunakan Narkotika;</w:t>
      </w:r>
    </w:p>
    <w:p w:rsidR="00ED61AC" w:rsidRDefault="00ED61AC" w:rsidP="00E22298">
      <w:pPr>
        <w:numPr>
          <w:ilvl w:val="2"/>
          <w:numId w:val="16"/>
        </w:numPr>
        <w:tabs>
          <w:tab w:val="num" w:pos="390"/>
        </w:tabs>
        <w:autoSpaceDE w:val="0"/>
        <w:autoSpaceDN w:val="0"/>
        <w:adjustRightInd w:val="0"/>
        <w:spacing w:line="480" w:lineRule="auto"/>
        <w:ind w:left="390"/>
        <w:jc w:val="both"/>
      </w:pPr>
      <w:r>
        <w:t>Tanpa Hak Atau Melawan Hukum;</w:t>
      </w:r>
    </w:p>
    <w:p w:rsidR="00ED61AC" w:rsidRDefault="00ED61AC" w:rsidP="00ED61AC">
      <w:pPr>
        <w:autoSpaceDE w:val="0"/>
        <w:autoSpaceDN w:val="0"/>
        <w:adjustRightInd w:val="0"/>
        <w:spacing w:line="480" w:lineRule="auto"/>
        <w:ind w:firstLine="720"/>
        <w:jc w:val="both"/>
        <w:rPr>
          <w:color w:val="000000"/>
        </w:rPr>
      </w:pPr>
      <w:r>
        <w:rPr>
          <w:color w:val="000000"/>
        </w:rPr>
        <w:t>Setiap orang adalah siapa saja sebagai subyek hukum yang dapat dimintakan pertanggungjawaban di hadapan hukum jika perbuatan tersebut merupakan tindak pidana. Bahwa di persidangan telah dihadapkan seorang laki-laki yang bernama</w:t>
      </w:r>
      <w:r>
        <w:rPr>
          <w:bCs/>
          <w:color w:val="000000"/>
          <w:lang w:val="id-ID" w:eastAsia="id-ID"/>
        </w:rPr>
        <w:t>Tengku Harry Nur Arrafat Alias Ari</w:t>
      </w:r>
      <w:r>
        <w:rPr>
          <w:color w:val="000000"/>
        </w:rPr>
        <w:t xml:space="preserve">sebagai Terdakwa dan telah membenarkan identitasnya sebagaimana yang tertera dalam surat dakwaan, sehingga Hakim berpendapat tidak terjadi </w:t>
      </w:r>
      <w:r>
        <w:rPr>
          <w:i/>
          <w:color w:val="000000"/>
        </w:rPr>
        <w:t>error in person</w:t>
      </w:r>
      <w:r>
        <w:rPr>
          <w:color w:val="000000"/>
        </w:rPr>
        <w:t xml:space="preserve"> dalam perkara ini. </w:t>
      </w:r>
    </w:p>
    <w:p w:rsidR="00ED61AC" w:rsidRDefault="00ED61AC" w:rsidP="00ED61AC">
      <w:pPr>
        <w:autoSpaceDE w:val="0"/>
        <w:autoSpaceDN w:val="0"/>
        <w:adjustRightInd w:val="0"/>
        <w:spacing w:line="480" w:lineRule="auto"/>
        <w:ind w:firstLine="720"/>
        <w:jc w:val="both"/>
        <w:rPr>
          <w:color w:val="000000"/>
        </w:rPr>
      </w:pPr>
      <w:r>
        <w:rPr>
          <w:color w:val="000000"/>
        </w:rPr>
        <w:t>Berdasarkan hasil pemeriksaan persidangan pada diri Terdakwa tidak terdapat alasan-alasan yang dapat menghapuskan pertanggungjawaban pidana jika ternyata nantinya perbuatannya terbukti merupakan perbuatan pidana sebagaimana yang akan dibuktikan pada unsur selanjutnya. Berdasarkan hal tersebut di atas maka Hakim berpendapat unsur “setiap orang” telah terpenuhi.</w:t>
      </w:r>
    </w:p>
    <w:p w:rsidR="00ED61AC" w:rsidRDefault="00ED61AC" w:rsidP="00E22298">
      <w:pPr>
        <w:numPr>
          <w:ilvl w:val="1"/>
          <w:numId w:val="16"/>
        </w:numPr>
        <w:tabs>
          <w:tab w:val="num" w:pos="360"/>
        </w:tabs>
        <w:autoSpaceDE w:val="0"/>
        <w:autoSpaceDN w:val="0"/>
        <w:adjustRightInd w:val="0"/>
        <w:spacing w:line="516" w:lineRule="auto"/>
        <w:ind w:left="360"/>
        <w:jc w:val="both"/>
        <w:rPr>
          <w:color w:val="000000"/>
        </w:rPr>
      </w:pPr>
      <w:r>
        <w:rPr>
          <w:color w:val="000000"/>
        </w:rPr>
        <w:lastRenderedPageBreak/>
        <w:t>Unsur</w:t>
      </w:r>
      <w:r>
        <w:rPr>
          <w:bCs/>
          <w:color w:val="000000"/>
          <w:lang w:val="id-ID" w:eastAsia="id-ID"/>
        </w:rPr>
        <w:t>tanpa hak atau melawan hukum</w:t>
      </w:r>
    </w:p>
    <w:p w:rsidR="00ED61AC" w:rsidRDefault="00ED61AC" w:rsidP="00ED61AC">
      <w:pPr>
        <w:autoSpaceDE w:val="0"/>
        <w:autoSpaceDN w:val="0"/>
        <w:adjustRightInd w:val="0"/>
        <w:spacing w:line="516" w:lineRule="auto"/>
        <w:ind w:firstLine="720"/>
        <w:jc w:val="both"/>
        <w:rPr>
          <w:color w:val="000000"/>
          <w:lang w:val="id-ID"/>
        </w:rPr>
      </w:pPr>
      <w:r>
        <w:rPr>
          <w:color w:val="000000"/>
          <w:lang w:val="id-ID"/>
        </w:rPr>
        <w:t>T</w:t>
      </w:r>
      <w:r>
        <w:rPr>
          <w:color w:val="000000"/>
        </w:rPr>
        <w:t>anpa hak dalam unsur ini adalah melakukan perbuatan tanpa ijin dari pihak yang berwajib/berwenang untuk itu, sedangkan yang dimaksud dengan melawan hukum adalah suatu tindakan atau perbuatan yang bertentangan dengan ketentuan hukum yang berlaku. Unsur</w:t>
      </w:r>
      <w:r>
        <w:rPr>
          <w:bCs/>
          <w:color w:val="000000"/>
          <w:lang w:val="id-ID" w:eastAsia="id-ID"/>
        </w:rPr>
        <w:t xml:space="preserve"> tanpa hak atau melawan hukum </w:t>
      </w:r>
      <w:r>
        <w:rPr>
          <w:color w:val="000000"/>
          <w:lang w:val="id-ID" w:eastAsia="id-ID"/>
        </w:rPr>
        <w:t>menurut ketentuan Pasal 8 ayat (1) dan (2) Undang-Undang Republik Indonesia Nomor 35 Tahun 2009 tentang Narkotika, menjelaskan Narkotika Golongan I dilarang digunakan untuk kepentingan pelayanan kesehatan, dan dalam jumlah terbatas Narkotika Golongan I dapat digunakan untuk kepentingan pengembangan ilmu pengetahuan, tehnologi dan untuk reagensia dianostik, serta reagensia labolatorium setelah mendapat persetujuan dari Menteri atas rekomendasi Kepala Badan Pengawas Obat dan Makanan</w:t>
      </w:r>
      <w:r>
        <w:rPr>
          <w:color w:val="000000"/>
        </w:rPr>
        <w:t>.</w:t>
      </w:r>
    </w:p>
    <w:p w:rsidR="00ED61AC" w:rsidRDefault="00ED61AC" w:rsidP="00ED61AC">
      <w:pPr>
        <w:autoSpaceDE w:val="0"/>
        <w:autoSpaceDN w:val="0"/>
        <w:adjustRightInd w:val="0"/>
        <w:spacing w:line="516" w:lineRule="auto"/>
        <w:ind w:firstLine="720"/>
        <w:jc w:val="both"/>
        <w:rPr>
          <w:color w:val="000000"/>
          <w:lang w:val="id-ID" w:eastAsia="id-ID"/>
        </w:rPr>
      </w:pPr>
      <w:r>
        <w:rPr>
          <w:color w:val="000000"/>
          <w:lang w:val="id-ID" w:eastAsia="id-ID"/>
        </w:rPr>
        <w:t>Terdakwa Tengku Harry Nur Arrafat Alias Ari adalah warga negara biasa bukan Dokter, bukan orang yang mempunyai pabrik obat atau pedagang besar farmasi dan bukan dari lembaga Ilmu Pengetahuan, bukan eksportir atau importir yang mempunyai izin dari Menteri Kesehatan untuk hal-hal yang berhubungan dengan Narkotika dan sesuai dengan fakta dipersidangan, bahwa Terdakwa memang tidak mempunyai izin dari pihak yang berwenang untuk menggunakan Narkotika Golongan I dalam bentuk bukan tanaman jenis shabu tersebut. Berdasarkan pertimbangan-pertimbangan tersebut Majelis hakim berpendapat bahwa unsur tanpa hak atau melawan hukum telah terpenuhi menurut hukum.</w:t>
      </w:r>
    </w:p>
    <w:p w:rsidR="00ED61AC" w:rsidRDefault="00ED61AC" w:rsidP="00E22298">
      <w:pPr>
        <w:numPr>
          <w:ilvl w:val="1"/>
          <w:numId w:val="16"/>
        </w:numPr>
        <w:tabs>
          <w:tab w:val="num" w:pos="360"/>
        </w:tabs>
        <w:autoSpaceDE w:val="0"/>
        <w:autoSpaceDN w:val="0"/>
        <w:adjustRightInd w:val="0"/>
        <w:spacing w:line="480" w:lineRule="auto"/>
        <w:ind w:left="360"/>
        <w:jc w:val="both"/>
        <w:rPr>
          <w:color w:val="000000"/>
          <w:lang w:val="id-ID" w:eastAsia="id-ID"/>
        </w:rPr>
      </w:pPr>
      <w:r>
        <w:rPr>
          <w:bCs/>
          <w:color w:val="000000"/>
          <w:lang w:val="id-ID" w:eastAsia="id-ID"/>
        </w:rPr>
        <w:lastRenderedPageBreak/>
        <w:t xml:space="preserve">Unsur menyalahgunakan narkotika golongan </w:t>
      </w:r>
      <w:r>
        <w:rPr>
          <w:bCs/>
          <w:color w:val="000000"/>
          <w:lang w:eastAsia="id-ID"/>
        </w:rPr>
        <w:t>I</w:t>
      </w:r>
      <w:r>
        <w:rPr>
          <w:bCs/>
          <w:color w:val="000000"/>
          <w:lang w:val="id-ID" w:eastAsia="id-ID"/>
        </w:rPr>
        <w:t xml:space="preserve"> bukan tanaman bagi diri sendiri.</w:t>
      </w:r>
    </w:p>
    <w:p w:rsidR="00ED61AC" w:rsidRDefault="00ED61AC" w:rsidP="00ED61AC">
      <w:pPr>
        <w:tabs>
          <w:tab w:val="num" w:pos="360"/>
        </w:tabs>
        <w:autoSpaceDE w:val="0"/>
        <w:autoSpaceDN w:val="0"/>
        <w:adjustRightInd w:val="0"/>
        <w:spacing w:line="480" w:lineRule="auto"/>
        <w:jc w:val="both"/>
        <w:rPr>
          <w:color w:val="000000"/>
          <w:lang w:val="id-ID" w:eastAsia="id-ID"/>
        </w:rPr>
      </w:pPr>
      <w:r>
        <w:rPr>
          <w:color w:val="000000"/>
          <w:lang w:val="id-ID" w:eastAsia="id-ID"/>
        </w:rPr>
        <w:tab/>
      </w:r>
      <w:r>
        <w:rPr>
          <w:color w:val="000000"/>
          <w:lang w:val="id-ID" w:eastAsia="id-ID"/>
        </w:rPr>
        <w:tab/>
        <w:t xml:space="preserve">Narkotika Golongan I adalah sebagaimana dalam Pasal 6 ayat (1) UU Narkotika, yaitu narkotika yang hanya dapat digunakan untuk tujuan pengembangan ilmu pengetahuan dan tidak digunakan dalam terapi, serta mempunyai potensi sangat tinggi mengakibatkan ketergantungan. Kategori Narkotika Golongan I adalah sebagaimana dalam Peraturan Menteri Kesehatan Nomor 50 Tahun 2018 tentang Perubahan Penggolongan Narkotika yaitu opium mentah, tanaman koka, daun koka, kokain mentah, heroina, metamfetamina, dan tanaman ganja. </w:t>
      </w:r>
    </w:p>
    <w:p w:rsidR="00ED61AC" w:rsidRDefault="00ED61AC" w:rsidP="00ED61AC">
      <w:pPr>
        <w:tabs>
          <w:tab w:val="num" w:pos="360"/>
        </w:tabs>
        <w:autoSpaceDE w:val="0"/>
        <w:autoSpaceDN w:val="0"/>
        <w:adjustRightInd w:val="0"/>
        <w:spacing w:line="480" w:lineRule="auto"/>
        <w:jc w:val="both"/>
        <w:rPr>
          <w:color w:val="000000"/>
          <w:lang w:val="id-ID" w:eastAsia="id-ID"/>
        </w:rPr>
      </w:pPr>
      <w:r>
        <w:rPr>
          <w:color w:val="000000"/>
          <w:lang w:val="id-ID" w:eastAsia="id-ID"/>
        </w:rPr>
        <w:tab/>
      </w:r>
      <w:r>
        <w:rPr>
          <w:color w:val="000000"/>
          <w:lang w:val="id-ID" w:eastAsia="id-ID"/>
        </w:rPr>
        <w:tab/>
        <w:t>Menurut Surat Edaran Mahkamah Agung (SEMA) Nomor 4 Tahun 2010, seseorang dikategorikan sebagai pengguna atau korban penyalahgunaan narkotika apabila memenuhi unsur-unsur, seperti terdakwa telah ditangkap dalam kondisi tertangkap tangan, pada saat ditanggap ditemukan barang bukti berupa narkotika golongan I jenis shabu yang beratnya tidak lebih dari 1 (satu) gram) untuk pemakaian satu hari, dan adanya surat uji laboratorium dimana urine terdakwa positif menggunakan narkotika dan dipersidangan Terdakwa tidak terbukti terlibat dalam peredaran gelap narkotika, melainkan terdakwa membelinya untuk digunakan sendiri.</w:t>
      </w:r>
    </w:p>
    <w:p w:rsidR="00ED61AC" w:rsidRDefault="00ED61AC" w:rsidP="00ED61AC">
      <w:pPr>
        <w:autoSpaceDE w:val="0"/>
        <w:autoSpaceDN w:val="0"/>
        <w:adjustRightInd w:val="0"/>
        <w:spacing w:line="480" w:lineRule="auto"/>
        <w:ind w:firstLine="720"/>
        <w:jc w:val="both"/>
        <w:rPr>
          <w:color w:val="000000"/>
        </w:rPr>
      </w:pPr>
      <w:r>
        <w:rPr>
          <w:color w:val="000000"/>
          <w:lang w:val="id-ID" w:eastAsia="id-ID"/>
        </w:rPr>
        <w:t xml:space="preserve">Sesuai dengan fakta yang terungkap di depan persidangan, bahwa pada saat tertangkap tangan, pada diri Terdakwa ditemukan barang bukti berupa narkotika golongan I jenis shabu yang beratnya tidak lebih dari 1 (satu) gram) untuk pemakaian satu hari, dan adanya surat uji laboratorium dimana urine </w:t>
      </w:r>
      <w:r>
        <w:rPr>
          <w:color w:val="000000"/>
          <w:lang w:val="id-ID" w:eastAsia="id-ID"/>
        </w:rPr>
        <w:lastRenderedPageBreak/>
        <w:t>terdakwa positif menggunakan narkotika dan dipersidangan Terdakwa tidak terbukti terlibat dalam peredaran gelap narkotika, sehingga Majelis Hakim berkesimpulan terdakwa telah menyalahgunakan narkotika golongan I bukan tanaman jenis shabu untuk diri sendiri sehingga berdasarkan pertimbangan-pertimbangan tersebut diatas, Majelis hakim berkeyakinan unsur menyalahgunakan narkotika golongan I bukan tanaman bagi diri sendiri telah terbukti secara sah dan meyakinkan menurut hukum.</w:t>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rPr>
        <w:t xml:space="preserve">Berdasarkan uraian tersebut maka </w:t>
      </w:r>
      <w:r>
        <w:rPr>
          <w:color w:val="000000"/>
          <w:lang w:val="id-ID"/>
        </w:rPr>
        <w:t xml:space="preserve">majelis hakim </w:t>
      </w:r>
      <w:r>
        <w:rPr>
          <w:color w:val="000000"/>
        </w:rPr>
        <w:t xml:space="preserve">berpendapat bahwa perbuatan yang dilakukan oleh terdakwa telah memenuhi unsur </w:t>
      </w:r>
      <w:r>
        <w:rPr>
          <w:color w:val="000000"/>
          <w:lang w:val="id-ID" w:eastAsia="id-ID"/>
        </w:rPr>
        <w:t>dari Pasal 127 ayat (1) huruf a Undang-Undang Republik Indonesia Nomor 35 Tahun 2009 tentang Narkotika telah terpenuhi, maka Terdakwa haruslah dinyatakan telah terbukti secara sah dan meyakinkan melakukan tindak pidana sebagaimana didakwakan dalam dakwaan kedua.</w:t>
      </w:r>
    </w:p>
    <w:p w:rsidR="00ED61AC" w:rsidRDefault="00ED61AC" w:rsidP="00ED61AC">
      <w:pPr>
        <w:tabs>
          <w:tab w:val="left" w:pos="426"/>
        </w:tabs>
        <w:spacing w:line="480" w:lineRule="auto"/>
        <w:jc w:val="both"/>
        <w:rPr>
          <w:color w:val="000000"/>
        </w:rPr>
      </w:pPr>
      <w:r>
        <w:rPr>
          <w:color w:val="000000"/>
        </w:rPr>
        <w:tab/>
      </w:r>
      <w:r>
        <w:rPr>
          <w:color w:val="000000"/>
        </w:rPr>
        <w:tab/>
        <w:t>Putusan pengadilan pada dasarnya adalah untuk memberikan suatu keadilan demi terciptanya suatu kepastian hukum. Namun dalam kenyataan di lapangan dapat ditemukan sebaliknya, di mana masih adanya masyarakat yang tidak puas dengan adanya putusan pengadilan. Hal ini dirasanya kurang tepat, keliru dan bahkan kadang–kadang keputusan pengadilan tidak memberikan suatu rasa keadilan yang diharapkan sehingga menimbulkan kekaburan dalam suatu penegakan kepastian hukum.</w:t>
      </w:r>
    </w:p>
    <w:p w:rsidR="00ED61AC" w:rsidRDefault="00ED61AC" w:rsidP="00ED61AC">
      <w:pPr>
        <w:spacing w:line="504" w:lineRule="auto"/>
        <w:ind w:firstLine="720"/>
        <w:jc w:val="both"/>
        <w:rPr>
          <w:color w:val="000000"/>
        </w:rPr>
      </w:pPr>
      <w:r>
        <w:rPr>
          <w:color w:val="000000"/>
        </w:rPr>
        <w:t xml:space="preserve">Dilihat dari Pasal 1 butir 11 KUHAP mengenai pengertian putusan pengadilan yaitu :  "Putusan pengadilan adalah pernyataan hakim yang diucapkan dalam sidang pengadilan terbuka, yang dapat berupa pemidanaan atau bebas atau </w:t>
      </w:r>
      <w:r>
        <w:rPr>
          <w:color w:val="000000"/>
        </w:rPr>
        <w:lastRenderedPageBreak/>
        <w:t>lepas dari segala tuntutan hukum dalam segala hal serta menurut cara yang diatur dalam undang-undang ini".</w:t>
      </w:r>
      <w:r>
        <w:rPr>
          <w:rStyle w:val="FootnoteReference"/>
          <w:color w:val="000000"/>
        </w:rPr>
        <w:footnoteReference w:id="39"/>
      </w:r>
      <w:r>
        <w:rPr>
          <w:color w:val="000000"/>
        </w:rPr>
        <w:t xml:space="preserve"> Putusan yang dijatuhkan Hakim dimaksudkan untuk mengakhiri atau menyelesaikan perkara yang diajukan kepadanya. </w:t>
      </w:r>
    </w:p>
    <w:p w:rsidR="00ED61AC" w:rsidRDefault="00ED61AC" w:rsidP="00ED61AC">
      <w:pPr>
        <w:pStyle w:val="BodyTextIndent"/>
        <w:tabs>
          <w:tab w:val="left" w:pos="720"/>
        </w:tabs>
        <w:autoSpaceDE w:val="0"/>
        <w:autoSpaceDN w:val="0"/>
        <w:adjustRightInd w:val="0"/>
        <w:ind w:firstLine="720"/>
        <w:rPr>
          <w:color w:val="000000"/>
          <w:szCs w:val="24"/>
        </w:rPr>
      </w:pPr>
      <w:r>
        <w:rPr>
          <w:color w:val="000000"/>
          <w:szCs w:val="24"/>
        </w:rPr>
        <w:t>Penggunaan hukum pidana sebagai sarana penanggulangan penyalahgunaan narkotika pada akhirnya akan bermuara pada persoalan bagaimana hakim dalam menjatuhkan putusan. Dasar pertimbangan hakim dalam menjatuhkan pidana akan sangat menentukan apakah putusan seorang hakim dianggap adil atau menentukan apakah putusannya dapat dipertanggungjawabkan atau tidak.</w:t>
      </w:r>
    </w:p>
    <w:p w:rsidR="00ED61AC" w:rsidRDefault="00ED61AC" w:rsidP="00ED61AC">
      <w:pPr>
        <w:pStyle w:val="BodyTextIndent"/>
        <w:tabs>
          <w:tab w:val="left" w:pos="720"/>
        </w:tabs>
        <w:autoSpaceDE w:val="0"/>
        <w:autoSpaceDN w:val="0"/>
        <w:adjustRightInd w:val="0"/>
        <w:ind w:firstLine="720"/>
        <w:rPr>
          <w:color w:val="000000"/>
          <w:szCs w:val="24"/>
        </w:rPr>
      </w:pPr>
      <w:r>
        <w:rPr>
          <w:color w:val="000000"/>
          <w:szCs w:val="24"/>
        </w:rPr>
        <w:t>Dasar pertimbangan hakim dalam menjatuhkan putusan dapat digunakan sebagai bahan analisis tentang orientasi yang dimiliki hakim dalam menjatuhkan putusan juga sangat penting untuk melihat bagaimana putusan yang dijatuhkan itu relevan dengan tujuan pemidanaan yang telah ditentukan. Secara umum dapat dikatakan, bahwa putusan hakim yang tidak didasarkan pada orientasi yang benar, dalam arti tidak sesuai dengan tujuan pemidanaan yang telah ditentukan, justru akan berdampak negatif terhadap proses penanggulangan kejahatan itu sendiri dan tidak akan membawa manfaat bagi terpidana.</w:t>
      </w:r>
      <w:r>
        <w:rPr>
          <w:rStyle w:val="FootnoteReference"/>
          <w:color w:val="000000"/>
          <w:szCs w:val="24"/>
        </w:rPr>
        <w:footnoteReference w:id="40"/>
      </w:r>
    </w:p>
    <w:p w:rsidR="00ED61AC" w:rsidRDefault="00ED61AC" w:rsidP="00ED61AC">
      <w:pPr>
        <w:pStyle w:val="BodyTextIndent"/>
        <w:tabs>
          <w:tab w:val="left" w:pos="720"/>
        </w:tabs>
        <w:autoSpaceDE w:val="0"/>
        <w:autoSpaceDN w:val="0"/>
        <w:adjustRightInd w:val="0"/>
        <w:ind w:firstLine="720"/>
        <w:rPr>
          <w:color w:val="000000"/>
          <w:szCs w:val="24"/>
        </w:rPr>
      </w:pPr>
      <w:r>
        <w:rPr>
          <w:color w:val="000000"/>
          <w:szCs w:val="24"/>
        </w:rPr>
        <w:lastRenderedPageBreak/>
        <w:t xml:space="preserve">Penjatuhan putusan terhadap pelaku tindak pidana penyalahgunaan narkotika, hakim membuat pertimbangan-pertimbangan. Menurut pengamatan dari putusan yang Pengadilan Negeri </w:t>
      </w:r>
      <w:r>
        <w:rPr>
          <w:color w:val="000000"/>
          <w:szCs w:val="24"/>
          <w:lang w:val="id-ID"/>
        </w:rPr>
        <w:t>Sei Rampah</w:t>
      </w:r>
      <w:r>
        <w:rPr>
          <w:color w:val="000000"/>
          <w:szCs w:val="24"/>
        </w:rPr>
        <w:t>, hakim dalam menjatuhkan pidana terhadap pelaku tindak pidana narkotika cenderung menggunakan pertimbangan yang bersifat yudiris dibandingkan yang bersifat non-yudiris.</w:t>
      </w:r>
    </w:p>
    <w:p w:rsidR="00ED61AC" w:rsidRDefault="00ED61AC" w:rsidP="00E22298">
      <w:pPr>
        <w:pStyle w:val="BodyTextIndent"/>
        <w:numPr>
          <w:ilvl w:val="3"/>
          <w:numId w:val="16"/>
        </w:numPr>
        <w:tabs>
          <w:tab w:val="left" w:pos="993"/>
        </w:tabs>
        <w:autoSpaceDE w:val="0"/>
        <w:autoSpaceDN w:val="0"/>
        <w:adjustRightInd w:val="0"/>
        <w:spacing w:line="240" w:lineRule="auto"/>
        <w:ind w:left="993" w:hanging="284"/>
        <w:rPr>
          <w:color w:val="000000"/>
          <w:szCs w:val="24"/>
        </w:rPr>
      </w:pPr>
      <w:r>
        <w:rPr>
          <w:color w:val="000000"/>
          <w:szCs w:val="24"/>
        </w:rPr>
        <w:t>Pertimbangan yuridis.</w:t>
      </w:r>
    </w:p>
    <w:p w:rsidR="00ED61AC" w:rsidRDefault="00ED61AC" w:rsidP="00ED61AC">
      <w:pPr>
        <w:pStyle w:val="BodyTextIndent"/>
        <w:tabs>
          <w:tab w:val="left" w:pos="993"/>
        </w:tabs>
        <w:autoSpaceDE w:val="0"/>
        <w:autoSpaceDN w:val="0"/>
        <w:adjustRightInd w:val="0"/>
        <w:spacing w:line="240" w:lineRule="auto"/>
        <w:ind w:left="993"/>
        <w:rPr>
          <w:color w:val="000000"/>
          <w:szCs w:val="24"/>
        </w:rPr>
      </w:pPr>
      <w:r>
        <w:rPr>
          <w:color w:val="000000"/>
          <w:szCs w:val="24"/>
        </w:rPr>
        <w:t xml:space="preserve">Pertimbangan yang bersifat yuridis adalah pertimbangan hakim yang didasarkan pada faktor-faktor yang terungkap di dalam persidangan dan oleh undang-undang telah ditetapkan sebagai hal yang harus dimuat di dalam putusan. </w:t>
      </w:r>
    </w:p>
    <w:p w:rsidR="00ED61AC" w:rsidRDefault="00ED61AC" w:rsidP="00E22298">
      <w:pPr>
        <w:pStyle w:val="BodyTextIndent"/>
        <w:numPr>
          <w:ilvl w:val="3"/>
          <w:numId w:val="16"/>
        </w:numPr>
        <w:tabs>
          <w:tab w:val="left" w:pos="993"/>
        </w:tabs>
        <w:autoSpaceDE w:val="0"/>
        <w:autoSpaceDN w:val="0"/>
        <w:adjustRightInd w:val="0"/>
        <w:spacing w:line="240" w:lineRule="auto"/>
        <w:ind w:left="993" w:hanging="284"/>
        <w:rPr>
          <w:color w:val="000000"/>
          <w:szCs w:val="24"/>
        </w:rPr>
      </w:pPr>
      <w:r>
        <w:rPr>
          <w:bCs/>
          <w:color w:val="000000"/>
          <w:szCs w:val="24"/>
        </w:rPr>
        <w:t>Pertimbangan non yuridis</w:t>
      </w:r>
    </w:p>
    <w:p w:rsidR="00ED61AC" w:rsidRDefault="00ED61AC" w:rsidP="00ED61AC">
      <w:pPr>
        <w:pStyle w:val="BodyTextIndent"/>
        <w:tabs>
          <w:tab w:val="left" w:pos="993"/>
        </w:tabs>
        <w:autoSpaceDE w:val="0"/>
        <w:autoSpaceDN w:val="0"/>
        <w:adjustRightInd w:val="0"/>
        <w:spacing w:line="240" w:lineRule="auto"/>
        <w:ind w:left="993"/>
        <w:rPr>
          <w:color w:val="000000"/>
          <w:szCs w:val="24"/>
        </w:rPr>
      </w:pPr>
      <w:r>
        <w:rPr>
          <w:color w:val="000000"/>
          <w:szCs w:val="24"/>
        </w:rPr>
        <w:t>Di samping pertimbangan yang bersifat yuridis hakim dalam menjatuhkan putusan membuat pertimbangan yang bersifat non yuridis. Pertimbangan yuridis saja tidaklah cukup untuk menentukan nilai keadilan dalam pemidanaan, tanpa ditopang dengan pertimbangan non yuridis yang bersifat sosiologis, psikologis, kriminologis dan filosofis.</w:t>
      </w:r>
      <w:r>
        <w:rPr>
          <w:rStyle w:val="FootnoteReference"/>
          <w:color w:val="000000"/>
          <w:szCs w:val="24"/>
        </w:rPr>
        <w:footnoteReference w:id="41"/>
      </w:r>
    </w:p>
    <w:p w:rsidR="00ED61AC" w:rsidRDefault="00ED61AC" w:rsidP="00ED61AC">
      <w:pPr>
        <w:pStyle w:val="BodyTextIndent"/>
        <w:tabs>
          <w:tab w:val="left" w:pos="993"/>
        </w:tabs>
        <w:autoSpaceDE w:val="0"/>
        <w:autoSpaceDN w:val="0"/>
        <w:adjustRightInd w:val="0"/>
        <w:spacing w:line="240" w:lineRule="auto"/>
        <w:ind w:left="993"/>
        <w:rPr>
          <w:color w:val="000000"/>
          <w:szCs w:val="24"/>
        </w:rPr>
      </w:pPr>
    </w:p>
    <w:p w:rsidR="00ED61AC" w:rsidRDefault="00ED61AC" w:rsidP="00ED61AC">
      <w:pPr>
        <w:pStyle w:val="BodyTextIndent"/>
        <w:tabs>
          <w:tab w:val="left" w:pos="720"/>
        </w:tabs>
        <w:autoSpaceDE w:val="0"/>
        <w:autoSpaceDN w:val="0"/>
        <w:adjustRightInd w:val="0"/>
        <w:ind w:firstLine="720"/>
        <w:rPr>
          <w:color w:val="000000"/>
          <w:szCs w:val="24"/>
          <w:lang w:val="id-ID" w:eastAsia="id-ID"/>
        </w:rPr>
      </w:pPr>
      <w:r>
        <w:rPr>
          <w:color w:val="000000"/>
          <w:szCs w:val="24"/>
          <w:lang w:val="id-ID" w:eastAsia="id-ID"/>
        </w:rPr>
        <w:t>Majelis Hakim dalam persidangan tidak menemukan hal-hal yang dapat menghapuskan pertanggungjawaban pidana, baik sebagai alasan pembenar dan atau alasan pemaaf, sehingga terdakwa harus dinyatakan terbukti bersalah melakukan tindak pidana yang didakwakan kepadanya dalam dakwaan kedua dan terdakwa haruslah dijatuhi pidana yang setimpal dengan perbuatannya.</w:t>
      </w:r>
    </w:p>
    <w:p w:rsidR="00ED61AC" w:rsidRDefault="00ED61AC" w:rsidP="00ED61AC">
      <w:pPr>
        <w:pStyle w:val="BodyTextIndent"/>
        <w:tabs>
          <w:tab w:val="left" w:pos="720"/>
        </w:tabs>
        <w:autoSpaceDE w:val="0"/>
        <w:autoSpaceDN w:val="0"/>
        <w:adjustRightInd w:val="0"/>
        <w:ind w:firstLine="720"/>
        <w:rPr>
          <w:color w:val="000000"/>
          <w:szCs w:val="24"/>
          <w:lang w:val="id-ID" w:eastAsia="id-ID"/>
        </w:rPr>
      </w:pPr>
      <w:r>
        <w:rPr>
          <w:color w:val="000000"/>
          <w:szCs w:val="24"/>
          <w:lang w:val="id-ID" w:eastAsia="id-ID"/>
        </w:rPr>
        <w:lastRenderedPageBreak/>
        <w:t xml:space="preserve">Menurut penulis pidana terhadap Terdakwa Tengku Harry Nur Arrafat Alias Ari dengan pidana </w:t>
      </w:r>
      <w:r>
        <w:rPr>
          <w:szCs w:val="24"/>
        </w:rPr>
        <w:t xml:space="preserve">berupa rehabilitasi medis dan rehabilitasi sosial selama </w:t>
      </w:r>
      <w:r>
        <w:rPr>
          <w:bCs/>
          <w:szCs w:val="24"/>
        </w:rPr>
        <w:t xml:space="preserve">1 (satu) tahun </w:t>
      </w:r>
      <w:r>
        <w:rPr>
          <w:szCs w:val="24"/>
        </w:rPr>
        <w:t xml:space="preserve">di Loka Rehabilitasi BNN Deli Serdang </w:t>
      </w:r>
      <w:r>
        <w:rPr>
          <w:color w:val="000000"/>
          <w:szCs w:val="24"/>
          <w:lang w:val="id-ID" w:eastAsia="id-ID"/>
        </w:rPr>
        <w:t>yang diperhitungkan dengan masa pidana yang dijatuhkan sudah tepat dan sesuai dengan rasa keadilan, sebab berdasarkan fakta-fakta yang terungkap di depan persidangan, kepemilikan narkotika jenis shabu oleh terdakwa semata-mata bertujuan untuk digunakan sendiri bukan untuk dijual atau diserahkan ke orang lain.</w:t>
      </w:r>
    </w:p>
    <w:p w:rsidR="00ED61AC" w:rsidRDefault="00ED61AC" w:rsidP="00ED61AC">
      <w:pPr>
        <w:pStyle w:val="BodyTextIndent"/>
        <w:tabs>
          <w:tab w:val="left" w:pos="720"/>
        </w:tabs>
        <w:autoSpaceDE w:val="0"/>
        <w:autoSpaceDN w:val="0"/>
        <w:adjustRightInd w:val="0"/>
        <w:ind w:firstLine="720"/>
        <w:rPr>
          <w:color w:val="000000"/>
          <w:szCs w:val="24"/>
        </w:rPr>
      </w:pPr>
      <w:r>
        <w:rPr>
          <w:color w:val="000000"/>
          <w:szCs w:val="24"/>
        </w:rPr>
        <w:t>Penulis berkeyakinan bahwa rehabilitasi jauh lebih baik dari pada penjara</w:t>
      </w:r>
      <w:r>
        <w:rPr>
          <w:color w:val="000000"/>
          <w:szCs w:val="24"/>
          <w:lang w:val="id-ID"/>
        </w:rPr>
        <w:t xml:space="preserve"> sebab j</w:t>
      </w:r>
      <w:r>
        <w:rPr>
          <w:color w:val="000000"/>
          <w:szCs w:val="24"/>
        </w:rPr>
        <w:t xml:space="preserve">ika pengguna direhabilitasi maka akan pulih dari ketergantungannya dan </w:t>
      </w:r>
      <w:r>
        <w:rPr>
          <w:color w:val="000000"/>
          <w:szCs w:val="24"/>
          <w:lang w:val="id-ID"/>
        </w:rPr>
        <w:t xml:space="preserve">tidak akan </w:t>
      </w:r>
      <w:r>
        <w:rPr>
          <w:color w:val="000000"/>
          <w:szCs w:val="24"/>
        </w:rPr>
        <w:t>mengkonsumsi barang haram lagi. Pasalnya konstruksi  hukum di negeri ini menganut double track system pemidanaan, yang pada intinya, pengguna yang diputus pidana maka pidananya dijalankan untuk rehabilitasi. Rehabilitasinya tidak dilaksanakan di dalam lembaga pemasyarakatan tetapi ditempat khusus untuk rehabilitasi.</w:t>
      </w:r>
    </w:p>
    <w:p w:rsidR="00ED61AC" w:rsidRDefault="00ED61AC" w:rsidP="00ED61AC">
      <w:pPr>
        <w:pStyle w:val="BodyTextIndent"/>
        <w:tabs>
          <w:tab w:val="left" w:pos="720"/>
        </w:tabs>
        <w:autoSpaceDE w:val="0"/>
        <w:autoSpaceDN w:val="0"/>
        <w:adjustRightInd w:val="0"/>
        <w:ind w:firstLine="720"/>
        <w:rPr>
          <w:color w:val="000000"/>
          <w:szCs w:val="24"/>
        </w:rPr>
      </w:pPr>
      <w:r>
        <w:rPr>
          <w:color w:val="000000"/>
          <w:szCs w:val="24"/>
        </w:rPr>
        <w:t xml:space="preserve">Rehabilitasi merupakan salah satu cara untuk menyelamatkan korban pengguna narkotika dari ketergantungan. </w:t>
      </w:r>
      <w:r>
        <w:rPr>
          <w:color w:val="000000"/>
          <w:szCs w:val="24"/>
          <w:lang w:val="id-ID"/>
        </w:rPr>
        <w:t>R</w:t>
      </w:r>
      <w:r>
        <w:rPr>
          <w:color w:val="000000"/>
          <w:szCs w:val="24"/>
        </w:rPr>
        <w:t xml:space="preserve">ehabilitasi merupakan usaha untuk memulihkan pecandu dari ketergantungan narkotika dan hidup normal sehat jasmani dan rohani sehingga dapat menyesuaikan dan meningkatkan kembali keterampilannya, pengetahuannya, kepandaiannya, pergaulannya </w:t>
      </w:r>
      <w:r>
        <w:rPr>
          <w:color w:val="000000"/>
          <w:szCs w:val="24"/>
        </w:rPr>
        <w:lastRenderedPageBreak/>
        <w:t>dalam lingungan hidup atau atau dengan keluarga yang disebut dengan resosialisasi.</w:t>
      </w:r>
    </w:p>
    <w:p w:rsidR="00ED61AC" w:rsidRDefault="00ED61AC" w:rsidP="00ED61AC">
      <w:pPr>
        <w:pStyle w:val="BodyTextIndent"/>
        <w:tabs>
          <w:tab w:val="left" w:pos="720"/>
        </w:tabs>
        <w:autoSpaceDE w:val="0"/>
        <w:autoSpaceDN w:val="0"/>
        <w:adjustRightInd w:val="0"/>
        <w:ind w:firstLine="720"/>
        <w:rPr>
          <w:color w:val="000000"/>
          <w:szCs w:val="24"/>
        </w:rPr>
      </w:pPr>
      <w:r>
        <w:rPr>
          <w:color w:val="000000"/>
          <w:szCs w:val="24"/>
          <w:lang w:val="id-ID"/>
        </w:rPr>
        <w:t>Menurut penulis rehabilitasi terhadap pecandu narktika harus benar-benar memenuhi pers</w:t>
      </w:r>
      <w:r>
        <w:rPr>
          <w:color w:val="000000"/>
          <w:szCs w:val="24"/>
        </w:rPr>
        <w:t>yarat</w:t>
      </w:r>
      <w:r>
        <w:rPr>
          <w:color w:val="000000"/>
          <w:szCs w:val="24"/>
          <w:lang w:val="id-ID"/>
        </w:rPr>
        <w:t xml:space="preserve">an yang ditentukan dalam </w:t>
      </w:r>
      <w:r>
        <w:rPr>
          <w:color w:val="000000"/>
          <w:szCs w:val="24"/>
        </w:rPr>
        <w:t>SEMA Nomor 4 Tahun 2010  </w:t>
      </w:r>
      <w:r>
        <w:rPr>
          <w:rStyle w:val="Emphasis"/>
          <w:color w:val="000000"/>
          <w:szCs w:val="24"/>
        </w:rPr>
        <w:t>jo </w:t>
      </w:r>
      <w:r>
        <w:rPr>
          <w:color w:val="000000"/>
          <w:szCs w:val="24"/>
        </w:rPr>
        <w:t>SEMA Nomor 3 Tahun 2011 tentang Penempatan Penyalahguna, Korban Penyalahgunaan, dan Pecandu Narkotika dalam Lembaga Rehabilitasi Medis dan Rehabilitasi Sosial bahwa tersangka, terdakwa yang dapat direhabilitasi medis atau sosial dalam perspektif jaksa penuntut umum yakni positif menggunakan narkotika (BAP hasil laboratorium), ada rekomendasi Tim Asesmen Terpadu, tidak berperan sebagai bandar, pengedar, kurir atau produsen, bukan merupakan residivis kasus narkotika dan saat ditangkap atau tertangkap tangan tanpa barang bukti atau dengan barang bukti yang tidak melebihi jumlah tertentu.</w:t>
      </w:r>
    </w:p>
    <w:p w:rsidR="00ED61AC" w:rsidRDefault="00ED61AC" w:rsidP="00ED61AC">
      <w:pPr>
        <w:pStyle w:val="BodyTextIndent"/>
        <w:tabs>
          <w:tab w:val="left" w:pos="720"/>
        </w:tabs>
        <w:autoSpaceDE w:val="0"/>
        <w:autoSpaceDN w:val="0"/>
        <w:adjustRightInd w:val="0"/>
        <w:ind w:firstLine="720"/>
        <w:rPr>
          <w:color w:val="000000"/>
          <w:szCs w:val="24"/>
        </w:rPr>
      </w:pPr>
      <w:r>
        <w:rPr>
          <w:color w:val="000000"/>
          <w:szCs w:val="24"/>
        </w:rPr>
        <w:t xml:space="preserve">Pidana penjara bagi korban penyalahgunaan </w:t>
      </w:r>
      <w:r>
        <w:rPr>
          <w:color w:val="000000"/>
          <w:szCs w:val="24"/>
          <w:lang w:val="id-ID"/>
        </w:rPr>
        <w:t>n</w:t>
      </w:r>
      <w:r>
        <w:rPr>
          <w:color w:val="000000"/>
          <w:szCs w:val="24"/>
        </w:rPr>
        <w:t>arkotika merupakan perampasan kemerdekaan dan mengandung sisi negatif sehingga tujuan pemidanaan tidak dapat diwujudkan secara maksimal</w:t>
      </w:r>
      <w:r>
        <w:rPr>
          <w:color w:val="000000"/>
          <w:szCs w:val="24"/>
          <w:lang w:val="id-ID"/>
        </w:rPr>
        <w:t xml:space="preserve"> s</w:t>
      </w:r>
      <w:r>
        <w:rPr>
          <w:color w:val="000000"/>
          <w:szCs w:val="24"/>
        </w:rPr>
        <w:t xml:space="preserve">edangkan </w:t>
      </w:r>
      <w:r>
        <w:rPr>
          <w:color w:val="000000"/>
          <w:szCs w:val="24"/>
          <w:lang w:val="id-ID"/>
        </w:rPr>
        <w:t>r</w:t>
      </w:r>
      <w:r>
        <w:rPr>
          <w:color w:val="000000"/>
          <w:szCs w:val="24"/>
        </w:rPr>
        <w:t xml:space="preserve">ehabilitasi dimaksudkan agar penyalahgumaan yang dikategorikan pecandu ini bebas dari ketergantungannya. Bukannya lepas atau pun bebas dari pemidanaan seperti halnya penjara tetapi </w:t>
      </w:r>
      <w:r>
        <w:rPr>
          <w:color w:val="000000"/>
          <w:szCs w:val="24"/>
          <w:lang w:val="id-ID"/>
        </w:rPr>
        <w:t>untuk</w:t>
      </w:r>
      <w:r>
        <w:rPr>
          <w:color w:val="000000"/>
          <w:szCs w:val="24"/>
        </w:rPr>
        <w:t xml:space="preserve"> dibina. Jika di dalam penjara </w:t>
      </w:r>
      <w:r>
        <w:rPr>
          <w:color w:val="000000"/>
          <w:szCs w:val="24"/>
          <w:lang w:val="id-ID"/>
        </w:rPr>
        <w:t>b</w:t>
      </w:r>
      <w:r>
        <w:rPr>
          <w:color w:val="000000"/>
          <w:szCs w:val="24"/>
        </w:rPr>
        <w:t xml:space="preserve">ukannya terjadi pembinaan di lembaga </w:t>
      </w:r>
      <w:r>
        <w:rPr>
          <w:color w:val="000000"/>
          <w:szCs w:val="24"/>
        </w:rPr>
        <w:lastRenderedPageBreak/>
        <w:t xml:space="preserve">pemasyarakatan malah penyalahguna makin </w:t>
      </w:r>
      <w:r>
        <w:rPr>
          <w:color w:val="000000"/>
          <w:szCs w:val="24"/>
          <w:lang w:val="id-ID"/>
        </w:rPr>
        <w:t>berakibat buruk dan</w:t>
      </w:r>
      <w:r>
        <w:rPr>
          <w:color w:val="000000"/>
          <w:szCs w:val="24"/>
        </w:rPr>
        <w:t xml:space="preserve"> hasilnya putusan hakim tidak membawa manfaat bagi penyalahguna dan kemudian orang tersebut kembali kemasyarakat tidak akan menjadi orang yang lebih baik. Jadi menurut penulis rehabilitasi adalah hukuman yang efektif dalam menekan kasus narkotika di Indonesia.</w:t>
      </w:r>
    </w:p>
    <w:p w:rsidR="00ED61AC" w:rsidRDefault="00ED61AC" w:rsidP="00ED61AC">
      <w:pPr>
        <w:pStyle w:val="BodyTextIndent"/>
        <w:tabs>
          <w:tab w:val="num" w:pos="360"/>
        </w:tabs>
        <w:autoSpaceDE w:val="0"/>
        <w:autoSpaceDN w:val="0"/>
        <w:adjustRightInd w:val="0"/>
        <w:ind w:firstLine="720"/>
        <w:rPr>
          <w:szCs w:val="24"/>
        </w:rPr>
      </w:pPr>
      <w:r>
        <w:rPr>
          <w:color w:val="000000"/>
          <w:szCs w:val="24"/>
          <w:lang w:val="id-ID" w:eastAsia="id-ID"/>
        </w:rPr>
        <w:t>Majelis hakim dalam menjatuhkan putusan rehabilitasi terhadap pecandu narkotika tentunya telah mempertimbangkan h</w:t>
      </w:r>
      <w:r>
        <w:rPr>
          <w:color w:val="000000"/>
          <w:szCs w:val="24"/>
        </w:rPr>
        <w:t xml:space="preserve">al-hal yang memberatkan </w:t>
      </w:r>
      <w:r>
        <w:rPr>
          <w:color w:val="000000"/>
          <w:szCs w:val="24"/>
          <w:lang w:val="id-ID"/>
        </w:rPr>
        <w:t>dan h</w:t>
      </w:r>
      <w:r>
        <w:rPr>
          <w:color w:val="000000"/>
          <w:szCs w:val="24"/>
        </w:rPr>
        <w:t xml:space="preserve">al-hal yang meringankan. Adapun </w:t>
      </w:r>
      <w:r>
        <w:rPr>
          <w:color w:val="000000"/>
          <w:szCs w:val="24"/>
          <w:lang w:val="id-ID"/>
        </w:rPr>
        <w:t xml:space="preserve">yang membeartkan adalah </w:t>
      </w:r>
      <w:r>
        <w:rPr>
          <w:color w:val="000000"/>
          <w:szCs w:val="24"/>
          <w:lang w:val="id-ID" w:eastAsia="id-ID"/>
        </w:rPr>
        <w:t xml:space="preserve">perbuatan terdakwa </w:t>
      </w:r>
      <w:r>
        <w:rPr>
          <w:szCs w:val="24"/>
        </w:rPr>
        <w:t>tidak mendukung program pemerintah dalam pemberantasan penyalahgunaan narkotika</w:t>
      </w:r>
    </w:p>
    <w:p w:rsidR="00ED61AC" w:rsidRDefault="00ED61AC" w:rsidP="00ED61AC">
      <w:pPr>
        <w:pStyle w:val="BodyTextIndent"/>
        <w:tabs>
          <w:tab w:val="left" w:pos="720"/>
        </w:tabs>
        <w:autoSpaceDE w:val="0"/>
        <w:autoSpaceDN w:val="0"/>
        <w:adjustRightInd w:val="0"/>
        <w:ind w:firstLine="720"/>
        <w:rPr>
          <w:color w:val="000000"/>
          <w:szCs w:val="24"/>
          <w:lang w:val="id-ID" w:eastAsia="id-ID"/>
        </w:rPr>
      </w:pPr>
      <w:r>
        <w:rPr>
          <w:color w:val="000000"/>
          <w:szCs w:val="24"/>
          <w:lang w:val="id-ID" w:eastAsia="id-ID"/>
        </w:rPr>
        <w:t>Keadaan yang meringankan:</w:t>
      </w:r>
    </w:p>
    <w:p w:rsidR="00ED61AC" w:rsidRDefault="00ED61AC" w:rsidP="00E22298">
      <w:pPr>
        <w:pStyle w:val="BodyTextIndent"/>
        <w:numPr>
          <w:ilvl w:val="6"/>
          <w:numId w:val="16"/>
        </w:numPr>
        <w:tabs>
          <w:tab w:val="num" w:pos="360"/>
        </w:tabs>
        <w:autoSpaceDE w:val="0"/>
        <w:autoSpaceDN w:val="0"/>
        <w:adjustRightInd w:val="0"/>
        <w:ind w:left="360"/>
        <w:rPr>
          <w:color w:val="000000"/>
          <w:szCs w:val="24"/>
          <w:lang w:val="id-ID" w:eastAsia="id-ID"/>
        </w:rPr>
      </w:pPr>
      <w:r>
        <w:rPr>
          <w:color w:val="000000"/>
          <w:szCs w:val="24"/>
          <w:lang w:val="id-ID" w:eastAsia="id-ID"/>
        </w:rPr>
        <w:t xml:space="preserve">Terdakwa </w:t>
      </w:r>
      <w:r>
        <w:rPr>
          <w:szCs w:val="24"/>
        </w:rPr>
        <w:t>belum pernah dihukum</w:t>
      </w:r>
      <w:r>
        <w:rPr>
          <w:color w:val="000000"/>
          <w:szCs w:val="24"/>
          <w:lang w:val="id-ID" w:eastAsia="id-ID"/>
        </w:rPr>
        <w:t>;</w:t>
      </w:r>
    </w:p>
    <w:p w:rsidR="00ED61AC" w:rsidRDefault="00ED61AC" w:rsidP="00E22298">
      <w:pPr>
        <w:pStyle w:val="BodyTextIndent"/>
        <w:numPr>
          <w:ilvl w:val="6"/>
          <w:numId w:val="16"/>
        </w:numPr>
        <w:tabs>
          <w:tab w:val="num" w:pos="360"/>
        </w:tabs>
        <w:autoSpaceDE w:val="0"/>
        <w:autoSpaceDN w:val="0"/>
        <w:adjustRightInd w:val="0"/>
        <w:ind w:left="360"/>
        <w:rPr>
          <w:color w:val="000000"/>
          <w:szCs w:val="24"/>
          <w:lang w:val="id-ID" w:eastAsia="id-ID"/>
        </w:rPr>
      </w:pPr>
      <w:r>
        <w:t>Terdakwa mengakui, menyesali, dan berjanji untuk tidak akan mengulangi</w:t>
      </w:r>
      <w:r>
        <w:rPr>
          <w:szCs w:val="24"/>
        </w:rPr>
        <w:t>perbuatannya;</w:t>
      </w:r>
    </w:p>
    <w:p w:rsidR="00ED61AC" w:rsidRDefault="00ED61AC" w:rsidP="00ED61AC">
      <w:pPr>
        <w:autoSpaceDE w:val="0"/>
        <w:autoSpaceDN w:val="0"/>
        <w:adjustRightInd w:val="0"/>
        <w:spacing w:line="480" w:lineRule="auto"/>
        <w:ind w:firstLine="720"/>
        <w:jc w:val="both"/>
        <w:rPr>
          <w:color w:val="000000"/>
          <w:lang w:val="id-ID" w:eastAsia="id-ID"/>
        </w:rPr>
      </w:pPr>
      <w:r>
        <w:rPr>
          <w:color w:val="000000"/>
          <w:lang w:val="id-ID" w:eastAsia="id-ID"/>
        </w:rPr>
        <w:t xml:space="preserve">Tujuan utama dari rehabilitasi sebagai upaya agar pecandu narkotika yang telah ketergantungan terhadap narkotika setelah keluar dari lembaga rehabilitasi dapat pulih lagi dan angka kambuh dapat turun, karena berdasarkan survey yang ada bila menggunakan konsep sanksi pidana pada pecandu narkotika mayoritas pecandu setelah keluar dari Lembaga Pemasyarakatan mereka berpeluang melakukan penyalahgunaan narkotika kembali. Karena di dalam Lembaga Pemasyarakatan tidak dilakukan metode penangan pecandu narkotika secara </w:t>
      </w:r>
      <w:r>
        <w:rPr>
          <w:color w:val="000000"/>
          <w:lang w:val="id-ID" w:eastAsia="id-ID"/>
        </w:rPr>
        <w:lastRenderedPageBreak/>
        <w:t>optimal seperti di Lembaga rehabilitasi sebagai contoh tidak dilakukannya detoksifikasi.  Berdasarkan analisis penulis berkaitan mengenai sanksi bagi pecandu narkotika, maka penulis melihat dari segi banyaknya manfaat yang diperoleh dan efektifnya pemberian sanksi tindakan berupa rehabilitasi dalam mengentaskan permasalahan peredaran dan penyalahgunaan narkotika.</w:t>
      </w:r>
    </w:p>
    <w:p w:rsidR="00CE7FEB" w:rsidRPr="00ED61AC" w:rsidRDefault="00CE7FEB" w:rsidP="00ED61AC">
      <w:bookmarkStart w:id="6" w:name="_GoBack"/>
      <w:bookmarkEnd w:id="6"/>
    </w:p>
    <w:sectPr w:rsidR="00CE7FEB" w:rsidRPr="00ED61AC"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671" w:rsidRDefault="002C2671" w:rsidP="002D79FF">
      <w:r>
        <w:separator/>
      </w:r>
    </w:p>
  </w:endnote>
  <w:endnote w:type="continuationSeparator" w:id="1">
    <w:p w:rsidR="002C2671" w:rsidRDefault="002C2671"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OpenSymbol">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2C2671">
    <w:pPr>
      <w:pStyle w:val="Footer"/>
      <w:jc w:val="center"/>
    </w:pPr>
  </w:p>
  <w:p w:rsidR="00630637" w:rsidRDefault="002C2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671" w:rsidRDefault="002C2671" w:rsidP="002D79FF">
      <w:r>
        <w:separator/>
      </w:r>
    </w:p>
  </w:footnote>
  <w:footnote w:type="continuationSeparator" w:id="1">
    <w:p w:rsidR="002C2671" w:rsidRDefault="002C2671" w:rsidP="002D79FF">
      <w:r>
        <w:continuationSeparator/>
      </w:r>
    </w:p>
  </w:footnote>
  <w:footnote w:id="2">
    <w:p w:rsidR="00ED61AC" w:rsidRDefault="00ED61AC" w:rsidP="00ED61AC">
      <w:pPr>
        <w:autoSpaceDE w:val="0"/>
        <w:autoSpaceDN w:val="0"/>
        <w:adjustRightInd w:val="0"/>
        <w:ind w:firstLine="709"/>
        <w:jc w:val="both"/>
        <w:rPr>
          <w:sz w:val="20"/>
          <w:szCs w:val="20"/>
          <w:lang w:val="id-ID"/>
        </w:rPr>
      </w:pPr>
      <w:r>
        <w:rPr>
          <w:rStyle w:val="FootnoteReference"/>
          <w:sz w:val="20"/>
          <w:szCs w:val="20"/>
        </w:rPr>
        <w:footnoteRef/>
      </w:r>
      <w:r>
        <w:rPr>
          <w:sz w:val="20"/>
          <w:szCs w:val="20"/>
          <w:lang w:val="id-ID" w:eastAsia="id-ID"/>
        </w:rPr>
        <w:t xml:space="preserve">Sumarmo Masum, </w:t>
      </w:r>
      <w:r>
        <w:rPr>
          <w:iCs/>
          <w:sz w:val="20"/>
          <w:szCs w:val="20"/>
          <w:lang w:val="id-ID" w:eastAsia="id-ID"/>
        </w:rPr>
        <w:t xml:space="preserve"> h.26.</w:t>
      </w:r>
    </w:p>
  </w:footnote>
  <w:footnote w:id="3">
    <w:p w:rsidR="00ED61AC" w:rsidRDefault="00ED61AC" w:rsidP="00ED61AC">
      <w:pPr>
        <w:pStyle w:val="FootnoteText"/>
        <w:ind w:firstLine="709"/>
        <w:rPr>
          <w:lang w:val="id-ID"/>
        </w:rPr>
      </w:pPr>
      <w:r>
        <w:rPr>
          <w:rStyle w:val="FootnoteReference"/>
        </w:rPr>
        <w:footnoteRef/>
      </w:r>
      <w:r>
        <w:rPr>
          <w:i/>
          <w:lang w:val="id-ID"/>
        </w:rPr>
        <w:t>Ibid</w:t>
      </w:r>
      <w:r>
        <w:rPr>
          <w:lang w:val="id-ID"/>
        </w:rPr>
        <w:t>, h.27.</w:t>
      </w:r>
    </w:p>
  </w:footnote>
  <w:footnote w:id="4">
    <w:p w:rsidR="00ED61AC" w:rsidRDefault="00ED61AC" w:rsidP="00ED61AC">
      <w:pPr>
        <w:pStyle w:val="FootnoteText"/>
        <w:ind w:firstLine="709"/>
        <w:jc w:val="both"/>
        <w:rPr>
          <w:lang w:val="id-ID"/>
        </w:rPr>
      </w:pPr>
      <w:r>
        <w:rPr>
          <w:rStyle w:val="FootnoteReference"/>
        </w:rPr>
        <w:footnoteRef/>
      </w:r>
      <w:r>
        <w:rPr>
          <w:lang w:val="id-ID"/>
        </w:rPr>
        <w:t>K</w:t>
      </w:r>
      <w:r>
        <w:rPr>
          <w:rStyle w:val="markedcontent"/>
        </w:rPr>
        <w:t xml:space="preserve">usno Adi, </w:t>
      </w:r>
      <w:r>
        <w:rPr>
          <w:rStyle w:val="markedcontent"/>
          <w:i/>
        </w:rPr>
        <w:t>Kebijakan Kriminal Dalam Penanggulangan Tindak Pidana Narkotika Oleh Anak</w:t>
      </w:r>
      <w:r>
        <w:rPr>
          <w:rStyle w:val="markedcontent"/>
        </w:rPr>
        <w:t>, UMM Press, Malang, 2009, h. 30</w:t>
      </w:r>
    </w:p>
  </w:footnote>
  <w:footnote w:id="5">
    <w:p w:rsidR="00ED61AC" w:rsidRDefault="00ED61AC" w:rsidP="00ED61AC">
      <w:pPr>
        <w:pStyle w:val="FootnoteText"/>
        <w:ind w:firstLine="709"/>
        <w:jc w:val="both"/>
        <w:rPr>
          <w:lang w:val="id-ID"/>
        </w:rPr>
      </w:pPr>
      <w:r>
        <w:rPr>
          <w:rStyle w:val="FootnoteReference"/>
        </w:rPr>
        <w:footnoteRef/>
      </w:r>
      <w:r>
        <w:rPr>
          <w:lang w:val="id-ID"/>
        </w:rPr>
        <w:t>Muladi</w:t>
      </w:r>
      <w:r>
        <w:t xml:space="preserve">, </w:t>
      </w:r>
      <w:r>
        <w:rPr>
          <w:i/>
          <w:iCs/>
        </w:rPr>
        <w:t>Kapita Selekta Sistem Peradilan Pidana</w:t>
      </w:r>
      <w:r>
        <w:t>, Badan Penerbit Universitas Diponegoro, Semarang,2005, h 4.</w:t>
      </w:r>
    </w:p>
  </w:footnote>
  <w:footnote w:id="6">
    <w:p w:rsidR="00ED61AC" w:rsidRDefault="00ED61AC" w:rsidP="00ED61AC">
      <w:pPr>
        <w:autoSpaceDE w:val="0"/>
        <w:autoSpaceDN w:val="0"/>
        <w:adjustRightInd w:val="0"/>
        <w:ind w:firstLine="709"/>
        <w:jc w:val="both"/>
        <w:rPr>
          <w:sz w:val="20"/>
          <w:szCs w:val="20"/>
          <w:lang w:val="id-ID"/>
        </w:rPr>
      </w:pPr>
      <w:r>
        <w:rPr>
          <w:rStyle w:val="FootnoteReference"/>
          <w:sz w:val="20"/>
          <w:szCs w:val="20"/>
        </w:rPr>
        <w:footnoteRef/>
      </w:r>
      <w:r>
        <w:rPr>
          <w:sz w:val="20"/>
          <w:szCs w:val="20"/>
          <w:lang w:val="id-ID" w:eastAsia="id-ID"/>
        </w:rPr>
        <w:t xml:space="preserve">Barda Nawawi Arief, , </w:t>
      </w:r>
      <w:r>
        <w:rPr>
          <w:i/>
          <w:iCs/>
          <w:sz w:val="20"/>
          <w:szCs w:val="20"/>
          <w:lang w:val="id-ID" w:eastAsia="id-ID"/>
        </w:rPr>
        <w:t xml:space="preserve">Op.Cit, </w:t>
      </w:r>
      <w:r>
        <w:rPr>
          <w:sz w:val="20"/>
          <w:szCs w:val="20"/>
          <w:lang w:val="id-ID" w:eastAsia="id-ID"/>
        </w:rPr>
        <w:t xml:space="preserve"> h. 43</w:t>
      </w:r>
    </w:p>
  </w:footnote>
  <w:footnote w:id="7">
    <w:p w:rsidR="00ED61AC" w:rsidRDefault="00ED61AC" w:rsidP="00ED61AC">
      <w:pPr>
        <w:pStyle w:val="FootnoteText"/>
        <w:ind w:firstLine="709"/>
        <w:jc w:val="both"/>
        <w:rPr>
          <w:lang w:val="id-ID"/>
        </w:rPr>
      </w:pPr>
      <w:r>
        <w:rPr>
          <w:rStyle w:val="FootnoteReference"/>
        </w:rPr>
        <w:footnoteRef/>
      </w:r>
      <w:r>
        <w:rPr>
          <w:rStyle w:val="markedcontent"/>
        </w:rPr>
        <w:t xml:space="preserve">Bambang Purnomo, </w:t>
      </w:r>
      <w:r>
        <w:rPr>
          <w:rStyle w:val="markedcontent"/>
          <w:i/>
        </w:rPr>
        <w:t>Pelaksnaan Pelaksanaan Pidana Penjaran dengan Sistem Pemasyarakatan</w:t>
      </w:r>
      <w:r>
        <w:rPr>
          <w:rStyle w:val="markedcontent"/>
        </w:rPr>
        <w:t>, Liberty, Yogyakarta, 20</w:t>
      </w:r>
      <w:r>
        <w:rPr>
          <w:rStyle w:val="markedcontent"/>
          <w:lang w:val="id-ID"/>
        </w:rPr>
        <w:t>1</w:t>
      </w:r>
      <w:r>
        <w:rPr>
          <w:rStyle w:val="markedcontent"/>
        </w:rPr>
        <w:t>2, h. 19.</w:t>
      </w:r>
    </w:p>
  </w:footnote>
  <w:footnote w:id="8">
    <w:p w:rsidR="00ED61AC" w:rsidRDefault="00ED61AC" w:rsidP="00ED61AC">
      <w:pPr>
        <w:pStyle w:val="FootnoteText"/>
        <w:ind w:firstLine="709"/>
        <w:jc w:val="both"/>
        <w:rPr>
          <w:lang w:val="id-ID"/>
        </w:rPr>
      </w:pPr>
      <w:r>
        <w:rPr>
          <w:rStyle w:val="FootnoteReference"/>
        </w:rPr>
        <w:footnoteRef/>
      </w:r>
      <w:r>
        <w:rPr>
          <w:rStyle w:val="markedcontent"/>
        </w:rPr>
        <w:t xml:space="preserve">Muladi dan Barda Nawawi Arief, </w:t>
      </w:r>
      <w:r>
        <w:rPr>
          <w:rStyle w:val="markedcontent"/>
          <w:i/>
        </w:rPr>
        <w:t>Teori-Teori dan Kebijakan Pidana</w:t>
      </w:r>
      <w:r>
        <w:rPr>
          <w:rStyle w:val="markedcontent"/>
        </w:rPr>
        <w:t xml:space="preserve">, </w:t>
      </w:r>
      <w:r>
        <w:rPr>
          <w:rStyle w:val="markedcontent"/>
          <w:i/>
          <w:lang w:val="id-ID"/>
        </w:rPr>
        <w:t>Op.Cit</w:t>
      </w:r>
      <w:r>
        <w:rPr>
          <w:rStyle w:val="markedcontent"/>
        </w:rPr>
        <w:t>, h. 1.</w:t>
      </w:r>
    </w:p>
  </w:footnote>
  <w:footnote w:id="9">
    <w:p w:rsidR="00ED61AC" w:rsidRDefault="00ED61AC" w:rsidP="00ED61AC">
      <w:pPr>
        <w:pStyle w:val="FootnoteText"/>
        <w:ind w:firstLine="709"/>
        <w:jc w:val="both"/>
        <w:rPr>
          <w:lang w:val="id-ID"/>
        </w:rPr>
      </w:pPr>
      <w:r>
        <w:rPr>
          <w:rStyle w:val="FootnoteReference"/>
        </w:rPr>
        <w:footnoteRef/>
      </w:r>
      <w:r>
        <w:rPr>
          <w:lang w:val="id-ID" w:eastAsia="id-ID"/>
        </w:rPr>
        <w:t xml:space="preserve">Sukarmi, </w:t>
      </w:r>
      <w:r>
        <w:rPr>
          <w:i/>
          <w:iCs/>
          <w:lang w:val="id-ID" w:eastAsia="id-ID"/>
        </w:rPr>
        <w:t>Psikologi Hukum</w:t>
      </w:r>
      <w:r>
        <w:rPr>
          <w:lang w:val="id-ID" w:eastAsia="id-ID"/>
        </w:rPr>
        <w:t>, Unissula Press,Semarang, 2012, h. 47</w:t>
      </w:r>
    </w:p>
  </w:footnote>
  <w:footnote w:id="10">
    <w:p w:rsidR="00ED61AC" w:rsidRDefault="00ED61AC" w:rsidP="00ED61AC">
      <w:pPr>
        <w:autoSpaceDE w:val="0"/>
        <w:autoSpaceDN w:val="0"/>
        <w:adjustRightInd w:val="0"/>
        <w:ind w:firstLine="709"/>
        <w:jc w:val="both"/>
        <w:rPr>
          <w:sz w:val="20"/>
          <w:szCs w:val="20"/>
          <w:lang w:val="id-ID"/>
        </w:rPr>
      </w:pPr>
      <w:r>
        <w:rPr>
          <w:rStyle w:val="FootnoteReference"/>
          <w:sz w:val="20"/>
          <w:szCs w:val="20"/>
        </w:rPr>
        <w:footnoteRef/>
      </w:r>
      <w:r>
        <w:rPr>
          <w:sz w:val="20"/>
          <w:szCs w:val="20"/>
          <w:lang w:val="id-ID" w:eastAsia="id-ID"/>
        </w:rPr>
        <w:t xml:space="preserve">Sri Endah Wahyuningsih, </w:t>
      </w:r>
      <w:r>
        <w:rPr>
          <w:i/>
          <w:sz w:val="20"/>
          <w:szCs w:val="20"/>
          <w:lang w:val="id-ID" w:eastAsia="id-ID"/>
        </w:rPr>
        <w:t>Prinsip-prinsip Individualisasi Pidana Dalam Hukum Pidana Islam dan Pembaharuan Hukum Pidana Indonesia</w:t>
      </w:r>
      <w:r>
        <w:rPr>
          <w:sz w:val="20"/>
          <w:szCs w:val="20"/>
          <w:lang w:val="id-ID" w:eastAsia="id-ID"/>
        </w:rPr>
        <w:t>, Badan Penerbit Universitas Diponegoro, Semarang, 2013, h.82</w:t>
      </w:r>
    </w:p>
  </w:footnote>
  <w:footnote w:id="11">
    <w:p w:rsidR="00ED61AC" w:rsidRDefault="00ED61AC" w:rsidP="00ED61AC">
      <w:pPr>
        <w:pStyle w:val="FootnoteText"/>
        <w:ind w:firstLine="709"/>
        <w:jc w:val="both"/>
        <w:rPr>
          <w:lang w:val="id-ID"/>
        </w:rPr>
      </w:pPr>
      <w:r>
        <w:rPr>
          <w:rStyle w:val="FootnoteReference"/>
        </w:rPr>
        <w:footnoteRef/>
      </w:r>
      <w:r>
        <w:rPr>
          <w:i/>
          <w:lang w:val="id-ID"/>
        </w:rPr>
        <w:t>Ibid</w:t>
      </w:r>
      <w:r>
        <w:rPr>
          <w:lang w:val="id-ID"/>
        </w:rPr>
        <w:t>, h.83.</w:t>
      </w:r>
    </w:p>
  </w:footnote>
  <w:footnote w:id="12">
    <w:p w:rsidR="00ED61AC" w:rsidRDefault="00ED61AC" w:rsidP="00ED61AC">
      <w:pPr>
        <w:pStyle w:val="Default"/>
        <w:ind w:firstLine="709"/>
        <w:jc w:val="both"/>
        <w:rPr>
          <w:rFonts w:ascii="Times New Roman" w:hAnsi="Times New Roman" w:cs="Times New Roman"/>
          <w:sz w:val="20"/>
          <w:szCs w:val="20"/>
        </w:rPr>
      </w:pPr>
      <w:r>
        <w:rPr>
          <w:rStyle w:val="FootnoteReference"/>
          <w:rFonts w:ascii="Times New Roman" w:hAnsi="Times New Roman" w:cs="Times New Roman"/>
          <w:sz w:val="20"/>
          <w:szCs w:val="20"/>
        </w:rPr>
        <w:footnoteRef/>
      </w:r>
      <w:bookmarkStart w:id="1" w:name="_Hlk90874583"/>
      <w:r>
        <w:rPr>
          <w:rFonts w:ascii="Times New Roman" w:hAnsi="Times New Roman" w:cs="Times New Roman"/>
          <w:sz w:val="20"/>
          <w:szCs w:val="20"/>
          <w:lang w:val="en-ID" w:eastAsia="en-ID"/>
        </w:rPr>
        <w:t>Yuliana Yuli W, “Upaya Rehabilitasi Terhadap Pecandu Narkotika Dalam Perspektif Hukum Pidana”,</w:t>
      </w:r>
      <w:r>
        <w:rPr>
          <w:rFonts w:ascii="Times New Roman" w:hAnsi="Times New Roman" w:cs="Times New Roman"/>
          <w:i/>
          <w:iCs/>
          <w:sz w:val="20"/>
          <w:szCs w:val="20"/>
        </w:rPr>
        <w:t xml:space="preserve">Jurnal Hukum, </w:t>
      </w:r>
      <w:r>
        <w:rPr>
          <w:rFonts w:ascii="Times New Roman" w:hAnsi="Times New Roman" w:cs="Times New Roman"/>
          <w:sz w:val="20"/>
          <w:szCs w:val="20"/>
        </w:rPr>
        <w:t>Vol.10 No.1 Thn 2018</w:t>
      </w:r>
      <w:bookmarkEnd w:id="1"/>
      <w:r>
        <w:rPr>
          <w:rFonts w:ascii="Times New Roman" w:hAnsi="Times New Roman" w:cs="Times New Roman"/>
          <w:sz w:val="20"/>
          <w:szCs w:val="20"/>
        </w:rPr>
        <w:t>, h.61.</w:t>
      </w:r>
    </w:p>
  </w:footnote>
  <w:footnote w:id="13">
    <w:p w:rsidR="00ED61AC" w:rsidRDefault="00ED61AC" w:rsidP="00ED61AC">
      <w:pPr>
        <w:pStyle w:val="FootnoteText"/>
        <w:ind w:firstLine="709"/>
      </w:pPr>
      <w:r>
        <w:rPr>
          <w:rStyle w:val="FootnoteReference"/>
        </w:rPr>
        <w:footnoteRef/>
      </w:r>
      <w:r>
        <w:rPr>
          <w:i/>
          <w:iCs/>
        </w:rPr>
        <w:t>Ibid</w:t>
      </w:r>
      <w:r>
        <w:t>, h.62.</w:t>
      </w:r>
    </w:p>
  </w:footnote>
  <w:footnote w:id="14">
    <w:p w:rsidR="00ED61AC" w:rsidRDefault="00ED61AC" w:rsidP="00ED61AC">
      <w:pPr>
        <w:autoSpaceDE w:val="0"/>
        <w:autoSpaceDN w:val="0"/>
        <w:adjustRightInd w:val="0"/>
        <w:ind w:firstLine="709"/>
        <w:jc w:val="both"/>
        <w:rPr>
          <w:sz w:val="20"/>
          <w:szCs w:val="20"/>
        </w:rPr>
      </w:pPr>
      <w:r>
        <w:rPr>
          <w:rStyle w:val="FootnoteReference"/>
          <w:sz w:val="20"/>
          <w:szCs w:val="20"/>
        </w:rPr>
        <w:footnoteRef/>
      </w:r>
      <w:bookmarkStart w:id="2" w:name="_Hlk90874806"/>
      <w:r>
        <w:rPr>
          <w:sz w:val="20"/>
          <w:szCs w:val="20"/>
          <w:lang w:val="en-ID" w:eastAsia="en-ID"/>
        </w:rPr>
        <w:t xml:space="preserve">Parasian Simanungkalit, “Model Pemidanaan Yang Ideal Bagi Korban Pengguna Narkoba Di Indonesia”, </w:t>
      </w:r>
      <w:r>
        <w:rPr>
          <w:i/>
          <w:iCs/>
          <w:sz w:val="20"/>
          <w:szCs w:val="20"/>
          <w:lang w:val="en-ID" w:eastAsia="en-ID"/>
        </w:rPr>
        <w:t xml:space="preserve">Jurnal Yustisia, </w:t>
      </w:r>
      <w:r>
        <w:rPr>
          <w:sz w:val="20"/>
          <w:szCs w:val="20"/>
          <w:lang w:val="en-ID" w:eastAsia="en-ID"/>
        </w:rPr>
        <w:t>Vol.1 No. 3 September - Desember 2012</w:t>
      </w:r>
      <w:bookmarkEnd w:id="2"/>
      <w:r>
        <w:rPr>
          <w:sz w:val="20"/>
          <w:szCs w:val="20"/>
          <w:lang w:val="en-ID" w:eastAsia="en-ID"/>
        </w:rPr>
        <w:t>, h.83.</w:t>
      </w:r>
    </w:p>
  </w:footnote>
  <w:footnote w:id="15">
    <w:p w:rsidR="00ED61AC" w:rsidRDefault="00ED61AC" w:rsidP="00ED61AC">
      <w:pPr>
        <w:pStyle w:val="Default"/>
        <w:ind w:firstLine="709"/>
        <w:jc w:val="both"/>
        <w:rPr>
          <w:rFonts w:ascii="Times New Roman" w:hAnsi="Times New Roman" w:cs="Times New Roman"/>
          <w:sz w:val="20"/>
          <w:szCs w:val="20"/>
        </w:rPr>
      </w:pPr>
      <w:r>
        <w:rPr>
          <w:rStyle w:val="FootnoteReference"/>
          <w:rFonts w:ascii="Times New Roman" w:hAnsi="Times New Roman" w:cs="Times New Roman"/>
          <w:sz w:val="20"/>
          <w:szCs w:val="20"/>
        </w:rPr>
        <w:footnoteRef/>
      </w:r>
      <w:bookmarkStart w:id="3" w:name="_Hlk90874998"/>
      <w:r>
        <w:rPr>
          <w:rFonts w:ascii="Times New Roman" w:hAnsi="Times New Roman" w:cs="Times New Roman"/>
          <w:sz w:val="20"/>
          <w:szCs w:val="20"/>
          <w:lang w:val="en-ID" w:eastAsia="en-ID"/>
        </w:rPr>
        <w:t xml:space="preserve">Deni Setya Bagus Yuherawan, “Ketidaktepatan Penjatuhan Pidana Penjara Terhadap Penyalahguna Narkotika”, </w:t>
      </w:r>
      <w:r>
        <w:rPr>
          <w:rFonts w:ascii="Times New Roman" w:hAnsi="Times New Roman" w:cs="Times New Roman"/>
          <w:i/>
          <w:iCs/>
          <w:sz w:val="20"/>
          <w:szCs w:val="20"/>
          <w:lang w:val="en-ID" w:eastAsia="en-ID"/>
        </w:rPr>
        <w:t>Jurnal Ius Constituendum</w:t>
      </w:r>
      <w:r>
        <w:rPr>
          <w:rFonts w:ascii="Times New Roman" w:hAnsi="Times New Roman" w:cs="Times New Roman"/>
          <w:sz w:val="20"/>
          <w:szCs w:val="20"/>
          <w:lang w:val="en-ID" w:eastAsia="en-ID"/>
        </w:rPr>
        <w:t>, Volume 5 Nomor 2 Oktober 2020</w:t>
      </w:r>
      <w:bookmarkEnd w:id="3"/>
      <w:r>
        <w:rPr>
          <w:rFonts w:ascii="Times New Roman" w:hAnsi="Times New Roman" w:cs="Times New Roman"/>
          <w:sz w:val="20"/>
          <w:szCs w:val="20"/>
          <w:lang w:val="en-ID" w:eastAsia="en-ID"/>
        </w:rPr>
        <w:t>, h.42.</w:t>
      </w:r>
    </w:p>
  </w:footnote>
  <w:footnote w:id="16">
    <w:p w:rsidR="00ED61AC" w:rsidRDefault="00ED61AC" w:rsidP="00ED61AC">
      <w:pPr>
        <w:pStyle w:val="FootnoteText"/>
        <w:ind w:firstLine="709"/>
      </w:pPr>
      <w:r>
        <w:rPr>
          <w:rStyle w:val="FootnoteReference"/>
        </w:rPr>
        <w:footnoteRef/>
      </w:r>
      <w:r>
        <w:rPr>
          <w:i/>
          <w:iCs/>
        </w:rPr>
        <w:t>Ibid</w:t>
      </w:r>
      <w:r>
        <w:t>, h.45.</w:t>
      </w:r>
    </w:p>
  </w:footnote>
  <w:footnote w:id="17">
    <w:p w:rsidR="00ED61AC" w:rsidRDefault="00ED61AC" w:rsidP="00ED61AC">
      <w:pPr>
        <w:pStyle w:val="FootnoteText"/>
        <w:ind w:firstLine="709"/>
        <w:jc w:val="both"/>
      </w:pPr>
      <w:r>
        <w:rPr>
          <w:rStyle w:val="FootnoteReference"/>
        </w:rPr>
        <w:footnoteRef/>
      </w:r>
      <w:bookmarkStart w:id="4" w:name="_Hlk90875112"/>
      <w:r>
        <w:t xml:space="preserve">Tatas Nur Arifin, “Implementasi Rehabilitasi Pecandu Narkotika Dalam Undang-undang Republik Indonesia Nomor 35 Tahun 2009 Tentang Narkotika Sebagai Upaya Non Penal Badan Narkotika Nasional”, </w:t>
      </w:r>
      <w:r>
        <w:rPr>
          <w:i/>
          <w:iCs/>
        </w:rPr>
        <w:t>Jurnal Hukum</w:t>
      </w:r>
      <w:r>
        <w:t>, Vol.1 No.2 Thn 2018</w:t>
      </w:r>
      <w:bookmarkEnd w:id="4"/>
      <w:r>
        <w:t>, h.236.</w:t>
      </w:r>
    </w:p>
  </w:footnote>
  <w:footnote w:id="18">
    <w:p w:rsidR="00ED61AC" w:rsidRDefault="00ED61AC" w:rsidP="00ED61AC">
      <w:pPr>
        <w:pStyle w:val="FootnoteText"/>
        <w:ind w:firstLine="709"/>
      </w:pPr>
      <w:r>
        <w:rPr>
          <w:rStyle w:val="FootnoteReference"/>
        </w:rPr>
        <w:footnoteRef/>
      </w:r>
      <w:r>
        <w:rPr>
          <w:i/>
          <w:iCs/>
        </w:rPr>
        <w:t>Ibid</w:t>
      </w:r>
      <w:r>
        <w:t>, h.237.</w:t>
      </w:r>
    </w:p>
  </w:footnote>
  <w:footnote w:id="19">
    <w:p w:rsidR="00ED61AC" w:rsidRDefault="00ED61AC" w:rsidP="00ED61AC">
      <w:pPr>
        <w:pStyle w:val="FootnoteText"/>
        <w:ind w:firstLine="709"/>
      </w:pPr>
      <w:r>
        <w:rPr>
          <w:rStyle w:val="FootnoteReference"/>
        </w:rPr>
        <w:footnoteRef/>
      </w:r>
      <w:r>
        <w:rPr>
          <w:lang w:val="en-ID" w:eastAsia="en-ID"/>
        </w:rPr>
        <w:t xml:space="preserve">Parasian Simanungkalit, </w:t>
      </w:r>
      <w:r>
        <w:rPr>
          <w:i/>
          <w:iCs/>
          <w:lang w:val="en-ID" w:eastAsia="en-ID"/>
        </w:rPr>
        <w:t>Op.Cit</w:t>
      </w:r>
      <w:r>
        <w:rPr>
          <w:lang w:val="en-ID" w:eastAsia="en-ID"/>
        </w:rPr>
        <w:t>, h.85.</w:t>
      </w:r>
    </w:p>
  </w:footnote>
  <w:footnote w:id="20">
    <w:p w:rsidR="00ED61AC" w:rsidRDefault="00ED61AC" w:rsidP="00ED61AC">
      <w:pPr>
        <w:pStyle w:val="FootnoteText"/>
        <w:ind w:firstLine="709"/>
      </w:pPr>
      <w:r>
        <w:rPr>
          <w:rStyle w:val="FootnoteReference"/>
        </w:rPr>
        <w:footnoteRef/>
      </w:r>
      <w:r>
        <w:rPr>
          <w:i/>
          <w:iCs/>
        </w:rPr>
        <w:t>Ibid</w:t>
      </w:r>
      <w:r>
        <w:t>, h.86.</w:t>
      </w:r>
    </w:p>
  </w:footnote>
  <w:footnote w:id="21">
    <w:p w:rsidR="00ED61AC" w:rsidRDefault="00ED61AC" w:rsidP="00ED61AC">
      <w:pPr>
        <w:pStyle w:val="FootnoteText"/>
        <w:ind w:firstLine="709"/>
        <w:jc w:val="both"/>
        <w:rPr>
          <w:lang w:val="id-ID"/>
        </w:rPr>
      </w:pPr>
      <w:r>
        <w:rPr>
          <w:rStyle w:val="FootnoteReference"/>
        </w:rPr>
        <w:footnoteRef/>
      </w:r>
      <w:r>
        <w:rPr>
          <w:lang w:val="id-ID" w:eastAsia="id-ID"/>
        </w:rPr>
        <w:t xml:space="preserve">Sumarmo Masum, </w:t>
      </w:r>
      <w:r>
        <w:rPr>
          <w:i/>
          <w:lang w:val="id-ID" w:eastAsia="id-ID"/>
        </w:rPr>
        <w:t>Op.Cit</w:t>
      </w:r>
      <w:r>
        <w:rPr>
          <w:lang w:val="id-ID" w:eastAsia="id-ID"/>
        </w:rPr>
        <w:t>,h.110.</w:t>
      </w:r>
    </w:p>
  </w:footnote>
  <w:footnote w:id="22">
    <w:p w:rsidR="00ED61AC" w:rsidRDefault="00ED61AC" w:rsidP="00ED61AC">
      <w:pPr>
        <w:pStyle w:val="FootnoteText"/>
        <w:ind w:firstLine="709"/>
        <w:jc w:val="both"/>
        <w:rPr>
          <w:lang w:val="id-ID"/>
        </w:rPr>
      </w:pPr>
      <w:r>
        <w:rPr>
          <w:rStyle w:val="FootnoteReference"/>
        </w:rPr>
        <w:footnoteRef/>
      </w:r>
      <w:r>
        <w:rPr>
          <w:i/>
          <w:lang w:val="id-ID"/>
        </w:rPr>
        <w:t>Ibid</w:t>
      </w:r>
      <w:r>
        <w:rPr>
          <w:lang w:val="id-ID"/>
        </w:rPr>
        <w:t>, h.114.</w:t>
      </w:r>
    </w:p>
  </w:footnote>
  <w:footnote w:id="23">
    <w:p w:rsidR="00ED61AC" w:rsidRDefault="00ED61AC" w:rsidP="00ED61AC">
      <w:pPr>
        <w:pStyle w:val="FootnoteText"/>
        <w:ind w:firstLine="709"/>
        <w:jc w:val="both"/>
        <w:rPr>
          <w:lang w:val="id-ID"/>
        </w:rPr>
      </w:pPr>
      <w:r>
        <w:rPr>
          <w:rStyle w:val="FootnoteReference"/>
        </w:rPr>
        <w:footnoteRef/>
      </w:r>
      <w:r>
        <w:rPr>
          <w:lang w:val="id-ID" w:eastAsia="id-ID"/>
        </w:rPr>
        <w:t xml:space="preserve">Siti Zubaidah, </w:t>
      </w:r>
      <w:r>
        <w:rPr>
          <w:i/>
          <w:lang w:val="id-ID" w:eastAsia="id-ID"/>
        </w:rPr>
        <w:t>Op.Cit</w:t>
      </w:r>
      <w:r>
        <w:rPr>
          <w:lang w:val="id-ID" w:eastAsia="id-ID"/>
        </w:rPr>
        <w:t>, h.86.</w:t>
      </w:r>
    </w:p>
  </w:footnote>
  <w:footnote w:id="24">
    <w:p w:rsidR="00ED61AC" w:rsidRDefault="00ED61AC" w:rsidP="00ED61AC">
      <w:pPr>
        <w:autoSpaceDE w:val="0"/>
        <w:autoSpaceDN w:val="0"/>
        <w:adjustRightInd w:val="0"/>
        <w:ind w:firstLine="709"/>
        <w:jc w:val="both"/>
        <w:rPr>
          <w:sz w:val="20"/>
          <w:szCs w:val="20"/>
          <w:lang w:val="id-ID"/>
        </w:rPr>
      </w:pPr>
      <w:r>
        <w:rPr>
          <w:rStyle w:val="FootnoteReference"/>
          <w:sz w:val="20"/>
          <w:szCs w:val="20"/>
        </w:rPr>
        <w:footnoteRef/>
      </w:r>
      <w:r>
        <w:rPr>
          <w:sz w:val="20"/>
          <w:szCs w:val="20"/>
          <w:lang w:val="id-ID"/>
        </w:rPr>
        <w:t xml:space="preserve">M. </w:t>
      </w:r>
      <w:r>
        <w:rPr>
          <w:sz w:val="20"/>
          <w:szCs w:val="20"/>
          <w:lang w:val="id-ID" w:eastAsia="id-ID"/>
        </w:rPr>
        <w:t xml:space="preserve">Sholehuddin. </w:t>
      </w:r>
      <w:r>
        <w:rPr>
          <w:i/>
          <w:iCs/>
          <w:sz w:val="20"/>
          <w:szCs w:val="20"/>
          <w:lang w:val="id-ID" w:eastAsia="id-ID"/>
        </w:rPr>
        <w:t>Op.Cit</w:t>
      </w:r>
      <w:r>
        <w:rPr>
          <w:sz w:val="20"/>
          <w:szCs w:val="20"/>
          <w:lang w:val="id-ID" w:eastAsia="id-ID"/>
        </w:rPr>
        <w:t>, h. 50</w:t>
      </w:r>
    </w:p>
  </w:footnote>
  <w:footnote w:id="25">
    <w:p w:rsidR="00ED61AC" w:rsidRDefault="00ED61AC" w:rsidP="00ED61AC">
      <w:pPr>
        <w:pStyle w:val="FootnoteText"/>
        <w:ind w:firstLine="709"/>
        <w:jc w:val="both"/>
        <w:rPr>
          <w:lang w:val="id-ID"/>
        </w:rPr>
      </w:pPr>
      <w:r>
        <w:rPr>
          <w:rStyle w:val="FootnoteReference"/>
        </w:rPr>
        <w:footnoteRef/>
      </w:r>
      <w:r>
        <w:rPr>
          <w:i/>
          <w:lang w:val="id-ID"/>
        </w:rPr>
        <w:t>Ibid</w:t>
      </w:r>
      <w:r>
        <w:rPr>
          <w:lang w:val="id-ID"/>
        </w:rPr>
        <w:t>, h.51.</w:t>
      </w:r>
    </w:p>
  </w:footnote>
  <w:footnote w:id="26">
    <w:p w:rsidR="00ED61AC" w:rsidRDefault="00ED61AC" w:rsidP="00ED61AC">
      <w:pPr>
        <w:pStyle w:val="FootnoteText"/>
        <w:ind w:firstLine="709"/>
        <w:jc w:val="both"/>
        <w:rPr>
          <w:lang w:val="id-ID"/>
        </w:rPr>
      </w:pPr>
      <w:r>
        <w:rPr>
          <w:rStyle w:val="FootnoteReference"/>
        </w:rPr>
        <w:footnoteRef/>
      </w:r>
      <w:r>
        <w:rPr>
          <w:i/>
          <w:lang w:val="id-ID"/>
        </w:rPr>
        <w:t>Ibid</w:t>
      </w:r>
      <w:r>
        <w:rPr>
          <w:lang w:val="id-ID"/>
        </w:rPr>
        <w:t>, h.52</w:t>
      </w:r>
    </w:p>
  </w:footnote>
  <w:footnote w:id="27">
    <w:p w:rsidR="00ED61AC" w:rsidRDefault="00ED61AC" w:rsidP="00ED61AC">
      <w:pPr>
        <w:pStyle w:val="FootnoteText"/>
        <w:ind w:firstLine="709"/>
        <w:jc w:val="both"/>
        <w:rPr>
          <w:lang w:val="id-ID"/>
        </w:rPr>
      </w:pPr>
      <w:r>
        <w:rPr>
          <w:rStyle w:val="FootnoteReference"/>
        </w:rPr>
        <w:footnoteRef/>
      </w:r>
      <w:r>
        <w:rPr>
          <w:rStyle w:val="markedcontent"/>
        </w:rPr>
        <w:t>Bambang Purnomo</w:t>
      </w:r>
      <w:r>
        <w:rPr>
          <w:rStyle w:val="markedcontent"/>
          <w:lang w:val="id-ID"/>
        </w:rPr>
        <w:t xml:space="preserve">, </w:t>
      </w:r>
      <w:r>
        <w:rPr>
          <w:rStyle w:val="markedcontent"/>
          <w:i/>
          <w:lang w:val="id-ID"/>
        </w:rPr>
        <w:t>Op.Cit</w:t>
      </w:r>
      <w:r>
        <w:rPr>
          <w:rStyle w:val="markedcontent"/>
          <w:lang w:val="id-ID"/>
        </w:rPr>
        <w:t>, h.45.</w:t>
      </w:r>
    </w:p>
  </w:footnote>
  <w:footnote w:id="28">
    <w:p w:rsidR="00ED61AC" w:rsidRDefault="00ED61AC" w:rsidP="00ED61AC">
      <w:pPr>
        <w:pStyle w:val="FootnoteText"/>
        <w:ind w:firstLine="709"/>
        <w:jc w:val="both"/>
        <w:rPr>
          <w:lang w:val="id-ID"/>
        </w:rPr>
      </w:pPr>
      <w:r>
        <w:rPr>
          <w:rStyle w:val="FootnoteReference"/>
        </w:rPr>
        <w:footnoteRef/>
      </w:r>
      <w:r>
        <w:rPr>
          <w:i/>
          <w:lang w:val="id-ID"/>
        </w:rPr>
        <w:t>Ibid</w:t>
      </w:r>
      <w:r>
        <w:rPr>
          <w:lang w:val="id-ID"/>
        </w:rPr>
        <w:t>, h.46.</w:t>
      </w:r>
    </w:p>
  </w:footnote>
  <w:footnote w:id="29">
    <w:p w:rsidR="00ED61AC" w:rsidRDefault="00ED61AC" w:rsidP="00ED61AC">
      <w:pPr>
        <w:autoSpaceDE w:val="0"/>
        <w:autoSpaceDN w:val="0"/>
        <w:adjustRightInd w:val="0"/>
        <w:ind w:firstLine="709"/>
        <w:jc w:val="both"/>
        <w:rPr>
          <w:sz w:val="20"/>
          <w:szCs w:val="20"/>
          <w:lang w:val="id-ID"/>
        </w:rPr>
      </w:pPr>
      <w:r>
        <w:rPr>
          <w:rStyle w:val="FootnoteReference"/>
          <w:sz w:val="20"/>
          <w:szCs w:val="20"/>
        </w:rPr>
        <w:footnoteRef/>
      </w:r>
      <w:r>
        <w:rPr>
          <w:sz w:val="20"/>
          <w:szCs w:val="20"/>
          <w:lang w:val="id-ID" w:eastAsia="id-ID"/>
        </w:rPr>
        <w:t>Pasal 103 Undang-Undang No. 35 Tahun 2009 Tentang Narkotika</w:t>
      </w:r>
    </w:p>
  </w:footnote>
  <w:footnote w:id="30">
    <w:p w:rsidR="00ED61AC" w:rsidRDefault="00ED61AC" w:rsidP="00ED61AC">
      <w:pPr>
        <w:pStyle w:val="FootnoteText"/>
        <w:ind w:firstLine="709"/>
        <w:jc w:val="both"/>
        <w:rPr>
          <w:lang w:val="id-ID"/>
        </w:rPr>
      </w:pPr>
      <w:r>
        <w:rPr>
          <w:rStyle w:val="FootnoteReference"/>
        </w:rPr>
        <w:footnoteRef/>
      </w:r>
      <w:r>
        <w:rPr>
          <w:color w:val="000000"/>
        </w:rPr>
        <w:t>Subagyo Partodiharjo,</w:t>
      </w:r>
      <w:r>
        <w:rPr>
          <w:i/>
          <w:color w:val="000000"/>
          <w:lang w:val="id-ID"/>
        </w:rPr>
        <w:t>Op.Cit</w:t>
      </w:r>
      <w:r>
        <w:rPr>
          <w:color w:val="000000"/>
          <w:lang w:val="id-ID"/>
        </w:rPr>
        <w:t>, h.55.</w:t>
      </w:r>
    </w:p>
  </w:footnote>
  <w:footnote w:id="31">
    <w:p w:rsidR="00ED61AC" w:rsidRDefault="00ED61AC" w:rsidP="00ED61AC">
      <w:pPr>
        <w:pStyle w:val="FootnoteText"/>
        <w:ind w:firstLine="709"/>
        <w:jc w:val="both"/>
        <w:rPr>
          <w:lang w:val="id-ID"/>
        </w:rPr>
      </w:pPr>
      <w:r>
        <w:rPr>
          <w:rStyle w:val="FootnoteReference"/>
        </w:rPr>
        <w:footnoteRef/>
      </w:r>
      <w:r>
        <w:rPr>
          <w:i/>
          <w:lang w:val="id-ID"/>
        </w:rPr>
        <w:t>Ibid</w:t>
      </w:r>
      <w:r>
        <w:rPr>
          <w:lang w:val="id-ID"/>
        </w:rPr>
        <w:t>, h.56.</w:t>
      </w:r>
    </w:p>
  </w:footnote>
  <w:footnote w:id="32">
    <w:p w:rsidR="00ED61AC" w:rsidRDefault="00ED61AC" w:rsidP="00ED61AC">
      <w:pPr>
        <w:pStyle w:val="FootnoteText"/>
        <w:ind w:firstLine="709"/>
        <w:jc w:val="both"/>
        <w:rPr>
          <w:lang w:val="id-ID"/>
        </w:rPr>
      </w:pPr>
      <w:r>
        <w:rPr>
          <w:rStyle w:val="FootnoteReference"/>
        </w:rPr>
        <w:footnoteRef/>
      </w:r>
      <w:r>
        <w:t xml:space="preserve"> Sudarto, </w:t>
      </w:r>
      <w:r>
        <w:rPr>
          <w:i/>
          <w:lang w:val="id-ID"/>
        </w:rPr>
        <w:t>Op.Cit</w:t>
      </w:r>
      <w:r>
        <w:t>,h.80</w:t>
      </w:r>
    </w:p>
  </w:footnote>
  <w:footnote w:id="33">
    <w:p w:rsidR="00ED61AC" w:rsidRDefault="00ED61AC" w:rsidP="00ED61AC">
      <w:pPr>
        <w:pStyle w:val="FootnoteText"/>
        <w:ind w:firstLine="709"/>
        <w:jc w:val="both"/>
        <w:rPr>
          <w:lang w:val="id-ID"/>
        </w:rPr>
      </w:pPr>
      <w:r>
        <w:rPr>
          <w:rStyle w:val="FootnoteReference"/>
        </w:rPr>
        <w:footnoteRef/>
      </w:r>
      <w:r>
        <w:t xml:space="preserve"> Sri Endah Wahyuningsih, </w:t>
      </w:r>
      <w:r>
        <w:rPr>
          <w:i/>
        </w:rPr>
        <w:t xml:space="preserve">Op.Cit. </w:t>
      </w:r>
      <w:r>
        <w:t>h..88</w:t>
      </w:r>
    </w:p>
  </w:footnote>
  <w:footnote w:id="34">
    <w:p w:rsidR="00ED61AC" w:rsidRDefault="00ED61AC" w:rsidP="00ED61AC">
      <w:pPr>
        <w:pStyle w:val="FootnoteText"/>
        <w:ind w:firstLine="709"/>
        <w:jc w:val="both"/>
        <w:rPr>
          <w:lang w:val="id-ID"/>
        </w:rPr>
      </w:pPr>
      <w:r>
        <w:rPr>
          <w:rStyle w:val="FootnoteReference"/>
        </w:rPr>
        <w:footnoteRef/>
      </w:r>
      <w:r>
        <w:t xml:space="preserve"> Barda Nawawi Arief, </w:t>
      </w:r>
      <w:r>
        <w:rPr>
          <w:i/>
          <w:iCs/>
          <w:lang w:val="id-ID"/>
        </w:rPr>
        <w:t xml:space="preserve">Op.Cit, </w:t>
      </w:r>
      <w:r>
        <w:rPr>
          <w:iCs/>
          <w:lang w:val="id-ID"/>
        </w:rPr>
        <w:t xml:space="preserve"> h.</w:t>
      </w:r>
      <w:r>
        <w:t xml:space="preserve"> 83</w:t>
      </w:r>
    </w:p>
  </w:footnote>
  <w:footnote w:id="35">
    <w:p w:rsidR="00ED61AC" w:rsidRDefault="00ED61AC" w:rsidP="00ED61AC">
      <w:pPr>
        <w:pStyle w:val="FootnoteText"/>
        <w:ind w:firstLine="709"/>
        <w:jc w:val="both"/>
        <w:rPr>
          <w:lang w:val="id-ID"/>
        </w:rPr>
      </w:pPr>
      <w:r>
        <w:rPr>
          <w:rStyle w:val="FootnoteReference"/>
        </w:rPr>
        <w:footnoteRef/>
      </w:r>
      <w:r>
        <w:rPr>
          <w:lang w:val="id-ID" w:eastAsia="id-ID"/>
        </w:rPr>
        <w:t xml:space="preserve">Sri Endah Wahyuningsih, </w:t>
      </w:r>
      <w:r>
        <w:rPr>
          <w:i/>
          <w:lang w:val="id-ID" w:eastAsia="id-ID"/>
        </w:rPr>
        <w:t>Op.Cit</w:t>
      </w:r>
      <w:r>
        <w:rPr>
          <w:lang w:val="id-ID" w:eastAsia="id-ID"/>
        </w:rPr>
        <w:t>, h.84</w:t>
      </w:r>
    </w:p>
  </w:footnote>
  <w:footnote w:id="36">
    <w:p w:rsidR="00ED61AC" w:rsidRDefault="00ED61AC" w:rsidP="00ED61AC">
      <w:pPr>
        <w:pStyle w:val="FootnoteText"/>
        <w:ind w:firstLine="709"/>
        <w:jc w:val="both"/>
        <w:rPr>
          <w:lang w:val="id-ID"/>
        </w:rPr>
      </w:pPr>
      <w:r>
        <w:rPr>
          <w:rStyle w:val="FootnoteReference"/>
        </w:rPr>
        <w:footnoteRef/>
      </w:r>
      <w:r>
        <w:rPr>
          <w:i/>
          <w:lang w:val="id-ID"/>
        </w:rPr>
        <w:t>Ibid</w:t>
      </w:r>
      <w:r>
        <w:rPr>
          <w:lang w:val="id-ID"/>
        </w:rPr>
        <w:t>, h.85.</w:t>
      </w:r>
    </w:p>
  </w:footnote>
  <w:footnote w:id="37">
    <w:p w:rsidR="00ED61AC" w:rsidRDefault="00ED61AC" w:rsidP="00ED61AC">
      <w:pPr>
        <w:pStyle w:val="FootnoteText"/>
        <w:ind w:firstLine="709"/>
        <w:jc w:val="both"/>
        <w:rPr>
          <w:lang w:val="id-ID"/>
        </w:rPr>
      </w:pPr>
      <w:r>
        <w:rPr>
          <w:rStyle w:val="FootnoteReference"/>
        </w:rPr>
        <w:footnoteRef/>
      </w:r>
      <w:r>
        <w:t xml:space="preserve"> Dakwaan merupakan dasar penting dalam acara pidana karena dakwaan berdasarkan hal yang dimuat dalam surat itu, hakim memeriksan dan memutusakan suatu perkara pidana. Pentingnya surat dakwaan karena dakwaan menjadikan batasan-batasan dalam pemeriksaan perkara</w:t>
      </w:r>
      <w:r>
        <w:rPr>
          <w:lang w:val="id-ID"/>
        </w:rPr>
        <w:t>.</w:t>
      </w:r>
      <w:r>
        <w:t xml:space="preserve"> Surat dakwaan juga sangat penting artinya dalam pemeriksaan perkara pidana surat dakwaan menjadi dasar dan menentukan batasan-batasan dalam pemeriksaan. Putusan yang diambil oleh hakim hanya bolehmengenai peristiwa batasan-batasan dalam surat dakwaan tersebut</w:t>
      </w:r>
      <w:r>
        <w:rPr>
          <w:lang w:val="id-ID"/>
        </w:rPr>
        <w:t>.</w:t>
      </w:r>
      <w:r>
        <w:t xml:space="preserve"> Terdakwa tidak dapat dihukum karena suatu tindak pidana yang tidak disebutkan dalam surat dakwaan</w:t>
      </w:r>
      <w:r>
        <w:rPr>
          <w:lang w:val="id-ID"/>
        </w:rPr>
        <w:t>.</w:t>
      </w:r>
    </w:p>
  </w:footnote>
  <w:footnote w:id="38">
    <w:p w:rsidR="00ED61AC" w:rsidRDefault="00ED61AC" w:rsidP="00ED61AC">
      <w:pPr>
        <w:autoSpaceDE w:val="0"/>
        <w:autoSpaceDN w:val="0"/>
        <w:adjustRightInd w:val="0"/>
        <w:ind w:firstLine="709"/>
        <w:jc w:val="both"/>
        <w:rPr>
          <w:sz w:val="20"/>
          <w:szCs w:val="20"/>
          <w:lang w:val="id-ID"/>
        </w:rPr>
      </w:pPr>
      <w:r>
        <w:rPr>
          <w:rStyle w:val="FootnoteReference"/>
          <w:sz w:val="20"/>
          <w:szCs w:val="20"/>
        </w:rPr>
        <w:footnoteRef/>
      </w:r>
      <w:r>
        <w:rPr>
          <w:sz w:val="20"/>
          <w:szCs w:val="20"/>
          <w:lang w:val="id-ID"/>
        </w:rPr>
        <w:t>Tuntutan pidana adalah t</w:t>
      </w:r>
      <w:r>
        <w:rPr>
          <w:sz w:val="20"/>
          <w:szCs w:val="20"/>
          <w:lang w:val="id-ID" w:eastAsia="id-ID"/>
        </w:rPr>
        <w:t>indakan Penuntut Umum untuk melimpahkan perkara pidana ke Pengadilan Negeri yang berwenang dalam hal dan menurut cara yang diatur dalam undang-undang ini dengan permintaan supaya diperiksa dan diputus oleh hakim di sidang pengadilan.</w:t>
      </w:r>
    </w:p>
  </w:footnote>
  <w:footnote w:id="39">
    <w:p w:rsidR="00ED61AC" w:rsidRDefault="00ED61AC" w:rsidP="00ED61AC">
      <w:pPr>
        <w:pStyle w:val="FootnoteText"/>
        <w:ind w:firstLine="709"/>
        <w:jc w:val="both"/>
      </w:pPr>
      <w:r>
        <w:rPr>
          <w:rStyle w:val="FootnoteReference"/>
        </w:rPr>
        <w:footnoteRef/>
      </w:r>
      <w:r>
        <w:t xml:space="preserve"> M. Yahya Harahap, </w:t>
      </w:r>
      <w:r>
        <w:rPr>
          <w:bCs/>
          <w:i/>
          <w:iCs/>
        </w:rPr>
        <w:t>Pembahasan Permasalahan Penerapan KUHAP Penyidikan dan Penuntutan</w:t>
      </w:r>
      <w:r>
        <w:t>, Sinar Grafika, Jakarta, 20</w:t>
      </w:r>
      <w:r>
        <w:rPr>
          <w:lang w:val="id-ID"/>
        </w:rPr>
        <w:t>14</w:t>
      </w:r>
      <w:r>
        <w:t>, h. 176</w:t>
      </w:r>
    </w:p>
  </w:footnote>
  <w:footnote w:id="40">
    <w:p w:rsidR="00ED61AC" w:rsidRDefault="00ED61AC" w:rsidP="00ED61AC">
      <w:pPr>
        <w:pStyle w:val="FootnoteText"/>
        <w:ind w:firstLine="709"/>
        <w:jc w:val="both"/>
      </w:pPr>
      <w:r>
        <w:rPr>
          <w:rStyle w:val="FootnoteReference"/>
        </w:rPr>
        <w:footnoteRef/>
      </w:r>
      <w:r>
        <w:t xml:space="preserve"> Kusno Adi, </w:t>
      </w:r>
      <w:r>
        <w:rPr>
          <w:rStyle w:val="st"/>
          <w:i/>
        </w:rPr>
        <w:t>Diversi Sebagai Upaya Alternnatif Penanggulangan Tindak. Pidana Narkotika Oleh Anak.</w:t>
      </w:r>
      <w:r>
        <w:rPr>
          <w:rStyle w:val="st"/>
        </w:rPr>
        <w:t xml:space="preserve"> UMM Press</w:t>
      </w:r>
      <w:r>
        <w:t>,</w:t>
      </w:r>
      <w:r>
        <w:rPr>
          <w:rStyle w:val="st"/>
        </w:rPr>
        <w:t xml:space="preserve"> Malang, 2009, </w:t>
      </w:r>
      <w:r>
        <w:t xml:space="preserve"> h.. 90.</w:t>
      </w:r>
    </w:p>
  </w:footnote>
  <w:footnote w:id="41">
    <w:p w:rsidR="00ED61AC" w:rsidRDefault="00ED61AC" w:rsidP="00ED61AC">
      <w:pPr>
        <w:pStyle w:val="FootnoteText"/>
        <w:ind w:firstLine="709"/>
        <w:jc w:val="both"/>
      </w:pPr>
      <w:r>
        <w:rPr>
          <w:rStyle w:val="FootnoteReference"/>
        </w:rPr>
        <w:footnoteRef/>
      </w:r>
      <w:r>
        <w:rPr>
          <w:i/>
          <w:lang w:val="id-ID"/>
        </w:rPr>
        <w:t>Ibid</w:t>
      </w:r>
      <w:r>
        <w:t xml:space="preserve"> h. 93.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2C2671">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2C26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A2FE9"/>
    <w:multiLevelType w:val="hybridMultilevel"/>
    <w:tmpl w:val="E162F4FC"/>
    <w:lvl w:ilvl="0" w:tplc="4824DE3A">
      <w:start w:val="1"/>
      <w:numFmt w:val="decimal"/>
      <w:lvlText w:val="%1."/>
      <w:lvlJc w:val="left"/>
      <w:pPr>
        <w:ind w:left="720" w:hanging="360"/>
      </w:pPr>
      <w:rPr>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7E3BB9"/>
    <w:multiLevelType w:val="hybridMultilevel"/>
    <w:tmpl w:val="7DB02FE0"/>
    <w:lvl w:ilvl="0" w:tplc="513E1D1A">
      <w:start w:val="1"/>
      <w:numFmt w:val="lowerLetter"/>
      <w:lvlText w:val="%1."/>
      <w:lvlJc w:val="left"/>
      <w:pPr>
        <w:tabs>
          <w:tab w:val="num" w:pos="540"/>
        </w:tabs>
        <w:ind w:left="540" w:hanging="360"/>
      </w:pPr>
      <w:rPr>
        <w:rFonts w:ascii="Times New Roman" w:eastAsia="Times New Roman" w:hAnsi="Times New Roman" w:cs="Times New Roman"/>
      </w:rPr>
    </w:lvl>
    <w:lvl w:ilvl="1" w:tplc="4142089A">
      <w:start w:val="1"/>
      <w:numFmt w:val="decimal"/>
      <w:lvlText w:val="%2."/>
      <w:lvlJc w:val="left"/>
      <w:pPr>
        <w:tabs>
          <w:tab w:val="num" w:pos="1260"/>
        </w:tabs>
        <w:ind w:left="1260" w:hanging="360"/>
      </w:pPr>
    </w:lvl>
    <w:lvl w:ilvl="2" w:tplc="0409000F">
      <w:start w:val="1"/>
      <w:numFmt w:val="decimal"/>
      <w:lvlText w:val="%3."/>
      <w:lvlJc w:val="left"/>
      <w:pPr>
        <w:tabs>
          <w:tab w:val="num" w:pos="2160"/>
        </w:tabs>
        <w:ind w:left="2160" w:hanging="360"/>
      </w:pPr>
    </w:lvl>
    <w:lvl w:ilvl="3" w:tplc="4C642C06">
      <w:start w:val="1"/>
      <w:numFmt w:val="lowerLetter"/>
      <w:lvlText w:val="(%4)"/>
      <w:lvlJc w:val="left"/>
      <w:pPr>
        <w:ind w:left="2700" w:hanging="360"/>
      </w:pPr>
      <w:rPr>
        <w:color w:val="auto"/>
      </w:rPr>
    </w:lvl>
    <w:lvl w:ilvl="4" w:tplc="276E3078">
      <w:start w:val="1"/>
      <w:numFmt w:val="decimal"/>
      <w:lvlText w:val="(%5)"/>
      <w:lvlJc w:val="left"/>
      <w:pPr>
        <w:ind w:left="3420" w:hanging="360"/>
      </w:pPr>
      <w:rPr>
        <w:color w:val="auto"/>
      </w:rPr>
    </w:lvl>
    <w:lvl w:ilvl="5" w:tplc="EE6EB49A">
      <w:start w:val="1"/>
      <w:numFmt w:val="upperLetter"/>
      <w:lvlText w:val="%6."/>
      <w:lvlJc w:val="left"/>
      <w:pPr>
        <w:ind w:left="4320" w:hanging="360"/>
      </w:pPr>
    </w:lvl>
    <w:lvl w:ilvl="6" w:tplc="E244EA82">
      <w:start w:val="1"/>
      <w:numFmt w:val="decimal"/>
      <w:lvlText w:val="%7"/>
      <w:lvlJc w:val="left"/>
      <w:pPr>
        <w:ind w:left="4860" w:hanging="360"/>
      </w:pPr>
    </w:lvl>
    <w:lvl w:ilvl="7" w:tplc="1F30DA20">
      <w:start w:val="1"/>
      <w:numFmt w:val="decimal"/>
      <w:lvlText w:val="%8)"/>
      <w:lvlJc w:val="left"/>
      <w:pPr>
        <w:ind w:left="5580" w:hanging="360"/>
      </w:pPr>
    </w:lvl>
    <w:lvl w:ilvl="8" w:tplc="0409001B">
      <w:start w:val="1"/>
      <w:numFmt w:val="lowerRoman"/>
      <w:lvlText w:val="%9."/>
      <w:lvlJc w:val="right"/>
      <w:pPr>
        <w:tabs>
          <w:tab w:val="num" w:pos="6300"/>
        </w:tabs>
        <w:ind w:left="6300" w:hanging="180"/>
      </w:pPr>
    </w:lvl>
  </w:abstractNum>
  <w:abstractNum w:abstractNumId="2">
    <w:nsid w:val="124478DB"/>
    <w:multiLevelType w:val="multilevel"/>
    <w:tmpl w:val="C3286D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3">
    <w:nsid w:val="15AE61AE"/>
    <w:multiLevelType w:val="hybridMultilevel"/>
    <w:tmpl w:val="4CD84B3E"/>
    <w:lvl w:ilvl="0" w:tplc="414208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2E56FF4"/>
    <w:multiLevelType w:val="hybridMultilevel"/>
    <w:tmpl w:val="C2DC27D0"/>
    <w:lvl w:ilvl="0" w:tplc="DE644EE0">
      <w:start w:val="1"/>
      <w:numFmt w:val="decimal"/>
      <w:lvlText w:val="%1."/>
      <w:lvlJc w:val="left"/>
      <w:pPr>
        <w:ind w:left="2062" w:hanging="360"/>
      </w:pPr>
      <w:rPr>
        <w:rFonts w:ascii="Times New Roman" w:eastAsia="Times New Roman" w:hAnsi="Times New Roman" w:cs="Times New Roman"/>
        <w:b w:val="0"/>
      </w:rPr>
    </w:lvl>
    <w:lvl w:ilvl="1" w:tplc="04090019">
      <w:start w:val="1"/>
      <w:numFmt w:val="lowerLetter"/>
      <w:lvlText w:val="%2."/>
      <w:lvlJc w:val="left"/>
      <w:pPr>
        <w:ind w:left="2782" w:hanging="360"/>
      </w:pPr>
    </w:lvl>
    <w:lvl w:ilvl="2" w:tplc="0409001B">
      <w:start w:val="1"/>
      <w:numFmt w:val="lowerRoman"/>
      <w:lvlText w:val="%3."/>
      <w:lvlJc w:val="right"/>
      <w:pPr>
        <w:ind w:left="3502" w:hanging="180"/>
      </w:pPr>
    </w:lvl>
    <w:lvl w:ilvl="3" w:tplc="0409000F">
      <w:start w:val="1"/>
      <w:numFmt w:val="decimal"/>
      <w:lvlText w:val="%4."/>
      <w:lvlJc w:val="left"/>
      <w:pPr>
        <w:ind w:left="4222" w:hanging="360"/>
      </w:pPr>
    </w:lvl>
    <w:lvl w:ilvl="4" w:tplc="04090019">
      <w:start w:val="1"/>
      <w:numFmt w:val="lowerLetter"/>
      <w:lvlText w:val="%5."/>
      <w:lvlJc w:val="left"/>
      <w:pPr>
        <w:ind w:left="4942" w:hanging="360"/>
      </w:pPr>
    </w:lvl>
    <w:lvl w:ilvl="5" w:tplc="0409001B">
      <w:start w:val="1"/>
      <w:numFmt w:val="lowerRoman"/>
      <w:lvlText w:val="%6."/>
      <w:lvlJc w:val="right"/>
      <w:pPr>
        <w:ind w:left="5662" w:hanging="180"/>
      </w:pPr>
    </w:lvl>
    <w:lvl w:ilvl="6" w:tplc="0409000F">
      <w:start w:val="1"/>
      <w:numFmt w:val="decimal"/>
      <w:lvlText w:val="%7."/>
      <w:lvlJc w:val="left"/>
      <w:pPr>
        <w:ind w:left="6382" w:hanging="360"/>
      </w:pPr>
    </w:lvl>
    <w:lvl w:ilvl="7" w:tplc="04090019">
      <w:start w:val="1"/>
      <w:numFmt w:val="lowerLetter"/>
      <w:lvlText w:val="%8."/>
      <w:lvlJc w:val="left"/>
      <w:pPr>
        <w:ind w:left="7102" w:hanging="360"/>
      </w:pPr>
    </w:lvl>
    <w:lvl w:ilvl="8" w:tplc="0409001B">
      <w:start w:val="1"/>
      <w:numFmt w:val="lowerRoman"/>
      <w:lvlText w:val="%9."/>
      <w:lvlJc w:val="right"/>
      <w:pPr>
        <w:ind w:left="7822" w:hanging="180"/>
      </w:pPr>
    </w:lvl>
  </w:abstractNum>
  <w:abstractNum w:abstractNumId="5">
    <w:nsid w:val="23A5233C"/>
    <w:multiLevelType w:val="hybridMultilevel"/>
    <w:tmpl w:val="1E7E24E2"/>
    <w:lvl w:ilvl="0" w:tplc="DCEE531E">
      <w:start w:val="1"/>
      <w:numFmt w:val="lowerLetter"/>
      <w:lvlText w:val="%1)"/>
      <w:lvlJc w:val="left"/>
      <w:pPr>
        <w:tabs>
          <w:tab w:val="num" w:pos="750"/>
        </w:tabs>
        <w:ind w:left="750" w:hanging="360"/>
      </w:pPr>
    </w:lvl>
    <w:lvl w:ilvl="1" w:tplc="FDB017A8">
      <w:start w:val="1"/>
      <w:numFmt w:val="decimal"/>
      <w:lvlText w:val="%2."/>
      <w:lvlJc w:val="left"/>
      <w:pPr>
        <w:tabs>
          <w:tab w:val="num" w:pos="1470"/>
        </w:tabs>
        <w:ind w:left="1470" w:hanging="360"/>
      </w:pPr>
      <w:rPr>
        <w:rFonts w:ascii="Times New Roman" w:eastAsia="Times New Roman" w:hAnsi="Times New Roman" w:cs="Times New Roman" w:hint="default"/>
        <w:b w:val="0"/>
      </w:rPr>
    </w:lvl>
    <w:lvl w:ilvl="2" w:tplc="BA2017AA">
      <w:start w:val="1"/>
      <w:numFmt w:val="upperLetter"/>
      <w:lvlText w:val="%3."/>
      <w:lvlJc w:val="left"/>
      <w:pPr>
        <w:ind w:left="2370" w:hanging="360"/>
      </w:pPr>
    </w:lvl>
    <w:lvl w:ilvl="3" w:tplc="75501D24">
      <w:start w:val="1"/>
      <w:numFmt w:val="decimal"/>
      <w:lvlText w:val="%4)"/>
      <w:lvlJc w:val="left"/>
      <w:pPr>
        <w:ind w:left="2910" w:hanging="360"/>
      </w:pPr>
    </w:lvl>
    <w:lvl w:ilvl="4" w:tplc="6B809FFC">
      <w:start w:val="1"/>
      <w:numFmt w:val="decimal"/>
      <w:lvlText w:val="%5."/>
      <w:lvlJc w:val="left"/>
      <w:pPr>
        <w:tabs>
          <w:tab w:val="num" w:pos="3630"/>
        </w:tabs>
        <w:ind w:left="3630" w:hanging="360"/>
      </w:pPr>
      <w:rPr>
        <w:rFonts w:ascii="Times New Roman" w:eastAsia="Calibri" w:hAnsi="Times New Roman" w:cs="Times New Roman" w:hint="default"/>
      </w:rPr>
    </w:lvl>
    <w:lvl w:ilvl="5" w:tplc="0409001B">
      <w:start w:val="1"/>
      <w:numFmt w:val="lowerRoman"/>
      <w:lvlText w:val="%6."/>
      <w:lvlJc w:val="right"/>
      <w:pPr>
        <w:tabs>
          <w:tab w:val="num" w:pos="4350"/>
        </w:tabs>
        <w:ind w:left="4350" w:hanging="180"/>
      </w:pPr>
    </w:lvl>
    <w:lvl w:ilvl="6" w:tplc="DD22EF24">
      <w:start w:val="1"/>
      <w:numFmt w:val="lowerLetter"/>
      <w:lvlText w:val="%7."/>
      <w:lvlJc w:val="left"/>
      <w:pPr>
        <w:ind w:left="5070" w:hanging="360"/>
      </w:pPr>
    </w:lvl>
    <w:lvl w:ilvl="7" w:tplc="04090019">
      <w:start w:val="1"/>
      <w:numFmt w:val="lowerLetter"/>
      <w:lvlText w:val="%8."/>
      <w:lvlJc w:val="left"/>
      <w:pPr>
        <w:tabs>
          <w:tab w:val="num" w:pos="5790"/>
        </w:tabs>
        <w:ind w:left="5790" w:hanging="360"/>
      </w:pPr>
    </w:lvl>
    <w:lvl w:ilvl="8" w:tplc="0409001B">
      <w:start w:val="1"/>
      <w:numFmt w:val="lowerRoman"/>
      <w:lvlText w:val="%9."/>
      <w:lvlJc w:val="right"/>
      <w:pPr>
        <w:tabs>
          <w:tab w:val="num" w:pos="6510"/>
        </w:tabs>
        <w:ind w:left="6510" w:hanging="180"/>
      </w:pPr>
    </w:lvl>
  </w:abstractNum>
  <w:abstractNum w:abstractNumId="6">
    <w:nsid w:val="27D25C69"/>
    <w:multiLevelType w:val="hybridMultilevel"/>
    <w:tmpl w:val="F1E6B4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2A34E56"/>
    <w:multiLevelType w:val="hybridMultilevel"/>
    <w:tmpl w:val="4B3255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C135FC2"/>
    <w:multiLevelType w:val="hybridMultilevel"/>
    <w:tmpl w:val="13DA0004"/>
    <w:lvl w:ilvl="0" w:tplc="04090019">
      <w:start w:val="1"/>
      <w:numFmt w:val="lowerLetter"/>
      <w:lvlText w:val="%1."/>
      <w:lvlJc w:val="left"/>
      <w:pPr>
        <w:ind w:left="720" w:hanging="360"/>
      </w:pPr>
    </w:lvl>
    <w:lvl w:ilvl="1" w:tplc="F8CC43D8">
      <w:start w:val="1"/>
      <w:numFmt w:val="decimal"/>
      <w:lvlText w:val="%2."/>
      <w:lvlJc w:val="left"/>
      <w:pPr>
        <w:ind w:left="1440" w:hanging="360"/>
      </w:pPr>
    </w:lvl>
    <w:lvl w:ilvl="2" w:tplc="8DE2BDA4">
      <w:start w:val="1"/>
      <w:numFmt w:val="lowerLetter"/>
      <w:lvlText w:val="(%3)"/>
      <w:lvlJc w:val="left"/>
      <w:pPr>
        <w:ind w:left="2340" w:hanging="360"/>
      </w:pPr>
    </w:lvl>
    <w:lvl w:ilvl="3" w:tplc="4260D386">
      <w:start w:val="1"/>
      <w:numFmt w:val="upperLetter"/>
      <w:lvlText w:val="%4."/>
      <w:lvlJc w:val="left"/>
      <w:pPr>
        <w:ind w:left="2880" w:hanging="360"/>
      </w:pPr>
    </w:lvl>
    <w:lvl w:ilvl="4" w:tplc="ED928784">
      <w:start w:val="2"/>
      <w:numFmt w:val="upperLetter"/>
      <w:lvlText w:val="%5&gt;"/>
      <w:lvlJc w:val="left"/>
      <w:pPr>
        <w:ind w:left="3600" w:hanging="360"/>
      </w:pPr>
      <w:rPr>
        <w:color w:val="00000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1342849"/>
    <w:multiLevelType w:val="multilevel"/>
    <w:tmpl w:val="DF80B63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70"/>
        </w:tabs>
        <w:ind w:left="2370" w:hanging="39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rPr>
        <w:rFonts w:ascii="Arial" w:eastAsia="Times New Roman" w:hAnsi="Arial" w:cs="Aria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C0E4C32"/>
    <w:multiLevelType w:val="hybridMultilevel"/>
    <w:tmpl w:val="F7DE993E"/>
    <w:lvl w:ilvl="0" w:tplc="57BAE3B8">
      <w:start w:val="1"/>
      <w:numFmt w:val="upperLetter"/>
      <w:lvlText w:val="%1."/>
      <w:lvlJc w:val="left"/>
      <w:pPr>
        <w:tabs>
          <w:tab w:val="num" w:pos="720"/>
        </w:tabs>
        <w:ind w:left="720" w:hanging="360"/>
      </w:pPr>
    </w:lvl>
    <w:lvl w:ilvl="1" w:tplc="59884588">
      <w:start w:val="1"/>
      <w:numFmt w:val="decimal"/>
      <w:lvlText w:val="%2."/>
      <w:lvlJc w:val="left"/>
      <w:pPr>
        <w:tabs>
          <w:tab w:val="num" w:pos="1440"/>
        </w:tabs>
        <w:ind w:left="1440" w:hanging="360"/>
      </w:pPr>
      <w:rPr>
        <w:rFonts w:ascii="Times New Roman" w:eastAsia="Times New Roman" w:hAnsi="Times New Roman" w:cs="Times New Roman"/>
      </w:rPr>
    </w:lvl>
    <w:lvl w:ilvl="2" w:tplc="2294FEB8">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2F404A9"/>
    <w:multiLevelType w:val="hybridMultilevel"/>
    <w:tmpl w:val="4530B22C"/>
    <w:lvl w:ilvl="0" w:tplc="FFFFFFFF">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decimal"/>
      <w:lvlText w:val="%2)"/>
      <w:lvlJc w:val="left"/>
      <w:pPr>
        <w:ind w:left="1440" w:hanging="360"/>
      </w:pPr>
    </w:lvl>
    <w:lvl w:ilvl="2" w:tplc="C15EBA58">
      <w:start w:val="1"/>
      <w:numFmt w:val="upperLetter"/>
      <w:lvlText w:val="%3."/>
      <w:lvlJc w:val="left"/>
      <w:pPr>
        <w:ind w:left="2340" w:hanging="360"/>
      </w:pPr>
      <w:rPr>
        <w:b/>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ascii="Arial" w:eastAsia="Times New Roman" w:hAnsi="Arial" w:cs="Arial" w:hint="default"/>
        <w:sz w:val="24"/>
        <w:szCs w:val="24"/>
      </w:rPr>
    </w:lvl>
    <w:lvl w:ilvl="5" w:tplc="CD803F54">
      <w:start w:val="1"/>
      <w:numFmt w:val="decimal"/>
      <w:lvlText w:val="(%6)"/>
      <w:lvlJc w:val="left"/>
      <w:pPr>
        <w:ind w:left="450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6DA47E23"/>
    <w:multiLevelType w:val="hybridMultilevel"/>
    <w:tmpl w:val="DE144576"/>
    <w:lvl w:ilvl="0" w:tplc="0022726A">
      <w:start w:val="1"/>
      <w:numFmt w:val="decimal"/>
      <w:lvlText w:val="%1."/>
      <w:lvlJc w:val="left"/>
      <w:pPr>
        <w:tabs>
          <w:tab w:val="num" w:pos="540"/>
        </w:tabs>
        <w:ind w:left="540" w:hanging="360"/>
      </w:pPr>
    </w:lvl>
    <w:lvl w:ilvl="1" w:tplc="04090019">
      <w:start w:val="1"/>
      <w:numFmt w:val="upperLetter"/>
      <w:lvlText w:val="%2."/>
      <w:lvlJc w:val="left"/>
      <w:pPr>
        <w:tabs>
          <w:tab w:val="num" w:pos="1260"/>
        </w:tabs>
        <w:ind w:left="1260" w:hanging="360"/>
      </w:pPr>
    </w:lvl>
    <w:lvl w:ilvl="2" w:tplc="0409001B">
      <w:start w:val="1"/>
      <w:numFmt w:val="lowerLetter"/>
      <w:lvlText w:val="%3."/>
      <w:lvlJc w:val="left"/>
      <w:pPr>
        <w:tabs>
          <w:tab w:val="num" w:pos="2160"/>
        </w:tabs>
        <w:ind w:left="2160" w:hanging="360"/>
      </w:pPr>
      <w:rPr>
        <w:b w:val="0"/>
      </w:rPr>
    </w:lvl>
    <w:lvl w:ilvl="3" w:tplc="0409000F">
      <w:start w:val="1"/>
      <w:numFmt w:val="decimal"/>
      <w:lvlText w:val="%4."/>
      <w:lvlJc w:val="left"/>
      <w:pPr>
        <w:tabs>
          <w:tab w:val="num" w:pos="2700"/>
        </w:tabs>
        <w:ind w:left="2700" w:hanging="360"/>
      </w:pPr>
    </w:lvl>
    <w:lvl w:ilvl="4" w:tplc="04090019">
      <w:start w:val="1"/>
      <w:numFmt w:val="lowerLetter"/>
      <w:lvlText w:val="(%5)"/>
      <w:lvlJc w:val="left"/>
      <w:pPr>
        <w:ind w:left="3420" w:hanging="360"/>
      </w:pPr>
      <w:rPr>
        <w:color w:val="000000"/>
        <w:sz w:val="23"/>
      </w:rPr>
    </w:lvl>
    <w:lvl w:ilvl="5" w:tplc="6C461D36">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3">
    <w:nsid w:val="6F711F79"/>
    <w:multiLevelType w:val="hybridMultilevel"/>
    <w:tmpl w:val="E528B5FA"/>
    <w:lvl w:ilvl="0" w:tplc="414208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4AE7903"/>
    <w:multiLevelType w:val="hybridMultilevel"/>
    <w:tmpl w:val="935A7532"/>
    <w:lvl w:ilvl="0" w:tplc="70BC5B20">
      <w:start w:val="3"/>
      <w:numFmt w:val="upperLetter"/>
      <w:lvlText w:val="%1."/>
      <w:lvlJc w:val="left"/>
      <w:pPr>
        <w:ind w:left="1080" w:hanging="360"/>
      </w:pPr>
      <w:rPr>
        <w:color w:val="000000"/>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5">
    <w:nsid w:val="7B7A5BD9"/>
    <w:multiLevelType w:val="multilevel"/>
    <w:tmpl w:val="E93C4D9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b w:val="0"/>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LrKrQhtj0wQYINUFFFAZFw3sKBc=" w:salt="Uv6jtLoCvGsSs7U9/DzKag=="/>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7339B"/>
    <w:rsid w:val="00194A3D"/>
    <w:rsid w:val="001F66B0"/>
    <w:rsid w:val="00236950"/>
    <w:rsid w:val="00245A5A"/>
    <w:rsid w:val="00295F16"/>
    <w:rsid w:val="002A3EEB"/>
    <w:rsid w:val="002A653A"/>
    <w:rsid w:val="002B61E2"/>
    <w:rsid w:val="002B7959"/>
    <w:rsid w:val="002C2671"/>
    <w:rsid w:val="002D79FF"/>
    <w:rsid w:val="0036700F"/>
    <w:rsid w:val="003728BA"/>
    <w:rsid w:val="00390270"/>
    <w:rsid w:val="003A4CAE"/>
    <w:rsid w:val="003A7275"/>
    <w:rsid w:val="003B7404"/>
    <w:rsid w:val="004406F7"/>
    <w:rsid w:val="004772E1"/>
    <w:rsid w:val="00490063"/>
    <w:rsid w:val="00497A5F"/>
    <w:rsid w:val="0054651A"/>
    <w:rsid w:val="00567E71"/>
    <w:rsid w:val="00574EE8"/>
    <w:rsid w:val="00581765"/>
    <w:rsid w:val="006068DC"/>
    <w:rsid w:val="0066422A"/>
    <w:rsid w:val="00676048"/>
    <w:rsid w:val="006C4D00"/>
    <w:rsid w:val="00714D7E"/>
    <w:rsid w:val="00727917"/>
    <w:rsid w:val="0073726A"/>
    <w:rsid w:val="00774478"/>
    <w:rsid w:val="00787789"/>
    <w:rsid w:val="007929DB"/>
    <w:rsid w:val="007A3857"/>
    <w:rsid w:val="007E55E9"/>
    <w:rsid w:val="007F0744"/>
    <w:rsid w:val="007F2160"/>
    <w:rsid w:val="00821922"/>
    <w:rsid w:val="008374CB"/>
    <w:rsid w:val="008538D8"/>
    <w:rsid w:val="00856B55"/>
    <w:rsid w:val="00875E9E"/>
    <w:rsid w:val="0088334A"/>
    <w:rsid w:val="00932E1A"/>
    <w:rsid w:val="00956C4D"/>
    <w:rsid w:val="009725A3"/>
    <w:rsid w:val="00983722"/>
    <w:rsid w:val="009D5F3B"/>
    <w:rsid w:val="00A92261"/>
    <w:rsid w:val="00AA3A59"/>
    <w:rsid w:val="00AD02E7"/>
    <w:rsid w:val="00AE04B0"/>
    <w:rsid w:val="00AF2729"/>
    <w:rsid w:val="00B45FD9"/>
    <w:rsid w:val="00C52FF9"/>
    <w:rsid w:val="00C72C38"/>
    <w:rsid w:val="00C81419"/>
    <w:rsid w:val="00C949F5"/>
    <w:rsid w:val="00CB0398"/>
    <w:rsid w:val="00CC1948"/>
    <w:rsid w:val="00CE5A2B"/>
    <w:rsid w:val="00CE7FEB"/>
    <w:rsid w:val="00D175B9"/>
    <w:rsid w:val="00D21FA9"/>
    <w:rsid w:val="00D23502"/>
    <w:rsid w:val="00D43E1D"/>
    <w:rsid w:val="00D4629F"/>
    <w:rsid w:val="00D63374"/>
    <w:rsid w:val="00DE770F"/>
    <w:rsid w:val="00E21DEE"/>
    <w:rsid w:val="00E22298"/>
    <w:rsid w:val="00E33D2C"/>
    <w:rsid w:val="00EC1645"/>
    <w:rsid w:val="00ED61AC"/>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10192</Words>
  <Characters>58101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2026-04-10T08:45:00Z</dcterms:created>
  <dcterms:modified xsi:type="dcterms:W3CDTF">2026-04-10T08:45:00Z</dcterms:modified>
</cp:coreProperties>
</file>