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BE5" w:rsidRDefault="007F2BE5">
      <w:pPr>
        <w:pStyle w:val="BodyText"/>
        <w:spacing w:before="56"/>
        <w:jc w:val="left"/>
      </w:pPr>
    </w:p>
    <w:p w:rsidR="007F2BE5" w:rsidRDefault="0070360E">
      <w:pPr>
        <w:pStyle w:val="Heading1"/>
        <w:spacing w:line="480" w:lineRule="auto"/>
        <w:ind w:left="2989" w:right="2140" w:firstLine="1188"/>
      </w:pPr>
      <w:r>
        <w:t>BAB V KESIMPULANDANSARAN</w:t>
      </w:r>
    </w:p>
    <w:p w:rsidR="007F2BE5" w:rsidRDefault="007F2BE5">
      <w:pPr>
        <w:pStyle w:val="BodyText"/>
        <w:spacing w:before="5"/>
        <w:jc w:val="left"/>
        <w:rPr>
          <w:b/>
        </w:rPr>
      </w:pPr>
    </w:p>
    <w:p w:rsidR="007F2BE5" w:rsidRDefault="0070360E">
      <w:pPr>
        <w:ind w:left="568"/>
        <w:rPr>
          <w:b/>
          <w:sz w:val="24"/>
        </w:rPr>
      </w:pPr>
      <w:r>
        <w:rPr>
          <w:b/>
          <w:sz w:val="24"/>
        </w:rPr>
        <w:t xml:space="preserve">5. 1 </w:t>
      </w:r>
      <w:r>
        <w:rPr>
          <w:b/>
          <w:spacing w:val="-2"/>
          <w:sz w:val="24"/>
        </w:rPr>
        <w:t>Kesimpulan</w:t>
      </w:r>
    </w:p>
    <w:p w:rsidR="007F2BE5" w:rsidRDefault="007F2BE5">
      <w:pPr>
        <w:pStyle w:val="BodyText"/>
        <w:spacing w:before="16"/>
        <w:jc w:val="left"/>
        <w:rPr>
          <w:b/>
        </w:rPr>
      </w:pPr>
    </w:p>
    <w:p w:rsidR="007F2BE5" w:rsidRDefault="0070360E">
      <w:pPr>
        <w:pStyle w:val="BodyText"/>
        <w:spacing w:line="480" w:lineRule="auto"/>
        <w:ind w:left="568" w:right="145" w:firstLine="720"/>
      </w:pPr>
      <w:r>
        <w:rPr>
          <w:noProof/>
          <w:lang w:val="en-US"/>
        </w:rPr>
        <w:drawing>
          <wp:anchor distT="0" distB="0" distL="0" distR="0" simplePos="0" relativeHeight="487556608" behindDoc="1" locked="0" layoutInCell="1" allowOverlap="1">
            <wp:simplePos x="0" y="0"/>
            <wp:positionH relativeFrom="page">
              <wp:posOffset>1456690</wp:posOffset>
            </wp:positionH>
            <wp:positionV relativeFrom="paragraph">
              <wp:posOffset>360164</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667249" cy="4591049"/>
                    </a:xfrm>
                    <a:prstGeom prst="rect">
                      <a:avLst/>
                    </a:prstGeom>
                  </pic:spPr>
                </pic:pic>
              </a:graphicData>
            </a:graphic>
          </wp:anchor>
        </w:drawing>
      </w:r>
      <w:r>
        <w:t>Berdasarkan analisis data yang telah dilakukan dalam studi mengenai "Dampak Pengetahuan Perpajakan dan Lingkungan terhadap Kepatuhan Pajak PribadiTerdaftar di Kantor Pelayanan Pajak (KPP) Pratama MedanTimur"</w:t>
      </w:r>
      <w:r>
        <w:t>, dapat disimpulkan beberapa hal berikut:</w:t>
      </w:r>
    </w:p>
    <w:p w:rsidR="007F2BE5" w:rsidRDefault="0070360E">
      <w:pPr>
        <w:pStyle w:val="ListParagraph"/>
        <w:numPr>
          <w:ilvl w:val="0"/>
          <w:numId w:val="2"/>
        </w:numPr>
        <w:tabs>
          <w:tab w:val="left" w:pos="853"/>
        </w:tabs>
        <w:spacing w:line="480" w:lineRule="auto"/>
        <w:ind w:right="138"/>
        <w:jc w:val="both"/>
        <w:rPr>
          <w:sz w:val="24"/>
        </w:rPr>
      </w:pPr>
      <w:r>
        <w:rPr>
          <w:sz w:val="24"/>
        </w:rPr>
        <w:t>Pengetahuan perpajakan memberikan dampak yang signifikan pada kepatuhan wajib pajak individu.Analisis menunjukkan bahwa pengetahuan perpajakan yangdimilikiolehwajibpajakmemilikiperankrusialdalammendorongmereka untu</w:t>
      </w:r>
      <w:r>
        <w:rPr>
          <w:sz w:val="24"/>
        </w:rPr>
        <w:t>k menjalankan kewajiban perpajakan, seperti pelaporan SPT tahunan dan pembayaran pajak. Semakin baik pemahaman wajib pajak tentang regulasi, prosedur,sertahakdankewajibanperpajakan,makakemungkinanmerekauntuk mematuhi peraturan pajak yang ada akan semakin t</w:t>
      </w:r>
      <w:r>
        <w:rPr>
          <w:sz w:val="24"/>
        </w:rPr>
        <w:t>inggi.</w:t>
      </w:r>
    </w:p>
    <w:p w:rsidR="007F2BE5" w:rsidRDefault="0070360E">
      <w:pPr>
        <w:pStyle w:val="ListParagraph"/>
        <w:numPr>
          <w:ilvl w:val="0"/>
          <w:numId w:val="2"/>
        </w:numPr>
        <w:tabs>
          <w:tab w:val="left" w:pos="853"/>
        </w:tabs>
        <w:spacing w:line="480" w:lineRule="auto"/>
        <w:ind w:right="141"/>
        <w:jc w:val="both"/>
        <w:rPr>
          <w:sz w:val="24"/>
        </w:rPr>
      </w:pPr>
      <w:r>
        <w:rPr>
          <w:sz w:val="24"/>
        </w:rPr>
        <w:t>Lingkungansosialjuga berpengaruhsignifikanterhadapkepatuhanwajibpajak pribadi.Lingkungan yang mencakup keluarga, teman, komunitas, dan kolega dapat membentuk norma sosial yang berpengaruh terhadap sikap dan tindakan wajibpajak.Wajibpajakyangberadadi</w:t>
      </w:r>
      <w:r>
        <w:rPr>
          <w:sz w:val="24"/>
        </w:rPr>
        <w:t>lingkunganyangsuportifdanmemiliki kesadarankolektiftentangpentingnyamembayarpajakcenderungmenunjukkan tingkat kepatuhan yang lebih baik dibandingkan mereka yang hidup di lingkungan yang lebih toleran terhadap pelanggaran pajak.</w:t>
      </w:r>
    </w:p>
    <w:p w:rsidR="007F2BE5" w:rsidRDefault="0070360E">
      <w:pPr>
        <w:pStyle w:val="ListParagraph"/>
        <w:numPr>
          <w:ilvl w:val="0"/>
          <w:numId w:val="2"/>
        </w:numPr>
        <w:tabs>
          <w:tab w:val="left" w:pos="853"/>
        </w:tabs>
        <w:spacing w:line="480" w:lineRule="auto"/>
        <w:ind w:right="146"/>
        <w:jc w:val="both"/>
        <w:rPr>
          <w:sz w:val="24"/>
        </w:rPr>
      </w:pPr>
      <w:r>
        <w:rPr>
          <w:sz w:val="24"/>
        </w:rPr>
        <w:t>Secara bersamaan, pengetahua</w:t>
      </w:r>
      <w:r>
        <w:rPr>
          <w:sz w:val="24"/>
        </w:rPr>
        <w:t>n perpajakan dan lingkungan sosial memiliki dampakpositifdansignifikanterhadapkepatuhanwajibpajakindividu.</w:t>
      </w:r>
    </w:p>
    <w:p w:rsidR="007F2BE5" w:rsidRDefault="0070360E">
      <w:pPr>
        <w:spacing w:before="51"/>
        <w:ind w:left="426"/>
        <w:jc w:val="center"/>
        <w:rPr>
          <w:rFonts w:ascii="Calibri"/>
        </w:rPr>
      </w:pPr>
      <w:r>
        <w:rPr>
          <w:rFonts w:ascii="Calibri"/>
          <w:spacing w:val="-5"/>
        </w:rPr>
        <w:t>93</w:t>
      </w:r>
    </w:p>
    <w:p w:rsidR="007F2BE5" w:rsidRDefault="007F2BE5">
      <w:pPr>
        <w:jc w:val="center"/>
        <w:rPr>
          <w:rFonts w:ascii="Calibri"/>
        </w:rPr>
        <w:sectPr w:rsidR="007F2BE5">
          <w:type w:val="continuous"/>
          <w:pgSz w:w="11910" w:h="16840"/>
          <w:pgMar w:top="1920" w:right="1559" w:bottom="280" w:left="1700" w:header="720" w:footer="720" w:gutter="0"/>
          <w:cols w:space="720"/>
        </w:sectPr>
      </w:pPr>
    </w:p>
    <w:p w:rsidR="007F2BE5" w:rsidRDefault="0070360E">
      <w:pPr>
        <w:spacing w:before="30"/>
        <w:ind w:right="140"/>
        <w:jc w:val="right"/>
        <w:rPr>
          <w:rFonts w:ascii="Calibri"/>
        </w:rPr>
      </w:pPr>
      <w:r>
        <w:rPr>
          <w:rFonts w:ascii="Calibri"/>
          <w:spacing w:val="-5"/>
        </w:rPr>
        <w:lastRenderedPageBreak/>
        <w:t>94</w:t>
      </w:r>
    </w:p>
    <w:p w:rsidR="007F2BE5" w:rsidRDefault="007F2BE5">
      <w:pPr>
        <w:pStyle w:val="BodyText"/>
        <w:jc w:val="left"/>
        <w:rPr>
          <w:rFonts w:ascii="Calibri"/>
          <w:sz w:val="22"/>
        </w:rPr>
      </w:pPr>
    </w:p>
    <w:p w:rsidR="007F2BE5" w:rsidRDefault="007F2BE5">
      <w:pPr>
        <w:pStyle w:val="BodyText"/>
        <w:jc w:val="left"/>
        <w:rPr>
          <w:rFonts w:ascii="Calibri"/>
          <w:sz w:val="22"/>
        </w:rPr>
      </w:pPr>
    </w:p>
    <w:p w:rsidR="007F2BE5" w:rsidRDefault="007F2BE5">
      <w:pPr>
        <w:pStyle w:val="BodyText"/>
        <w:jc w:val="left"/>
        <w:rPr>
          <w:rFonts w:ascii="Calibri"/>
          <w:sz w:val="22"/>
        </w:rPr>
      </w:pPr>
    </w:p>
    <w:p w:rsidR="007F2BE5" w:rsidRDefault="007F2BE5">
      <w:pPr>
        <w:pStyle w:val="BodyText"/>
        <w:spacing w:before="219"/>
        <w:jc w:val="left"/>
        <w:rPr>
          <w:rFonts w:ascii="Calibri"/>
          <w:sz w:val="22"/>
        </w:rPr>
      </w:pPr>
    </w:p>
    <w:p w:rsidR="007F2BE5" w:rsidRDefault="0070360E">
      <w:pPr>
        <w:pStyle w:val="BodyText"/>
        <w:spacing w:line="480" w:lineRule="auto"/>
        <w:ind w:left="853" w:right="146"/>
      </w:pPr>
      <w:r>
        <w:t>Gabungan antara pengetahuan perpajakan dan pengaruh lingkungan sosial bekerja sama untuk meningkatkan tingkat kepatuhan wajib pajak individu di KPP Pratama Medan Timur. Kedua elemen ini saling melengkapi dalam membentuk perilaku taat, baik dari segi kognit</w:t>
      </w:r>
      <w:r>
        <w:t>if maupun sosial.</w:t>
      </w:r>
    </w:p>
    <w:p w:rsidR="007F2BE5" w:rsidRDefault="007F2BE5">
      <w:pPr>
        <w:pStyle w:val="BodyText"/>
        <w:spacing w:before="5"/>
        <w:jc w:val="left"/>
      </w:pPr>
    </w:p>
    <w:p w:rsidR="007F2BE5" w:rsidRDefault="0070360E">
      <w:pPr>
        <w:pStyle w:val="Heading1"/>
        <w:jc w:val="both"/>
      </w:pPr>
      <w:r>
        <w:rPr>
          <w:noProof/>
          <w:lang w:val="en-US"/>
        </w:rPr>
        <w:drawing>
          <wp:anchor distT="0" distB="0" distL="0" distR="0" simplePos="0" relativeHeight="487557120" behindDoc="1" locked="0" layoutInCell="1" allowOverlap="1">
            <wp:simplePos x="0" y="0"/>
            <wp:positionH relativeFrom="page">
              <wp:posOffset>1456690</wp:posOffset>
            </wp:positionH>
            <wp:positionV relativeFrom="paragraph">
              <wp:posOffset>19962</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4667249" cy="4591049"/>
                    </a:xfrm>
                    <a:prstGeom prst="rect">
                      <a:avLst/>
                    </a:prstGeom>
                  </pic:spPr>
                </pic:pic>
              </a:graphicData>
            </a:graphic>
          </wp:anchor>
        </w:drawing>
      </w:r>
      <w:r>
        <w:t xml:space="preserve">5. 2 </w:t>
      </w:r>
      <w:r>
        <w:rPr>
          <w:spacing w:val="-2"/>
        </w:rPr>
        <w:t>Saran</w:t>
      </w:r>
    </w:p>
    <w:p w:rsidR="007F2BE5" w:rsidRDefault="007F2BE5">
      <w:pPr>
        <w:pStyle w:val="BodyText"/>
        <w:spacing w:before="16"/>
        <w:jc w:val="left"/>
        <w:rPr>
          <w:b/>
        </w:rPr>
      </w:pPr>
    </w:p>
    <w:p w:rsidR="007F2BE5" w:rsidRDefault="0070360E">
      <w:pPr>
        <w:pStyle w:val="BodyText"/>
        <w:spacing w:line="362" w:lineRule="auto"/>
        <w:ind w:left="568" w:right="148" w:firstLine="284"/>
      </w:pPr>
      <w:r>
        <w:t>Berdasarkan temuan penelitian dan kesimpulan yang telah dipaparkan, penulis memberikan beberapa rekomendasi sebagai berikut:</w:t>
      </w:r>
    </w:p>
    <w:p w:rsidR="007F2BE5" w:rsidRDefault="0070360E">
      <w:pPr>
        <w:pStyle w:val="ListParagraph"/>
        <w:numPr>
          <w:ilvl w:val="0"/>
          <w:numId w:val="1"/>
        </w:numPr>
        <w:tabs>
          <w:tab w:val="left" w:pos="852"/>
        </w:tabs>
        <w:spacing w:before="0" w:line="271" w:lineRule="exact"/>
        <w:ind w:left="852" w:hanging="284"/>
        <w:jc w:val="both"/>
        <w:rPr>
          <w:sz w:val="24"/>
        </w:rPr>
      </w:pPr>
      <w:r>
        <w:rPr>
          <w:sz w:val="24"/>
        </w:rPr>
        <w:t>BagiWajib</w:t>
      </w:r>
      <w:r>
        <w:rPr>
          <w:spacing w:val="-4"/>
          <w:sz w:val="24"/>
        </w:rPr>
        <w:t>Pajak</w:t>
      </w:r>
    </w:p>
    <w:p w:rsidR="007F2BE5" w:rsidRDefault="0070360E">
      <w:pPr>
        <w:pStyle w:val="BodyText"/>
        <w:spacing w:before="140" w:line="360" w:lineRule="auto"/>
        <w:ind w:left="568" w:right="145"/>
      </w:pPr>
      <w:r>
        <w:t>Diharapkan agar wajib pajak lebih aktif dalam mencari informasi dan meningkatkanpeng</w:t>
      </w:r>
      <w:r>
        <w:t>etahuantentangperpajakan,baiklewatmediadaring,pelatihan, seminar, ataupun sosialisasi yang diselenggarakan oleh Direktorat Jenderal Pajak. Pemahaman yang mendalam mengenai hak dan kewajiban perpajakan akan membantu wajib pajak mencegah kesalahan dalam pela</w:t>
      </w:r>
      <w:r>
        <w:t xml:space="preserve">poran dan meningkatkan </w:t>
      </w:r>
      <w:r>
        <w:rPr>
          <w:spacing w:val="-2"/>
        </w:rPr>
        <w:t>kepatuhan.</w:t>
      </w:r>
    </w:p>
    <w:p w:rsidR="007F2BE5" w:rsidRDefault="0070360E">
      <w:pPr>
        <w:pStyle w:val="ListParagraph"/>
        <w:numPr>
          <w:ilvl w:val="0"/>
          <w:numId w:val="1"/>
        </w:numPr>
        <w:tabs>
          <w:tab w:val="left" w:pos="852"/>
        </w:tabs>
        <w:ind w:left="852" w:hanging="284"/>
        <w:jc w:val="both"/>
        <w:rPr>
          <w:sz w:val="24"/>
        </w:rPr>
      </w:pPr>
      <w:r>
        <w:rPr>
          <w:sz w:val="24"/>
        </w:rPr>
        <w:t>BagiKantorPelayananPajakPratamaMedan</w:t>
      </w:r>
      <w:r>
        <w:rPr>
          <w:spacing w:val="-4"/>
          <w:sz w:val="24"/>
        </w:rPr>
        <w:t>Timur</w:t>
      </w:r>
    </w:p>
    <w:p w:rsidR="007F2BE5" w:rsidRDefault="0070360E">
      <w:pPr>
        <w:pStyle w:val="BodyText"/>
        <w:spacing w:before="136" w:line="360" w:lineRule="auto"/>
        <w:ind w:left="568" w:right="143"/>
      </w:pPr>
      <w:r>
        <w:t>Perluuntukterusmengembangkanstrategiedukasidansosialisasiperpajakanyang lebih inovatif, efektif, dan berbasis digital untuk menjangkau lebih banyak wajib pajak. Selain itu, KPP jug</w:t>
      </w:r>
      <w:r>
        <w:t>a bisa menjalin kerjasama dengan komunitas atau organisasi masyarakat untuk membangun lingkungan yang kondusif bagi kepatuhan pajak.</w:t>
      </w:r>
    </w:p>
    <w:p w:rsidR="007F2BE5" w:rsidRDefault="0070360E">
      <w:pPr>
        <w:pStyle w:val="ListParagraph"/>
        <w:numPr>
          <w:ilvl w:val="0"/>
          <w:numId w:val="1"/>
        </w:numPr>
        <w:tabs>
          <w:tab w:val="left" w:pos="852"/>
        </w:tabs>
        <w:spacing w:before="3"/>
        <w:ind w:left="852" w:hanging="284"/>
        <w:jc w:val="both"/>
        <w:rPr>
          <w:sz w:val="24"/>
        </w:rPr>
      </w:pPr>
      <w:r>
        <w:rPr>
          <w:sz w:val="24"/>
        </w:rPr>
        <w:t>BagiPeneliti</w:t>
      </w:r>
      <w:r>
        <w:rPr>
          <w:spacing w:val="-2"/>
          <w:sz w:val="24"/>
        </w:rPr>
        <w:t>Selanjutnya</w:t>
      </w:r>
    </w:p>
    <w:p w:rsidR="007F2BE5" w:rsidRDefault="0070360E">
      <w:pPr>
        <w:pStyle w:val="BodyText"/>
        <w:spacing w:before="275" w:line="480" w:lineRule="auto"/>
        <w:ind w:left="568" w:right="137"/>
      </w:pPr>
      <w:r>
        <w:t>Disarankan agar peneliti di masa mendatang menambahkan variabel lain seperti sanksi perpajakan, persepsi mengenai keadilan pajak, kualitas layanan pajak, dan penggunaan teknologi informasi (seperti e-filing dan aplikasi pajak) untuk mendapatkan pemahaman y</w:t>
      </w:r>
      <w:r>
        <w:t>ang lebih menyeluruh tentang faktor-faktor yang mempengaruhi kepatuhan wajib pajak.</w:t>
      </w:r>
    </w:p>
    <w:sectPr w:rsidR="007F2BE5" w:rsidSect="007F2BE5">
      <w:pgSz w:w="11910" w:h="16840"/>
      <w:pgMar w:top="660" w:right="1559"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B57D3"/>
    <w:multiLevelType w:val="hybridMultilevel"/>
    <w:tmpl w:val="E732EA40"/>
    <w:lvl w:ilvl="0" w:tplc="3B1037F4">
      <w:start w:val="1"/>
      <w:numFmt w:val="decimal"/>
      <w:lvlText w:val="%1."/>
      <w:lvlJc w:val="left"/>
      <w:pPr>
        <w:ind w:left="853"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8F25036">
      <w:numFmt w:val="bullet"/>
      <w:lvlText w:val="•"/>
      <w:lvlJc w:val="left"/>
      <w:pPr>
        <w:ind w:left="1638" w:hanging="285"/>
      </w:pPr>
      <w:rPr>
        <w:rFonts w:hint="default"/>
        <w:lang w:eastAsia="en-US" w:bidi="ar-SA"/>
      </w:rPr>
    </w:lvl>
    <w:lvl w:ilvl="2" w:tplc="7D628E02">
      <w:numFmt w:val="bullet"/>
      <w:lvlText w:val="•"/>
      <w:lvlJc w:val="left"/>
      <w:pPr>
        <w:ind w:left="2417" w:hanging="285"/>
      </w:pPr>
      <w:rPr>
        <w:rFonts w:hint="default"/>
        <w:lang w:eastAsia="en-US" w:bidi="ar-SA"/>
      </w:rPr>
    </w:lvl>
    <w:lvl w:ilvl="3" w:tplc="8A58BD52">
      <w:numFmt w:val="bullet"/>
      <w:lvlText w:val="•"/>
      <w:lvlJc w:val="left"/>
      <w:pPr>
        <w:ind w:left="3196" w:hanging="285"/>
      </w:pPr>
      <w:rPr>
        <w:rFonts w:hint="default"/>
        <w:lang w:eastAsia="en-US" w:bidi="ar-SA"/>
      </w:rPr>
    </w:lvl>
    <w:lvl w:ilvl="4" w:tplc="852C811C">
      <w:numFmt w:val="bullet"/>
      <w:lvlText w:val="•"/>
      <w:lvlJc w:val="left"/>
      <w:pPr>
        <w:ind w:left="3975" w:hanging="285"/>
      </w:pPr>
      <w:rPr>
        <w:rFonts w:hint="default"/>
        <w:lang w:eastAsia="en-US" w:bidi="ar-SA"/>
      </w:rPr>
    </w:lvl>
    <w:lvl w:ilvl="5" w:tplc="A168B098">
      <w:numFmt w:val="bullet"/>
      <w:lvlText w:val="•"/>
      <w:lvlJc w:val="left"/>
      <w:pPr>
        <w:ind w:left="4754" w:hanging="285"/>
      </w:pPr>
      <w:rPr>
        <w:rFonts w:hint="default"/>
        <w:lang w:eastAsia="en-US" w:bidi="ar-SA"/>
      </w:rPr>
    </w:lvl>
    <w:lvl w:ilvl="6" w:tplc="695EB32E">
      <w:numFmt w:val="bullet"/>
      <w:lvlText w:val="•"/>
      <w:lvlJc w:val="left"/>
      <w:pPr>
        <w:ind w:left="5533" w:hanging="285"/>
      </w:pPr>
      <w:rPr>
        <w:rFonts w:hint="default"/>
        <w:lang w:eastAsia="en-US" w:bidi="ar-SA"/>
      </w:rPr>
    </w:lvl>
    <w:lvl w:ilvl="7" w:tplc="96E2C65A">
      <w:numFmt w:val="bullet"/>
      <w:lvlText w:val="•"/>
      <w:lvlJc w:val="left"/>
      <w:pPr>
        <w:ind w:left="6312" w:hanging="285"/>
      </w:pPr>
      <w:rPr>
        <w:rFonts w:hint="default"/>
        <w:lang w:eastAsia="en-US" w:bidi="ar-SA"/>
      </w:rPr>
    </w:lvl>
    <w:lvl w:ilvl="8" w:tplc="E5D48594">
      <w:numFmt w:val="bullet"/>
      <w:lvlText w:val="•"/>
      <w:lvlJc w:val="left"/>
      <w:pPr>
        <w:ind w:left="7091" w:hanging="285"/>
      </w:pPr>
      <w:rPr>
        <w:rFonts w:hint="default"/>
        <w:lang w:eastAsia="en-US" w:bidi="ar-SA"/>
      </w:rPr>
    </w:lvl>
  </w:abstractNum>
  <w:abstractNum w:abstractNumId="1">
    <w:nsid w:val="7F1768A5"/>
    <w:multiLevelType w:val="hybridMultilevel"/>
    <w:tmpl w:val="A0FA07C2"/>
    <w:lvl w:ilvl="0" w:tplc="1FC2B608">
      <w:start w:val="1"/>
      <w:numFmt w:val="decimal"/>
      <w:lvlText w:val="%1."/>
      <w:lvlJc w:val="left"/>
      <w:pPr>
        <w:ind w:left="853"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ED0C1B8">
      <w:numFmt w:val="bullet"/>
      <w:lvlText w:val="•"/>
      <w:lvlJc w:val="left"/>
      <w:pPr>
        <w:ind w:left="1638" w:hanging="361"/>
      </w:pPr>
      <w:rPr>
        <w:rFonts w:hint="default"/>
        <w:lang w:eastAsia="en-US" w:bidi="ar-SA"/>
      </w:rPr>
    </w:lvl>
    <w:lvl w:ilvl="2" w:tplc="23827FB8">
      <w:numFmt w:val="bullet"/>
      <w:lvlText w:val="•"/>
      <w:lvlJc w:val="left"/>
      <w:pPr>
        <w:ind w:left="2417" w:hanging="361"/>
      </w:pPr>
      <w:rPr>
        <w:rFonts w:hint="default"/>
        <w:lang w:eastAsia="en-US" w:bidi="ar-SA"/>
      </w:rPr>
    </w:lvl>
    <w:lvl w:ilvl="3" w:tplc="382A0AB6">
      <w:numFmt w:val="bullet"/>
      <w:lvlText w:val="•"/>
      <w:lvlJc w:val="left"/>
      <w:pPr>
        <w:ind w:left="3196" w:hanging="361"/>
      </w:pPr>
      <w:rPr>
        <w:rFonts w:hint="default"/>
        <w:lang w:eastAsia="en-US" w:bidi="ar-SA"/>
      </w:rPr>
    </w:lvl>
    <w:lvl w:ilvl="4" w:tplc="2CFABF6E">
      <w:numFmt w:val="bullet"/>
      <w:lvlText w:val="•"/>
      <w:lvlJc w:val="left"/>
      <w:pPr>
        <w:ind w:left="3975" w:hanging="361"/>
      </w:pPr>
      <w:rPr>
        <w:rFonts w:hint="default"/>
        <w:lang w:eastAsia="en-US" w:bidi="ar-SA"/>
      </w:rPr>
    </w:lvl>
    <w:lvl w:ilvl="5" w:tplc="5E0A3BE8">
      <w:numFmt w:val="bullet"/>
      <w:lvlText w:val="•"/>
      <w:lvlJc w:val="left"/>
      <w:pPr>
        <w:ind w:left="4754" w:hanging="361"/>
      </w:pPr>
      <w:rPr>
        <w:rFonts w:hint="default"/>
        <w:lang w:eastAsia="en-US" w:bidi="ar-SA"/>
      </w:rPr>
    </w:lvl>
    <w:lvl w:ilvl="6" w:tplc="B080D212">
      <w:numFmt w:val="bullet"/>
      <w:lvlText w:val="•"/>
      <w:lvlJc w:val="left"/>
      <w:pPr>
        <w:ind w:left="5533" w:hanging="361"/>
      </w:pPr>
      <w:rPr>
        <w:rFonts w:hint="default"/>
        <w:lang w:eastAsia="en-US" w:bidi="ar-SA"/>
      </w:rPr>
    </w:lvl>
    <w:lvl w:ilvl="7" w:tplc="BD1A2F0C">
      <w:numFmt w:val="bullet"/>
      <w:lvlText w:val="•"/>
      <w:lvlJc w:val="left"/>
      <w:pPr>
        <w:ind w:left="6312" w:hanging="361"/>
      </w:pPr>
      <w:rPr>
        <w:rFonts w:hint="default"/>
        <w:lang w:eastAsia="en-US" w:bidi="ar-SA"/>
      </w:rPr>
    </w:lvl>
    <w:lvl w:ilvl="8" w:tplc="5AAA8188">
      <w:numFmt w:val="bullet"/>
      <w:lvlText w:val="•"/>
      <w:lvlJc w:val="left"/>
      <w:pPr>
        <w:ind w:left="7091" w:hanging="361"/>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wQKB38EKEoCylZInC8G7hEvh5Xk=" w:salt="LHYPieeFR4nJcSRUmHpbcw=="/>
  <w:defaultTabStop w:val="720"/>
  <w:drawingGridHorizontalSpacing w:val="110"/>
  <w:displayHorizontalDrawingGridEvery w:val="2"/>
  <w:characterSpacingControl w:val="doNotCompress"/>
  <w:compat>
    <w:ulTrailSpace/>
    <w:shapeLayoutLikeWW8/>
  </w:compat>
  <w:rsids>
    <w:rsidRoot w:val="007F2BE5"/>
    <w:rsid w:val="0070360E"/>
    <w:rsid w:val="007F2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2BE5"/>
    <w:rPr>
      <w:rFonts w:ascii="Times New Roman" w:eastAsia="Times New Roman" w:hAnsi="Times New Roman" w:cs="Times New Roman"/>
      <w:lang/>
    </w:rPr>
  </w:style>
  <w:style w:type="paragraph" w:styleId="Heading1">
    <w:name w:val="heading 1"/>
    <w:basedOn w:val="Normal"/>
    <w:uiPriority w:val="1"/>
    <w:qFormat/>
    <w:rsid w:val="007F2BE5"/>
    <w:pPr>
      <w:ind w:left="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F2BE5"/>
    <w:pPr>
      <w:jc w:val="both"/>
    </w:pPr>
    <w:rPr>
      <w:sz w:val="24"/>
      <w:szCs w:val="24"/>
    </w:rPr>
  </w:style>
  <w:style w:type="paragraph" w:styleId="ListParagraph">
    <w:name w:val="List Paragraph"/>
    <w:basedOn w:val="Normal"/>
    <w:uiPriority w:val="1"/>
    <w:qFormat/>
    <w:rsid w:val="007F2BE5"/>
    <w:pPr>
      <w:spacing w:before="1"/>
      <w:ind w:left="852" w:hanging="361"/>
      <w:jc w:val="both"/>
    </w:pPr>
  </w:style>
  <w:style w:type="paragraph" w:customStyle="1" w:styleId="TableParagraph">
    <w:name w:val="Table Paragraph"/>
    <w:basedOn w:val="Normal"/>
    <w:uiPriority w:val="1"/>
    <w:qFormat/>
    <w:rsid w:val="007F2B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2026-05-20T04:05:00Z</dcterms:created>
  <dcterms:modified xsi:type="dcterms:W3CDTF">2026-05-20T04:05:00Z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Creator">
    <vt:lpwstr>Nitro PDF Pro 14 (14.42.0.34)</vt:lpwstr>
  </property>
  <property fmtid="{D5CDD505-2E9C-101B-9397-08002B2CF9AE}" pid="5" name="LastSaved">
    <vt:filetime>2026-05-12T00:00:00Z</vt:filetime>
  </property>
</Properties>
</file>