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00" w:rsidRPr="009C4B03" w:rsidRDefault="00536600" w:rsidP="00536600">
      <w:pPr>
        <w:pStyle w:val="Heading1"/>
        <w:keepNext w:val="0"/>
        <w:keepLines w:val="0"/>
        <w:widowControl w:val="0"/>
        <w:numPr>
          <w:ilvl w:val="0"/>
          <w:numId w:val="0"/>
        </w:numPr>
        <w:autoSpaceDE w:val="0"/>
        <w:autoSpaceDN w:val="0"/>
        <w:spacing w:before="0" w:after="0" w:line="360" w:lineRule="auto"/>
        <w:ind w:left="3544" w:right="2147"/>
        <w:rPr>
          <w:rFonts w:ascii="Times New Roman" w:eastAsia="Times New Roman" w:hAnsi="Times New Roman" w:cs="Times New Roman"/>
          <w:b/>
          <w:bCs/>
          <w:color w:val="auto"/>
          <w:kern w:val="0"/>
          <w:sz w:val="28"/>
          <w:szCs w:val="28"/>
          <w:lang w:eastAsia="en-US"/>
        </w:rPr>
      </w:pPr>
      <w:r w:rsidRPr="009C4B03">
        <w:rPr>
          <w:rFonts w:ascii="Times New Roman" w:eastAsia="Times New Roman" w:hAnsi="Times New Roman" w:cs="Times New Roman"/>
          <w:b/>
          <w:bCs/>
          <w:color w:val="auto"/>
          <w:kern w:val="0"/>
          <w:sz w:val="28"/>
          <w:szCs w:val="28"/>
          <w:lang w:eastAsia="en-US"/>
        </w:rPr>
        <w:t>B</w:t>
      </w:r>
      <w:r w:rsidRPr="009C4B03">
        <w:rPr>
          <w:rFonts w:ascii="Times New Roman" w:eastAsia="Times New Roman" w:hAnsi="Times New Roman" w:cs="Times New Roman"/>
          <w:b/>
          <w:bCs/>
          <w:color w:val="auto"/>
          <w:kern w:val="0"/>
          <w:sz w:val="28"/>
          <w:szCs w:val="28"/>
          <w:lang w:eastAsia="en-US"/>
        </w:rPr>
        <w:t>AB II</w:t>
      </w:r>
    </w:p>
    <w:p w:rsidR="00536600" w:rsidRPr="009C4B03" w:rsidRDefault="00536600" w:rsidP="00536600">
      <w:pPr>
        <w:pStyle w:val="Heading1"/>
        <w:keepNext w:val="0"/>
        <w:keepLines w:val="0"/>
        <w:widowControl w:val="0"/>
        <w:numPr>
          <w:ilvl w:val="0"/>
          <w:numId w:val="0"/>
        </w:numPr>
        <w:autoSpaceDE w:val="0"/>
        <w:autoSpaceDN w:val="0"/>
        <w:spacing w:before="0" w:after="120" w:line="360" w:lineRule="auto"/>
        <w:ind w:left="2694" w:right="849"/>
        <w:rPr>
          <w:rFonts w:ascii="Times New Roman" w:eastAsia="Times New Roman" w:hAnsi="Times New Roman" w:cs="Times New Roman"/>
          <w:b/>
          <w:bCs/>
          <w:color w:val="auto"/>
          <w:kern w:val="0"/>
          <w:sz w:val="28"/>
          <w:szCs w:val="28"/>
          <w:lang w:eastAsia="en-US"/>
        </w:rPr>
      </w:pPr>
      <w:r w:rsidRPr="009C4B03">
        <w:rPr>
          <w:rFonts w:ascii="Times New Roman" w:eastAsia="Times New Roman" w:hAnsi="Times New Roman" w:cs="Times New Roman"/>
          <w:b/>
          <w:bCs/>
          <w:color w:val="auto"/>
          <w:kern w:val="0"/>
          <w:sz w:val="28"/>
          <w:szCs w:val="28"/>
          <w:lang w:eastAsia="en-US"/>
        </w:rPr>
        <w:t>TINJAUANPUSTAKA</w:t>
      </w:r>
    </w:p>
    <w:p w:rsidR="00536600" w:rsidRDefault="00536600" w:rsidP="00536600">
      <w:pPr>
        <w:pStyle w:val="ListParagraph"/>
        <w:widowControl w:val="0"/>
        <w:numPr>
          <w:ilvl w:val="0"/>
          <w:numId w:val="16"/>
        </w:numPr>
        <w:autoSpaceDE w:val="0"/>
        <w:autoSpaceDN w:val="0"/>
        <w:spacing w:after="0" w:line="240" w:lineRule="auto"/>
        <w:ind w:left="426"/>
        <w:outlineLvl w:val="1"/>
        <w:rPr>
          <w:rFonts w:ascii="Times New Roman" w:hAnsi="Times New Roman" w:cs="Times New Roman"/>
          <w:b/>
          <w:bCs/>
          <w:lang w:eastAsia="en-US"/>
        </w:rPr>
      </w:pPr>
      <w:r w:rsidRPr="0093039F">
        <w:rPr>
          <w:rFonts w:ascii="Times New Roman" w:hAnsi="Times New Roman" w:cs="Times New Roman"/>
          <w:b/>
          <w:bCs/>
          <w:lang w:eastAsia="en-US"/>
        </w:rPr>
        <w:t>Tinjauan Umum tentang</w:t>
      </w:r>
      <w:r w:rsidRPr="0093039F">
        <w:rPr>
          <w:rFonts w:ascii="Times New Roman" w:hAnsi="Times New Roman" w:cs="Times New Roman"/>
          <w:b/>
          <w:bCs/>
          <w:lang w:eastAsia="en-US"/>
        </w:rPr>
        <w:t xml:space="preserve"> Kurator </w:t>
      </w:r>
    </w:p>
    <w:p w:rsidR="00536600" w:rsidRPr="0093039F" w:rsidRDefault="00536600" w:rsidP="00536600">
      <w:pPr>
        <w:pStyle w:val="ListParagraph"/>
        <w:widowControl w:val="0"/>
        <w:autoSpaceDE w:val="0"/>
        <w:autoSpaceDN w:val="0"/>
        <w:spacing w:after="0" w:line="240" w:lineRule="auto"/>
        <w:ind w:left="426"/>
        <w:outlineLvl w:val="1"/>
        <w:rPr>
          <w:rFonts w:ascii="Times New Roman" w:hAnsi="Times New Roman" w:cs="Times New Roman"/>
          <w:b/>
          <w:bCs/>
          <w:lang w:eastAsia="en-US"/>
        </w:rPr>
      </w:pPr>
    </w:p>
    <w:p w:rsidR="00536600" w:rsidRPr="0093039F" w:rsidRDefault="00536600" w:rsidP="00536600">
      <w:pPr>
        <w:pStyle w:val="ListParagraph"/>
        <w:numPr>
          <w:ilvl w:val="4"/>
          <w:numId w:val="11"/>
        </w:numPr>
        <w:spacing w:before="139" w:after="0" w:line="360" w:lineRule="auto"/>
        <w:ind w:left="851" w:right="142" w:hanging="425"/>
        <w:jc w:val="both"/>
        <w:rPr>
          <w:rFonts w:ascii="Times New Roman" w:hAnsi="Times New Roman" w:cs="Times New Roman"/>
          <w:b/>
          <w:bCs/>
          <w:lang w:val="en-US" w:eastAsia="en-US"/>
        </w:rPr>
      </w:pPr>
      <w:r w:rsidRPr="0093039F">
        <w:rPr>
          <w:rFonts w:ascii="Times New Roman" w:hAnsi="Times New Roman" w:cs="Times New Roman"/>
          <w:b/>
          <w:bCs/>
          <w:lang w:val="en-US" w:eastAsia="en-US"/>
        </w:rPr>
        <w:t>PengertianKurator</w:t>
      </w:r>
    </w:p>
    <w:p w:rsidR="00536600" w:rsidRPr="00503FB4" w:rsidRDefault="00536600" w:rsidP="00536600">
      <w:pPr>
        <w:pStyle w:val="BodyText"/>
        <w:spacing w:before="241" w:line="360" w:lineRule="auto"/>
        <w:ind w:left="851" w:right="136" w:firstLine="425"/>
      </w:pPr>
      <w:r w:rsidRPr="00F822DA">
        <w:t xml:space="preserve">Kurator adalah salah satu profesi hukum yang memiliki kewenangan penting dalam proses kepailitan. Secara umum, kurator adalah pejabat yang ditunjuk oleh pengadilan untuk mengurus dan membereskan harta pailit debitor agar dapat diselesaikan sesuai dengan ketentuan hukum yang berlaku. Sjahdeini (2002, hlm. 45) menjelaskan bahwa kurator memiliki dua tugas pokok, yaitu pengurusan (mengamankan dan mengelola) dan pemberesan (menyelesaikan dan mendistribusikan) harta </w:t>
      </w:r>
      <w:r>
        <w:rPr>
          <w:lang w:val="en-US"/>
        </w:rPr>
        <w:t>debitur</w:t>
      </w:r>
      <w:r w:rsidRPr="00F822DA">
        <w:t>pailit kepa</w:t>
      </w:r>
      <w:r>
        <w:t>da para kreditor.</w:t>
      </w:r>
      <w:r>
        <w:rPr>
          <w:rStyle w:val="FootnoteReference"/>
        </w:rPr>
        <w:footnoteReference w:id="2"/>
      </w:r>
      <w:r w:rsidRPr="00F822DA">
        <w:t xml:space="preserve"> Hal ini sejalan dengan prinsip perlindungan kepentingan kreditor dan kelangsungan proses kepailitan yang tertib.</w:t>
      </w:r>
    </w:p>
    <w:p w:rsidR="00536600" w:rsidRDefault="00536600" w:rsidP="00536600">
      <w:pPr>
        <w:pStyle w:val="BodyText"/>
        <w:spacing w:before="241" w:line="360" w:lineRule="auto"/>
        <w:ind w:left="851" w:right="136" w:firstLine="425"/>
      </w:pPr>
      <w:r w:rsidRPr="00F822DA">
        <w:t>Menurut Usman (2004, hlm. 87), kurator bukan hanya menjalankan fungsi administratif, tetapi juga berperan sebagai penghubung antara debitor, kreditor, dan pengadilan. Dalam konteks hukum kepailitan Indonesia, pengangkatan kurator dilakukan oleh pengadilan niaga, dan kurator berkewajiban bekerja secara profesional serta bertindak demi kepentin</w:t>
      </w:r>
      <w:r>
        <w:t>gan semua pihak yang terlibat.</w:t>
      </w:r>
      <w:r w:rsidRPr="00461D39">
        <w:rPr>
          <w:vertAlign w:val="superscript"/>
        </w:rPr>
        <w:footnoteReference w:id="3"/>
      </w:r>
      <w:r w:rsidRPr="00F822DA">
        <w:t xml:space="preserve"> Dengan demikian, peran kurator menjadi sangat penting dalam menjamin jalannya proses kepailitan yang adil dan efisien.</w:t>
      </w:r>
    </w:p>
    <w:p w:rsidR="00536600" w:rsidRDefault="00536600" w:rsidP="00536600">
      <w:pPr>
        <w:pStyle w:val="BodyText"/>
        <w:spacing w:before="241" w:line="360" w:lineRule="auto"/>
        <w:ind w:left="851" w:right="136" w:firstLine="425"/>
      </w:pPr>
      <w:r>
        <w:t xml:space="preserve">Dalam sistem hukum kepailitan di Indonesia, kurator memegang peranan sentral sebagai pihak yang ditunjuk oleh pengadilan untuk melaksanakan tugas pengurusan dan pemberesan harta debitor pailit di bawah pengawasan hakim pengawas. Kurator dapat berasal dari Balai </w:t>
      </w:r>
      <w:r>
        <w:lastRenderedPageBreak/>
        <w:t>Harta Peninggalan atau individu perseorangan yang memiliki keahlian khusus, berdomisili di Indonesia, serta telah terdaftar di Departemen Kehakiman dan Hak Asasi Manusia sebagaimana diatur dalam Pasal 69 dan 70 Undang-Undang Kepailitan</w:t>
      </w:r>
      <w:r>
        <w:rPr>
          <w:lang w:val="en-US"/>
        </w:rPr>
        <w:t>.</w:t>
      </w:r>
      <w:r>
        <w:rPr>
          <w:rStyle w:val="FootnoteReference"/>
        </w:rPr>
        <w:footnoteReference w:id="4"/>
      </w:r>
    </w:p>
    <w:p w:rsidR="00536600" w:rsidRPr="007B0F8A" w:rsidRDefault="00536600" w:rsidP="00536600">
      <w:pPr>
        <w:pStyle w:val="BodyText"/>
        <w:spacing w:before="241" w:line="360" w:lineRule="auto"/>
        <w:ind w:left="851" w:right="136" w:firstLine="425"/>
      </w:pPr>
      <w:r w:rsidRPr="00F822DA">
        <w:t>Fungsi dan peran kurator tidak hanya bersifat administratif, tetapi juga mencerminkan pelaksanaan prinsip keadilan, perlindungan hukum, dan efisiensi dalam penyelesaian utang piutang debitur pailit. Secara teoritis, posisi kurator berada dalam kerangka hukum kepailitan yang menganut asas “</w:t>
      </w:r>
      <w:r w:rsidRPr="00461D39">
        <w:rPr>
          <w:i/>
          <w:iCs/>
        </w:rPr>
        <w:t>Collective Proceeding</w:t>
      </w:r>
      <w:r w:rsidRPr="00F822DA">
        <w:t>”, di mana kepentingan seluruh kreditur diakomodasi melalui satu proses pengurusan dan pemberesan oleh pihak yang independen, yakni kurator</w:t>
      </w:r>
      <w:r w:rsidRPr="007B0F8A">
        <w:t>.</w:t>
      </w:r>
    </w:p>
    <w:p w:rsidR="00536600" w:rsidRDefault="00536600" w:rsidP="00536600">
      <w:pPr>
        <w:pStyle w:val="BodyText"/>
        <w:spacing w:before="241" w:line="360" w:lineRule="auto"/>
        <w:ind w:left="851" w:right="136" w:firstLine="425"/>
      </w:pPr>
      <w:r w:rsidRPr="00F822DA">
        <w:t>Menurut Pasal 1 angka 5 Undang-Undang Nomor 37 Tahun 2004 tentang Kepailitan dan Penundaan Kewajiban Pembayaran Utang (UU Kepailitan), kurator didefinisikan sebagai “Balai Harta Peninggalan atau orang perseorangan yang diangkat oleh pengadilan untuk mengurus dan membereskan harta debitur pailit di bawah pengawasan hakim pengawas.” Pengertian ini menunjukkan bahwa fungsi utama kurator adalah melakukan pengelolaan terhadap aset debitur secara profesional dan bertanggung jawab agar dapat memenuhi hak-hak para kreditur secara proporsional.</w:t>
      </w:r>
    </w:p>
    <w:p w:rsidR="00536600" w:rsidRDefault="00536600" w:rsidP="00536600">
      <w:pPr>
        <w:pStyle w:val="BodyText"/>
        <w:spacing w:before="241" w:line="360" w:lineRule="auto"/>
        <w:ind w:left="851" w:right="136" w:firstLine="425"/>
      </w:pPr>
      <w:r>
        <w:t xml:space="preserve">Kewenangan kurator sangat luas, sebagaimana diatur dalam Undang-Undang Kepailitan dan PKPU. Sejak tanggal putusan pailit dibacakan, kurator telah berwenang menjalankan tugasnya meskipun masih ada upaya hukum seperti kasasi atau peninjauan kembali. Bahkan, perbuatan kurator tetap sah meski putusan pailit dibatalkan kemudian. Akan tetapi, apabila kurator bertindak melampaui kewenangan atau lalai, ia dapat dimintai tanggung jawab pribadi, </w:t>
      </w:r>
      <w:r>
        <w:lastRenderedPageBreak/>
        <w:t>apalagi jika menyebabkan kerugian terhadap harta pailit atau pihak ketiga.</w:t>
      </w:r>
    </w:p>
    <w:p w:rsidR="00536600" w:rsidRDefault="00536600" w:rsidP="00536600">
      <w:pPr>
        <w:pStyle w:val="BodyText"/>
        <w:spacing w:before="241" w:line="360" w:lineRule="auto"/>
        <w:ind w:left="851" w:right="136" w:firstLine="425"/>
      </w:pPr>
      <w:r>
        <w:t xml:space="preserve">Kurator juga mengemban </w:t>
      </w:r>
      <w:r w:rsidRPr="00271175">
        <w:rPr>
          <w:i/>
          <w:iCs/>
        </w:rPr>
        <w:t>fiduciary duties</w:t>
      </w:r>
      <w:r>
        <w:t xml:space="preserve"> terhadap pengadilan, debitor, seluruh kreditor, serta pemegang saham. Artinya, ia berkewajiban bertindak dengan itikad baik, profesional, independen, dan tidak mengutamakan kepentingan pribadi atau memihak sebagian kreditor. Dalam hal terjadi penyalahgunaan wewenang, pihak-pihak yang dirugikan berhak mengajukan keberatan kepada Hakim Pengawas sebagaimana diatur dalam Pasal 77 UUK, bahkan meminta penggantian kurator berdasarkan Pasal 71</w:t>
      </w:r>
      <w:r>
        <w:rPr>
          <w:lang w:val="en-US"/>
        </w:rPr>
        <w:t>.</w:t>
      </w:r>
      <w:r>
        <w:rPr>
          <w:rStyle w:val="FootnoteReference"/>
        </w:rPr>
        <w:footnoteReference w:id="5"/>
      </w:r>
    </w:p>
    <w:p w:rsidR="00536600" w:rsidRDefault="00536600" w:rsidP="00536600">
      <w:pPr>
        <w:pStyle w:val="BodyText"/>
        <w:spacing w:before="241" w:line="360" w:lineRule="auto"/>
        <w:ind w:left="851" w:right="136" w:firstLine="425"/>
      </w:pPr>
      <w:r w:rsidRPr="00F822DA">
        <w:t>Dalam literatur hukum, fungsi dan peran kurator dikaji dalam kerangka teori hukum perwakilan dan fidusia. Kurator bertindak sebagai pihak yang dipercayakan oleh hukum untuk menggantikan posisi debitur dalam pengelolaan harta debitur pailit demi kepentingan para kreditur. Sri Soedewi Masjchoen Sofwan menyatakan bahwa “dalam kepailitan, kurator mengambil alih kewenangan debitur terhadap harta kekayaannya demi proses pemberesan utang kepada para kreditur”.  Fungsi ini mensyaratkan adanya independensi, integritas, dan kompetensi dari kurator dalam menjalankan tugasnya.</w:t>
      </w:r>
    </w:p>
    <w:p w:rsidR="00536600" w:rsidRDefault="00536600" w:rsidP="00536600">
      <w:pPr>
        <w:pStyle w:val="BodyText"/>
        <w:spacing w:before="241" w:line="360" w:lineRule="auto"/>
        <w:ind w:left="851" w:right="136" w:firstLine="425"/>
      </w:pPr>
      <w:r w:rsidRPr="00F822DA">
        <w:t>Tugas kurator meliputi pendataan harta debitur pailit, pelaksanaan rapat kreditur, penjualan harta debitur, dan pembagian hasil penjualan kepada</w:t>
      </w:r>
      <w:r w:rsidRPr="00117194">
        <w:t xml:space="preserve">kreditur sesuai urutan preferensi yang telah ditentukan oleh hukum. Dalam menjalankan tugas-tugas tersebut, kurator tidak bertindak sendiri, melainkan di bawah pengawasan hakim pengawas. Menurut Muhammad Fauzan, “peran kurator tidak dapat dilepaskan dari kontrol pengadilan melalui hakim pengawas guna mencegah penyalahgunaan wewenang dan menjamin perlindungan hukum </w:t>
      </w:r>
      <w:r w:rsidRPr="00117194">
        <w:lastRenderedPageBreak/>
        <w:t>terhadap semua pihak”.</w:t>
      </w:r>
      <w:r w:rsidRPr="00461D39">
        <w:rPr>
          <w:vertAlign w:val="superscript"/>
        </w:rPr>
        <w:footnoteReference w:id="6"/>
      </w:r>
      <w:r w:rsidRPr="00117194">
        <w:t xml:space="preserve"> Hal ini memperlihatkan adanya </w:t>
      </w:r>
      <w:r w:rsidRPr="00E66781">
        <w:rPr>
          <w:i/>
          <w:iCs/>
        </w:rPr>
        <w:t>check and balance</w:t>
      </w:r>
      <w:r w:rsidRPr="00117194">
        <w:t xml:space="preserve"> dalam sistem kepailitan, di mana peran kurator harus tetap berada dalam koridor hukum dan pengawasan yudisial.</w:t>
      </w:r>
    </w:p>
    <w:p w:rsidR="00536600" w:rsidRPr="0094496B" w:rsidRDefault="00536600" w:rsidP="00536600">
      <w:pPr>
        <w:pStyle w:val="BodyText"/>
        <w:spacing w:before="241" w:line="360" w:lineRule="auto"/>
        <w:ind w:left="851" w:right="136" w:firstLine="425"/>
      </w:pPr>
      <w:r w:rsidRPr="00117194">
        <w:t>Lebih jauh lagi, kurator juga memiliki kewajiban untuk menjaga kepentingan semua pihak, termasuk debitur. Hal ini didasarkan pada prinsip imparsialitas yang menjadi ciri penting dari kurator profesional. Menurut Yuliana T. Munthe, “kurator yang baik harus mengedepankan profesionalisme dan objektivitas agar proses pemberesan berjalan adil dan transparan bagi seluruh kreditur dan debitur”.</w:t>
      </w:r>
      <w:r w:rsidRPr="00461D39">
        <w:rPr>
          <w:vertAlign w:val="superscript"/>
        </w:rPr>
        <w:footnoteReference w:id="7"/>
      </w:r>
      <w:r w:rsidRPr="00117194">
        <w:t xml:space="preserve"> Oleh karena itu, dalam praktik, kurator sering kali berasal dari profesi advokat atau akuntan yang memiliki keahlian khusus dalam pengelolaan harta dan penyelesaian sengketa bisnis.</w:t>
      </w:r>
    </w:p>
    <w:p w:rsidR="00536600" w:rsidRPr="0094496B" w:rsidRDefault="00536600" w:rsidP="00536600">
      <w:pPr>
        <w:pStyle w:val="BodyText"/>
        <w:spacing w:before="241" w:line="360" w:lineRule="auto"/>
        <w:ind w:left="851" w:right="136" w:firstLine="425"/>
      </w:pPr>
      <w:r w:rsidRPr="0094496B">
        <w:t>Di dalam sistem hukum Indonesia, peran kurator bukan hanya sebagai pelaksana teknis, tetapi juga sebagai representasi dari mekanisme keadilan distributif dalam ranah perdata komersial. Hal ini ditegaskan pula dalam teori perlindungan hukum (</w:t>
      </w:r>
      <w:r w:rsidRPr="00E66781">
        <w:rPr>
          <w:i/>
          <w:iCs/>
        </w:rPr>
        <w:t>legal protection theory</w:t>
      </w:r>
      <w:r w:rsidRPr="0094496B">
        <w:t xml:space="preserve">) yang menekankan bahwa pihak-pihak yang berada dalam posisi lemah, seperti kreditur </w:t>
      </w:r>
      <w:r w:rsidRPr="00E66DEA">
        <w:t>konkuren</w:t>
      </w:r>
      <w:r w:rsidRPr="0094496B">
        <w:t>, tetap harus mendapat akses yang adil terhadap proses pemberesan. Oleh karena itu, dalam sistem kepailitan, keberadaan kurator sangat vital untuk menjamin proses yang tertib, efisien, dan berkeadilan.</w:t>
      </w:r>
    </w:p>
    <w:p w:rsidR="00536600" w:rsidRDefault="00536600" w:rsidP="00536600">
      <w:pPr>
        <w:pStyle w:val="BodyText"/>
        <w:spacing w:before="241" w:line="360" w:lineRule="auto"/>
        <w:ind w:left="851" w:right="136" w:firstLine="425"/>
      </w:pPr>
      <w:r w:rsidRPr="0094496B">
        <w:t xml:space="preserve">Dengan demikian, teori tentang fungsi dan peran kurator dalam sistem kepailitan mencakup dua dimensi utama: dimensi hukum formal, yang mengatur tugas dan wewenang kurator secara eksplisit dalam undang- undang; dan dimensi substantif, yang mencerminkan tanggung jawab moral dan profesional kurator dalam memastikan keadilan </w:t>
      </w:r>
      <w:r w:rsidRPr="0094496B">
        <w:lastRenderedPageBreak/>
        <w:t>substantif dalam distribusi aset debitur. Dalam praktiknya, penguatan peran kurator perlu terus didorong melalui sertifikasi profesional, pengawasan yang ketat, serta penguatan kerangka etika agar fungsi dan peran kurator dapat berjalan secara optimal.</w:t>
      </w:r>
    </w:p>
    <w:p w:rsidR="00536600" w:rsidRPr="0093039F" w:rsidRDefault="00536600" w:rsidP="00536600">
      <w:pPr>
        <w:pStyle w:val="ListParagraph"/>
        <w:numPr>
          <w:ilvl w:val="4"/>
          <w:numId w:val="11"/>
        </w:numPr>
        <w:spacing w:before="139" w:after="0" w:line="360" w:lineRule="auto"/>
        <w:ind w:left="851" w:right="142"/>
        <w:jc w:val="both"/>
        <w:rPr>
          <w:rFonts w:ascii="Times New Roman" w:hAnsi="Times New Roman" w:cs="Times New Roman"/>
          <w:b/>
          <w:bCs/>
          <w:lang w:eastAsia="en-US"/>
        </w:rPr>
      </w:pPr>
      <w:r w:rsidRPr="0093039F">
        <w:rPr>
          <w:rFonts w:ascii="Times New Roman" w:hAnsi="Times New Roman" w:cs="Times New Roman"/>
          <w:b/>
          <w:bCs/>
          <w:lang w:val="en-US" w:eastAsia="en-US"/>
        </w:rPr>
        <w:t>PengangkatanKurator</w:t>
      </w:r>
    </w:p>
    <w:p w:rsidR="00536600" w:rsidRPr="00210919" w:rsidRDefault="00536600" w:rsidP="00536600">
      <w:pPr>
        <w:pStyle w:val="BodyText"/>
        <w:spacing w:before="241" w:line="360" w:lineRule="auto"/>
        <w:ind w:left="851" w:right="136" w:firstLine="425"/>
      </w:pPr>
      <w:r w:rsidRPr="00210919">
        <w:t xml:space="preserve">Dalam sistem hukum kepailitan Indonesia, pengangkatan kurator merupakan salah satu aspek fundamental dalam pelaksanaan proses kepailitan. Kurator adalah pejabat yang bertugas mengurus dan membereskan harta </w:t>
      </w:r>
      <w:r w:rsidRPr="00210919">
        <w:rPr>
          <w:lang w:val="en-US"/>
        </w:rPr>
        <w:t>debitur</w:t>
      </w:r>
      <w:r w:rsidRPr="00210919">
        <w:t xml:space="preserve">pailit setelah adanya putusan pernyataan pailit dari pengadilan. Pengangkatan kurator secara resmi dilakukan oleh pengadilan niaga bersamaan dengan putusan pailit, sebagaimana diatur dalam “Pasal 15 ayat (1) Undang-Undang Nomor 37 Tahun 2004 tentang Kepailitan dan Penundaan Kewajiban Pembayaran Utang (UU Kepailitan)”, yang menyatakan bahwa dalam putusan pernyataan pailit, pengadilan wajib mengangkat seorang atau lebih kurator serta hakim pengawas. Dengan demikian, sejak saat itu, kurator resmi bertindak sebagai pengelola harta </w:t>
      </w:r>
      <w:r w:rsidRPr="00210919">
        <w:rPr>
          <w:lang w:val="en-US"/>
        </w:rPr>
        <w:t>debitur</w:t>
      </w:r>
      <w:r w:rsidRPr="00210919">
        <w:t>pailit yang mengambil alih wewenang dan tanggung jawab debitur terhadap seluruh asetnya.</w:t>
      </w:r>
    </w:p>
    <w:p w:rsidR="00536600" w:rsidRPr="00461D39" w:rsidRDefault="00536600" w:rsidP="00536600">
      <w:pPr>
        <w:pStyle w:val="BodyText"/>
        <w:spacing w:before="241" w:line="360" w:lineRule="auto"/>
        <w:ind w:left="851" w:right="136" w:firstLine="425"/>
      </w:pPr>
      <w:r w:rsidRPr="00461D39">
        <w:t>Pengangkatan kurator memiliki dasar hukum yang kuat, tidak hanya sebagai perintah administratif, tetapi juga sebagai bentuk pelimpahan tanggung jawab hukum terhadap pengurusan dan pemberesan kekayaan debitur. Dalam pandangan Rachmadi Usman, kurator memegang posisi sentral dalam struktur penyelesaian kepailitan karena menjadi pelaksana utama yang menjembatani proses hukum antara kreditur dan debitur, dan bertugas secara aktif dalam memastikan proses pemberesan harta berjalan secara adil dan transparan</w:t>
      </w:r>
      <w:r>
        <w:rPr>
          <w:vertAlign w:val="superscript"/>
          <w:lang w:val="en-US"/>
        </w:rPr>
        <w:t xml:space="preserve">. </w:t>
      </w:r>
      <w:r w:rsidRPr="00461D39">
        <w:rPr>
          <w:vertAlign w:val="superscript"/>
        </w:rPr>
        <w:footnoteReference w:id="8"/>
      </w:r>
    </w:p>
    <w:p w:rsidR="00536600" w:rsidRPr="00461D39" w:rsidRDefault="00536600" w:rsidP="00536600">
      <w:pPr>
        <w:pStyle w:val="BodyText"/>
        <w:spacing w:before="241" w:line="360" w:lineRule="auto"/>
        <w:ind w:left="851" w:right="136" w:firstLine="425"/>
      </w:pPr>
      <w:r w:rsidRPr="00461D39">
        <w:t xml:space="preserve">Secara normatif, pengangkatan kurator tidak bersifat sembarangan. </w:t>
      </w:r>
      <w:r w:rsidRPr="00461D39">
        <w:lastRenderedPageBreak/>
        <w:t>Undang-undang secara tegas mensyaratkan bahwa kurator harus terdiri atas perorangan atau kantor hukum yang telah terdaftar sebagai kurator resmi dan memiliki izin dari Kementerian Hukum dan HAM. Hal ini penting untuk menjamin profesionalitas dan akuntabilitas kurator dalam menjalankan tugasnya. Selain itu, kurator juga harus tunduk pada kode etik dan pengawasan yang dilakukan oleh pengadilan niaga serta organisasi profesi yang membawahi mereka, yaitu Asosiasi Kurator dan Pengurus Indonesia (AKPI).</w:t>
      </w:r>
    </w:p>
    <w:p w:rsidR="00536600" w:rsidRPr="00461D39" w:rsidRDefault="00536600" w:rsidP="00536600">
      <w:pPr>
        <w:pStyle w:val="BodyText"/>
        <w:spacing w:before="241" w:line="360" w:lineRule="auto"/>
        <w:ind w:left="851" w:right="136" w:firstLine="425"/>
      </w:pPr>
      <w:r w:rsidRPr="00461D39">
        <w:t xml:space="preserve">Menurut Yahya Harahap, pengangkatan kurator oleh pengadilan didasarkan pada prinsip netralitas dan kepentingan terbaik dari para kreditur. Oleh karena itu, meskipun pemohon pailit dapat mengajukan usulan nama kurator, pengadilan tetap memiliki kewenangan penuh untuk menentukan siapa yang dianggap layak dan cakap menjalankan fungsi kurator. </w:t>
      </w:r>
      <w:r w:rsidRPr="00461D39">
        <w:rPr>
          <w:vertAlign w:val="superscript"/>
        </w:rPr>
        <w:footnoteReference w:id="9"/>
      </w:r>
      <w:r w:rsidRPr="00461D39">
        <w:t>Hal ini dimaksudkan  untuk  menghindari  konflik  kepentingan  dan  menjaga independensi proses kepailitan dari intervensi pihak-pihak yang berkepentingan langsung.</w:t>
      </w:r>
    </w:p>
    <w:p w:rsidR="00536600" w:rsidRPr="00461D39" w:rsidRDefault="00536600" w:rsidP="00536600">
      <w:pPr>
        <w:pStyle w:val="BodyText"/>
        <w:spacing w:before="241" w:line="360" w:lineRule="auto"/>
        <w:ind w:left="851" w:right="136" w:firstLine="425"/>
      </w:pPr>
      <w:r w:rsidRPr="00461D39">
        <w:t>Dalam praktiknya, pengangkatan kurator juga memperhatikan rekam jejak dan kapabilitas profesional calon kurator. Beberapa pengadilan bahkan melakukan seleksi internal dan mempertimbangkan reputasi calon kurator berdasarkan perkara-perkara sebelumnya. Hal ini menunjukkan bahwa pengadilan niaga tidak sekadar melaksanakan formalitas hukum, tetapi benar- benar menilai kredibilitas kurator sebagai penjamin kelancaran proses kepailitan. Kegagalan dalam memilih kurator yang profesional dapat berdampak langsung pada lambannya proses pemberesan dan kerugian bagi para kreditur.</w:t>
      </w:r>
    </w:p>
    <w:p w:rsidR="00536600" w:rsidRPr="00461D39" w:rsidRDefault="00536600" w:rsidP="00536600">
      <w:pPr>
        <w:pStyle w:val="BodyText"/>
        <w:spacing w:before="241" w:line="360" w:lineRule="auto"/>
        <w:ind w:left="851" w:right="136" w:firstLine="425"/>
      </w:pPr>
      <w:r w:rsidRPr="00461D39">
        <w:t xml:space="preserve">Dalam sistem hukum Indonesia, kurator tidak hanya berperan administratif, tetapi juga sebagai perpanjangan tangan dari pengadilan </w:t>
      </w:r>
      <w:r w:rsidRPr="00461D39">
        <w:lastRenderedPageBreak/>
        <w:t>untuk melaksanakan eksekusi hukum terhadap aset debitur. Sebagaimana ditegaskan oleh Sutan Remy Sjahdeini, kurator yang telah diangkat oleh pengadilan memiliki hak dan kewajiban yang hampir menyerupai fiduciary, yaitu memiliki tanggung jawab moral dan hukum untuk bertindak demi kepentingan kreditur secara kolektif.</w:t>
      </w:r>
      <w:r w:rsidRPr="00461D39">
        <w:rPr>
          <w:vertAlign w:val="superscript"/>
        </w:rPr>
        <w:footnoteReference w:id="10"/>
      </w:r>
      <w:r w:rsidRPr="00461D39">
        <w:t xml:space="preserve"> Oleh sebab itu, integritas dan kemandirian kurator menjadi aspek yang tidak dapat ditawar dalam sistem kepailitan modern.</w:t>
      </w:r>
    </w:p>
    <w:p w:rsidR="00536600" w:rsidRPr="00461D39" w:rsidRDefault="00536600" w:rsidP="00536600">
      <w:pPr>
        <w:pStyle w:val="BodyText"/>
        <w:spacing w:before="241" w:line="360" w:lineRule="auto"/>
        <w:ind w:left="851" w:right="136" w:firstLine="425"/>
      </w:pPr>
      <w:r w:rsidRPr="00461D39">
        <w:t>Lebih lanjut, UU Kepailitan mengatur bahwa tugas kurator dimulai segera setelah pengangkatan dan berlangsung sepanjang proses kepailitan hingga selesai. Kurator bekerja di bawah pengawasan “hakim pengawas” yang juga ditunjuk oleh pengadilan, dan bertanggung jawab untuk memberikan laporan berkala, menyelenggarakan rapat kreditur, serta melaksanakan pembagian hasil pemberesan sesuai urutan prioritas hukum. Proses ini diatur ketat agar tidak ada penyalahgunaan kekuasaan oleh kurator, mengingat mereka memegang kendali penuh atas aset pihak lain.</w:t>
      </w:r>
    </w:p>
    <w:p w:rsidR="00536600" w:rsidRPr="00002F60" w:rsidRDefault="00536600" w:rsidP="00536600">
      <w:pPr>
        <w:pStyle w:val="BodyText"/>
        <w:spacing w:before="241" w:line="360" w:lineRule="auto"/>
        <w:ind w:left="851" w:right="136" w:firstLine="425"/>
      </w:pPr>
      <w:r w:rsidRPr="00461D39">
        <w:t>Dengan demikian, pengangkatan kurator merupakan proses krusial yang menentukan arah dan efektivitas dari keseluruhan penyelesaian kepailitan. Ia bukan sekadar prosedur hukum administratif, melainkan tindakan strategis yang berdampak langsung pada kepercayaan publik terhadap sistem peradilan niaga. Pemilihan kurator yang profesional, independen, dan bertanggung jawab adalah jaminan bagi perlindungan hak- hak kreditur dan penegakan hukum yang berkeadilan dalam konteks kepailitan.</w:t>
      </w:r>
    </w:p>
    <w:p w:rsidR="00536600" w:rsidRPr="0093039F" w:rsidRDefault="00536600" w:rsidP="00536600">
      <w:pPr>
        <w:pStyle w:val="ListParagraph"/>
        <w:numPr>
          <w:ilvl w:val="4"/>
          <w:numId w:val="11"/>
        </w:numPr>
        <w:spacing w:before="139" w:after="0" w:line="360" w:lineRule="auto"/>
        <w:ind w:left="851" w:right="142"/>
        <w:jc w:val="both"/>
        <w:rPr>
          <w:rFonts w:ascii="Times New Roman" w:hAnsi="Times New Roman" w:cs="Times New Roman"/>
          <w:b/>
          <w:bCs/>
          <w:lang w:eastAsia="en-US"/>
        </w:rPr>
      </w:pPr>
      <w:r w:rsidRPr="0093039F">
        <w:rPr>
          <w:rFonts w:ascii="Times New Roman" w:hAnsi="Times New Roman" w:cs="Times New Roman"/>
          <w:b/>
          <w:bCs/>
          <w:lang w:val="en-US" w:eastAsia="en-US"/>
        </w:rPr>
        <w:t>FungsiPengurusandanPemberesan</w:t>
      </w:r>
    </w:p>
    <w:p w:rsidR="00536600" w:rsidRDefault="00536600" w:rsidP="00536600">
      <w:pPr>
        <w:pStyle w:val="BodyText"/>
        <w:spacing w:before="241" w:line="360" w:lineRule="auto"/>
        <w:ind w:left="851" w:right="136" w:firstLine="425"/>
      </w:pPr>
      <w:r w:rsidRPr="00210919">
        <w:t xml:space="preserve">Dalam kajian manajemen, fungsi pengurusan dan pemberesan merupakan bagian integral dari proses pengelolaan organisasi yang </w:t>
      </w:r>
      <w:r w:rsidRPr="00210919">
        <w:lastRenderedPageBreak/>
        <w:t>bertujuan untuk mencapai efisiensi kerja dan ketertiban lingkungan kerja. Fungsi ini mencakup tindakan-tindakan untuk mengorganisasi, mengatur, dan merapikan segala bentuk sumber daya, baik yang bersifat fisik maupun non- fisik, agar tujuan organisasi dapat tercapai secara optimal.</w:t>
      </w:r>
    </w:p>
    <w:p w:rsidR="00536600" w:rsidRDefault="00536600" w:rsidP="00536600">
      <w:pPr>
        <w:pStyle w:val="BodyText"/>
        <w:spacing w:before="241" w:line="360" w:lineRule="auto"/>
        <w:ind w:left="851" w:right="136" w:firstLine="425"/>
      </w:pPr>
      <w:r w:rsidRPr="00210919">
        <w:t>Pengurusan merujuk pada kemampuan seorang manajer atau pemimpin dalam menyusun, mengelola, dan menata berbagai elemen organisasi, mulai dari sumber daya manusia hingga infrastruktur dan informasi. Menurut Terry (2006), pengurusan adalah suatu proses dalam menentukan tujuan organisasi dan kemudian melakukan tindakan-tindakan untuk mengarahkan, mengorganisasikan, serta mengawasi seluruh sumber daya organisasi guna mencapai tujuan tersebut secara efektif dan efisien</w:t>
      </w:r>
      <w:r w:rsidRPr="00961761">
        <w:t>.</w:t>
      </w:r>
      <w:r w:rsidRPr="00961761">
        <w:rPr>
          <w:vertAlign w:val="superscript"/>
        </w:rPr>
        <w:footnoteReference w:id="11"/>
      </w:r>
      <w:r w:rsidRPr="00210919">
        <w:t xml:space="preserve"> Pengurusan bukan hanya menyangkut pengambilan keputusan, tetapi juga melibatkan aktivitas perencanaan dan pengorganisasian yang terstruktur dan sistematis.</w:t>
      </w:r>
    </w:p>
    <w:p w:rsidR="00536600" w:rsidRDefault="00536600" w:rsidP="00536600">
      <w:pPr>
        <w:pStyle w:val="BodyText"/>
        <w:spacing w:before="241" w:line="360" w:lineRule="auto"/>
        <w:ind w:left="851" w:right="136" w:firstLine="425"/>
      </w:pPr>
      <w:r w:rsidRPr="00210919">
        <w:t>Sementara itu, pemberesan lebih mengarah pada tindakan praktis dalam penataan dan pembenahan kondisi atau situasi yang kurang tertata dengan baik. Dalam praktiknya, pemberesan merupakan bagian dari kontrol internal organisasi yang bertujuan untuk memastikan semua kegiatan berjalan sesuai standar, serta meminimalkan potensi ketidakteraturan yang dapat menghambat kinerja. Pemberesan juga terkait erat dengan aspek kebersihan, keteraturan, dan pemeliharaan tempat kerja, yang dalam prinsip 5S (Seiri, Seiton, Seiso, Seiketsu, dan Shitsuke) dikenal dengan istilah Seiri dan Seiton, yaitu memilah dan menata</w:t>
      </w:r>
      <w:r>
        <w:rPr>
          <w:lang w:val="en-US"/>
        </w:rPr>
        <w:t>.</w:t>
      </w:r>
      <w:r w:rsidRPr="00961761">
        <w:rPr>
          <w:vertAlign w:val="superscript"/>
        </w:rPr>
        <w:footnoteReference w:id="12"/>
      </w:r>
      <w:r w:rsidRPr="00210919">
        <w:t xml:space="preserve"> Prinsip-prinsip tersebut digunakan untuk menciptakan tempat kerja yang bersih, teratur, dan produktif.</w:t>
      </w:r>
    </w:p>
    <w:p w:rsidR="00536600" w:rsidRDefault="00536600" w:rsidP="00536600">
      <w:pPr>
        <w:pStyle w:val="BodyText"/>
        <w:spacing w:before="241" w:line="360" w:lineRule="auto"/>
        <w:ind w:left="851" w:right="136" w:firstLine="425"/>
      </w:pPr>
      <w:r w:rsidRPr="00210919">
        <w:t xml:space="preserve">Dalam studi yang dilakukan oleh Wahyuni (2021) mengenai </w:t>
      </w:r>
      <w:r w:rsidRPr="00210919">
        <w:lastRenderedPageBreak/>
        <w:t>implementasi prinsip manajemen di sektor pendidikan, disebutkan bahwa fungsi pengurusan dan pemberesan memiliki dampak signifikan terhadap peningkatan efisiensi administratif dan pencapaian target organisasi. Ia menyatakan bahwa “pengurusan yang baik diikuti oleh pemberesan yang konsisten akan menciptakan suasana kerja yang kondusif dan terukur”</w:t>
      </w:r>
      <w:r w:rsidRPr="00961761">
        <w:t>.</w:t>
      </w:r>
      <w:r w:rsidRPr="000A476C">
        <w:rPr>
          <w:vertAlign w:val="superscript"/>
        </w:rPr>
        <w:footnoteReference w:id="13"/>
      </w:r>
      <w:r w:rsidRPr="00210919">
        <w:t xml:space="preserve"> Artinya, kedua fungsi ini bersifat saling melengkapidan menjadi fondasi dalam pengelolaan organisasi modern.</w:t>
      </w:r>
    </w:p>
    <w:p w:rsidR="00536600" w:rsidRDefault="00536600" w:rsidP="00536600">
      <w:pPr>
        <w:pStyle w:val="BodyText"/>
        <w:spacing w:before="241" w:line="360" w:lineRule="auto"/>
        <w:ind w:left="851" w:right="136" w:firstLine="425"/>
      </w:pPr>
      <w:r w:rsidRPr="00210919">
        <w:t>Lebih jauh, pengurusan juga tidak dapat dilepaskan dari aspek kepemimpinan dan budaya kerja. Budaya kerja yang mendukung keteraturan dan kebersihan akan mempermudah pelaksanaan pemberesan. Di sisi lain, tanpa adanya sistem pengurusan yang baik, kegiatan pemberesan akan bersifat sporadis dan tidak sistematis. Oleh karena itu, organisasi dituntut untuk memiliki sistem pengurusan yang mendukung perencanaan kerja yang matang serta mekanisme pemberesan yang rutin dan terukur.</w:t>
      </w:r>
    </w:p>
    <w:p w:rsidR="00536600" w:rsidRDefault="00536600" w:rsidP="00536600">
      <w:pPr>
        <w:pStyle w:val="BodyText"/>
        <w:spacing w:before="241" w:line="360" w:lineRule="auto"/>
        <w:ind w:left="851" w:right="136" w:firstLine="425"/>
      </w:pPr>
      <w:r w:rsidRPr="00210919">
        <w:t>Dalam konteks organisasi modern dan dunia industri, implementasi fungsi pengurusan dan pemberesan bahkan menjadi indikator keberhasilan sistem manajemen mutu. Sebagai contoh, dalam sistem ISO 9001, pengelolaan proses dan penataan lingkungan kerja menjadi bagian dari prinsip-prinsip dasar manajemen mutu yang harus dijaga dan dievaluasi secara berkala</w:t>
      </w:r>
      <w:r w:rsidRPr="00961761">
        <w:t>.</w:t>
      </w:r>
      <w:r w:rsidRPr="000A476C">
        <w:rPr>
          <w:vertAlign w:val="superscript"/>
        </w:rPr>
        <w:footnoteReference w:id="14"/>
      </w:r>
      <w:r w:rsidRPr="00210919">
        <w:t xml:space="preserve"> Hal ini menegaskan bahwa fungsi pengurusan dan pemberesan bukan hanya sekadar aktivitas operasional biasa, melainkan bagian strategis dalam membangun efisiensi dan efektivitas organisasi secara keseluruhan.</w:t>
      </w:r>
    </w:p>
    <w:p w:rsidR="00536600" w:rsidRPr="00210919" w:rsidRDefault="00536600" w:rsidP="00536600">
      <w:pPr>
        <w:pStyle w:val="BodyText"/>
        <w:spacing w:before="241" w:line="360" w:lineRule="auto"/>
        <w:ind w:left="851" w:right="136" w:firstLine="425"/>
      </w:pPr>
      <w:r w:rsidRPr="00210919">
        <w:t xml:space="preserve">Secara keseluruhan, dapat disimpulkan bahwa fungsi pengurusan dan pemberesan merupakan dua pilar penting dalam sistem manajemen </w:t>
      </w:r>
      <w:r w:rsidRPr="00210919">
        <w:lastRenderedPageBreak/>
        <w:t>yang saling bersinergi. Pengurusan menyangkut perencanaan dan pengelolaan sistematis sumber daya, sedangkan pemberesan lebih kepada implementasi fisik dari pengaturan dan penataan untuk memastikan keteraturan dan kebersihan kerja. Ketika keduanya dilakukan dengan optimal, organisasi akan memiliki dasar yang kuat untuk berkembang secara produktif dan berkelanjutan.</w:t>
      </w:r>
    </w:p>
    <w:p w:rsidR="00536600" w:rsidRPr="0093039F" w:rsidRDefault="00536600" w:rsidP="00536600">
      <w:pPr>
        <w:pStyle w:val="ListParagraph"/>
        <w:numPr>
          <w:ilvl w:val="4"/>
          <w:numId w:val="11"/>
        </w:numPr>
        <w:spacing w:before="139" w:after="0" w:line="360" w:lineRule="auto"/>
        <w:ind w:left="851" w:right="142"/>
        <w:jc w:val="both"/>
        <w:rPr>
          <w:rFonts w:ascii="Times New Roman" w:hAnsi="Times New Roman" w:cs="Times New Roman"/>
          <w:b/>
          <w:bCs/>
          <w:lang w:eastAsia="en-US"/>
        </w:rPr>
      </w:pPr>
      <w:r w:rsidRPr="0093039F">
        <w:rPr>
          <w:rFonts w:ascii="Times New Roman" w:hAnsi="Times New Roman" w:cs="Times New Roman"/>
          <w:b/>
          <w:bCs/>
          <w:lang w:eastAsia="en-US"/>
        </w:rPr>
        <w:t>Hubungan Kurator dengan Hakim Pengawas dan Kreditor</w:t>
      </w:r>
    </w:p>
    <w:p w:rsidR="00536600" w:rsidRDefault="00536600" w:rsidP="00536600">
      <w:pPr>
        <w:pStyle w:val="BodyText"/>
        <w:spacing w:before="241" w:line="360" w:lineRule="auto"/>
        <w:ind w:left="851" w:right="136" w:firstLine="425"/>
      </w:pPr>
      <w:r w:rsidRPr="00210919">
        <w:t xml:space="preserve">Hakim pengawas adalah hakim yang ditunjuk oleh pengadilan niaga untuk mengawasi pelaksanaan kepailitan, khususnya dalam hal pengurusan dan pemberesan harta debitor oleh kurator. Fungsi pengawasan ini dimaksudkan untuk memastikan bahwa kurator menjalankan tugasnya secara objektif, profesional, dan sesuai dengan ketentuan hukum yang berlaku. Menurut Subekti, hakim pengawas memiliki peran penting sebagai “penengah dan pengawas” dalam proses kepailitan agar tidak terjadi penyalahgunaan wewenang oleh kurator maupun penyimpangan dalam proses pemberesan harta </w:t>
      </w:r>
      <w:r w:rsidRPr="000A476C">
        <w:t xml:space="preserve">debitur </w:t>
      </w:r>
      <w:r w:rsidRPr="00210919">
        <w:t>pailit</w:t>
      </w:r>
      <w:r w:rsidRPr="000A476C">
        <w:t>.</w:t>
      </w:r>
      <w:r w:rsidRPr="00C567FF">
        <w:rPr>
          <w:vertAlign w:val="superscript"/>
        </w:rPr>
        <w:footnoteReference w:id="15"/>
      </w:r>
      <w:r w:rsidRPr="00210919">
        <w:t xml:space="preserve"> Artinya, hubungan kurator dengan hakim pengawas bersifat hierarkis sekaligus fungsional, di mana kurator wajib melaporkan tindakan- tindakannya secara berkala kepada hakim pengawas, dan setiap keputusan penting seperti penjualan aset atau pelunasan piutang harus mendapat persetujuan dari hakim pengawas terlebih dahulu.</w:t>
      </w:r>
    </w:p>
    <w:p w:rsidR="00536600" w:rsidRPr="00210919" w:rsidRDefault="00536600" w:rsidP="00536600">
      <w:pPr>
        <w:pStyle w:val="BodyText"/>
        <w:spacing w:before="241" w:line="360" w:lineRule="auto"/>
        <w:ind w:left="851" w:right="136" w:firstLine="425"/>
      </w:pPr>
      <w:r w:rsidRPr="00210919">
        <w:t>Di sisi lain, hubungan antara kurator dan kreditor juga bersifat dinamis dan berlandaskan prinsip keterwakilan kepentingan. Dalam konteks ini, kurator bertindak sebagai pihak yang mewakili kepentingan seluruh kreditor, baik separatis maupun konkuren, dalam rangka memperoleh pelunasan piutang dari harta</w:t>
      </w:r>
      <w:r w:rsidRPr="000A476C">
        <w:t xml:space="preserve"> debitur</w:t>
      </w:r>
      <w:r w:rsidRPr="00210919">
        <w:t xml:space="preserve"> pailit debitor. Namun demikian, kreditor juga memiliki hak-hak tertentu untuk mengawasi tindakan kurator, terutama melalui forum rapat kreditor, di mana </w:t>
      </w:r>
      <w:r w:rsidRPr="00210919">
        <w:lastRenderedPageBreak/>
        <w:t>mereka dapat menyampaikan keberatan, memberikan instruksi, atau bahkan mengusulkan penggantian kurator apabila dinilai tidak menjalankan tugas dengan baik.</w:t>
      </w:r>
    </w:p>
    <w:p w:rsidR="00536600" w:rsidRDefault="00536600" w:rsidP="00536600">
      <w:pPr>
        <w:pStyle w:val="BodyText"/>
        <w:spacing w:before="241" w:line="360" w:lineRule="auto"/>
        <w:ind w:left="851" w:right="136" w:firstLine="425"/>
      </w:pPr>
      <w:r w:rsidRPr="00210919">
        <w:t>Menurut Yahya Harahap, kreditor sebagai pihak yang berkepentingan secara langsung terhadap aset pailit memiliki kedudukan hukum untuk mengontrol kurator secara kolekti</w:t>
      </w:r>
      <w:r w:rsidRPr="000A476C">
        <w:t>f.</w:t>
      </w:r>
      <w:r w:rsidRPr="00C567FF">
        <w:rPr>
          <w:vertAlign w:val="superscript"/>
        </w:rPr>
        <w:footnoteReference w:id="16"/>
      </w:r>
      <w:r w:rsidRPr="00210919">
        <w:t xml:space="preserve"> Dengan demikian, hubungan ini bukan bersifat subordinatif, melainkan kolaboratif dan saling mengawasi. Keterkaitan antara kurator, hakim pengawas, dan kreditor menjadi kunci dalam menjaga integritas dan akuntabilitas proses kepailitan. Ketiga pihak ini terhubung dalam suatu sistem checks and balances, di mana hakim pengawas mengawasi kurator dari sisi hukum, sementara kreditor mengawasi dari sisi kepentingan finansial mereka. Dalam praktiknya, apabila terjadi perselisihan antara kurator dan kreditor, hakim pengawas akan menjadi pihak penengah yang memberikan putusan agar proses pemberesan tetap berjalan sesuai prosedur.</w:t>
      </w:r>
    </w:p>
    <w:p w:rsidR="00536600" w:rsidRPr="00210919" w:rsidRDefault="00536600" w:rsidP="00536600">
      <w:pPr>
        <w:pStyle w:val="BodyText"/>
        <w:spacing w:before="241" w:line="360" w:lineRule="auto"/>
        <w:ind w:left="851" w:right="136" w:firstLine="425"/>
      </w:pPr>
      <w:r w:rsidRPr="00210919">
        <w:t xml:space="preserve">Studi yang dilakukan oleh Sari dan Hadi (2020) menunjukkan bahwa keberhasilan pemberesan harta </w:t>
      </w:r>
      <w:r w:rsidRPr="000A476C">
        <w:t xml:space="preserve">debitur </w:t>
      </w:r>
      <w:r w:rsidRPr="00210919">
        <w:t>pailit sangat dipengaruhi oleh komunikasi dan koordinasi yang efektif antara kurator, kreditor, dan hakim pengawas</w:t>
      </w:r>
      <w:r w:rsidRPr="000A476C">
        <w:t>.</w:t>
      </w:r>
      <w:r w:rsidRPr="00C567FF">
        <w:rPr>
          <w:vertAlign w:val="superscript"/>
        </w:rPr>
        <w:footnoteReference w:id="17"/>
      </w:r>
      <w:r w:rsidRPr="00210919">
        <w:t xml:space="preserve"> Hal ini menunjukkan bahwa hubungan hukum tersebut harus dijalankan bukann hanya berdasarkan formalitas yuridis, tetapi juga melalui kerja sama yang terbuka dan profesional.Dengan kata lain, hubungan antara kurator, hakim pengawas, dan kreditor merupakan segitiga otoritas yang saling melengkapi dalam penyelesaian kepailitan. Ketika hubungan ini dijalankan secara harmonis dan sesuai prinsip hukum acara kepailitan, maka proses pengurusan dan pemberesan harta debitor akan berjalan efisien, transparan, dan adil bagi </w:t>
      </w:r>
      <w:r w:rsidRPr="00210919">
        <w:lastRenderedPageBreak/>
        <w:t>semua pihak yang berkepentingan.</w:t>
      </w:r>
    </w:p>
    <w:p w:rsidR="00536600" w:rsidRPr="0093039F" w:rsidRDefault="00536600" w:rsidP="00536600">
      <w:pPr>
        <w:pStyle w:val="ListParagraph"/>
        <w:numPr>
          <w:ilvl w:val="4"/>
          <w:numId w:val="11"/>
        </w:numPr>
        <w:spacing w:before="139" w:after="0" w:line="360" w:lineRule="auto"/>
        <w:ind w:left="709" w:right="142"/>
        <w:jc w:val="both"/>
        <w:rPr>
          <w:rFonts w:ascii="Times New Roman" w:hAnsi="Times New Roman" w:cs="Times New Roman"/>
          <w:b/>
          <w:lang w:eastAsia="en-US"/>
        </w:rPr>
      </w:pPr>
      <w:r w:rsidRPr="0093039F">
        <w:rPr>
          <w:rFonts w:ascii="Times New Roman" w:hAnsi="Times New Roman" w:cs="Times New Roman"/>
          <w:b/>
          <w:lang w:eastAsia="en-US"/>
        </w:rPr>
        <w:t>Interpretasi Normatif</w:t>
      </w:r>
    </w:p>
    <w:p w:rsidR="00536600" w:rsidRDefault="00536600" w:rsidP="00536600">
      <w:pPr>
        <w:pStyle w:val="BodyText"/>
        <w:spacing w:before="241" w:line="360" w:lineRule="auto"/>
        <w:ind w:left="851" w:right="136" w:firstLine="425"/>
      </w:pPr>
      <w:r w:rsidRPr="00210919">
        <w:t>Dalam ilmu hukum, interpretasi normatif merupakan salah satu bentuk penafsiran hukum yang bertujuan untuk memahami dan menjelaskan makna norma-norma dalam peraturan perundang-undangan. Penafsiran ini dilakukan dengan berpegang teguh pada isi normatif dari suatu peraturan, yakni teks hukum sebagaimana ditulis dan dimaksudkan oleh pembuat undang-undang. Dengan demikian, interpretasi normatif berupaya menemukan arti yang terkandung dalam norma hukum secara objektif, konsisten dengan struktur sistem hukum yang berlaku.</w:t>
      </w:r>
    </w:p>
    <w:p w:rsidR="00536600" w:rsidRDefault="00536600" w:rsidP="00536600">
      <w:pPr>
        <w:pStyle w:val="BodyText"/>
        <w:spacing w:before="241" w:line="360" w:lineRule="auto"/>
        <w:ind w:left="851" w:right="136" w:firstLine="425"/>
      </w:pPr>
      <w:r w:rsidRPr="00210919">
        <w:t>Menurut Satjipto Rahardjo, interpretasi hukum secara normatif adalah usaha untuk menafsirkan hukum dengan bertumpu pada teks hukum itu sendiri, tanpa melibatkan pertimbangan-pertimbangan di luar hukum seperti moralitas atau kebijakan sosial.</w:t>
      </w:r>
      <w:r w:rsidRPr="00C567FF">
        <w:rPr>
          <w:vertAlign w:val="superscript"/>
        </w:rPr>
        <w:footnoteReference w:id="18"/>
      </w:r>
      <w:r w:rsidRPr="00210919">
        <w:t xml:space="preserve"> Artinya, interpretasi normatif menekankan pada apa yang secara eksplisit dan implisit dinyatakan dalam peraturan tertulis, serta bagaimana norma itu berlaku dalam sistem hukum secara keseluruhan. Tujuannya adalah untuk menjaga kepastian hukum, karena makna hukum ditentukan berdasarkan norma yang berlaku secara umum, bukan berdasarkan penafsiran subjektif.</w:t>
      </w:r>
    </w:p>
    <w:p w:rsidR="00536600" w:rsidRDefault="00536600" w:rsidP="00536600">
      <w:pPr>
        <w:pStyle w:val="BodyText"/>
        <w:spacing w:before="241" w:line="360" w:lineRule="auto"/>
        <w:ind w:left="851" w:right="136" w:firstLine="425"/>
      </w:pPr>
      <w:r w:rsidRPr="00210919">
        <w:t>Dalam pendekatan normatif, penafsir berupaya memahami hukum sebagai suatu sistem norma yang koheren dan tertata, sehingga interpretasi terhadap satu pasal harus tetap selaras dengan norma lainnya dalam sistem hukum tersebut. Gustav Radbruch menyatakan bahwa dalam interpretasi normatif, nilai utama yang dijunjung adalah kepastian hukum (</w:t>
      </w:r>
      <w:r w:rsidRPr="00C567FF">
        <w:t>Rechtssicherheit</w:t>
      </w:r>
      <w:r w:rsidRPr="00210919">
        <w:t xml:space="preserve">), yang hanya dapat dicapai apabila </w:t>
      </w:r>
      <w:r w:rsidRPr="00210919">
        <w:lastRenderedPageBreak/>
        <w:t>makna norma hukum dipahami secara tetap dan logis</w:t>
      </w:r>
      <w:r w:rsidRPr="00C567FF">
        <w:t xml:space="preserve">. </w:t>
      </w:r>
      <w:r w:rsidRPr="00C567FF">
        <w:rPr>
          <w:vertAlign w:val="superscript"/>
        </w:rPr>
        <w:footnoteReference w:id="19"/>
      </w:r>
      <w:r w:rsidRPr="00210919">
        <w:t xml:space="preserve"> Oleh sebab itu, metode ini sering kali digunakan oleh hakim atau praktisi hukum yang mengutamakan stabilitas sistem hukum dan menghindari bias pribadi atau politis.</w:t>
      </w:r>
    </w:p>
    <w:p w:rsidR="00536600" w:rsidRDefault="00536600" w:rsidP="00536600">
      <w:pPr>
        <w:pStyle w:val="BodyText"/>
        <w:spacing w:before="241" w:line="360" w:lineRule="auto"/>
        <w:ind w:left="851" w:right="136" w:firstLine="425"/>
      </w:pPr>
      <w:r w:rsidRPr="00210919">
        <w:t>Lebih lanjut, interpretasi normatif juga penting dalam konteks judicial review, ketika hakim konstitusi atau hakim agung menilai apakah suatu norma hukum bertentangan dengan konstitusi atau norma hukum yang lebih tinggi. Dalam situasi tersebut, pemahaman normatif terhadap bunyi pasal dan prinsip-prinsip hukum menjadi kunci. Penelitian yang dilakukan oleh Hernadi (2020) menyimpulkan bahwa interpretasi normatif memberi dasar yang kuat bagi hakim untuk memberikan putusan yang konsisten dengan hierarki norma hukum, sekaligus menghindari penafsiran yang terlalu progresif dan menimbulkan ketidakpastian hukum</w:t>
      </w:r>
      <w:r w:rsidRPr="00C567FF">
        <w:t xml:space="preserve">. </w:t>
      </w:r>
      <w:r w:rsidRPr="00C567FF">
        <w:rPr>
          <w:vertAlign w:val="superscript"/>
        </w:rPr>
        <w:footnoteReference w:id="20"/>
      </w:r>
    </w:p>
    <w:p w:rsidR="00536600" w:rsidRPr="00210919" w:rsidRDefault="00536600" w:rsidP="00536600">
      <w:pPr>
        <w:pStyle w:val="BodyText"/>
        <w:spacing w:before="241" w:line="360" w:lineRule="auto"/>
        <w:ind w:left="851" w:right="136" w:firstLine="425"/>
      </w:pPr>
      <w:r w:rsidRPr="00210919">
        <w:t>Namun, meskipun interpretasi normatif penting untuk menjamin stabilitas hukum, pendekatan ini memiliki keterbatasan apabila berhadapan dengan norma yang ambigu, kabur, atau tidak lengkap. Dalam situasi seperti itu, penafsiran sistemik atau teleologis sering kali diperlukan sebagai pelengkap. Akan tetapi, selama norma masih jelas dan tidak menimbulkan keraguan makna, pendekatan normatif tetap menjadi metode utama yang digunakan dalam praktik hukum.Dengan demikian, interpretasi normatif adalah pendekatan penafsiran yang berorientasi pada struktur dan isi norma hukum itu sendiri, tanpa melibatkan pertimbangan luar hukum. Ia menjadi pilar penting dalam menjaga kepastian hukum, konsistensi sistem norma, dan obyektivitas dalam penerapan hukum di masyarakat.</w:t>
      </w:r>
    </w:p>
    <w:p w:rsidR="00536600" w:rsidRPr="0093039F" w:rsidRDefault="00536600" w:rsidP="00536600">
      <w:pPr>
        <w:pStyle w:val="ListParagraph"/>
        <w:numPr>
          <w:ilvl w:val="4"/>
          <w:numId w:val="11"/>
        </w:numPr>
        <w:spacing w:before="139" w:after="0" w:line="360" w:lineRule="auto"/>
        <w:ind w:left="851" w:right="142"/>
        <w:jc w:val="both"/>
        <w:rPr>
          <w:rFonts w:ascii="Times New Roman" w:hAnsi="Times New Roman" w:cs="Times New Roman"/>
          <w:b/>
          <w:bCs/>
          <w:lang w:val="en-US" w:eastAsia="en-US"/>
        </w:rPr>
      </w:pPr>
      <w:r w:rsidRPr="0093039F">
        <w:rPr>
          <w:rFonts w:ascii="Times New Roman" w:hAnsi="Times New Roman" w:cs="Times New Roman"/>
          <w:b/>
          <w:bCs/>
          <w:lang w:eastAsia="en-US"/>
        </w:rPr>
        <w:lastRenderedPageBreak/>
        <w:t>Relevansi Dalam Praktik</w:t>
      </w:r>
    </w:p>
    <w:p w:rsidR="00536600" w:rsidRPr="00C567FF" w:rsidRDefault="00536600" w:rsidP="00536600">
      <w:pPr>
        <w:pStyle w:val="BodyText"/>
        <w:spacing w:before="241" w:line="360" w:lineRule="auto"/>
        <w:ind w:left="851" w:right="136" w:firstLine="425"/>
      </w:pPr>
      <w:r w:rsidRPr="00C567FF">
        <w:t>Fungsi pengurusan dan pemberesan menjadi dasar operasional dalam menangani harta debitur pailit. Dalam praktiknya, kurator harus mampu mengelola harta debitor secara profesional agar nilai aset dapat dimaksimalkan demi pelunasan utang. Fungsi ini bukan sekadar administratif, tetapi juga mencerminkan profesionalitas dan integritas dalam pelaksanaan hukum. Misalnya, kegagalan dalam pengurusan aset sering kali menyebabkan kerugian bagi para kreditor dan memperpanjang proses kepailitan. Oleh karena itu, pemahaman dan pelaksanaan fungsi ini sangat penting bagi kurator, akuntan, maupun pengawas internal lembaga peradilan.</w:t>
      </w:r>
    </w:p>
    <w:p w:rsidR="00536600" w:rsidRPr="00C567FF" w:rsidRDefault="00536600" w:rsidP="00536600">
      <w:pPr>
        <w:pStyle w:val="BodyText"/>
        <w:spacing w:before="241" w:line="360" w:lineRule="auto"/>
        <w:ind w:left="851" w:right="136" w:firstLine="425"/>
      </w:pPr>
      <w:r w:rsidRPr="00210919">
        <w:t xml:space="preserve">Sedangkan hubungan kurator dengan hakim pengawas dan kreditor sangat menentukan kelancaran dan integritas proses kepailitan. Dalam praktik, hakim pengawas tidak hanya berperan sebagai pengawas formal, tetapi juga sebagai pengendali agar kurator tidak menyimpang dari tugasnya. Hubungan ini terlihat jelas ketika ada keputusan penting yang harus mendapat persetujuan hakim pengawas, seperti penjualan aset atau pemutusan kontrak. Kreditor juga memainkan peran aktif melalui rapat kreditor, tempat mereka dapat menyampaikan keberatan, memantau kinerja kurator, dan bahkan mengusulkan kurator pengganti. Keseimbangan antara pengawasan yudisial oleh hakim dan kontrol kepentingan oleh kreditor merupakan wujud nyata dari prinsip </w:t>
      </w:r>
      <w:r w:rsidRPr="00C567FF">
        <w:t>check and balances</w:t>
      </w:r>
      <w:r w:rsidRPr="00210919">
        <w:t xml:space="preserve"> dalam hukum kepailitan.</w:t>
      </w:r>
    </w:p>
    <w:p w:rsidR="00536600" w:rsidRDefault="00536600" w:rsidP="00536600">
      <w:pPr>
        <w:pStyle w:val="BodyText"/>
        <w:spacing w:before="241" w:line="360" w:lineRule="auto"/>
        <w:ind w:left="851" w:right="136" w:firstLine="425"/>
      </w:pPr>
      <w:r w:rsidRPr="00210919">
        <w:t xml:space="preserve">Sementara interpretasi normatif menjadi landasan metodologis dalam memahami peraturan kepailitan itu sendiri. Dalam praktik peradilan, hakim tidak selalu menghadapi norma yang jelas atau eksplisit. Ketika peraturan menimbulkan multitafsir, pendekatan normatif memberikan dasar untuk menafsirkan aturan secara koheren dengan sistem hukum yang lebih luas. Hal ini penting, misalnya, dalam </w:t>
      </w:r>
      <w:r w:rsidRPr="00210919">
        <w:lastRenderedPageBreak/>
        <w:t>menafsirkan Pasal 16 dan Pasal 69 UU Kepailitan, di mana kurator wajib mendapat persetujuan hakim pengawas untuk tindakan tertentusebuah norma yang harus dipahami dalam struktur kewenangan lembaga peradilan dan kedudukan para pihak. Tanpa interpretasi normatif, potensi subjektivitas akan meningkat dan menggan</w:t>
      </w:r>
      <w:r>
        <w:rPr>
          <w:lang w:val="en-US"/>
        </w:rPr>
        <w:t>s</w:t>
      </w:r>
      <w:r w:rsidRPr="00210919">
        <w:t>ggu kepastian hukum.</w:t>
      </w:r>
    </w:p>
    <w:p w:rsidR="00536600" w:rsidRDefault="00536600" w:rsidP="00536600">
      <w:pPr>
        <w:pStyle w:val="BodyText"/>
        <w:spacing w:before="241" w:line="360" w:lineRule="auto"/>
        <w:ind w:left="851" w:right="136" w:firstLine="425"/>
      </w:pPr>
    </w:p>
    <w:p w:rsidR="00536600" w:rsidRDefault="00536600" w:rsidP="00536600">
      <w:pPr>
        <w:pStyle w:val="ListParagraph"/>
        <w:widowControl w:val="0"/>
        <w:numPr>
          <w:ilvl w:val="0"/>
          <w:numId w:val="16"/>
        </w:numPr>
        <w:autoSpaceDE w:val="0"/>
        <w:autoSpaceDN w:val="0"/>
        <w:spacing w:after="0" w:line="240" w:lineRule="auto"/>
        <w:ind w:left="426"/>
        <w:outlineLvl w:val="1"/>
        <w:rPr>
          <w:rFonts w:ascii="Times New Roman" w:hAnsi="Times New Roman" w:cs="Times New Roman"/>
          <w:lang w:eastAsia="en-US"/>
        </w:rPr>
      </w:pPr>
      <w:r w:rsidRPr="009B3F48">
        <w:rPr>
          <w:rFonts w:ascii="Times New Roman" w:hAnsi="Times New Roman" w:cs="Times New Roman"/>
          <w:b/>
          <w:bCs/>
          <w:lang w:eastAsia="en-US"/>
        </w:rPr>
        <w:t xml:space="preserve">Tinjauan Umum tentang </w:t>
      </w:r>
      <w:r w:rsidRPr="009B3F48">
        <w:rPr>
          <w:rFonts w:ascii="Times New Roman" w:hAnsi="Times New Roman" w:cs="Times New Roman"/>
          <w:b/>
          <w:bCs/>
          <w:lang w:val="en-US" w:eastAsia="en-US"/>
        </w:rPr>
        <w:t>Kepailitan</w:t>
      </w:r>
    </w:p>
    <w:p w:rsidR="00536600" w:rsidRPr="000B7F47" w:rsidRDefault="00536600" w:rsidP="00536600">
      <w:pPr>
        <w:pStyle w:val="ListParagraph"/>
        <w:widowControl w:val="0"/>
        <w:autoSpaceDE w:val="0"/>
        <w:autoSpaceDN w:val="0"/>
        <w:spacing w:after="0" w:line="240" w:lineRule="auto"/>
        <w:ind w:left="426"/>
        <w:outlineLvl w:val="1"/>
        <w:rPr>
          <w:rFonts w:ascii="Times New Roman" w:hAnsi="Times New Roman" w:cs="Times New Roman"/>
          <w:lang w:eastAsia="en-US"/>
        </w:rPr>
      </w:pPr>
    </w:p>
    <w:p w:rsidR="00536600" w:rsidRPr="000369E0" w:rsidRDefault="00536600" w:rsidP="00536600">
      <w:pPr>
        <w:spacing w:before="139" w:after="0" w:line="360" w:lineRule="auto"/>
        <w:ind w:left="851" w:right="142" w:hanging="425"/>
        <w:jc w:val="both"/>
        <w:rPr>
          <w:rFonts w:ascii="Times New Roman" w:hAnsi="Times New Roman" w:cs="Times New Roman"/>
          <w:lang w:eastAsia="en-US"/>
        </w:rPr>
      </w:pPr>
      <w:r>
        <w:rPr>
          <w:rFonts w:ascii="Times New Roman" w:hAnsi="Times New Roman" w:cs="Times New Roman"/>
          <w:b/>
          <w:bCs/>
          <w:lang w:eastAsia="en-US"/>
        </w:rPr>
        <w:t xml:space="preserve">1. </w:t>
      </w:r>
      <w:r>
        <w:rPr>
          <w:rFonts w:ascii="Times New Roman" w:hAnsi="Times New Roman" w:cs="Times New Roman"/>
          <w:b/>
          <w:bCs/>
          <w:lang w:eastAsia="en-US"/>
        </w:rPr>
        <w:tab/>
      </w:r>
      <w:r w:rsidRPr="000369E0">
        <w:rPr>
          <w:rFonts w:ascii="Times New Roman" w:hAnsi="Times New Roman" w:cs="Times New Roman"/>
          <w:b/>
          <w:bCs/>
          <w:lang w:eastAsia="en-US"/>
        </w:rPr>
        <w:t>Pengertian dan Sejarah Kepailitan</w:t>
      </w:r>
    </w:p>
    <w:p w:rsidR="00536600" w:rsidRPr="00280162" w:rsidRDefault="00536600" w:rsidP="00536600">
      <w:pPr>
        <w:spacing w:before="139" w:after="0" w:line="360" w:lineRule="auto"/>
        <w:ind w:left="851" w:right="142" w:firstLine="425"/>
        <w:jc w:val="both"/>
        <w:rPr>
          <w:rFonts w:ascii="Times New Roman" w:hAnsi="Times New Roman" w:cs="Times New Roman"/>
          <w:lang w:eastAsia="en-US"/>
        </w:rPr>
      </w:pPr>
      <w:r w:rsidRPr="00280162">
        <w:rPr>
          <w:rFonts w:ascii="Times New Roman" w:hAnsi="Times New Roman" w:cs="Times New Roman"/>
          <w:lang w:eastAsia="en-US"/>
        </w:rPr>
        <w:t>Kepailitan merupakan konsep hukum yang telah berkembang sejak zaman kuno sebagai mekanisme penyelesaian utang-piutang ketika seorang debitur tidak mampu memenuhi kewajiban finansialnya terhadap para kreditur. Dalam konteks hukum modern, kepailitan diartikan sebagai suatu proses hukum yang melibatkan pernyataan pailit terhadap seorang debitur oleh pengadilan, yang kemudian diikuti oleh proses pengurusan dan pemberesan harta kekayaan debitur untuk kepentingan kreditur. Kepailitan tidak hanya menjadi isu finansial, melainkan juga menyangkut kepastian hukum, perlindungan kreditur, dan stabilitas sistem ekonomi.</w:t>
      </w:r>
    </w:p>
    <w:p w:rsidR="00536600" w:rsidRPr="00280162" w:rsidRDefault="00536600" w:rsidP="00536600">
      <w:pPr>
        <w:pStyle w:val="BodyText"/>
        <w:spacing w:before="241" w:line="360" w:lineRule="auto"/>
        <w:ind w:left="851" w:right="136" w:firstLine="425"/>
      </w:pPr>
      <w:r w:rsidRPr="00280162">
        <w:t>Secara normatif, Pasal 1 angka 1 Undang-Undang Nomor 37 Tahun 2004 tentang Kepailitan dan Penundaan Kewajiban Pembayaran Utang (UU Kepailitan) mendefinisikan kepailitan sebagai “situa­si umum di mana debitur memiliki dua atau lebih kreditor dan tidak mampu membayar utangnya yang telah jatuh tempo dan dapat ditagih.” Definisi ini menggambarkan bahwa kepailitan merupakan alat legal untuk mengakomodasi kepentingan para kreditur dalam memperoleh pembayaran dari debitur yang gagal bayar, di bawah pengawasan lembaga peradilan dan dengan bantuan kurator sebagai pelaksana teknis.</w:t>
      </w:r>
    </w:p>
    <w:p w:rsidR="00536600" w:rsidRPr="00280162" w:rsidRDefault="00536600" w:rsidP="00536600">
      <w:pPr>
        <w:pStyle w:val="BodyText"/>
        <w:spacing w:before="241" w:line="360" w:lineRule="auto"/>
        <w:ind w:left="851" w:right="136" w:firstLine="425"/>
      </w:pPr>
      <w:r w:rsidRPr="00280162">
        <w:lastRenderedPageBreak/>
        <w:t>Namun, konsep kepailitan telah mengalami evolusi panjang dalam sejarah hukum dunia. Dalam hukum Romawi kuno, dikenal sistem cessio bonorum, di mana seorang debitur secara sukarela menyerahkan seluruh hartanya kepada para kreditur untuk menghindari hukuman perbudakan atau penjara karena utang. Mekanisme ini menjadi cikal bakal dari prinsip pengurusan harta debitur pailit yang dikenal saat ini. Menurut David T. Caplovitz, hukum kepailitan pertama kali muncul sebagai bentuk kompromi antara kepentingan kreditur yang ingin mendapatkan haknya dan perlindungan terhadap debitur agar tidak kehilangan hak hidupnya secara total</w:t>
      </w:r>
      <w:r>
        <w:rPr>
          <w:lang w:val="en-US"/>
        </w:rPr>
        <w:t>.</w:t>
      </w:r>
      <w:r w:rsidRPr="00280162">
        <w:rPr>
          <w:vertAlign w:val="superscript"/>
        </w:rPr>
        <w:footnoteReference w:id="21"/>
      </w:r>
    </w:p>
    <w:p w:rsidR="00536600" w:rsidRPr="00280162" w:rsidRDefault="00536600" w:rsidP="00536600">
      <w:pPr>
        <w:pStyle w:val="BodyText"/>
        <w:spacing w:before="241" w:line="360" w:lineRule="auto"/>
        <w:ind w:left="851" w:right="136" w:firstLine="425"/>
      </w:pPr>
      <w:r w:rsidRPr="00280162">
        <w:t>Pada abad pertengahan di Eropa, hukum kepailitan mulai bersifat represif dan sering kali memberikan sanksi pidana terhadap debitur yang tidak dapat membayar utangnya. Debitur dianggap sebagai penjahat ekonomi dan dapat dipenjarakan. Namun seiring waktu, terjadi perubahan paradigma menuju pendekatan yang lebih humanistik dan ekonomis. Sejak Revolusi Industri, kepailitan mulai dipandang sebagai bagian dari dinamika risiko bisnis, bukan sebagai kegagalan moral individu. Hal ini ditandai dengan mulai digunakannya proses rehabilitasi debitur dan adanya peluang restrukturisasi utang melalui mekanisme hukum yang lebih lunak.</w:t>
      </w:r>
    </w:p>
    <w:p w:rsidR="00536600" w:rsidRPr="00280162" w:rsidRDefault="00536600" w:rsidP="00536600">
      <w:pPr>
        <w:pStyle w:val="BodyText"/>
        <w:spacing w:before="241" w:line="360" w:lineRule="auto"/>
        <w:ind w:left="851" w:right="136" w:firstLine="425"/>
      </w:pPr>
      <w:r w:rsidRPr="00280162">
        <w:t xml:space="preserve">Dalam sistem hukum kontinental, termasuk Indonesia, konsep kepailitan dipengaruhi oleh Faillissementswet (FW) Belanda yang diundangkan pada tahun 1893 dan diberlakukan di Indonesia sejak masa kolonial. Faillissementswet sendiri banyak mengadopsi sistem hukum Jerman dan Prancis yang mengutamakan asas kolektivitas dan pemberesan melalui pihak ketiga, yaitu kurator dan hakim pengawas. Setelah kemerdekaan, Indonesia terus menggunakan FW tersebut sampai akhirnya digantikan oleh UU Nomor 4 Tahun 1998 dan </w:t>
      </w:r>
      <w:r w:rsidRPr="00280162">
        <w:lastRenderedPageBreak/>
        <w:t>kemudian disempurnakan menjadi UU Nomor 37 Tahun 2004. Menurut Yahya Harahap, UU Kepailitan Indonesia masih mengandung  semangat  Faillissementswet,  namun  telah  mengalami modernisasi agar sesuai dengan sistem hukum nasional dan tuntutan ekonomi global</w:t>
      </w:r>
      <w:r>
        <w:rPr>
          <w:lang w:val="en-US"/>
        </w:rPr>
        <w:t>.</w:t>
      </w:r>
      <w:r w:rsidRPr="00280162">
        <w:rPr>
          <w:vertAlign w:val="superscript"/>
        </w:rPr>
        <w:footnoteReference w:id="22"/>
      </w:r>
    </w:p>
    <w:p w:rsidR="00536600" w:rsidRPr="00280162" w:rsidRDefault="00536600" w:rsidP="00536600">
      <w:pPr>
        <w:pStyle w:val="BodyText"/>
        <w:spacing w:before="241" w:line="360" w:lineRule="auto"/>
        <w:ind w:left="851" w:right="136" w:firstLine="425"/>
      </w:pPr>
      <w:r w:rsidRPr="00280162">
        <w:t xml:space="preserve">Dalam konteks modern, kepailitan tidak hanya menjadi sarana untuk membubarkan usaha yang gagal, tetapi juga dimanfaatkan sebagai alat untuk menyelamatkan entitas usaha melalui proses reorganisasi atau penundaan kewajiban pembayaran utang. Aspek ini menjadi penting dalam dunia bisnis kontemporer, di mana kebangkrutan tidak selalu menunjukkan akhir dari perjalanan usaha, melainkan dapat menjadi awal dari pemulihan yang lebih sehat. Sejalan dengan pandangan ini, menurut Thomas H. Jackson dalam karyanya </w:t>
      </w:r>
      <w:r w:rsidRPr="006D3111">
        <w:rPr>
          <w:i/>
          <w:iCs/>
        </w:rPr>
        <w:t>The Logic and Limits of Bankruptcy Law</w:t>
      </w:r>
      <w:r w:rsidRPr="00280162">
        <w:t>, sistem kepailitan yang ideal adalah sistem yang mampu mendistribusikan sumber daya secara efisien dan adil, baik kepada kreditur maupun debitur, tanpa mengorbankan nilai sosial dan ekonomi.</w:t>
      </w:r>
    </w:p>
    <w:p w:rsidR="00536600" w:rsidRPr="0066028A" w:rsidRDefault="00536600" w:rsidP="00536600">
      <w:pPr>
        <w:pStyle w:val="BodyText"/>
        <w:spacing w:before="241" w:line="360" w:lineRule="auto"/>
        <w:ind w:left="851" w:right="136" w:firstLine="425"/>
      </w:pPr>
      <w:r w:rsidRPr="00280162">
        <w:t xml:space="preserve">Dari uraian di atas, dapat disimpulkan bahwa pengertian dan sejarah kepailitan tidak dapat dipisahkan dari perkembangan hukum, sosial, dan ekonomi. Ia telah berevolusi dari sistem represif menuju mekanisme hukum yang bersifat solutif dan adaptif terhadap dinamika keuangan. Di Indonesia, pengaturan mengenai kepailitan mencerminkan sintesis antara warisan kolonial dan kebutuhan hukum modern, dengan penekanan pada perlindungan hukum, kepastian prosedural, dan keseimbangan antara hak kreditur dan debitur. Pemahaman terhadap sejarah dan pengertian kepailitan menjadi penting sebagai dasar teoritik dalam studi hukum perdata komersial, khususnya dalam konteks </w:t>
      </w:r>
      <w:r w:rsidRPr="00280162">
        <w:lastRenderedPageBreak/>
        <w:t>perlindungan terhadap pelaku usaha dan sistem keuangan yang sehat.</w:t>
      </w:r>
    </w:p>
    <w:p w:rsidR="00536600" w:rsidRPr="0093039F" w:rsidRDefault="00536600" w:rsidP="00536600">
      <w:pPr>
        <w:spacing w:before="139" w:after="0" w:line="360" w:lineRule="auto"/>
        <w:ind w:left="851" w:right="142" w:hanging="425"/>
        <w:jc w:val="both"/>
        <w:rPr>
          <w:rFonts w:ascii="Times New Roman" w:eastAsia="Times New Roman" w:hAnsi="Times New Roman" w:cs="Times New Roman"/>
          <w:kern w:val="0"/>
          <w:lang w:eastAsia="en-US"/>
        </w:rPr>
      </w:pPr>
      <w:r>
        <w:rPr>
          <w:rFonts w:ascii="Times New Roman" w:eastAsia="Times New Roman" w:hAnsi="Times New Roman" w:cs="Times New Roman"/>
          <w:b/>
          <w:bCs/>
          <w:kern w:val="0"/>
          <w:lang w:eastAsia="en-US"/>
        </w:rPr>
        <w:t>2.</w:t>
      </w:r>
      <w:r>
        <w:rPr>
          <w:rFonts w:ascii="Times New Roman" w:eastAsia="Times New Roman" w:hAnsi="Times New Roman" w:cs="Times New Roman"/>
          <w:b/>
          <w:bCs/>
          <w:kern w:val="0"/>
          <w:lang w:eastAsia="en-US"/>
        </w:rPr>
        <w:tab/>
      </w:r>
      <w:r w:rsidRPr="0093039F">
        <w:rPr>
          <w:rFonts w:ascii="Times New Roman" w:eastAsia="Times New Roman" w:hAnsi="Times New Roman" w:cs="Times New Roman"/>
          <w:b/>
          <w:bCs/>
          <w:kern w:val="0"/>
          <w:lang w:eastAsia="en-US"/>
        </w:rPr>
        <w:t>Tujuan Hukum Kepailitan</w:t>
      </w:r>
    </w:p>
    <w:p w:rsidR="00536600" w:rsidRPr="006D3111" w:rsidRDefault="00536600" w:rsidP="00536600">
      <w:pPr>
        <w:spacing w:before="139" w:after="0" w:line="360" w:lineRule="auto"/>
        <w:ind w:left="851" w:right="142" w:firstLine="425"/>
        <w:jc w:val="both"/>
        <w:rPr>
          <w:rFonts w:ascii="Times New Roman" w:hAnsi="Times New Roman" w:cs="Times New Roman"/>
        </w:rPr>
      </w:pPr>
      <w:r w:rsidRPr="006D3111">
        <w:rPr>
          <w:rFonts w:ascii="Times New Roman" w:hAnsi="Times New Roman" w:cs="Times New Roman"/>
        </w:rPr>
        <w:t>Hukum kepailitan memiliki posisi strategis dalam sistem hukum perdata ekonomi karena bertujuan menyelesaikan permasalahan utang- piutang secara kolektif ketika debitur tidak mampu memenuhi kewajibannya kepada para kreditur. Tujuan utama dari hukum kepailitan bukanlah untuk menghukum debitur, tetapi menciptakan mekanisme yang adil, tertib, dan efisien dalam mengatur pelunasan utang melalui proses pengurusan dan pemberesan harta debitur pailit oleh pihak yang berwenang. Dalam konteks ini, hukum kepailitan juga berfungsi sebagai alat stabilisasi ekonomi dan perlindungan terhadap kepentingan berbagai pihak yang terlibat dalam hubungan hukum perdata komersial.</w:t>
      </w:r>
    </w:p>
    <w:p w:rsidR="00536600" w:rsidRPr="00280162" w:rsidRDefault="00536600" w:rsidP="00536600">
      <w:pPr>
        <w:pStyle w:val="BodyText"/>
        <w:spacing w:before="241" w:line="360" w:lineRule="auto"/>
        <w:ind w:left="851" w:right="136" w:firstLine="425"/>
      </w:pPr>
      <w:r w:rsidRPr="00280162">
        <w:t>Secara yuridis, hukum kepailitan bertujuan memberikan jalan keluar hukum bagi kondisi ketidakmampuan membayar (</w:t>
      </w:r>
      <w:r w:rsidRPr="00280162">
        <w:rPr>
          <w:i/>
          <w:iCs/>
        </w:rPr>
        <w:t>insolvency</w:t>
      </w:r>
      <w:r w:rsidRPr="00280162">
        <w:t>), dengan cara memberikan akses kepada para kreditur untuk memperoleh pembayaran dari harta kekayaan debitur. Menurut Rachmadi Usman, hukum kepailitan memiliki misi penting, yaitu menciptakan “mekanisme hukum untuk memenuhi hak-hak kreditur secara kolektif melalui pengurusan harta kekayaan debitur di bawah pengawasan pengadilan”.</w:t>
      </w:r>
      <w:r w:rsidRPr="00280162">
        <w:rPr>
          <w:vertAlign w:val="superscript"/>
        </w:rPr>
        <w:footnoteReference w:id="23"/>
      </w:r>
      <w:r w:rsidRPr="00280162">
        <w:t xml:space="preserve"> Dengan demikian, hukum kepailitan tidak hanya mengatur soal pengambilalihan aset, tetapi juga memastikan adanya proses yang transparan dan dapat dipertanggungjawabkan.</w:t>
      </w:r>
    </w:p>
    <w:p w:rsidR="00536600" w:rsidRPr="00280162" w:rsidRDefault="00536600" w:rsidP="00536600">
      <w:pPr>
        <w:pStyle w:val="BodyText"/>
        <w:tabs>
          <w:tab w:val="left" w:pos="851"/>
        </w:tabs>
        <w:spacing w:before="241" w:line="360" w:lineRule="auto"/>
        <w:ind w:left="851" w:right="136" w:firstLine="425"/>
      </w:pPr>
      <w:r w:rsidRPr="00280162">
        <w:t>Lebih lanjut, tujuan hukum kepailitan dapat dipahami dari dua perspektif: dari sisi kreditur dan dari sisi debitur. Dari sisi kreditur, hukum kepailitan bertujuan untuk mencegah praktik rebutan aset (</w:t>
      </w:r>
      <w:r w:rsidRPr="00850591">
        <w:rPr>
          <w:i/>
          <w:iCs/>
        </w:rPr>
        <w:t>race of diligence</w:t>
      </w:r>
      <w:r w:rsidRPr="00280162">
        <w:t xml:space="preserve">), di mana masing-masing kreditur berusaha sendiri-sendiri </w:t>
      </w:r>
      <w:r w:rsidRPr="00280162">
        <w:lastRenderedPageBreak/>
        <w:t xml:space="preserve">untuk memperoleh pelunasan yang justru dapat menyebabkan kerugian bagi kreditur lain dan mengacaukan prinsip keadilan. Sistem kepailitan menciptakan prosedur kolektif agar pembayaran utang dilakukan sesuai urutan prioritas yang sah secara hukum. Hal ini ditegaskan oleh Thomas H. Jackson dalam bukunya </w:t>
      </w:r>
      <w:r w:rsidRPr="00280162">
        <w:rPr>
          <w:i/>
          <w:iCs/>
        </w:rPr>
        <w:t>The Logic and Limits of Bankruptcy Law</w:t>
      </w:r>
      <w:r w:rsidRPr="00280162">
        <w:t>, bahwa “</w:t>
      </w:r>
      <w:r w:rsidRPr="00F40B35">
        <w:rPr>
          <w:i/>
          <w:iCs/>
          <w:lang w:val="en-US"/>
        </w:rPr>
        <w:t>T</w:t>
      </w:r>
      <w:r w:rsidRPr="00F40B35">
        <w:rPr>
          <w:i/>
          <w:iCs/>
        </w:rPr>
        <w:t>he Principal Aim Of Bankruptcy Law Is To Replace The Inefficient</w:t>
      </w:r>
      <w:r w:rsidRPr="00280162">
        <w:t xml:space="preserve">, </w:t>
      </w:r>
      <w:r w:rsidRPr="00F40B35">
        <w:rPr>
          <w:i/>
          <w:iCs/>
        </w:rPr>
        <w:t>Individualistic Collection Efforts With A Collective, Coordinated System That Maximizes Asset Value And Ensures Equitable Distribution</w:t>
      </w:r>
      <w:r w:rsidRPr="00280162">
        <w:t>”</w:t>
      </w:r>
      <w:r>
        <w:rPr>
          <w:lang w:val="en-US"/>
        </w:rPr>
        <w:t>.</w:t>
      </w:r>
      <w:r w:rsidRPr="00F40B35">
        <w:rPr>
          <w:vertAlign w:val="superscript"/>
        </w:rPr>
        <w:footnoteReference w:id="24"/>
      </w:r>
    </w:p>
    <w:p w:rsidR="00536600" w:rsidRPr="00280162" w:rsidRDefault="00536600" w:rsidP="00536600">
      <w:pPr>
        <w:pStyle w:val="BodyText"/>
        <w:tabs>
          <w:tab w:val="left" w:pos="851"/>
        </w:tabs>
        <w:spacing w:before="241" w:line="360" w:lineRule="auto"/>
        <w:ind w:left="851" w:right="136" w:firstLine="425"/>
      </w:pPr>
      <w:r w:rsidRPr="00280162">
        <w:t>Sementara itu, dari sisi debitur, hukum kepailitan memberi ruang untuk memperoleh kejelasan hukum terkait tanggung jawab atas utang, sekaligus perlindungan terhadap tindakan sewenang-wenang dari para kreditur. Dalam beberapa sistem hukum, termasuk dalam kerangka Penundaan Kewajiban Pembayaran Utang (PKPU) di Indonesia, hukum kepailitan bahkan membuka kemungkinan restrukturisasi utang untuk menyelamatkan usaha debitur. Oleh karena itu, menurut Yahya Harahap, hukum kepailitan “bukan semata untuk membereskan harta, tetapi juga memberi peluang bagi debitur untuk memperbaiki kondisi keuangan dan menyelamatkan perusahaannya melalui skema reorganisasi yang sah”.</w:t>
      </w:r>
      <w:r w:rsidRPr="00F40B35">
        <w:rPr>
          <w:vertAlign w:val="superscript"/>
        </w:rPr>
        <w:footnoteReference w:id="25"/>
      </w:r>
    </w:p>
    <w:p w:rsidR="00536600" w:rsidRPr="00280162" w:rsidRDefault="00536600" w:rsidP="00536600">
      <w:pPr>
        <w:pStyle w:val="BodyText"/>
        <w:tabs>
          <w:tab w:val="left" w:pos="851"/>
          <w:tab w:val="left" w:pos="1145"/>
        </w:tabs>
        <w:spacing w:before="241" w:line="360" w:lineRule="auto"/>
        <w:ind w:left="851" w:right="136" w:firstLine="425"/>
      </w:pPr>
      <w:r w:rsidRPr="00280162">
        <w:t xml:space="preserve">Tujuan hukum kepailitan juga mencerminkan prinsip-prinsip dasar hukum ekonomi modern, yakni efisiensi, keadilan, dan kepastian hukum. Efisiensi tercermin dari mekanisme kolektif yang mempercepat proses penyelesaian utang. Keadilan tampak dari distribusi yang proporsional dan teratur atas harta debitur pailit, dan kepastian hukum muncul dari kejelasan prosedur serta perlindungan hukum terhadap hak-hak kreditur maupun debitur. Dalam hal ini, hukum kepailitan tidak </w:t>
      </w:r>
      <w:r w:rsidRPr="00280162">
        <w:lastRenderedPageBreak/>
        <w:t>dapat dipisahkan dari fungsi sosialnya untuk mendukung sistem ekonomi yang sehat dan berkelanjutan.</w:t>
      </w:r>
    </w:p>
    <w:p w:rsidR="00536600" w:rsidRPr="00280162" w:rsidRDefault="00536600" w:rsidP="00536600">
      <w:pPr>
        <w:pStyle w:val="BodyText"/>
        <w:tabs>
          <w:tab w:val="left" w:pos="851"/>
          <w:tab w:val="left" w:pos="1145"/>
        </w:tabs>
        <w:spacing w:before="241" w:line="360" w:lineRule="auto"/>
        <w:ind w:left="851" w:right="136" w:firstLine="425"/>
      </w:pPr>
      <w:r w:rsidRPr="00280162">
        <w:t>Di Indonesia, implementasi tujuan hukum kepailitan mengalami dinamika tersendiri seiring dengan perubahan regulasi dan praktik bisnis. UU Nomor 37 Tahun 2004 tentang Kepailitan dan Penundaan Kewajiban Pembayaran Utang menegaskan pentingnya keseimbangan antara hak dan kewajiban kreditur dan debitur. Hal ini menunjukkan bahwa hukum kepailitan tidak boleh digunakan sebagai instrumen tekanan semata, melainkan harus menjadi solusi hukum yang mempertemukan kepentingan semua pihak dalam kondisi finansial yang kritis.</w:t>
      </w:r>
    </w:p>
    <w:p w:rsidR="00536600" w:rsidRPr="00280162" w:rsidRDefault="00536600" w:rsidP="00536600">
      <w:pPr>
        <w:pStyle w:val="BodyText"/>
        <w:tabs>
          <w:tab w:val="left" w:pos="851"/>
          <w:tab w:val="left" w:pos="1145"/>
        </w:tabs>
        <w:spacing w:before="241" w:line="360" w:lineRule="auto"/>
        <w:ind w:left="851" w:right="136" w:firstLine="425"/>
      </w:pPr>
      <w:r w:rsidRPr="00280162">
        <w:t>Selain itu, dalam konteks globalisasi, hukum kepailitan juga memiliki peran dalam menciptakan iklim investasi yang sehat. Kepastian dalam penyelesaian sengketa utang sangat penting bagi kredibilitas sistem keuangan dan perbankan. Oleh karena itu, penguatan hukum kepailitan menjadi bagian dari reformasi hukum ekonomi di berbagai negara, termasuk Indonesia. Menurut Sutan Remy Sjahdeini, “sistem kepailitan yang adil dan efektif akan meningkatkan kepercayaan investor serta memperkuat fungsi ekonomi dari hukum perdata”</w:t>
      </w:r>
      <w:r>
        <w:rPr>
          <w:lang w:val="en-US"/>
        </w:rPr>
        <w:t>.</w:t>
      </w:r>
      <w:r w:rsidRPr="00E6181C">
        <w:rPr>
          <w:vertAlign w:val="superscript"/>
          <w:lang w:val="en-US"/>
        </w:rPr>
        <w:t>.</w:t>
      </w:r>
      <w:r w:rsidRPr="00E6181C">
        <w:rPr>
          <w:vertAlign w:val="superscript"/>
        </w:rPr>
        <w:footnoteReference w:id="26"/>
      </w:r>
    </w:p>
    <w:p w:rsidR="00536600" w:rsidRPr="0066028A" w:rsidRDefault="00536600" w:rsidP="00536600">
      <w:pPr>
        <w:pStyle w:val="BodyText"/>
        <w:tabs>
          <w:tab w:val="left" w:pos="851"/>
          <w:tab w:val="left" w:pos="1145"/>
        </w:tabs>
        <w:spacing w:before="241" w:line="360" w:lineRule="auto"/>
        <w:ind w:left="851" w:right="136" w:firstLine="425"/>
      </w:pPr>
      <w:r w:rsidRPr="00280162">
        <w:t xml:space="preserve">Dengan demikian, dapat disimpulkan bahwa tujuan hukum kepailitan tidak hanya bersifat legalistik, tetapi juga ekonomis dan sosial. Ia berfungsi sebagai mekanisme penyelesaian utang kolektif, instrumen perlindungan hukum bagi kreditur dan debitur, serta alat penunjang stabilitas ekonomi dan iklim usaha yang sehat. Kajian terhadap tujuan hukum kepailitan menjadi penting dalam memahami arah dan fungsi hukum kepailitan secara holistik dalam sistem hukum </w:t>
      </w:r>
      <w:r w:rsidRPr="00280162">
        <w:lastRenderedPageBreak/>
        <w:t>nasional maupun internasional.</w:t>
      </w:r>
    </w:p>
    <w:p w:rsidR="00536600" w:rsidRPr="00F67595" w:rsidRDefault="00536600" w:rsidP="00536600">
      <w:pPr>
        <w:pStyle w:val="ListParagraph"/>
        <w:numPr>
          <w:ilvl w:val="0"/>
          <w:numId w:val="14"/>
        </w:numPr>
        <w:tabs>
          <w:tab w:val="left" w:pos="1134"/>
        </w:tabs>
        <w:spacing w:before="139" w:after="0" w:line="360" w:lineRule="auto"/>
        <w:ind w:left="851" w:right="142" w:hanging="425"/>
        <w:jc w:val="both"/>
        <w:rPr>
          <w:rFonts w:ascii="Times New Roman" w:eastAsia="Times New Roman" w:hAnsi="Times New Roman" w:cs="Times New Roman"/>
          <w:b/>
          <w:bCs/>
          <w:kern w:val="0"/>
          <w:lang w:eastAsia="en-US"/>
        </w:rPr>
      </w:pPr>
      <w:r w:rsidRPr="00F67595">
        <w:rPr>
          <w:rFonts w:ascii="Times New Roman" w:eastAsia="Times New Roman" w:hAnsi="Times New Roman" w:cs="Times New Roman"/>
          <w:b/>
          <w:bCs/>
          <w:kern w:val="0"/>
          <w:lang w:eastAsia="en-US"/>
        </w:rPr>
        <w:t>Subjek dan Objek Kepailitan</w:t>
      </w:r>
    </w:p>
    <w:p w:rsidR="00536600" w:rsidRPr="0066028A" w:rsidRDefault="00536600" w:rsidP="00536600">
      <w:pPr>
        <w:pStyle w:val="BodyText"/>
        <w:tabs>
          <w:tab w:val="left" w:pos="1276"/>
        </w:tabs>
        <w:spacing w:before="241" w:line="360" w:lineRule="auto"/>
        <w:ind w:left="851" w:right="136" w:firstLine="425"/>
      </w:pPr>
      <w:r w:rsidRPr="0066028A">
        <w:t>Dalam sistem hukum kepailitan, pemahaman tentang subjek dan objek kepailitan menjadi unsur mendasar dalam menelaah sejauh mana hukum ini berlaku dan diterapkan. Subjek kepailitan merujuk pada siapa yang dapat dinyatakan pailit, sedangkan objek kepailitan menyangkut apa saja yang termasuk dalam harta</w:t>
      </w:r>
      <w:r w:rsidRPr="00D41D72">
        <w:t xml:space="preserve"> debitur</w:t>
      </w:r>
      <w:r w:rsidRPr="0066028A">
        <w:t xml:space="preserve"> pailit yang dapat digunakan untuk melunasi utang- utang kepada para kreditur. Keduanya merupakan komponen inti dalam setiap perkara kepailitan karena menjadi dasar hukum untuk mengidentifikasi batas dan jangkauan dari proses kepailitan itu sendiri.</w:t>
      </w:r>
    </w:p>
    <w:p w:rsidR="00536600" w:rsidRPr="0066028A" w:rsidRDefault="00536600" w:rsidP="00536600">
      <w:pPr>
        <w:pStyle w:val="BodyText"/>
        <w:tabs>
          <w:tab w:val="left" w:pos="1276"/>
        </w:tabs>
        <w:spacing w:before="241" w:line="360" w:lineRule="auto"/>
        <w:ind w:left="851" w:right="136" w:firstLine="425"/>
      </w:pPr>
      <w:r w:rsidRPr="0066028A">
        <w:t>Menurut ketentuan Pasal 2 ayat (1) Undang-Undang Nomor 37 Tahun 2004 tentang Kepailitan dan Penundaan Kewajiban Pembayaran Utang (UU Kepailitan), setiap debitur yang memiliki dua atau lebih kreditur dan tidak membayar sedikitnya satu utang yang telah jatuh tempo dan dapat ditagih dapat dinyatakan pailit oleh pengadilan niaga, baik atas permohonan sendiri maupun atas permohonan satu atau lebih krediturnya. Dalam konteks ini, istilah “debitur” menjadi sentral sebagai subjek hukum kepailitan. Debitur dalam hal ini dapat berupa orang perseorangan maupun badan hukum, termasuk perusahaan, koperasi, bahkan yayasan dan perseroan terbatas.</w:t>
      </w:r>
    </w:p>
    <w:p w:rsidR="00536600" w:rsidRPr="0066028A" w:rsidRDefault="00536600" w:rsidP="00536600">
      <w:pPr>
        <w:pStyle w:val="BodyText"/>
        <w:tabs>
          <w:tab w:val="left" w:pos="1276"/>
        </w:tabs>
        <w:spacing w:before="241" w:line="360" w:lineRule="auto"/>
        <w:ind w:left="851" w:right="136" w:firstLine="425"/>
      </w:pPr>
      <w:r w:rsidRPr="0066028A">
        <w:t xml:space="preserve">Rachmadi Usman menjelaskan bahwa subjek kepailitan dalam sistem hukum Indonesia bersifat luas, mencakup setiap subjek hukum yang dapat melakukan perbuatan hukum dan mempunyai harta kekayaan, baik warga negara Indonesia maupun warga negara asing yang melakukan kegiatan usaha atau memiliki utang di Indonesia </w:t>
      </w:r>
      <w:r w:rsidRPr="00D41D72">
        <w:t>.</w:t>
      </w:r>
      <w:r w:rsidRPr="0066028A">
        <w:rPr>
          <w:rStyle w:val="FootnoteReference"/>
        </w:rPr>
        <w:footnoteReference w:id="27"/>
      </w:r>
      <w:r w:rsidRPr="0066028A">
        <w:t xml:space="preserve"> Bahkan, dalam beberapa kasus, negara sebagai badan publik pun dapat </w:t>
      </w:r>
      <w:r w:rsidRPr="0066028A">
        <w:lastRenderedPageBreak/>
        <w:t>menjadi subjek kepailitan apabila bertindak dalam kapasitas privat, seperti perusahaan negara (BUMN) yang menjalankan kegiatan usaha komersial. Namun demikian, tidak semua pihak dapat dijadikan subjek kepailitan. Lembaga negara yang menjalankan fungsi pemerintahan atau yang dananya bersumber dari APBN, seperti Bank Indonesia, dikecualikan sebagai subjek kepailitan berdasarkan ketentuan perundang-undangan.</w:t>
      </w:r>
    </w:p>
    <w:p w:rsidR="00536600" w:rsidRDefault="00536600" w:rsidP="00536600">
      <w:pPr>
        <w:pStyle w:val="BodyText"/>
        <w:tabs>
          <w:tab w:val="left" w:pos="1276"/>
        </w:tabs>
        <w:spacing w:before="241" w:line="360" w:lineRule="auto"/>
        <w:ind w:left="851" w:right="136" w:firstLine="425"/>
      </w:pPr>
      <w:r w:rsidRPr="0066028A">
        <w:t xml:space="preserve">Selain debitur, dalam praktik kepailitan terdapat pula istilah “pemohon pailit”, yang dapat berasal dari kreditur, jaksa (dalam hal kepentingan umum), atau debitur itu sendiri. Oleh karena itu, subjek dalam hukum kepailitan juga mencakup pihak-pihak yang secara hukum memiliki kepentingan dan kedudukan untuk mengajukan permohonan pailit ke pengadilan niaga. Sementara itu, objek kepailitan merupakan keseluruhan harta kekayaan debitur pada saat putusan pailit diucapkan dan segala sesuatu yang diperoleh selama proses kepailitan berlangsung, sebagaimana disebut dalam Pasal 21 UU Kepailitan. Harta kekayaan tersebut dikenal dengan istilah boedel pailit, yang mencakup semua aset baik bergerak maupun tidak bergerak, yang dapat dinilai dengan uang dan berada dalam penguasaan debitur atau pihak ketiga untuk kepentingan pelunasan utang. </w:t>
      </w:r>
    </w:p>
    <w:p w:rsidR="00536600" w:rsidRPr="0066028A" w:rsidRDefault="00536600" w:rsidP="00536600">
      <w:pPr>
        <w:pStyle w:val="BodyText"/>
        <w:tabs>
          <w:tab w:val="left" w:pos="1276"/>
        </w:tabs>
        <w:spacing w:before="241" w:line="360" w:lineRule="auto"/>
        <w:ind w:left="851" w:right="136" w:firstLine="425"/>
      </w:pPr>
      <w:r w:rsidRPr="001B5FCC">
        <w:t>Menurut Yahya Harahap, “boedel pailit adalah seluruh kekayaan debitur pada saat pernyataan pailit dijatuhkan, termasuk harta yang diperoleh selama proses kepailitan berlangsung, serta yang diperoleh melalui putusan pembatalan perbuatan hukum debitur yang merugikan kreditur”</w:t>
      </w:r>
      <w:r w:rsidRPr="006814AC">
        <w:t>.</w:t>
      </w:r>
      <w:r w:rsidRPr="001B5FCC">
        <w:rPr>
          <w:vertAlign w:val="superscript"/>
        </w:rPr>
        <w:footnoteReference w:id="28"/>
      </w:r>
      <w:r w:rsidRPr="001B5FCC">
        <w:t xml:space="preserve"> Namun, tidak semua harta debitur dapat dijadikan objek kepailitan. Dalam hukum perdata Indonesia, dikenal asas pengecualian terhadap harta- harta tertentu yang bersifat pribadi dan tidak dapat disita, seperti barang- barang yang secara undang-undang ditentukan </w:t>
      </w:r>
      <w:r w:rsidRPr="001B5FCC">
        <w:lastRenderedPageBreak/>
        <w:t>sebagai kebutuhan pokok atau alat kerja utama debitur untuk memperoleh penghasilan. Hal ini bertujuan menjaga keseimbangan antara hak kreditur untuk mendapatkan pelunasan utangnya dan hak debitur untuk tetap mempertahankan kelangsungan hidupnya secara layak.</w:t>
      </w:r>
    </w:p>
    <w:p w:rsidR="00536600" w:rsidRPr="0066028A" w:rsidRDefault="00536600" w:rsidP="00536600">
      <w:pPr>
        <w:pStyle w:val="BodyText"/>
        <w:tabs>
          <w:tab w:val="left" w:pos="1276"/>
        </w:tabs>
        <w:spacing w:before="241" w:line="360" w:lineRule="auto"/>
        <w:ind w:left="851" w:right="136" w:firstLine="425"/>
      </w:pPr>
      <w:r w:rsidRPr="001B5FCC">
        <w:t>Lebih lanjut, dalam konteks badan hukum, objek kepailitan tidak hanya mencakup aset fisik, tetapi juga hak-hak immateriil seperti hak atas kekayaan intelektual, piutang dagang, saham, dan kontrak-kontrak yang memiliki nilai ekonomi. Menurut Thomas H. Jackson, dalam sistem hukum kepailitan modern, objek kepailitan harus dipahami sebagai kumpulan nilai ekonomi (</w:t>
      </w:r>
      <w:r w:rsidRPr="00A965D9">
        <w:rPr>
          <w:i/>
          <w:iCs/>
        </w:rPr>
        <w:t>economic resources</w:t>
      </w:r>
      <w:r w:rsidRPr="001B5FCC">
        <w:t>) yang secara hukum dapat dialihkan kepada pihak lain guna membayar utang debitur kepada para kreditur . Oleh karena itu, kurator dalam tugasnya harus cermat dalam mengidentifikasi dan menginventarisasi Seluruh kekayaan debitur, termasuk aset tersembunyi atau yang berada dalam penguasaan pihak ketiga.</w:t>
      </w:r>
    </w:p>
    <w:p w:rsidR="00536600" w:rsidRDefault="00536600" w:rsidP="00536600">
      <w:pPr>
        <w:pStyle w:val="BodyText"/>
        <w:tabs>
          <w:tab w:val="left" w:pos="1276"/>
        </w:tabs>
        <w:spacing w:before="241" w:line="360" w:lineRule="auto"/>
        <w:ind w:left="851" w:right="136" w:firstLine="425"/>
        <w:rPr>
          <w:lang w:val="en-US"/>
        </w:rPr>
      </w:pPr>
      <w:r w:rsidRPr="0066028A">
        <w:t>Di Indonesia pengaturan mengenai objek kepailitan juga bersinggungan dengan hukum jaminan. Dalam praktiknya, kreditur yang memegang hak jaminan (seperti hak tanggungan, fidusia, atau gadai) memiliki kedudukan istimewa dalam menerima pelunasan, yaitu melalui eksekusi jaminan tersebut tanpa harus menunggu proses pemberesan seluruh boedel pailit. Hal ini menciptakan hierarki dalam pelunasan utang dan mengharuskan kurator untuk membedakan antara kreditur separatis, preferen, dan konkuren dalam proses pemberesan.</w:t>
      </w:r>
    </w:p>
    <w:p w:rsidR="00536600" w:rsidRDefault="00536600" w:rsidP="00536600">
      <w:pPr>
        <w:pStyle w:val="BodyText"/>
        <w:tabs>
          <w:tab w:val="left" w:pos="1276"/>
        </w:tabs>
        <w:spacing w:before="241" w:line="360" w:lineRule="auto"/>
        <w:ind w:left="851" w:right="136" w:firstLine="425"/>
      </w:pPr>
      <w:r w:rsidRPr="0066028A">
        <w:t xml:space="preserve">Secara keseluruhan, pemahaman yang komprehensif mengenai subjek dan objek kepailitan sangat penting untuk menentukan legal standing para pihak, ruang lingkup kewenangan kurator, serta tata cara pemberesan yang adil dan efisien. Subjek kepailitan menentukan siapa yang dapat dimohonkan pailit dan oleh siapa, sementara objek </w:t>
      </w:r>
      <w:r w:rsidRPr="0066028A">
        <w:lastRenderedPageBreak/>
        <w:t>kepailitan menentukan sumber pelunasan utang dan batas penguasaan kurator terhadap harta debitur. Keduanya menjadi fondasi dari berjalannya proses kepailitan secara hukum dan fungsional dalam praktik pengadilan niaga.</w:t>
      </w:r>
    </w:p>
    <w:p w:rsidR="00536600" w:rsidRDefault="00536600" w:rsidP="00536600">
      <w:pPr>
        <w:pStyle w:val="BodyText"/>
        <w:spacing w:before="241" w:line="360" w:lineRule="auto"/>
        <w:ind w:left="720" w:right="136" w:firstLine="425"/>
      </w:pPr>
    </w:p>
    <w:p w:rsidR="00536600" w:rsidRDefault="00536600" w:rsidP="00536600">
      <w:pPr>
        <w:pStyle w:val="ListParagraph"/>
        <w:widowControl w:val="0"/>
        <w:numPr>
          <w:ilvl w:val="0"/>
          <w:numId w:val="16"/>
        </w:numPr>
        <w:autoSpaceDE w:val="0"/>
        <w:autoSpaceDN w:val="0"/>
        <w:spacing w:after="0" w:line="240" w:lineRule="auto"/>
        <w:ind w:left="426"/>
        <w:outlineLvl w:val="1"/>
        <w:rPr>
          <w:rFonts w:ascii="Times New Roman" w:hAnsi="Times New Roman" w:cs="Times New Roman"/>
          <w:lang w:eastAsia="en-US"/>
        </w:rPr>
      </w:pPr>
      <w:r w:rsidRPr="00F67595">
        <w:rPr>
          <w:rFonts w:ascii="Times New Roman" w:hAnsi="Times New Roman" w:cs="Times New Roman"/>
          <w:b/>
          <w:bCs/>
          <w:lang w:val="en-US" w:eastAsia="en-US"/>
        </w:rPr>
        <w:t>PenundaanKewajibanPembayaranUtang (PKPU)</w:t>
      </w:r>
    </w:p>
    <w:p w:rsidR="00536600" w:rsidRPr="000B7F47" w:rsidRDefault="00536600" w:rsidP="00536600">
      <w:pPr>
        <w:pStyle w:val="ListParagraph"/>
        <w:widowControl w:val="0"/>
        <w:autoSpaceDE w:val="0"/>
        <w:autoSpaceDN w:val="0"/>
        <w:spacing w:after="0" w:line="240" w:lineRule="auto"/>
        <w:ind w:left="426"/>
        <w:outlineLvl w:val="1"/>
        <w:rPr>
          <w:rFonts w:ascii="Times New Roman" w:hAnsi="Times New Roman" w:cs="Times New Roman"/>
          <w:lang w:eastAsia="en-US"/>
        </w:rPr>
      </w:pPr>
    </w:p>
    <w:p w:rsidR="00536600"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8E421D">
        <w:rPr>
          <w:rFonts w:ascii="Times New Roman" w:eastAsia="Times New Roman" w:hAnsi="Times New Roman" w:cs="Times New Roman"/>
          <w:kern w:val="0"/>
          <w:lang w:eastAsia="en-US"/>
        </w:rPr>
        <w:t xml:space="preserve">Penundaan kewajiban pembayaran utang (PKPU) adalah upaya hukum yang diberikan kepada debitur yang mengalami kesulitan keuangan sementara, agar memiliki waktu dan kesempatan untuk merumuskan rencana pembayaran utang kepada para kreditornya. Hal ini diatur dalam </w:t>
      </w:r>
      <w:r w:rsidRPr="00E0002C">
        <w:rPr>
          <w:rFonts w:ascii="Times New Roman" w:eastAsia="Times New Roman" w:hAnsi="Times New Roman" w:cs="Times New Roman"/>
          <w:kern w:val="0"/>
          <w:lang w:eastAsia="en-US"/>
        </w:rPr>
        <w:t>Undang-Undang Nomor 37 Tahun 2004 tentang Kepailitan dan PKPU</w:t>
      </w:r>
      <w:r w:rsidRPr="008E421D">
        <w:rPr>
          <w:rFonts w:ascii="Times New Roman" w:eastAsia="Times New Roman" w:hAnsi="Times New Roman" w:cs="Times New Roman"/>
          <w:kern w:val="0"/>
          <w:lang w:eastAsia="en-US"/>
        </w:rPr>
        <w:t xml:space="preserve"> (UU Kepailitan). Tujuan utama PKPU adalah untuk memberikan </w:t>
      </w:r>
      <w:r w:rsidRPr="008E421D">
        <w:rPr>
          <w:rFonts w:ascii="Times New Roman" w:eastAsia="Times New Roman" w:hAnsi="Times New Roman" w:cs="Times New Roman"/>
          <w:i/>
          <w:iCs/>
          <w:kern w:val="0"/>
          <w:lang w:eastAsia="en-US"/>
        </w:rPr>
        <w:t>moratorium</w:t>
      </w:r>
      <w:r w:rsidRPr="008E421D">
        <w:rPr>
          <w:rFonts w:ascii="Times New Roman" w:eastAsia="Times New Roman" w:hAnsi="Times New Roman" w:cs="Times New Roman"/>
          <w:kern w:val="0"/>
          <w:lang w:eastAsia="en-US"/>
        </w:rPr>
        <w:t xml:space="preserve"> atau masa penangguhan sementara terhadap kewajiban pembayaran utang, sehingga memungkinkan debitur dan kreditur menyepakati restrukturisasi utang melalui perjanjian damai (</w:t>
      </w:r>
      <w:r w:rsidRPr="008E421D">
        <w:rPr>
          <w:rFonts w:ascii="Times New Roman" w:eastAsia="Times New Roman" w:hAnsi="Times New Roman" w:cs="Times New Roman"/>
          <w:i/>
          <w:iCs/>
          <w:kern w:val="0"/>
          <w:lang w:eastAsia="en-US"/>
        </w:rPr>
        <w:t>homologasi</w:t>
      </w:r>
      <w:r>
        <w:rPr>
          <w:rFonts w:ascii="Times New Roman" w:eastAsia="Times New Roman" w:hAnsi="Times New Roman" w:cs="Times New Roman"/>
          <w:kern w:val="0"/>
          <w:lang w:eastAsia="en-US"/>
        </w:rPr>
        <w:t>).</w:t>
      </w:r>
    </w:p>
    <w:p w:rsidR="00536600"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8E421D">
        <w:rPr>
          <w:rFonts w:ascii="Times New Roman" w:eastAsia="Times New Roman" w:hAnsi="Times New Roman" w:cs="Times New Roman"/>
          <w:kern w:val="0"/>
          <w:lang w:eastAsia="en-US"/>
        </w:rPr>
        <w:t xml:space="preserve">PKPU dapat diajukan oleh debitur sendiri atau oleh kreditur yang memiliki </w:t>
      </w:r>
      <w:r w:rsidRPr="008E421D">
        <w:rPr>
          <w:rFonts w:ascii="Times New Roman" w:eastAsia="Times New Roman" w:hAnsi="Times New Roman" w:cs="Times New Roman"/>
          <w:i/>
          <w:iCs/>
          <w:kern w:val="0"/>
          <w:lang w:eastAsia="en-US"/>
        </w:rPr>
        <w:t>concursus</w:t>
      </w:r>
      <w:r w:rsidRPr="008E421D">
        <w:rPr>
          <w:rFonts w:ascii="Times New Roman" w:eastAsia="Times New Roman" w:hAnsi="Times New Roman" w:cs="Times New Roman"/>
          <w:kern w:val="0"/>
          <w:lang w:eastAsia="en-US"/>
        </w:rPr>
        <w:t xml:space="preserve"> kepentingan hukum. Berdasarkan Pasal 222 ayat (2) UU Kepailitan, syarat utama pengajuan PKPU adalah adanya lebih dari satu kreditur dan utang yang sudah jatuh tempo dan dapat ditagih</w:t>
      </w:r>
      <w:r>
        <w:rPr>
          <w:rFonts w:ascii="Times New Roman" w:eastAsia="Times New Roman" w:hAnsi="Times New Roman" w:cs="Times New Roman"/>
          <w:kern w:val="0"/>
          <w:vertAlign w:val="superscript"/>
          <w:lang w:eastAsia="en-US"/>
        </w:rPr>
        <w:t>.</w:t>
      </w:r>
      <w:r>
        <w:rPr>
          <w:rStyle w:val="FootnoteReference"/>
          <w:rFonts w:ascii="Times New Roman" w:eastAsia="Times New Roman" w:hAnsi="Times New Roman" w:cs="Times New Roman"/>
          <w:kern w:val="0"/>
          <w:lang w:eastAsia="en-US"/>
        </w:rPr>
        <w:footnoteReference w:id="29"/>
      </w:r>
      <w:r w:rsidRPr="008E421D">
        <w:rPr>
          <w:rFonts w:ascii="Times New Roman" w:eastAsia="Times New Roman" w:hAnsi="Times New Roman" w:cs="Times New Roman"/>
          <w:kern w:val="0"/>
          <w:lang w:eastAsia="en-US"/>
        </w:rPr>
        <w:t xml:space="preserve">Proses PKPU dimulai dengan pengajuan permohonan ke Pengadilan Niaga. Setelah diterima, Pengadilan akan menunjuk hakim pengawas dan </w:t>
      </w:r>
      <w:r w:rsidRPr="008E421D">
        <w:rPr>
          <w:rFonts w:ascii="Times New Roman" w:eastAsia="Times New Roman" w:hAnsi="Times New Roman" w:cs="Times New Roman"/>
          <w:i/>
          <w:iCs/>
          <w:kern w:val="0"/>
          <w:lang w:eastAsia="en-US"/>
        </w:rPr>
        <w:t>administrator</w:t>
      </w:r>
      <w:r w:rsidRPr="008E421D">
        <w:rPr>
          <w:rFonts w:ascii="Times New Roman" w:eastAsia="Times New Roman" w:hAnsi="Times New Roman" w:cs="Times New Roman"/>
          <w:kern w:val="0"/>
          <w:lang w:eastAsia="en-US"/>
        </w:rPr>
        <w:t xml:space="preserve"> untuk mengawasi jalannya proses PKPU. Debitur memperoleh masa PKPU sementara selama 45 hari, yang dapat diperpanjang menjadi PKP</w:t>
      </w:r>
      <w:r>
        <w:rPr>
          <w:rFonts w:ascii="Times New Roman" w:eastAsia="Times New Roman" w:hAnsi="Times New Roman" w:cs="Times New Roman"/>
          <w:kern w:val="0"/>
          <w:lang w:eastAsia="en-US"/>
        </w:rPr>
        <w:t>U tetap hingga maksimal 270 hari.</w:t>
      </w:r>
      <w:r>
        <w:rPr>
          <w:rStyle w:val="FootnoteReference"/>
          <w:rFonts w:ascii="Times New Roman" w:eastAsia="Times New Roman" w:hAnsi="Times New Roman" w:cs="Times New Roman"/>
          <w:kern w:val="0"/>
          <w:lang w:eastAsia="en-US"/>
        </w:rPr>
        <w:footnoteReference w:id="30"/>
      </w:r>
      <w:r w:rsidRPr="008E421D">
        <w:rPr>
          <w:rFonts w:ascii="Times New Roman" w:eastAsia="Times New Roman" w:hAnsi="Times New Roman" w:cs="Times New Roman"/>
          <w:kern w:val="0"/>
          <w:lang w:eastAsia="en-US"/>
        </w:rPr>
        <w:t xml:space="preserve"> Selama periode ini, kreditur tidak boleh melakukan penagihan atau eksekusi terhadap utang, kec</w:t>
      </w:r>
      <w:r>
        <w:rPr>
          <w:rFonts w:ascii="Times New Roman" w:eastAsia="Times New Roman" w:hAnsi="Times New Roman" w:cs="Times New Roman"/>
          <w:kern w:val="0"/>
          <w:lang w:eastAsia="en-US"/>
        </w:rPr>
        <w:t>uali dengan izin hakim pengawas.</w:t>
      </w:r>
    </w:p>
    <w:p w:rsidR="00536600"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8E421D">
        <w:rPr>
          <w:rFonts w:ascii="Times New Roman" w:eastAsia="Times New Roman" w:hAnsi="Times New Roman" w:cs="Times New Roman"/>
          <w:kern w:val="0"/>
          <w:lang w:eastAsia="en-US"/>
        </w:rPr>
        <w:lastRenderedPageBreak/>
        <w:t xml:space="preserve">Dalam praktiknya, PKPU menjadi sarana yang strategis bagi debitur untuk memperoleh restrukturisasi utang yang lebih terukur. Debitur dapat mengajukan proposal rencana pembayaran (rencana perdamaian) kepada para kreditur. Apabila rencana tersebut disetujui oleh mayoritas kreditur, maka akan menjadi </w:t>
      </w:r>
      <w:r w:rsidRPr="008E421D">
        <w:rPr>
          <w:rFonts w:ascii="Times New Roman" w:eastAsia="Times New Roman" w:hAnsi="Times New Roman" w:cs="Times New Roman"/>
          <w:i/>
          <w:iCs/>
          <w:kern w:val="0"/>
          <w:lang w:eastAsia="en-US"/>
        </w:rPr>
        <w:t>homologasi</w:t>
      </w:r>
      <w:r w:rsidRPr="008E421D">
        <w:rPr>
          <w:rFonts w:ascii="Times New Roman" w:eastAsia="Times New Roman" w:hAnsi="Times New Roman" w:cs="Times New Roman"/>
          <w:kern w:val="0"/>
          <w:lang w:eastAsia="en-US"/>
        </w:rPr>
        <w:t xml:space="preserve"> yang memiliki kekuatan hukum mengikat</w:t>
      </w:r>
      <w:r>
        <w:rPr>
          <w:rFonts w:ascii="Times New Roman" w:eastAsia="Times New Roman" w:hAnsi="Times New Roman" w:cs="Times New Roman"/>
          <w:kern w:val="0"/>
          <w:vertAlign w:val="superscript"/>
          <w:lang w:eastAsia="en-US"/>
        </w:rPr>
        <w:t>.</w:t>
      </w:r>
      <w:r>
        <w:rPr>
          <w:rStyle w:val="FootnoteReference"/>
          <w:rFonts w:ascii="Times New Roman" w:eastAsia="Times New Roman" w:hAnsi="Times New Roman" w:cs="Times New Roman"/>
          <w:kern w:val="0"/>
          <w:lang w:eastAsia="en-US"/>
        </w:rPr>
        <w:footnoteReference w:id="31"/>
      </w:r>
      <w:r w:rsidRPr="008E421D">
        <w:rPr>
          <w:rFonts w:ascii="Times New Roman" w:eastAsia="Times New Roman" w:hAnsi="Times New Roman" w:cs="Times New Roman"/>
          <w:kern w:val="0"/>
          <w:lang w:eastAsia="en-US"/>
        </w:rPr>
        <w:t xml:space="preserve">Namun demikian, PKPU juga sering disalahgunakan oleh debitur untuk menunda pembayaran utang tanpa itikad baik. Oleh karena itu, pengadilan memiliki kewenangan untuk membatalkan PKPU apabila terdapat indikasi penyalahgunaan, seperti perbuatan curang atau </w:t>
      </w:r>
      <w:r>
        <w:rPr>
          <w:rFonts w:ascii="Times New Roman" w:eastAsia="Times New Roman" w:hAnsi="Times New Roman" w:cs="Times New Roman"/>
          <w:kern w:val="0"/>
          <w:lang w:eastAsia="en-US"/>
        </w:rPr>
        <w:t xml:space="preserve">tidak terpenuhinya syarat hukum. </w:t>
      </w:r>
    </w:p>
    <w:p w:rsidR="00536600"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b/>
          <w:bCs/>
          <w:kern w:val="0"/>
          <w:lang w:eastAsia="en-US"/>
        </w:rPr>
      </w:pPr>
      <w:r w:rsidRPr="008E421D">
        <w:rPr>
          <w:rFonts w:ascii="Times New Roman" w:eastAsia="Times New Roman" w:hAnsi="Times New Roman" w:cs="Times New Roman"/>
          <w:kern w:val="0"/>
          <w:lang w:eastAsia="en-US"/>
        </w:rPr>
        <w:t>Secara keseluruhan, PKPU berperan penting dalam memberikan kesempatan bagi debitur untuk memulihkan usahanya, sekaligus melindungi hak-hak kreditur. Namun, keseimbangan antara perlindungan debitur dan kepastian hukum bagi kreditur tetap menjadi tantangan utama dalam pelaksanaan PKPU.</w:t>
      </w:r>
    </w:p>
    <w:p w:rsidR="00536600"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b/>
          <w:bCs/>
          <w:kern w:val="0"/>
          <w:lang w:eastAsia="en-US"/>
        </w:rPr>
      </w:pPr>
      <w:r w:rsidRPr="00E0002C">
        <w:rPr>
          <w:rFonts w:ascii="Times New Roman" w:eastAsia="Times New Roman" w:hAnsi="Times New Roman" w:cs="Times New Roman"/>
          <w:kern w:val="0"/>
          <w:lang w:eastAsia="en-US"/>
        </w:rPr>
        <w:t xml:space="preserve">PKPU menjadi salah satu instrumen penyelesaian utang yang relatif lebih efisien dibandingkan dengan kepailitan. Dalam kepailitan, aset debitur akan dijual untuk membayar utang, yang seringkali menyebabkan kerugian besar bagi debitur dan kreditur. Sementara itu, melalui PKPU, debitur masih dapat melanjutkan usahanya di bawah pengawasan </w:t>
      </w:r>
      <w:r w:rsidRPr="00E0002C">
        <w:rPr>
          <w:rFonts w:ascii="Times New Roman" w:eastAsia="Times New Roman" w:hAnsi="Times New Roman" w:cs="Times New Roman"/>
          <w:i/>
          <w:iCs/>
          <w:kern w:val="0"/>
          <w:lang w:eastAsia="en-US"/>
        </w:rPr>
        <w:t>administrator</w:t>
      </w:r>
      <w:r w:rsidRPr="00E0002C">
        <w:rPr>
          <w:rFonts w:ascii="Times New Roman" w:eastAsia="Times New Roman" w:hAnsi="Times New Roman" w:cs="Times New Roman"/>
          <w:kern w:val="0"/>
          <w:lang w:eastAsia="en-US"/>
        </w:rPr>
        <w:t xml:space="preserve"> dan hakim pengawas. Hal ini memungkinkan debitur memulihkan likuiditas usaha tan</w:t>
      </w:r>
      <w:r>
        <w:rPr>
          <w:rFonts w:ascii="Times New Roman" w:eastAsia="Times New Roman" w:hAnsi="Times New Roman" w:cs="Times New Roman"/>
          <w:kern w:val="0"/>
          <w:lang w:eastAsia="en-US"/>
        </w:rPr>
        <w:t>pa harus kehilangan seluruh aset.</w:t>
      </w:r>
      <w:r>
        <w:rPr>
          <w:rStyle w:val="FootnoteReference"/>
          <w:rFonts w:ascii="Times New Roman" w:eastAsia="Times New Roman" w:hAnsi="Times New Roman" w:cs="Times New Roman"/>
          <w:kern w:val="0"/>
          <w:lang w:eastAsia="en-US"/>
        </w:rPr>
        <w:footnoteReference w:id="32"/>
      </w:r>
    </w:p>
    <w:p w:rsidR="00536600"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b/>
          <w:bCs/>
          <w:kern w:val="0"/>
          <w:lang w:eastAsia="en-US"/>
        </w:rPr>
      </w:pPr>
      <w:r w:rsidRPr="00E0002C">
        <w:rPr>
          <w:rFonts w:ascii="Times New Roman" w:eastAsia="Times New Roman" w:hAnsi="Times New Roman" w:cs="Times New Roman"/>
          <w:kern w:val="0"/>
          <w:lang w:eastAsia="en-US"/>
        </w:rPr>
        <w:t>Di samping itu, keberhasilan PKPU sangat bergantung pada kemampuan debitur dalam merumuskan rencana perdamaian yang realistis dan menguntungkan bagi para kreditur. Rencana perdamaian harus disusun dengan mempertimbangkan kondisi keuangan debitur, proyeksi usaha, dan kepentingan kreditur. Kegagalan dalam meyakinkan kreditur akan menyebabkan penolakan rencana perdamaian, yang pada akhirnya da</w:t>
      </w:r>
      <w:r>
        <w:rPr>
          <w:rFonts w:ascii="Times New Roman" w:eastAsia="Times New Roman" w:hAnsi="Times New Roman" w:cs="Times New Roman"/>
          <w:kern w:val="0"/>
          <w:lang w:eastAsia="en-US"/>
        </w:rPr>
        <w:t xml:space="preserve">pat </w:t>
      </w:r>
      <w:r>
        <w:rPr>
          <w:rFonts w:ascii="Times New Roman" w:eastAsia="Times New Roman" w:hAnsi="Times New Roman" w:cs="Times New Roman"/>
          <w:kern w:val="0"/>
          <w:lang w:eastAsia="en-US"/>
        </w:rPr>
        <w:lastRenderedPageBreak/>
        <w:t>berujung pada putusan pailit.</w:t>
      </w:r>
      <w:r>
        <w:rPr>
          <w:rStyle w:val="FootnoteReference"/>
          <w:rFonts w:ascii="Times New Roman" w:eastAsia="Times New Roman" w:hAnsi="Times New Roman" w:cs="Times New Roman"/>
          <w:kern w:val="0"/>
          <w:lang w:eastAsia="en-US"/>
        </w:rPr>
        <w:footnoteReference w:id="33"/>
      </w:r>
    </w:p>
    <w:p w:rsidR="00536600"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E0002C">
        <w:rPr>
          <w:rFonts w:ascii="Times New Roman" w:eastAsia="Times New Roman" w:hAnsi="Times New Roman" w:cs="Times New Roman"/>
          <w:kern w:val="0"/>
          <w:lang w:eastAsia="en-US"/>
        </w:rPr>
        <w:t xml:space="preserve">Dalam praktiknya, proses PKPU seringkali memunculkan dinamika yang kompleks, terutama jika melibatkan kreditur yang memiliki kepentingan berbeda. Kreditur separatis (pemegang hak jaminan) dan kreditur konkuren (tanpa jaminan) memiliki hak suara yang diatur secara khusus dalam UU Kepailitan. Oleh karena itu, </w:t>
      </w:r>
      <w:r w:rsidRPr="00E0002C">
        <w:rPr>
          <w:rFonts w:ascii="Times New Roman" w:eastAsia="Times New Roman" w:hAnsi="Times New Roman" w:cs="Times New Roman"/>
          <w:i/>
          <w:iCs/>
          <w:kern w:val="0"/>
          <w:lang w:eastAsia="en-US"/>
        </w:rPr>
        <w:t>administrator</w:t>
      </w:r>
      <w:r w:rsidRPr="00E0002C">
        <w:rPr>
          <w:rFonts w:ascii="Times New Roman" w:eastAsia="Times New Roman" w:hAnsi="Times New Roman" w:cs="Times New Roman"/>
          <w:kern w:val="0"/>
          <w:lang w:eastAsia="en-US"/>
        </w:rPr>
        <w:t xml:space="preserve"> dan hakim pengawas memiliki peran penting dalam menjaga keadilan dan keseimbangan kepentingan </w:t>
      </w:r>
      <w:r>
        <w:rPr>
          <w:rFonts w:ascii="Times New Roman" w:eastAsia="Times New Roman" w:hAnsi="Times New Roman" w:cs="Times New Roman"/>
          <w:kern w:val="0"/>
          <w:lang w:eastAsia="en-US"/>
        </w:rPr>
        <w:t>seluruh pihak selama proses PKPU.</w:t>
      </w:r>
      <w:r>
        <w:rPr>
          <w:rStyle w:val="FootnoteReference"/>
          <w:rFonts w:ascii="Times New Roman" w:eastAsia="Times New Roman" w:hAnsi="Times New Roman" w:cs="Times New Roman"/>
          <w:kern w:val="0"/>
          <w:lang w:eastAsia="en-US"/>
        </w:rPr>
        <w:footnoteReference w:id="34"/>
      </w:r>
    </w:p>
    <w:p w:rsidR="00536600"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p>
    <w:p w:rsidR="00536600" w:rsidRPr="000B7F47" w:rsidRDefault="00536600" w:rsidP="00536600">
      <w:pPr>
        <w:pStyle w:val="ListParagraph"/>
        <w:widowControl w:val="0"/>
        <w:numPr>
          <w:ilvl w:val="0"/>
          <w:numId w:val="16"/>
        </w:numPr>
        <w:autoSpaceDE w:val="0"/>
        <w:autoSpaceDN w:val="0"/>
        <w:spacing w:after="0" w:line="240" w:lineRule="auto"/>
        <w:ind w:left="426"/>
        <w:outlineLvl w:val="1"/>
        <w:rPr>
          <w:rFonts w:ascii="Times New Roman" w:eastAsia="Times New Roman" w:hAnsi="Times New Roman" w:cs="Times New Roman"/>
          <w:kern w:val="0"/>
          <w:lang w:eastAsia="en-US"/>
        </w:rPr>
      </w:pPr>
      <w:r w:rsidRPr="00F67595">
        <w:rPr>
          <w:rFonts w:ascii="Times New Roman" w:hAnsi="Times New Roman" w:cs="Times New Roman"/>
          <w:b/>
          <w:bCs/>
          <w:lang w:val="en-US" w:eastAsia="en-US"/>
        </w:rPr>
        <w:t>PengertianHartaDebiturPailit</w:t>
      </w:r>
    </w:p>
    <w:p w:rsidR="00536600" w:rsidRPr="000B7F47" w:rsidRDefault="00536600" w:rsidP="00536600">
      <w:pPr>
        <w:widowControl w:val="0"/>
        <w:autoSpaceDE w:val="0"/>
        <w:autoSpaceDN w:val="0"/>
        <w:spacing w:after="0" w:line="240" w:lineRule="auto"/>
        <w:outlineLvl w:val="1"/>
        <w:rPr>
          <w:rFonts w:ascii="Times New Roman" w:eastAsia="Times New Roman" w:hAnsi="Times New Roman" w:cs="Times New Roman"/>
          <w:kern w:val="0"/>
          <w:lang w:eastAsia="en-US"/>
        </w:rPr>
      </w:pPr>
    </w:p>
    <w:p w:rsidR="00536600" w:rsidRPr="009B4C79"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9B4C79">
        <w:rPr>
          <w:rFonts w:ascii="Times New Roman" w:eastAsia="Times New Roman" w:hAnsi="Times New Roman" w:cs="Times New Roman"/>
          <w:kern w:val="0"/>
          <w:lang w:eastAsia="en-US"/>
        </w:rPr>
        <w:t>Harta debitur pailit atau sering disebut sebagai boedel pailit adalah keseluruhan kekayaan debitur yang dinyatakan pailit pada saat putusan pailit diucapkan, ditambah dengan segala sesuatu yang diperoleh selama proses kepailitan berlangsung. Pengertian ini diatur secara tegas dalam Pasal 21 Undang-Undang Nomor 37 Tahun 2004 tentang Kepailitan dan PKPU (UU Kepailitan).</w:t>
      </w:r>
      <w:r w:rsidRPr="009B4C79">
        <w:rPr>
          <w:rFonts w:ascii="Times New Roman" w:eastAsia="Times New Roman" w:hAnsi="Times New Roman" w:cs="Times New Roman"/>
          <w:kern w:val="0"/>
          <w:vertAlign w:val="superscript"/>
          <w:lang w:eastAsia="en-US"/>
        </w:rPr>
        <w:footnoteReference w:id="35"/>
      </w:r>
    </w:p>
    <w:p w:rsidR="00536600" w:rsidRPr="009B4C79"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9B4C79">
        <w:rPr>
          <w:rFonts w:ascii="Times New Roman" w:eastAsia="Times New Roman" w:hAnsi="Times New Roman" w:cs="Times New Roman"/>
          <w:kern w:val="0"/>
          <w:lang w:eastAsia="en-US"/>
        </w:rPr>
        <w:t xml:space="preserve">Secara yuridis, </w:t>
      </w:r>
      <w:r w:rsidRPr="009B4C79">
        <w:rPr>
          <w:rFonts w:ascii="Times New Roman" w:eastAsia="Times New Roman" w:hAnsi="Times New Roman" w:cs="Times New Roman"/>
          <w:i/>
          <w:iCs/>
          <w:kern w:val="0"/>
          <w:lang w:eastAsia="en-US"/>
        </w:rPr>
        <w:t>boedel pailit</w:t>
      </w:r>
      <w:r w:rsidRPr="009B4C79">
        <w:rPr>
          <w:rFonts w:ascii="Times New Roman" w:eastAsia="Times New Roman" w:hAnsi="Times New Roman" w:cs="Times New Roman"/>
          <w:kern w:val="0"/>
          <w:lang w:eastAsia="en-US"/>
        </w:rPr>
        <w:t xml:space="preserve"> menjadi jaminan pelunasan seluruh utang debitur kepada para krediturnya. Kekayaan ini meliputi semua harta yang ada pada saat pailit diputuskan, baik yang berada dalam penguasaan debitur maupun yang kemudian diperoleh, seperti hasil usaha atau warisan yang diterima selama proses kepailitan. Dengan demikian, boedel pailit bersifat dinamis karena dapat bertambah selama masa kepailitan.</w:t>
      </w:r>
      <w:r w:rsidRPr="009B4C79">
        <w:rPr>
          <w:rFonts w:ascii="Times New Roman" w:eastAsia="Times New Roman" w:hAnsi="Times New Roman" w:cs="Times New Roman"/>
          <w:kern w:val="0"/>
          <w:vertAlign w:val="superscript"/>
          <w:lang w:eastAsia="en-US"/>
        </w:rPr>
        <w:footnoteReference w:id="36"/>
      </w:r>
    </w:p>
    <w:p w:rsidR="00536600" w:rsidRDefault="00536600" w:rsidP="00536600">
      <w:pPr>
        <w:widowControl w:val="0"/>
        <w:autoSpaceDE w:val="0"/>
        <w:autoSpaceDN w:val="0"/>
        <w:spacing w:before="139" w:after="0" w:line="360" w:lineRule="auto"/>
        <w:ind w:left="426" w:right="142" w:firstLine="567"/>
        <w:jc w:val="both"/>
        <w:rPr>
          <w:rFonts w:ascii="Times New Roman" w:eastAsia="Times New Roman" w:hAnsi="Times New Roman" w:cs="Times New Roman"/>
          <w:kern w:val="0"/>
          <w:lang w:eastAsia="en-US"/>
        </w:rPr>
      </w:pPr>
      <w:r w:rsidRPr="009B4C79">
        <w:rPr>
          <w:rFonts w:ascii="Times New Roman" w:eastAsia="Times New Roman" w:hAnsi="Times New Roman" w:cs="Times New Roman"/>
          <w:kern w:val="0"/>
          <w:lang w:eastAsia="en-US"/>
        </w:rPr>
        <w:t xml:space="preserve">Dalam pelaksanaan, kurator bertugas untuk menguasai dan mengurus boedel pailit dengan sebaik-baiknya untuk kepentingan para kreditur. </w:t>
      </w:r>
      <w:r w:rsidRPr="009B4C79">
        <w:rPr>
          <w:rFonts w:ascii="Times New Roman" w:eastAsia="Times New Roman" w:hAnsi="Times New Roman" w:cs="Times New Roman"/>
          <w:kern w:val="0"/>
          <w:lang w:eastAsia="en-US"/>
        </w:rPr>
        <w:lastRenderedPageBreak/>
        <w:t xml:space="preserve">Kurator memiliki kewenangan untuk melakukan tindakan hukum atas nama boedel pailit, seperti menjual aset, mengelola usaha debitur, atau membuat perjanjian lain, dengan pengawasan hakim pengawas. </w:t>
      </w:r>
      <w:r w:rsidRPr="009B4C79">
        <w:rPr>
          <w:rFonts w:ascii="Times New Roman" w:eastAsia="Times New Roman" w:hAnsi="Times New Roman" w:cs="Times New Roman"/>
          <w:kern w:val="0"/>
          <w:vertAlign w:val="superscript"/>
          <w:lang w:eastAsia="en-US"/>
        </w:rPr>
        <w:footnoteReference w:id="37"/>
      </w:r>
    </w:p>
    <w:p w:rsidR="00536600" w:rsidRPr="008E2EC7" w:rsidRDefault="00536600" w:rsidP="00536600">
      <w:pPr>
        <w:spacing w:before="139" w:after="0" w:line="360" w:lineRule="auto"/>
        <w:ind w:left="426" w:right="142" w:hanging="426"/>
        <w:jc w:val="both"/>
        <w:rPr>
          <w:rFonts w:asciiTheme="majorBidi" w:hAnsiTheme="majorBidi" w:cstheme="majorBidi"/>
        </w:rPr>
      </w:pPr>
      <w:r>
        <w:rPr>
          <w:rFonts w:ascii="Times New Roman" w:hAnsi="Times New Roman" w:cs="Times New Roman"/>
          <w:b/>
          <w:bCs/>
          <w:lang w:eastAsia="en-US"/>
        </w:rPr>
        <w:t xml:space="preserve">E. </w:t>
      </w:r>
      <w:r>
        <w:rPr>
          <w:rFonts w:ascii="Times New Roman" w:hAnsi="Times New Roman" w:cs="Times New Roman"/>
          <w:b/>
          <w:bCs/>
          <w:lang w:eastAsia="en-US"/>
        </w:rPr>
        <w:tab/>
        <w:t>T</w:t>
      </w:r>
      <w:r>
        <w:rPr>
          <w:rFonts w:ascii="Times New Roman" w:hAnsi="Times New Roman" w:cs="Times New Roman"/>
          <w:b/>
          <w:bCs/>
          <w:lang w:val="en-US" w:eastAsia="en-US"/>
        </w:rPr>
        <w:t>eori-Teori Yang Relevan</w:t>
      </w:r>
    </w:p>
    <w:p w:rsidR="00536600" w:rsidRPr="00F67595" w:rsidRDefault="00536600" w:rsidP="00536600">
      <w:pPr>
        <w:spacing w:before="139" w:after="0" w:line="360" w:lineRule="auto"/>
        <w:ind w:left="851" w:right="142" w:hanging="425"/>
        <w:jc w:val="both"/>
        <w:rPr>
          <w:rFonts w:ascii="Times New Roman" w:hAnsi="Times New Roman" w:cs="Times New Roman"/>
          <w:b/>
          <w:lang w:val="en-US"/>
        </w:rPr>
      </w:pPr>
      <w:r>
        <w:rPr>
          <w:rFonts w:ascii="Times New Roman" w:hAnsi="Times New Roman" w:cs="Times New Roman"/>
          <w:b/>
        </w:rPr>
        <w:t>1.</w:t>
      </w:r>
      <w:r>
        <w:rPr>
          <w:rFonts w:ascii="Times New Roman" w:hAnsi="Times New Roman" w:cs="Times New Roman"/>
          <w:b/>
        </w:rPr>
        <w:tab/>
      </w:r>
      <w:r w:rsidRPr="00F67595">
        <w:rPr>
          <w:rFonts w:ascii="Times New Roman" w:hAnsi="Times New Roman" w:cs="Times New Roman"/>
          <w:b/>
        </w:rPr>
        <w:t>Teori Keadilan John Rawls</w:t>
      </w:r>
    </w:p>
    <w:p w:rsidR="00536600" w:rsidRPr="0066028A" w:rsidRDefault="00536600" w:rsidP="00536600">
      <w:pPr>
        <w:pStyle w:val="BodyText"/>
        <w:tabs>
          <w:tab w:val="left" w:pos="1276"/>
        </w:tabs>
        <w:spacing w:before="241" w:line="360" w:lineRule="auto"/>
        <w:ind w:left="851" w:right="136" w:firstLine="425"/>
      </w:pPr>
      <w:r w:rsidRPr="0066028A">
        <w:t xml:space="preserve">John Rawls adalah salah satu filsuf politik paling berpengaruh di abad ke-20 yang dikenal luas melalui karya monumentalnya, </w:t>
      </w:r>
      <w:r w:rsidRPr="0066028A">
        <w:rPr>
          <w:i/>
        </w:rPr>
        <w:t xml:space="preserve">A Theory of Justice </w:t>
      </w:r>
      <w:r w:rsidRPr="0066028A">
        <w:t>(1971). Dalam karya tersebut, Rawls merumuskan sebuah pendekatan terhadap keadilan sosial yang disebutnya sebagai "</w:t>
      </w:r>
      <w:r w:rsidRPr="0066028A">
        <w:rPr>
          <w:i/>
        </w:rPr>
        <w:t>justice as fairness</w:t>
      </w:r>
      <w:r w:rsidRPr="0066028A">
        <w:t xml:space="preserve">". Pemikiran Rawls lahir sebagai respon terhadap ketidakpuasan terhadap utilitarianisme klasik, yang menurutnya seringkali mengabaikan hak-hak individu demi kepentingan mayoritas. Rawls berusaha membangun sebuah teorikeadilanyangberbasispadakesetaraanmoralantarasemuaindividudan menjunjung tinggi prinsip kebebasan dan kesejahteraan sosial secara </w:t>
      </w:r>
      <w:r w:rsidRPr="0066028A">
        <w:rPr>
          <w:spacing w:val="-2"/>
        </w:rPr>
        <w:t>bersamaan.</w:t>
      </w:r>
    </w:p>
    <w:p w:rsidR="00536600" w:rsidRPr="008A7B4C" w:rsidRDefault="00536600" w:rsidP="00536600">
      <w:pPr>
        <w:pStyle w:val="BodyText"/>
        <w:tabs>
          <w:tab w:val="left" w:pos="1276"/>
        </w:tabs>
        <w:spacing w:before="241" w:line="360" w:lineRule="auto"/>
        <w:ind w:left="851" w:right="136" w:firstLine="425"/>
        <w:rPr>
          <w:rFonts w:eastAsiaTheme="minorEastAsia"/>
          <w:kern w:val="2"/>
        </w:rPr>
      </w:pPr>
      <w:r w:rsidRPr="008A7B4C">
        <w:rPr>
          <w:rFonts w:eastAsiaTheme="minorEastAsia"/>
          <w:kern w:val="2"/>
        </w:rPr>
        <w:t>Konsep keadilan menurut Rawls dibangun atas dasar pemikiran kontraktualisme, yang mengandaikan bahwa prinsip-prinsip keadilan dipilih oleh individu-individu yang rasional dalam sebuah posisi hipotetik yang disebut "original position" (posisi awal). Dalam posisi ini, para individu tidak mengetahui posisi mereka dalam masyarakat (apakah mereka kaya atau miskin, beragama atau tidak, berbakat atau tidak), karena semuanya berada di balik “</w:t>
      </w:r>
      <w:r w:rsidRPr="003B1E55">
        <w:rPr>
          <w:rFonts w:eastAsiaTheme="minorEastAsia"/>
          <w:i/>
          <w:iCs/>
          <w:kern w:val="2"/>
        </w:rPr>
        <w:t>veil of ignorance</w:t>
      </w:r>
      <w:r w:rsidRPr="008A7B4C">
        <w:rPr>
          <w:rFonts w:eastAsiaTheme="minorEastAsia"/>
          <w:kern w:val="2"/>
        </w:rPr>
        <w:t>” atau "selubung ketidaktahuan". Tujuan dari kondisi ini adalah agar prinsip-prinsip yang dipilih bersifat netral dan adil bagi semua orang, karena tidak ada yang dapat menyusun aturan untuk menguntungkan dirinya sendiri secara khusus.</w:t>
      </w:r>
      <w:r w:rsidRPr="008A7B4C">
        <w:rPr>
          <w:rFonts w:eastAsiaTheme="minorEastAsia"/>
          <w:kern w:val="2"/>
          <w:vertAlign w:val="superscript"/>
        </w:rPr>
        <w:footnoteReference w:id="38"/>
      </w:r>
    </w:p>
    <w:p w:rsidR="00536600" w:rsidRPr="0066028A" w:rsidRDefault="00536600" w:rsidP="00536600">
      <w:pPr>
        <w:pStyle w:val="BodyText"/>
        <w:tabs>
          <w:tab w:val="left" w:pos="1276"/>
        </w:tabs>
        <w:spacing w:before="241" w:line="360" w:lineRule="auto"/>
        <w:ind w:left="851" w:right="136" w:firstLine="425"/>
      </w:pPr>
      <w:r w:rsidRPr="0066028A">
        <w:lastRenderedPageBreak/>
        <w:t>Dari konstruksi pemikiran tersebut, Rawls merumuskan dua prinsip utama keadilan. Pertama, setiap orang memiliki hak yang sama atas kebebasan dasar yang seluas mungkin, sejauh kebebasan itu tidak mengurangi kebebasan orang lain. Kedua, ketidaksetaraan sosial dan ekonomi hanya dibenarkan jika ia memberi manfaat terbesar bagi mereka yang paling tidak diuntungkan dalam masyarakat (dikenal sebagai “</w:t>
      </w:r>
      <w:r w:rsidRPr="008A7B4C">
        <w:rPr>
          <w:i/>
          <w:iCs/>
        </w:rPr>
        <w:t>Difference Principle</w:t>
      </w:r>
      <w:r w:rsidRPr="0066028A">
        <w:t>”), dan jabatan serta posisi dalam masyarakat harus terbuka bagi semua berdasarkan prinsip kesempatan yang sama</w:t>
      </w:r>
      <w:r w:rsidRPr="006814AC">
        <w:t>.</w:t>
      </w:r>
      <w:r w:rsidRPr="008A7B4C">
        <w:rPr>
          <w:vertAlign w:val="superscript"/>
        </w:rPr>
        <w:footnoteReference w:id="39"/>
      </w:r>
      <w:r w:rsidRPr="0066028A">
        <w:t xml:space="preserve"> Dalam pandangan Rawls, dua prinsip ini merupakan fondasi yang menjamin stabilitas dan legitimasi struktur dasar masyarakat demokratis, sebab prinsip-prinsip ini akan disepakati secara rasional oleh semua pihak dalam posisi awal yang adil.</w:t>
      </w:r>
    </w:p>
    <w:p w:rsidR="00536600" w:rsidRPr="0066028A" w:rsidRDefault="00536600" w:rsidP="00536600">
      <w:pPr>
        <w:pStyle w:val="BodyText"/>
        <w:tabs>
          <w:tab w:val="left" w:pos="1276"/>
        </w:tabs>
        <w:spacing w:before="241" w:line="360" w:lineRule="auto"/>
        <w:ind w:left="851" w:right="136" w:firstLine="425"/>
      </w:pPr>
      <w:r w:rsidRPr="0066028A">
        <w:t>Rawls menegaskan bahwa struktur dasar masyarakat yaitu institusi politik, ekonomi, dan sosial harus diatur sedemikian rupa sehingga secara sistematis memperlakukan individu-individu sebagai pribadi moral yang setara. Hal ini berakar dari keyakinannya bahwa setiap orang memiliki “</w:t>
      </w:r>
      <w:r w:rsidRPr="008A7B4C">
        <w:rPr>
          <w:i/>
          <w:iCs/>
        </w:rPr>
        <w:t>a sense of justice</w:t>
      </w:r>
      <w:r w:rsidRPr="0066028A">
        <w:t>” dan “</w:t>
      </w:r>
      <w:r w:rsidRPr="008A7B4C">
        <w:rPr>
          <w:i/>
          <w:iCs/>
        </w:rPr>
        <w:t>a conception of the good</w:t>
      </w:r>
      <w:r w:rsidRPr="0066028A">
        <w:t>” yang memungkinkan mereka berpartisipasi secara aktif dalam kehidupan politik dan sosial</w:t>
      </w:r>
      <w:r w:rsidRPr="008A7B4C">
        <w:rPr>
          <w:lang w:val="id-ID"/>
        </w:rPr>
        <w:t>.</w:t>
      </w:r>
      <w:r w:rsidRPr="008A7B4C">
        <w:rPr>
          <w:vertAlign w:val="superscript"/>
        </w:rPr>
        <w:footnoteReference w:id="40"/>
      </w:r>
      <w:r w:rsidRPr="0066028A">
        <w:t xml:space="preserve"> Keadilan, dalam kerangka Rawls, bukan hanya tentang distribusi sumber daya, tetapi lebih dalam lagi tentang bagaimana institusi-institusi publik mencerminkan nilai-nilai moral yang menghormati martabat setiap orang.</w:t>
      </w:r>
    </w:p>
    <w:p w:rsidR="00536600" w:rsidRPr="0066028A" w:rsidRDefault="00536600" w:rsidP="00536600">
      <w:pPr>
        <w:pStyle w:val="BodyText"/>
        <w:tabs>
          <w:tab w:val="left" w:pos="1276"/>
        </w:tabs>
        <w:spacing w:before="241" w:line="360" w:lineRule="auto"/>
        <w:ind w:left="851" w:right="136" w:firstLine="425"/>
      </w:pPr>
      <w:r w:rsidRPr="0066028A">
        <w:t xml:space="preserve">Meskipun teori Rawls sangat berpengaruh dan menjadi landasan banyak pemikiran kontemporer tentang keadilan, tidak sedikit pula kritik yang diarahkan padanya. Robert Nozick, misalnya, dalam bukunya </w:t>
      </w:r>
      <w:r w:rsidRPr="008A7B4C">
        <w:rPr>
          <w:i/>
          <w:iCs/>
        </w:rPr>
        <w:t>Anarchy, State, and Utopia</w:t>
      </w:r>
      <w:r w:rsidRPr="0066028A">
        <w:t xml:space="preserve"> (1974), mengkritik prinsip keadilan distributif Rawls dari perspektif libertarian. Menurut Nozick, </w:t>
      </w:r>
      <w:r w:rsidRPr="0066028A">
        <w:lastRenderedPageBreak/>
        <w:t>hak milik individu adalah hal yang mendasar dan tidak boleh dilanggar demi redistribusi yang adil. Di sisi lain, Amartya Sen berpendapat bahwa pendekatan Rawls terlalu fokus pada idealisasi institusional dan gagal menangkap kompleksitas realitas sosial yang penuh dengan ketimpangan dan kebutuhan pluralisme nilai</w:t>
      </w:r>
      <w:r w:rsidRPr="00A965D9">
        <w:t xml:space="preserve">. </w:t>
      </w:r>
      <w:r w:rsidRPr="008A7B4C">
        <w:rPr>
          <w:vertAlign w:val="superscript"/>
        </w:rPr>
        <w:footnoteReference w:id="41"/>
      </w:r>
    </w:p>
    <w:p w:rsidR="00536600" w:rsidRPr="0066028A" w:rsidRDefault="00536600" w:rsidP="00536600">
      <w:pPr>
        <w:pStyle w:val="BodyText"/>
        <w:tabs>
          <w:tab w:val="left" w:pos="1276"/>
        </w:tabs>
        <w:spacing w:before="241" w:line="360" w:lineRule="auto"/>
        <w:ind w:left="851" w:right="136" w:firstLine="425"/>
      </w:pPr>
      <w:r w:rsidRPr="0066028A">
        <w:t>Meskipun demikian, warisan pemikiran Rawls tetap kuat dalam wacana keadilan sosial dan politik kontemporer. Banyak diskusi tentang kebijakan publik, hak asasi manusia, dan desain sistem pemerintahan merujuk pada kerangka kerja Rawlsian. Dalam konteks negara-negara demokratis yang pluralistik, ide bahwa keadilan adalah hasil dari kesepakatan rasional antarindividu yang setara tetap menjadi dasar penting dalam membangun masyarakat yang inklusif dan beradab.</w:t>
      </w:r>
    </w:p>
    <w:p w:rsidR="00536600" w:rsidRPr="0066028A" w:rsidRDefault="00536600" w:rsidP="00536600">
      <w:pPr>
        <w:tabs>
          <w:tab w:val="left" w:pos="851"/>
        </w:tabs>
        <w:spacing w:before="139" w:after="0" w:line="360" w:lineRule="auto"/>
        <w:ind w:left="1276" w:right="142" w:hanging="850"/>
        <w:jc w:val="both"/>
        <w:rPr>
          <w:rFonts w:ascii="Times New Roman" w:hAnsi="Times New Roman" w:cs="Times New Roman"/>
          <w:lang w:val="en-US"/>
        </w:rPr>
      </w:pPr>
      <w:r>
        <w:rPr>
          <w:rFonts w:ascii="Times New Roman" w:hAnsi="Times New Roman" w:cs="Times New Roman"/>
          <w:b/>
          <w:bCs/>
        </w:rPr>
        <w:t xml:space="preserve">2. </w:t>
      </w:r>
      <w:r>
        <w:rPr>
          <w:rFonts w:ascii="Times New Roman" w:hAnsi="Times New Roman" w:cs="Times New Roman"/>
          <w:b/>
          <w:bCs/>
        </w:rPr>
        <w:tab/>
      </w:r>
      <w:r w:rsidRPr="0066028A">
        <w:rPr>
          <w:rFonts w:ascii="Times New Roman" w:hAnsi="Times New Roman" w:cs="Times New Roman"/>
          <w:b/>
          <w:bCs/>
        </w:rPr>
        <w:t>TeoriHukum Positif - Hans Kelsen</w:t>
      </w:r>
    </w:p>
    <w:p w:rsidR="00536600" w:rsidRPr="0066028A" w:rsidRDefault="00536600" w:rsidP="00536600">
      <w:pPr>
        <w:pStyle w:val="BodyText"/>
        <w:tabs>
          <w:tab w:val="left" w:pos="1276"/>
        </w:tabs>
        <w:spacing w:before="241" w:line="360" w:lineRule="auto"/>
        <w:ind w:left="851" w:right="136" w:firstLine="425"/>
      </w:pPr>
      <w:r w:rsidRPr="0066028A">
        <w:t xml:space="preserve">Hans Kelsen merupakan salah satu tokoh terpenting dalam tradisi positivisme hukum, yang pemikirannya sangat memengaruhi perkembangan ilmu hukum di abad ke-20. Melalui karya monumentalnya berjudul </w:t>
      </w:r>
      <w:r w:rsidRPr="00A965D9">
        <w:t xml:space="preserve">Reine Rechtslehre </w:t>
      </w:r>
      <w:r w:rsidRPr="0066028A">
        <w:t xml:space="preserve">atau </w:t>
      </w:r>
      <w:r w:rsidRPr="00022951">
        <w:rPr>
          <w:i/>
          <w:iCs/>
        </w:rPr>
        <w:t>Pure Theory of Law</w:t>
      </w:r>
      <w:r w:rsidRPr="0066028A">
        <w:t>, yang pertama kali diterbitkan pada tahun 1934, Kelsen berusaha membangun suatu teori hukum yang bersifat murni, yakni bebas dari campur tangan unsur-unsur non-juridis seperti politik, etika, dan sosiologi. Bagi Kelsen, hukum harus dipelajari dan dianalisisdalamkerangkayangobjektifdansistematis,tanpamengaitkannya dengan pertimbangan moral atau ideologi tertentu. Inilah yang menjadi inti dari apa yang ia sebut sebagai teori hukum murni.</w:t>
      </w:r>
    </w:p>
    <w:p w:rsidR="00536600" w:rsidRDefault="00536600" w:rsidP="00536600">
      <w:pPr>
        <w:pStyle w:val="BodyText"/>
        <w:tabs>
          <w:tab w:val="left" w:pos="1276"/>
        </w:tabs>
        <w:spacing w:before="241" w:line="360" w:lineRule="auto"/>
        <w:ind w:left="851" w:right="136" w:firstLine="425"/>
      </w:pPr>
      <w:r w:rsidRPr="0066028A">
        <w:t xml:space="preserve">Salah satu aspek paling mendasar dari teori hukum Kelsen adalah gagasannya tentang hukum sebagai sistem normatif yang tersusun secara hierarkis. Ia menolak pandangan bahwa hukum hanyalah cerminan dari kehendak penguasa atau ekspresi nilai moral. </w:t>
      </w:r>
      <w:r w:rsidRPr="0066028A">
        <w:lastRenderedPageBreak/>
        <w:t xml:space="preserve">Menurutnya, hukum adalah suatu sistem norma, di mana setiap norma memperoleh validitasnya dari norma yang lebih tinggi. Pola ini membentuk struktur bertingkat yang disebutnya sebagai </w:t>
      </w:r>
      <w:r w:rsidRPr="00A965D9">
        <w:t>Stufenbau</w:t>
      </w:r>
      <w:r w:rsidRPr="0066028A">
        <w:t>, atau bangunan bertingkat norma-norma hukum.</w:t>
      </w:r>
    </w:p>
    <w:p w:rsidR="00536600" w:rsidRPr="0066028A" w:rsidRDefault="00536600" w:rsidP="00536600">
      <w:pPr>
        <w:pStyle w:val="BodyText"/>
        <w:tabs>
          <w:tab w:val="left" w:pos="1276"/>
        </w:tabs>
        <w:spacing w:before="241" w:line="360" w:lineRule="auto"/>
        <w:ind w:left="851" w:right="136" w:firstLine="425"/>
      </w:pPr>
      <w:r w:rsidRPr="0066028A">
        <w:t>Dalamsistemini,normayangberadadipuncaktertinggi</w:t>
      </w:r>
      <w:r w:rsidRPr="00A965D9">
        <w:t xml:space="preserve"> disebut Grundnorm </w:t>
      </w:r>
      <w:r w:rsidRPr="0066028A">
        <w:t>atau norma dasar. Grundnorm bersifat hipotetik, artinya ia tidak ditetapkan melalui proses legislasi, melainkan diasumsikan sebagai dasar bagi keberlakuan seluruh norma hukum lainnya. Melalui konsep ini, Kelsen berusaha menjelaskan bagaimana norma-norma hukum memperoleh legitimasi secara formal tanpa harus bergantung pada nilai-nilai eksternal.</w:t>
      </w:r>
    </w:p>
    <w:p w:rsidR="00536600" w:rsidRPr="0066028A" w:rsidRDefault="00536600" w:rsidP="00536600">
      <w:pPr>
        <w:pStyle w:val="BodyText"/>
        <w:tabs>
          <w:tab w:val="left" w:pos="1276"/>
        </w:tabs>
        <w:spacing w:before="241" w:line="360" w:lineRule="auto"/>
        <w:ind w:left="851" w:right="136" w:firstLine="425"/>
      </w:pPr>
      <w:r w:rsidRPr="0066028A">
        <w:t>Konsep Grundnorm telah menjadi bagian yang sangat krusial dalam memahamistrukturhukumpositifmodern.DalamkonteksnegaraIndonesia, beberapa ahli hukum berpendapat bahwa Pancasila dapat dikonstruksikan sebagai</w:t>
      </w:r>
      <w:r w:rsidRPr="00022951">
        <w:t>Grundnorm</w:t>
      </w:r>
      <w:r w:rsidRPr="0066028A">
        <w:t>karenamenjadidasarideologisdannormatifdariseluruh sistem hukum nasional. Muhtadi (2011) misalnya, menjelaskan bahwa susunan norma hukum di Indonesia bersifat hierarkis, dimulai dari norma konkret dan individual hingga norma umum dan abstrak, dengan Pancasila sebagai cita hukum yang mendasari seluruh tatanan hukum nasional. Ini menunjukkan bagaimana teori Kelsen memiliki implikasi praktis dalam kerangka ketatanegaraan modern, di mana legalitas dan legitimasi hukum dikaitkan dengan kesesuaian terhadap norma dasar negara</w:t>
      </w:r>
      <w:r>
        <w:rPr>
          <w:lang w:val="en-US"/>
        </w:rPr>
        <w:t>.</w:t>
      </w:r>
      <w:r w:rsidRPr="0066028A">
        <w:rPr>
          <w:rStyle w:val="FootnoteReference"/>
        </w:rPr>
        <w:footnoteReference w:id="42"/>
      </w:r>
    </w:p>
    <w:p w:rsidR="00536600" w:rsidRPr="0066028A" w:rsidRDefault="00536600" w:rsidP="00536600">
      <w:pPr>
        <w:pStyle w:val="BodyText"/>
        <w:tabs>
          <w:tab w:val="left" w:pos="1276"/>
        </w:tabs>
        <w:spacing w:before="241" w:line="360" w:lineRule="auto"/>
        <w:ind w:left="851" w:right="136" w:firstLine="425"/>
        <w:rPr>
          <w:vertAlign w:val="superscript"/>
        </w:rPr>
      </w:pPr>
      <w:r w:rsidRPr="0066028A">
        <w:t xml:space="preserve">Salah satu karakteristik utama dari pendekatan Kelsen adalah pemisahan mutlak antara hukum dan moralitas. Ia menganggap bahwa </w:t>
      </w:r>
      <w:r w:rsidRPr="0066028A">
        <w:lastRenderedPageBreak/>
        <w:t>keberlakuan suatu norma hukum tidak ditentukan oleh kandungan nilai moralnya, melainkan oleh keberadaannya dalam sistem hukum yang valid. Pandangan ini sangat kontras dengan pendekatan hukum alam yang menganggap bahwa hukum tidak dapat dilepaskan dari prinsip-prinsip keadilan dan moral universal. Dalam pandangan Kelsen, keadilan adalah konsep yang bersifat subjektif dan tidak ilmiah karena berbeda-beda bagi setiap individu. Oleh karena itu, jika hukum ingin dipelajari secara ilmiah, maka ia harus dibersihkan dari unsur-unsur nilai yang tidak dapat diukur secara objektif</w:t>
      </w:r>
      <w:r w:rsidRPr="00D41D72">
        <w:t xml:space="preserve"> .</w:t>
      </w:r>
      <w:r w:rsidRPr="0066028A">
        <w:rPr>
          <w:rStyle w:val="FootnoteReference"/>
        </w:rPr>
        <w:footnoteReference w:id="43"/>
      </w:r>
    </w:p>
    <w:p w:rsidR="00536600" w:rsidRPr="0066028A" w:rsidRDefault="00536600" w:rsidP="00536600">
      <w:pPr>
        <w:pStyle w:val="BodyText"/>
        <w:tabs>
          <w:tab w:val="left" w:pos="1276"/>
        </w:tabs>
        <w:spacing w:before="241" w:line="360" w:lineRule="auto"/>
        <w:ind w:left="851" w:right="136" w:firstLine="425"/>
      </w:pPr>
      <w:r w:rsidRPr="0066028A">
        <w:t xml:space="preserve">Kendati demikian, teori hukum Kelsen juga menuai berbagai kritik, terutama karena sifatnya yang terlalu formalistik dan mengabaikan realitas sosial dari hukum. Sejumlah pemikir hukum menilai bahwa hukum tidak dapatdipisahkanbegitusajadarinilai-nilaisosial,politik,danbudaya.Dalam praktiknya,hukumtidakhanyaterdiriatasnorma-normayangtersusunsecara logis, tetapi juga dipengaruhi oleh konteks sosial tempat hukum itu dijalankan.KritikinidisampaikanantaralainolehAmartyaSendanpemikir- pemikir dari mazhab realisme hukum, yang berpendapat bahwa pemahaman tentang hukum harus mencakup dimensi empiris, termasuk perilaku hakim, lembaga penegak hukum, dan masyarakat yang terlibat dalam penerapan </w:t>
      </w:r>
      <w:r w:rsidRPr="0066028A">
        <w:rPr>
          <w:spacing w:val="-2"/>
        </w:rPr>
        <w:t>hukum.</w:t>
      </w:r>
    </w:p>
    <w:p w:rsidR="00536600" w:rsidRPr="00D41D72" w:rsidRDefault="00536600" w:rsidP="00536600">
      <w:pPr>
        <w:pStyle w:val="BodyText"/>
        <w:tabs>
          <w:tab w:val="left" w:pos="1276"/>
        </w:tabs>
        <w:spacing w:before="241" w:line="360" w:lineRule="auto"/>
        <w:ind w:left="851" w:right="136" w:firstLine="425"/>
      </w:pPr>
      <w:r w:rsidRPr="0066028A">
        <w:t xml:space="preserve">Di Indonesia sendiri, teori Kelsen sering dijadikan dasar dalam menjelaskan legalitas sistem perundang-undangan nasional. Hierarki norma hukumsebagaimanatertuangdalamUndang-UndangNomor12Tahun2011 tentang Pembentukan Peraturan Perundang-Undangan mencerminkan strukturberjenjangsebagaimanadiajarkanKelsen.Normahukumyanglebih rendah, seperti peraturan daerah atau peraturan menteri, memperoleh </w:t>
      </w:r>
      <w:r w:rsidRPr="0066028A">
        <w:lastRenderedPageBreak/>
        <w:t>validitasnya dari norma yang lebih tinggi, yakni undang-undang atau konstitusi.InimenegaskanbahwapemikiranKelsentetaprelevansebagaialat analisishukumpositifdalamkonteksnegarahukummodern,meskipundalam aplikasinya perlu dikritisi dan disesuaikan dengan konteks sosial yang ada</w:t>
      </w:r>
      <w:r w:rsidRPr="00D41D72">
        <w:t>.</w:t>
      </w:r>
      <w:r w:rsidRPr="0066028A">
        <w:rPr>
          <w:rStyle w:val="FootnoteReference"/>
        </w:rPr>
        <w:footnoteReference w:id="44"/>
      </w:r>
    </w:p>
    <w:p w:rsidR="00536600" w:rsidRDefault="00536600" w:rsidP="00536600">
      <w:pPr>
        <w:pStyle w:val="BodyText"/>
        <w:tabs>
          <w:tab w:val="left" w:pos="1276"/>
        </w:tabs>
        <w:spacing w:before="241" w:line="360" w:lineRule="auto"/>
        <w:ind w:left="851" w:right="136" w:firstLine="425"/>
      </w:pPr>
      <w:r w:rsidRPr="0066028A">
        <w:t>Dengan demikian, teori hukum Hans Kelsen, meskipun bersifat normatif dan formalistik, tetap memberikan kontribusi penting dalam membentuk dasar pemikiran hukum positif di banyak negara, termasuk Indonesia. Meskipun kritik terhadap pendekatan ini cukup kuat, terutama terkait dengan ketidakhadirannya atas aspek keadilan substantif dan kondisi sosial empiris, teori ini tetap menjadi fondasi utama dalam memahami legalitas hukum sebagai suatu sistem yang logis, rasional, dan terstruktur.</w:t>
      </w:r>
    </w:p>
    <w:p w:rsidR="00536600" w:rsidRDefault="00536600" w:rsidP="00536600">
      <w:pPr>
        <w:pStyle w:val="BodyText"/>
        <w:tabs>
          <w:tab w:val="left" w:pos="1276"/>
        </w:tabs>
        <w:spacing w:before="241" w:line="360" w:lineRule="auto"/>
        <w:ind w:left="851" w:right="136" w:firstLine="425"/>
      </w:pPr>
    </w:p>
    <w:p w:rsidR="00536600" w:rsidRPr="00F67595" w:rsidRDefault="00536600" w:rsidP="00536600">
      <w:pPr>
        <w:pStyle w:val="ListParagraph"/>
        <w:numPr>
          <w:ilvl w:val="0"/>
          <w:numId w:val="17"/>
        </w:numPr>
        <w:spacing w:before="139" w:after="0" w:line="360" w:lineRule="auto"/>
        <w:ind w:left="426" w:right="142"/>
        <w:jc w:val="both"/>
        <w:rPr>
          <w:rFonts w:ascii="Times New Roman" w:hAnsi="Times New Roman" w:cs="Times New Roman"/>
          <w:b/>
          <w:bCs/>
          <w:lang w:val="en-US"/>
        </w:rPr>
      </w:pPr>
      <w:r w:rsidRPr="00F67595">
        <w:rPr>
          <w:rFonts w:ascii="Times New Roman" w:eastAsia="Times New Roman" w:hAnsi="Times New Roman" w:cs="Times New Roman"/>
          <w:b/>
          <w:bCs/>
          <w:kern w:val="0"/>
          <w:lang w:eastAsia="en-US"/>
        </w:rPr>
        <w:t>Penelitian Terdahulu</w:t>
      </w:r>
    </w:p>
    <w:p w:rsidR="00536600" w:rsidRDefault="00536600" w:rsidP="00536600">
      <w:pPr>
        <w:pStyle w:val="ListParagraph"/>
        <w:widowControl w:val="0"/>
        <w:numPr>
          <w:ilvl w:val="0"/>
          <w:numId w:val="15"/>
        </w:numPr>
        <w:autoSpaceDE w:val="0"/>
        <w:autoSpaceDN w:val="0"/>
        <w:spacing w:before="139" w:after="0" w:line="360" w:lineRule="auto"/>
        <w:ind w:left="993" w:right="142" w:hanging="426"/>
        <w:contextualSpacing w:val="0"/>
        <w:jc w:val="both"/>
        <w:rPr>
          <w:rFonts w:ascii="Times New Roman" w:hAnsi="Times New Roman" w:cs="Times New Roman"/>
        </w:rPr>
      </w:pPr>
      <w:r w:rsidRPr="0066028A">
        <w:rPr>
          <w:rFonts w:ascii="Times New Roman" w:hAnsi="Times New Roman" w:cs="Times New Roman"/>
        </w:rPr>
        <w:t xml:space="preserve">Putri Ayu Lestari (2019) </w:t>
      </w:r>
      <w:r w:rsidRPr="0066028A">
        <w:rPr>
          <w:rFonts w:ascii="Times New Roman" w:hAnsi="Times New Roman" w:cs="Times New Roman"/>
          <w:i/>
        </w:rPr>
        <w:t xml:space="preserve">Peranan Kurator dalam Pengurusan dan Pemberesan HartaDebitorPailit Menurut Undang-UndangNomor37 Tahun 2004 Tentang Kepailitan dan Penundaan Kewajiban Pembayaran Utang (PKPU). </w:t>
      </w:r>
      <w:r w:rsidRPr="0066028A">
        <w:rPr>
          <w:rFonts w:ascii="Times New Roman" w:hAnsi="Times New Roman" w:cs="Times New Roman"/>
        </w:rPr>
        <w:t>Penelitian ini mengkaji peranan kurator dalam konteks tugas pengurusan dan pemberesan harta debitor yang telah dinyatakan pailit oleh Pengadilan Niaga. Fokus utamanya adalah implementasiPasal69ayat(1)yangmenyatakanbahwasetelahputusan pernyataan pailit diucapkan, kurator bersama hakim pengawas mengambil alih pengurusan dan pemberesan harta debitor. Lestari menyorotiprosespengurusan(pengumpulandanpencatatanharta</w:t>
      </w:r>
      <w:r>
        <w:rPr>
          <w:rFonts w:ascii="Times New Roman" w:eastAsia="Times New Roman" w:hAnsi="Times New Roman" w:cs="Times New Roman"/>
          <w:kern w:val="0"/>
          <w:lang w:val="en-US" w:eastAsia="en-US"/>
        </w:rPr>
        <w:t>debitur</w:t>
      </w:r>
      <w:r w:rsidRPr="0066028A">
        <w:rPr>
          <w:rFonts w:ascii="Times New Roman" w:hAnsi="Times New Roman" w:cs="Times New Roman"/>
        </w:rPr>
        <w:t xml:space="preserve">pailit) sertapemberesan(pembagiankepadaparakreditur)yangdilakukanoleh </w:t>
      </w:r>
      <w:r w:rsidRPr="0066028A">
        <w:rPr>
          <w:rFonts w:ascii="Times New Roman" w:hAnsi="Times New Roman" w:cs="Times New Roman"/>
        </w:rPr>
        <w:lastRenderedPageBreak/>
        <w:t>kurator. Hasilnya, kurator memiliki kedudukan strategis sebagai pelaksana teknis utama dalam proses kepailitan. Akan tetapi, dalam praktiknya, masih ditemukan hambatan seperti sulitnya memperoleh informasi harta debitor, perlawanan dari debitor, hingga kurangnya koordinasi antara kurator dan hakim pengawas. Penelitian ini merekomendasikan perlunya pembinaan profesionalisme kurator serta perbaikan sistem pelaporan dan pengawasan terhadap kerja kurator.</w:t>
      </w:r>
    </w:p>
    <w:p w:rsidR="00536600" w:rsidRPr="00022951" w:rsidRDefault="00536600" w:rsidP="00536600">
      <w:pPr>
        <w:pStyle w:val="ListParagraph"/>
        <w:widowControl w:val="0"/>
        <w:numPr>
          <w:ilvl w:val="0"/>
          <w:numId w:val="15"/>
        </w:numPr>
        <w:autoSpaceDE w:val="0"/>
        <w:autoSpaceDN w:val="0"/>
        <w:spacing w:before="139" w:after="0" w:line="360" w:lineRule="auto"/>
        <w:ind w:left="993" w:right="142" w:hanging="426"/>
        <w:contextualSpacing w:val="0"/>
        <w:jc w:val="both"/>
        <w:rPr>
          <w:rFonts w:ascii="Times New Roman" w:hAnsi="Times New Roman" w:cs="Times New Roman"/>
        </w:rPr>
      </w:pPr>
      <w:r w:rsidRPr="00022951">
        <w:rPr>
          <w:rFonts w:ascii="Times New Roman" w:hAnsi="Times New Roman" w:cs="Times New Roman"/>
        </w:rPr>
        <w:t>RizkyRamadhan(2020)</w:t>
      </w:r>
      <w:r w:rsidRPr="00022951">
        <w:rPr>
          <w:rFonts w:ascii="Times New Roman" w:hAnsi="Times New Roman" w:cs="Times New Roman"/>
          <w:i/>
        </w:rPr>
        <w:t xml:space="preserve">TanggungJawabKuratordalamPengelolaan Harta Pailit: Studi Kasus Putusan Pengadilan Niaga Jakarta Pusat Nomor 12/Pdt.Sus-Pailit/2018/PN.Niaga.Jkt.Pst. </w:t>
      </w:r>
      <w:r w:rsidRPr="00022951">
        <w:rPr>
          <w:rFonts w:ascii="Times New Roman" w:hAnsi="Times New Roman" w:cs="Times New Roman"/>
        </w:rPr>
        <w:t>Penelitian ini lebih terfokus pada aspek tanggung jawab hukum dari kurator apabila dalam pelaksanaan tugasnya terjadi pelanggaran atau kelalaian. Penulis menggunakan putusan perkara kepailitan sebagai studi kasus konkret untuk menilai bagaimana pertanggungjawaban kurator secara hukum ditegakkan. Pasal 69 ayat (1) menjadi pijakan awal, tetapi kemudian dikaji lebih lanjut melalui Pasal 72 dan Pasal 75 yang menyebutkan bahwakuratordapatdigugatjikamerugikanpihaklain.Hasilnya,</w:t>
      </w:r>
      <w:r w:rsidRPr="00022951">
        <w:rPr>
          <w:rFonts w:ascii="Times New Roman" w:hAnsi="Times New Roman" w:cs="Times New Roman"/>
          <w:spacing w:val="-2"/>
        </w:rPr>
        <w:t xml:space="preserve">dalam </w:t>
      </w:r>
      <w:r w:rsidRPr="00022951">
        <w:rPr>
          <w:rFonts w:ascii="Times New Roman" w:hAnsi="Times New Roman" w:cs="Times New Roman"/>
          <w:spacing w:val="-2"/>
          <w:lang/>
        </w:rPr>
        <w:t>praktik, kurator sering kali menghadapi dilema antara menyelesaikan pemberesan secara cepat dengan menjaga akurasi hukum. Ramadhan menemukan bahwa terdapat kasus di mana kurator justru bertindak gegabah dan merugikan kreditur konkuren. Studi ini menyimpulkan bahwa profesionalitas kurator harus ditingkatkan dan perlu ada mekanisme evaluasi independen terhadap kinerja kurator dalam setiap kasus pailit. Penelitian ini menekankan bahwa peran kurator bukan hanya administratif, tetapi juga sangat menentukan hasil akhir dari proses kepailitan.</w:t>
      </w:r>
    </w:p>
    <w:p w:rsidR="00536600" w:rsidRPr="00022951" w:rsidRDefault="00536600" w:rsidP="00536600">
      <w:pPr>
        <w:pStyle w:val="ListParagraph"/>
        <w:widowControl w:val="0"/>
        <w:numPr>
          <w:ilvl w:val="0"/>
          <w:numId w:val="15"/>
        </w:numPr>
        <w:autoSpaceDE w:val="0"/>
        <w:autoSpaceDN w:val="0"/>
        <w:spacing w:before="139" w:after="0" w:line="360" w:lineRule="auto"/>
        <w:ind w:left="993" w:right="142" w:hanging="426"/>
        <w:contextualSpacing w:val="0"/>
        <w:jc w:val="both"/>
        <w:rPr>
          <w:rFonts w:ascii="Times New Roman" w:hAnsi="Times New Roman" w:cs="Times New Roman"/>
        </w:rPr>
      </w:pPr>
      <w:r w:rsidRPr="00022951">
        <w:rPr>
          <w:rFonts w:ascii="Times New Roman" w:hAnsi="Times New Roman" w:cs="Times New Roman"/>
        </w:rPr>
        <w:t xml:space="preserve">Indah Maulida Sari (2021) </w:t>
      </w:r>
      <w:r w:rsidRPr="00022951">
        <w:rPr>
          <w:rFonts w:ascii="Times New Roman" w:hAnsi="Times New Roman" w:cs="Times New Roman"/>
          <w:i/>
        </w:rPr>
        <w:t xml:space="preserve">Analisis Yuridis Terhadap Peran Kurator dalam Penyelesaian Kepailitan Berdasarkan Undang-Undang Nomor37 Tahun 2004 Tentang Kepailitan dan PKPU. </w:t>
      </w:r>
      <w:r w:rsidRPr="00022951">
        <w:rPr>
          <w:rFonts w:ascii="Times New Roman" w:hAnsi="Times New Roman" w:cs="Times New Roman"/>
        </w:rPr>
        <w:t xml:space="preserve">Pnelitian ini </w:t>
      </w:r>
      <w:r w:rsidRPr="00022951">
        <w:rPr>
          <w:rFonts w:ascii="Times New Roman" w:hAnsi="Times New Roman" w:cs="Times New Roman"/>
        </w:rPr>
        <w:lastRenderedPageBreak/>
        <w:t>mengangkat perspektif normatif terhadap pelaksanaan tugas kurator dalam sistem kepailitan Indonesia. Sari menekankan pentingnya kejelasannormahukumdalampelaksanaanPasal69ayat(1),khususnya dalam hal pembagian tanggung jawab antara kurator dan hakim pengawas. Penelitian ini menelaah pula putusan-putusan Mahkamah Agung yang memberikan interpretasi terhadap kewenangan kurator, khususnya dalam konflik antara debitor dan kreditur selama proses pemberesanberlangsung.Hasilnya,ditemukanbahwaPasal69ayat(1) belum memiliki turunan teknis yang memadai sehingga menimbulkan celah multitafsir. Hal ini memicu terjadinya perselisihan antara kurator dan pihak-pihak dalam proses kepailitan. Penulis menyarankan adanya peraturanpelaksanaataupedomanMahkamahAgungyangsecaradetail mengatur tahapan kerja kurator dan bentuk pelaporannya. Selain itu, Sari juga menyoroti pentingnya etika profesi kurator dan perlunya pembinaan secara berkala oleh Kementerian Hukum dan HAM.</w:t>
      </w:r>
    </w:p>
    <w:p w:rsidR="00653891" w:rsidRPr="00536600" w:rsidRDefault="00653891" w:rsidP="00536600">
      <w:bookmarkStart w:id="0" w:name="_GoBack"/>
      <w:bookmarkEnd w:id="0"/>
    </w:p>
    <w:sectPr w:rsidR="00653891" w:rsidRPr="00536600" w:rsidSect="00B33DD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9A7" w:rsidRDefault="00B109A7" w:rsidP="00F77DA8">
      <w:pPr>
        <w:spacing w:after="0" w:line="240" w:lineRule="auto"/>
      </w:pPr>
      <w:r>
        <w:separator/>
      </w:r>
    </w:p>
  </w:endnote>
  <w:endnote w:type="continuationSeparator" w:id="1">
    <w:p w:rsidR="00B109A7" w:rsidRDefault="00B109A7" w:rsidP="00F77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B109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B109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FA" w:rsidRDefault="00B109A7" w:rsidP="00820F02">
    <w:pPr>
      <w:pStyle w:val="Footer"/>
      <w:jc w:val="center"/>
    </w:pPr>
  </w:p>
  <w:p w:rsidR="000A00FA" w:rsidRDefault="00B109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9A7" w:rsidRDefault="00B109A7" w:rsidP="00F77DA8">
      <w:pPr>
        <w:spacing w:after="0" w:line="240" w:lineRule="auto"/>
      </w:pPr>
      <w:r>
        <w:separator/>
      </w:r>
    </w:p>
  </w:footnote>
  <w:footnote w:type="continuationSeparator" w:id="1">
    <w:p w:rsidR="00B109A7" w:rsidRDefault="00B109A7" w:rsidP="00F77DA8">
      <w:pPr>
        <w:spacing w:after="0" w:line="240" w:lineRule="auto"/>
      </w:pPr>
      <w:r>
        <w:continuationSeparator/>
      </w:r>
    </w:p>
  </w:footnote>
  <w:footnote w:id="2">
    <w:p w:rsidR="00536600" w:rsidRPr="00F822DA" w:rsidRDefault="00536600" w:rsidP="00536600">
      <w:pPr>
        <w:pStyle w:val="FootnoteText"/>
      </w:pPr>
      <w:r>
        <w:rPr>
          <w:rStyle w:val="FootnoteReference"/>
        </w:rPr>
        <w:footnoteRef/>
      </w:r>
      <w:r w:rsidRPr="00F822DA">
        <w:rPr>
          <w:lang w:val="id-ID"/>
        </w:rPr>
        <w:t xml:space="preserve">Sutan Remy Sjahdeini, </w:t>
      </w:r>
      <w:r w:rsidRPr="00F822DA">
        <w:rPr>
          <w:i/>
          <w:iCs/>
          <w:lang w:val="id-ID"/>
        </w:rPr>
        <w:t>Hukum Kepailitan: Memahami Prinsip-prinsip Dasar dan Aplikasinya dalam Praktik</w:t>
      </w:r>
      <w:r w:rsidRPr="00F822DA">
        <w:rPr>
          <w:lang w:val="id-ID"/>
        </w:rPr>
        <w:t xml:space="preserve"> (Jakarta: Pustaka Utama Grafiti, 2002), hlm. 45.</w:t>
      </w:r>
    </w:p>
  </w:footnote>
  <w:footnote w:id="3">
    <w:p w:rsidR="00536600" w:rsidRPr="00F822DA" w:rsidRDefault="00536600" w:rsidP="00536600">
      <w:pPr>
        <w:pStyle w:val="FootnoteText"/>
      </w:pPr>
      <w:r>
        <w:rPr>
          <w:rStyle w:val="FootnoteReference"/>
        </w:rPr>
        <w:footnoteRef/>
      </w:r>
      <w:r w:rsidRPr="00F822DA">
        <w:rPr>
          <w:lang w:val="id-ID"/>
        </w:rPr>
        <w:t xml:space="preserve">Ridwan Usman, </w:t>
      </w:r>
      <w:r w:rsidRPr="00F822DA">
        <w:rPr>
          <w:i/>
          <w:iCs/>
          <w:lang w:val="id-ID"/>
        </w:rPr>
        <w:t>Hukum Kepailitan</w:t>
      </w:r>
      <w:r w:rsidRPr="00F822DA">
        <w:rPr>
          <w:lang w:val="id-ID"/>
        </w:rPr>
        <w:t xml:space="preserve"> (Jakarta: Sinar Grafika, 2004), hlm. 87</w:t>
      </w:r>
    </w:p>
  </w:footnote>
  <w:footnote w:id="4">
    <w:p w:rsidR="00536600" w:rsidRPr="00F74274" w:rsidRDefault="00536600" w:rsidP="00536600">
      <w:pPr>
        <w:pStyle w:val="FootnoteText"/>
        <w:rPr>
          <w:lang w:val="id-ID"/>
        </w:rPr>
      </w:pPr>
      <w:r>
        <w:rPr>
          <w:rStyle w:val="FootnoteReference"/>
        </w:rPr>
        <w:footnoteRef/>
      </w:r>
      <w:r>
        <w:t>Tri Reni Novita &amp; M. Faisal Husna, Analisis Model Kewenangan Kurator dalam Mengurus dan Membereskan Harta Debitor Pailit, Prosiding Seminar Nasional &amp; Expo II Hasil Penelitian dan Pengabdian Masyarakat 2019, hlm. 1649.</w:t>
      </w:r>
    </w:p>
  </w:footnote>
  <w:footnote w:id="5">
    <w:p w:rsidR="00536600" w:rsidRPr="00CF6049" w:rsidRDefault="00536600" w:rsidP="00536600">
      <w:pPr>
        <w:pStyle w:val="FootnoteText"/>
        <w:rPr>
          <w:lang w:val="id-ID"/>
        </w:rPr>
      </w:pPr>
      <w:r>
        <w:rPr>
          <w:rStyle w:val="FootnoteReference"/>
        </w:rPr>
        <w:footnoteRef/>
      </w:r>
      <w:r>
        <w:rPr>
          <w:lang w:val="id-ID"/>
        </w:rPr>
        <w:t>Tri Reni Novita &amp; M. Faisal Husna, Analisis Model Kewenangan Kurator dalam Mengurus dan Membereskan Harta Debitor Pailit, Prosiding Seminar Nasional &amp; Expo II Hasil Penelitian dan Pengabdian Masyarakat 2019, hlm. 1646.</w:t>
      </w:r>
    </w:p>
  </w:footnote>
  <w:footnote w:id="6">
    <w:p w:rsidR="00536600" w:rsidRPr="00E271E7" w:rsidRDefault="00536600" w:rsidP="00536600">
      <w:pPr>
        <w:pStyle w:val="FootnoteText"/>
      </w:pPr>
      <w:r>
        <w:rPr>
          <w:rStyle w:val="FootnoteReference"/>
        </w:rPr>
        <w:footnoteRef/>
      </w:r>
      <w:r w:rsidRPr="00E271E7">
        <w:rPr>
          <w:lang w:val="id-ID"/>
        </w:rPr>
        <w:t>Muhammad Fauzan, Hukum Kepailitan dalam Teori dan Praktik di Indonesia, (Jakarta: Prenada Media, 2010), hlm. 143</w:t>
      </w:r>
    </w:p>
  </w:footnote>
  <w:footnote w:id="7">
    <w:p w:rsidR="00536600" w:rsidRPr="00E271E7" w:rsidRDefault="00536600" w:rsidP="00536600">
      <w:pPr>
        <w:pStyle w:val="FootnoteText"/>
      </w:pPr>
      <w:r>
        <w:rPr>
          <w:rStyle w:val="FootnoteReference"/>
        </w:rPr>
        <w:footnoteRef/>
      </w:r>
      <w:r w:rsidRPr="00E271E7">
        <w:t>Yuliana T. Munthe, “Peran Kurator dalam Menjamin Keadilan Bagi Kreditur dan Debitur dalam Kepailitan,” Jurnal Hukum dan Bisnis, Vol. 5, No. 2 (2021): 89.</w:t>
      </w:r>
    </w:p>
    <w:p w:rsidR="00536600" w:rsidRPr="00E271E7" w:rsidRDefault="00536600" w:rsidP="00536600">
      <w:pPr>
        <w:pStyle w:val="FootnoteText"/>
      </w:pPr>
    </w:p>
  </w:footnote>
  <w:footnote w:id="8">
    <w:p w:rsidR="00536600" w:rsidRPr="00E271E7" w:rsidRDefault="00536600" w:rsidP="00536600">
      <w:pPr>
        <w:pStyle w:val="FootnoteText"/>
      </w:pPr>
      <w:r>
        <w:rPr>
          <w:rStyle w:val="FootnoteReference"/>
        </w:rPr>
        <w:footnoteRef/>
      </w:r>
      <w:r w:rsidRPr="00E271E7">
        <w:t xml:space="preserve">Rachmadi Usman, </w:t>
      </w:r>
      <w:r w:rsidRPr="00E271E7">
        <w:rPr>
          <w:i/>
        </w:rPr>
        <w:t xml:space="preserve">Hukum Kepailitan: Teori dan Praktik, </w:t>
      </w:r>
      <w:r w:rsidRPr="00E271E7">
        <w:t>(Jakarta: Sinar Grafika, 2014), hlm. 127.</w:t>
      </w:r>
    </w:p>
  </w:footnote>
  <w:footnote w:id="9">
    <w:p w:rsidR="00536600" w:rsidRDefault="00536600" w:rsidP="00536600">
      <w:pPr>
        <w:pStyle w:val="FootnoteText"/>
      </w:pPr>
      <w:r>
        <w:rPr>
          <w:rStyle w:val="FootnoteReference"/>
        </w:rPr>
        <w:footnoteRef/>
      </w:r>
      <w:r>
        <w:t>Yahya Harahap, Hukum Kepailitan, Edisi Revisi, (Jakarta: Sinar Grafika, 2007), hlm.</w:t>
      </w:r>
    </w:p>
    <w:p w:rsidR="00536600" w:rsidRPr="00E271E7" w:rsidRDefault="00536600" w:rsidP="00536600">
      <w:pPr>
        <w:pStyle w:val="FootnoteText"/>
      </w:pPr>
      <w:r>
        <w:t>95.</w:t>
      </w:r>
    </w:p>
  </w:footnote>
  <w:footnote w:id="10">
    <w:p w:rsidR="00536600" w:rsidRPr="00290BB7" w:rsidRDefault="00536600" w:rsidP="00536600">
      <w:pPr>
        <w:pStyle w:val="FootnoteText"/>
        <w:rPr>
          <w:lang w:val="id-ID"/>
        </w:rPr>
      </w:pPr>
      <w:r>
        <w:rPr>
          <w:rStyle w:val="FootnoteReference"/>
        </w:rPr>
        <w:footnoteRef/>
      </w:r>
      <w:r>
        <w:t>Sutan Remy Sjahdeini, Reformasi Hukum Kepailitan di Indonesia, (Jakarta: Pustaka Utama Grafiti, 2002), hlm. 107.</w:t>
      </w:r>
    </w:p>
  </w:footnote>
  <w:footnote w:id="11">
    <w:p w:rsidR="00536600" w:rsidRPr="004E6671" w:rsidRDefault="00536600" w:rsidP="00536600">
      <w:pPr>
        <w:pStyle w:val="FootnoteText"/>
      </w:pPr>
      <w:r>
        <w:rPr>
          <w:rStyle w:val="FootnoteReference"/>
        </w:rPr>
        <w:footnoteRef/>
      </w:r>
      <w:r>
        <w:t>George R. Terry, Principles of Management, (Jakarta: Bumi Aksara, 2006), hlm. 5.</w:t>
      </w:r>
    </w:p>
  </w:footnote>
  <w:footnote w:id="12">
    <w:p w:rsidR="00536600" w:rsidRPr="004E6671" w:rsidRDefault="00536600" w:rsidP="00536600">
      <w:pPr>
        <w:pStyle w:val="FootnoteText"/>
        <w:rPr>
          <w:lang w:val="id-ID"/>
        </w:rPr>
      </w:pPr>
      <w:r>
        <w:rPr>
          <w:rStyle w:val="FootnoteReference"/>
        </w:rPr>
        <w:footnoteRef/>
      </w:r>
      <w:r>
        <w:t>Hiroyuki Hirano, 5 Pillars of the Visual Workplace: The Sourcebook for 5S Implementation, (Portland: Productivity Press, 1995), hlm. 21-23.</w:t>
      </w:r>
    </w:p>
  </w:footnote>
  <w:footnote w:id="13">
    <w:p w:rsidR="00536600" w:rsidRPr="00E271E7" w:rsidRDefault="00536600" w:rsidP="00536600">
      <w:pPr>
        <w:pStyle w:val="FootnoteText"/>
      </w:pPr>
      <w:r>
        <w:rPr>
          <w:rStyle w:val="FootnoteReference"/>
        </w:rPr>
        <w:footnoteRef/>
      </w:r>
      <w:r>
        <w:t xml:space="preserve">Wahyuni, Sri. “Penerapan Fungsi Manajemen dalam Lembaga Pendidikan Islam.” Jurnal </w:t>
      </w:r>
      <w:r>
        <w:rPr>
          <w:lang w:val="id-ID"/>
        </w:rPr>
        <w:t>Administrasi Pendidikan, vol. 28, no. 2 (2021): 107.</w:t>
      </w:r>
    </w:p>
  </w:footnote>
  <w:footnote w:id="14">
    <w:p w:rsidR="00536600" w:rsidRPr="007A500E" w:rsidRDefault="00536600" w:rsidP="00536600">
      <w:pPr>
        <w:pStyle w:val="FootnoteText"/>
        <w:rPr>
          <w:lang w:val="id-ID"/>
        </w:rPr>
      </w:pPr>
      <w:r>
        <w:rPr>
          <w:rStyle w:val="FootnoteReference"/>
        </w:rPr>
        <w:footnoteRef/>
      </w:r>
      <w:r>
        <w:t>ISO 9001:2015 Quality Management Systems – Requirements, International Organization for Standardization.</w:t>
      </w:r>
    </w:p>
  </w:footnote>
  <w:footnote w:id="15">
    <w:p w:rsidR="00536600" w:rsidRPr="00E271E7" w:rsidRDefault="00536600" w:rsidP="00536600">
      <w:pPr>
        <w:pStyle w:val="FootnoteText"/>
      </w:pPr>
      <w:r>
        <w:rPr>
          <w:rStyle w:val="FootnoteReference"/>
        </w:rPr>
        <w:footnoteRef/>
      </w:r>
      <w:r>
        <w:t>Subekti, Pokok-Pokok Hukum Perdata, (Jakarta: Intermasa, 2008), hlm. 145.</w:t>
      </w:r>
    </w:p>
  </w:footnote>
  <w:footnote w:id="16">
    <w:p w:rsidR="00536600" w:rsidRPr="00210919" w:rsidRDefault="00536600" w:rsidP="00536600">
      <w:pPr>
        <w:pStyle w:val="FootnoteText"/>
      </w:pPr>
      <w:r>
        <w:rPr>
          <w:rStyle w:val="FootnoteReference"/>
        </w:rPr>
        <w:footnoteRef/>
      </w:r>
      <w:r>
        <w:t>Yahya Harahap, Hukum Acara Perdata tentang Gugatan, Persidangan, Penyitaan, Pembuktian, dan Putusan Pengadilan, (Jakarta: Sinar Grafika, 2015), hlm. 402.</w:t>
      </w:r>
    </w:p>
  </w:footnote>
  <w:footnote w:id="17">
    <w:p w:rsidR="00536600" w:rsidRPr="004709A8" w:rsidRDefault="00536600" w:rsidP="00536600">
      <w:pPr>
        <w:pStyle w:val="FootnoteText"/>
        <w:rPr>
          <w:lang w:val="id-ID"/>
        </w:rPr>
      </w:pPr>
      <w:r>
        <w:rPr>
          <w:rStyle w:val="FootnoteReference"/>
        </w:rPr>
        <w:footnoteRef/>
      </w:r>
      <w:r>
        <w:t xml:space="preserve">Sari, Dwi R. &amp; Hadi, Rinaldi. </w:t>
      </w:r>
      <w:r w:rsidRPr="00BC6321">
        <w:rPr>
          <w:i/>
          <w:iCs/>
        </w:rPr>
        <w:t>“Peranan Hakim Pengawas dalam Mengawasi Kurator Pada Proses Kepailitan di Pengadilan Niaga</w:t>
      </w:r>
      <w:r>
        <w:t>.” Jurnal Hukum Lex Renaissance, vol. 5, no. 1 (2020): 77.</w:t>
      </w:r>
    </w:p>
  </w:footnote>
  <w:footnote w:id="18">
    <w:p w:rsidR="00536600" w:rsidRPr="00E271E7" w:rsidRDefault="00536600" w:rsidP="00536600">
      <w:pPr>
        <w:pStyle w:val="FootnoteText"/>
      </w:pPr>
      <w:r>
        <w:rPr>
          <w:rStyle w:val="FootnoteReference"/>
        </w:rPr>
        <w:footnoteRef/>
      </w:r>
      <w:r w:rsidRPr="00E271E7">
        <w:rPr>
          <w:lang w:val="id-ID"/>
        </w:rPr>
        <w:t xml:space="preserve">Satjipto Rahardjo, </w:t>
      </w:r>
      <w:r w:rsidRPr="00E271E7">
        <w:rPr>
          <w:i/>
          <w:lang w:val="id-ID"/>
        </w:rPr>
        <w:t>Ilmu Hukum</w:t>
      </w:r>
      <w:r w:rsidRPr="00E271E7">
        <w:rPr>
          <w:lang w:val="id-ID"/>
        </w:rPr>
        <w:t>, (Bandung: Citra Aditya Bakti, 2006), hlm. 120</w:t>
      </w:r>
    </w:p>
  </w:footnote>
  <w:footnote w:id="19">
    <w:p w:rsidR="00536600" w:rsidRPr="00BA3E5C" w:rsidRDefault="00536600" w:rsidP="00536600">
      <w:pPr>
        <w:pStyle w:val="FootnoteText"/>
      </w:pPr>
      <w:r>
        <w:rPr>
          <w:rStyle w:val="FootnoteReference"/>
        </w:rPr>
        <w:footnoteRef/>
      </w:r>
      <w:r w:rsidRPr="00BA3E5C">
        <w:t xml:space="preserve">Gustav Radbruch, </w:t>
      </w:r>
      <w:r w:rsidRPr="00BA3E5C">
        <w:rPr>
          <w:i/>
        </w:rPr>
        <w:t xml:space="preserve">Legal Philosophy, </w:t>
      </w:r>
      <w:r w:rsidRPr="00BA3E5C">
        <w:t>diterjemahkan oleh Kurt Wilk, (Oxford: Oxford University Press, 1950), hlm. 55.</w:t>
      </w:r>
    </w:p>
  </w:footnote>
  <w:footnote w:id="20">
    <w:p w:rsidR="00536600" w:rsidRPr="00BA3E5C" w:rsidRDefault="00536600" w:rsidP="00536600">
      <w:pPr>
        <w:pStyle w:val="FootnoteText"/>
      </w:pPr>
      <w:r>
        <w:rPr>
          <w:rStyle w:val="FootnoteReference"/>
        </w:rPr>
        <w:footnoteRef/>
      </w:r>
      <w:r w:rsidRPr="00BA3E5C">
        <w:t>Hernadi, Yudhistira. “Interpretasi Hukum dalam Praktik Peradilan di Indonesia: Analisis</w:t>
      </w:r>
    </w:p>
    <w:p w:rsidR="00536600" w:rsidRPr="00BA3E5C" w:rsidRDefault="00536600" w:rsidP="00536600">
      <w:pPr>
        <w:pStyle w:val="FootnoteText"/>
      </w:pPr>
      <w:r w:rsidRPr="00BA3E5C">
        <w:rPr>
          <w:lang w:val="id-ID"/>
        </w:rPr>
        <w:t xml:space="preserve">Pendekatan Normatif.” </w:t>
      </w:r>
      <w:r w:rsidRPr="00BA3E5C">
        <w:rPr>
          <w:i/>
          <w:lang w:val="id-ID"/>
        </w:rPr>
        <w:t>Jurnal Hukum dan Peradilan</w:t>
      </w:r>
      <w:r w:rsidRPr="00BA3E5C">
        <w:rPr>
          <w:lang w:val="id-ID"/>
        </w:rPr>
        <w:t>, vol. 9, no. 3 (2020): 315</w:t>
      </w:r>
    </w:p>
  </w:footnote>
  <w:footnote w:id="21">
    <w:p w:rsidR="00536600" w:rsidRPr="005A6656" w:rsidRDefault="00536600" w:rsidP="00536600">
      <w:pPr>
        <w:pStyle w:val="FootnoteText"/>
      </w:pPr>
      <w:r>
        <w:rPr>
          <w:rStyle w:val="FootnoteReference"/>
        </w:rPr>
        <w:footnoteRef/>
      </w:r>
      <w:r w:rsidRPr="005A6656">
        <w:t xml:space="preserve">David T. Caplovitz, </w:t>
      </w:r>
      <w:r w:rsidRPr="005A6656">
        <w:rPr>
          <w:i/>
        </w:rPr>
        <w:t xml:space="preserve">Bankruptcy and Economic Justice: Toward a Unified Theory of Debtor Relief, </w:t>
      </w:r>
      <w:r w:rsidRPr="005A6656">
        <w:t>(New York: Free Press, 1974), hlm. 41.</w:t>
      </w:r>
    </w:p>
  </w:footnote>
  <w:footnote w:id="22">
    <w:p w:rsidR="00536600" w:rsidRPr="005A6656" w:rsidRDefault="00536600" w:rsidP="00536600">
      <w:pPr>
        <w:pStyle w:val="FootnoteText"/>
        <w:rPr>
          <w:lang w:val="id-ID"/>
        </w:rPr>
      </w:pPr>
      <w:r>
        <w:rPr>
          <w:rStyle w:val="FootnoteReference"/>
        </w:rPr>
        <w:footnoteRef/>
      </w:r>
      <w:r w:rsidRPr="005A6656">
        <w:t xml:space="preserve">Yahya Harahap, </w:t>
      </w:r>
      <w:r w:rsidRPr="005A6656">
        <w:rPr>
          <w:i/>
        </w:rPr>
        <w:t>Hukum Kepailitan</w:t>
      </w:r>
      <w:r w:rsidRPr="005A6656">
        <w:t>, Edisi Revisi, (Jakarta: Sinar Grafika, 2007), hlm.</w:t>
      </w:r>
      <w:r>
        <w:rPr>
          <w:lang w:val="id-ID"/>
        </w:rPr>
        <w:t>8-9.</w:t>
      </w:r>
    </w:p>
    <w:p w:rsidR="00536600" w:rsidRPr="005A6656" w:rsidRDefault="00536600" w:rsidP="00536600">
      <w:pPr>
        <w:pStyle w:val="FootnoteText"/>
      </w:pPr>
    </w:p>
    <w:p w:rsidR="00536600" w:rsidRPr="005A6656" w:rsidRDefault="00536600" w:rsidP="00536600">
      <w:pPr>
        <w:pStyle w:val="FootnoteText"/>
      </w:pPr>
    </w:p>
  </w:footnote>
  <w:footnote w:id="23">
    <w:p w:rsidR="00536600" w:rsidRPr="009158E2" w:rsidRDefault="00536600" w:rsidP="00536600">
      <w:pPr>
        <w:pStyle w:val="FootnoteText"/>
      </w:pPr>
      <w:r>
        <w:rPr>
          <w:rStyle w:val="FootnoteReference"/>
        </w:rPr>
        <w:footnoteRef/>
      </w:r>
      <w:r w:rsidRPr="009158E2">
        <w:t xml:space="preserve">Rachmadi Usman, </w:t>
      </w:r>
      <w:r w:rsidRPr="009158E2">
        <w:rPr>
          <w:i/>
        </w:rPr>
        <w:t>Hukum Kepailitan: Teori dan Praktik</w:t>
      </w:r>
      <w:r w:rsidRPr="009158E2">
        <w:t>, (Jakarta: Sinar Grafika, 2014),</w:t>
      </w:r>
    </w:p>
    <w:p w:rsidR="00536600" w:rsidRPr="009158E2" w:rsidRDefault="00536600" w:rsidP="00536600">
      <w:pPr>
        <w:pStyle w:val="FootnoteText"/>
      </w:pPr>
      <w:r w:rsidRPr="009158E2">
        <w:t>hlm. 12.</w:t>
      </w:r>
    </w:p>
  </w:footnote>
  <w:footnote w:id="24">
    <w:p w:rsidR="00536600" w:rsidRPr="0031357F" w:rsidRDefault="00536600" w:rsidP="00536600">
      <w:pPr>
        <w:pStyle w:val="FootnoteText"/>
      </w:pPr>
      <w:r>
        <w:rPr>
          <w:rStyle w:val="FootnoteReference"/>
        </w:rPr>
        <w:footnoteRef/>
      </w:r>
      <w:r w:rsidRPr="0031357F">
        <w:t xml:space="preserve">Thomas H. Jackson, </w:t>
      </w:r>
      <w:r w:rsidRPr="0031357F">
        <w:rPr>
          <w:i/>
        </w:rPr>
        <w:t>The Logic and Limits of Bankruptcy Law</w:t>
      </w:r>
      <w:r w:rsidRPr="0031357F">
        <w:t>, (Cambridge: Harvard University Press, 1986), hlm. 7.</w:t>
      </w:r>
    </w:p>
  </w:footnote>
  <w:footnote w:id="25">
    <w:p w:rsidR="00536600" w:rsidRPr="0031357F" w:rsidRDefault="00536600" w:rsidP="00536600">
      <w:pPr>
        <w:pStyle w:val="FootnoteText"/>
      </w:pPr>
      <w:r>
        <w:rPr>
          <w:rStyle w:val="FootnoteReference"/>
        </w:rPr>
        <w:footnoteRef/>
      </w:r>
      <w:r>
        <w:t>Yahya Harahap, Hukum Kepailitan, Edisi Revisi, (Jakarta: Sinar Grafika, 2007), hlm.19.</w:t>
      </w:r>
      <w:r>
        <w:tab/>
      </w:r>
    </w:p>
  </w:footnote>
  <w:footnote w:id="26">
    <w:p w:rsidR="00536600" w:rsidRPr="0031357F" w:rsidRDefault="00536600" w:rsidP="00536600">
      <w:pPr>
        <w:pStyle w:val="FootnoteText"/>
      </w:pPr>
      <w:r>
        <w:rPr>
          <w:rStyle w:val="FootnoteReference"/>
        </w:rPr>
        <w:footnoteRef/>
      </w:r>
      <w:r w:rsidRPr="0031357F">
        <w:t>Sutan Remy Sjahdeini, Reformasi Hukum Kepailitan di Indonesia, (Jakarta: Pustaka Utama Grafiti, 2002), hlm. 55.</w:t>
      </w:r>
    </w:p>
  </w:footnote>
  <w:footnote w:id="27">
    <w:p w:rsidR="00536600" w:rsidRPr="0031357F" w:rsidRDefault="00536600" w:rsidP="00536600">
      <w:pPr>
        <w:pStyle w:val="FootnoteText"/>
      </w:pPr>
      <w:r>
        <w:rPr>
          <w:rStyle w:val="FootnoteReference"/>
        </w:rPr>
        <w:footnoteRef/>
      </w:r>
      <w:r w:rsidRPr="0031357F">
        <w:t xml:space="preserve">Rachmadi Usman, </w:t>
      </w:r>
      <w:r w:rsidRPr="0031357F">
        <w:rPr>
          <w:i/>
        </w:rPr>
        <w:t>Hukum Kepailitan: Teori dan Praktik</w:t>
      </w:r>
      <w:r w:rsidRPr="0031357F">
        <w:t>, (Jakarta: Sinar Grafika, 2014),</w:t>
      </w:r>
    </w:p>
    <w:p w:rsidR="00536600" w:rsidRPr="0031357F" w:rsidRDefault="00536600" w:rsidP="00536600">
      <w:pPr>
        <w:pStyle w:val="FootnoteText"/>
      </w:pPr>
      <w:r w:rsidRPr="0031357F">
        <w:t>hlm. 42.</w:t>
      </w:r>
    </w:p>
  </w:footnote>
  <w:footnote w:id="28">
    <w:p w:rsidR="00536600" w:rsidRDefault="00536600" w:rsidP="00536600">
      <w:pPr>
        <w:pStyle w:val="FootnoteText"/>
      </w:pPr>
      <w:r>
        <w:rPr>
          <w:rStyle w:val="FootnoteReference"/>
        </w:rPr>
        <w:footnoteRef/>
      </w:r>
      <w:r>
        <w:t>Yahya Harahap, Hukum Kepailitan, Edisi Revisi, (Jakarta: Sinar Grafika, 2007), hlm.</w:t>
      </w:r>
    </w:p>
    <w:p w:rsidR="00536600" w:rsidRPr="0031357F" w:rsidRDefault="00536600" w:rsidP="00536600">
      <w:pPr>
        <w:pStyle w:val="FootnoteText"/>
      </w:pPr>
      <w:r>
        <w:t>45.</w:t>
      </w:r>
    </w:p>
  </w:footnote>
  <w:footnote w:id="29">
    <w:p w:rsidR="00536600" w:rsidRPr="00E0002C" w:rsidRDefault="00536600" w:rsidP="00536600">
      <w:pPr>
        <w:pStyle w:val="FootnoteText"/>
      </w:pPr>
      <w:r>
        <w:rPr>
          <w:rStyle w:val="FootnoteReference"/>
        </w:rPr>
        <w:footnoteRef/>
      </w:r>
      <w:r w:rsidRPr="00E0002C">
        <w:rPr>
          <w:lang w:val="id-ID"/>
        </w:rPr>
        <w:t>Undang-Undang Nomor 37 Tahun 2004 tentang Kepailitan dan PKPU, Lembaran Negara Republik Indonesia Tahun 2004 Nomor 131, Tambahan Lembaran Negara Nomor 4443, Pasal 222 ayat (2), hlm. 50.</w:t>
      </w:r>
    </w:p>
  </w:footnote>
  <w:footnote w:id="30">
    <w:p w:rsidR="00536600" w:rsidRPr="00E0002C" w:rsidRDefault="00536600" w:rsidP="00536600">
      <w:pPr>
        <w:pStyle w:val="FootnoteText"/>
      </w:pPr>
      <w:r>
        <w:rPr>
          <w:rStyle w:val="FootnoteReference"/>
        </w:rPr>
        <w:footnoteRef/>
      </w:r>
      <w:r w:rsidRPr="00E0002C">
        <w:rPr>
          <w:lang w:val="id-ID"/>
        </w:rPr>
        <w:t xml:space="preserve">Ridwan Khairandy, </w:t>
      </w:r>
      <w:r w:rsidRPr="00E0002C">
        <w:rPr>
          <w:i/>
          <w:iCs/>
          <w:lang w:val="id-ID"/>
        </w:rPr>
        <w:t>Hukum Kepailitan: Teori, Praktik dan Perkembangan di Indonesia</w:t>
      </w:r>
      <w:r w:rsidRPr="00E0002C">
        <w:rPr>
          <w:lang w:val="id-ID"/>
        </w:rPr>
        <w:t xml:space="preserve"> (Yogyakarta: FH UII Press, 2021), hlm. 275</w:t>
      </w:r>
    </w:p>
  </w:footnote>
  <w:footnote w:id="31">
    <w:p w:rsidR="00536600" w:rsidRPr="00E0002C" w:rsidRDefault="00536600" w:rsidP="00536600">
      <w:pPr>
        <w:pStyle w:val="FootnoteText"/>
      </w:pPr>
      <w:r>
        <w:rPr>
          <w:rStyle w:val="FootnoteReference"/>
        </w:rPr>
        <w:footnoteRef/>
      </w:r>
      <w:r w:rsidRPr="00E0002C">
        <w:rPr>
          <w:lang w:val="id-ID"/>
        </w:rPr>
        <w:t xml:space="preserve">Imam Sjahputra, </w:t>
      </w:r>
      <w:r w:rsidRPr="00E0002C">
        <w:rPr>
          <w:i/>
          <w:iCs/>
          <w:lang w:val="id-ID"/>
        </w:rPr>
        <w:t>Hukum Kepailitan dan Penundaan Kewajiban Pembayaran Utang di Indonesia</w:t>
      </w:r>
      <w:r w:rsidRPr="00E0002C">
        <w:rPr>
          <w:lang w:val="id-ID"/>
        </w:rPr>
        <w:t xml:space="preserve"> (Bandung: Refika Aditama, 2019), hlm. 130</w:t>
      </w:r>
    </w:p>
  </w:footnote>
  <w:footnote w:id="32">
    <w:p w:rsidR="00536600" w:rsidRPr="00E0002C" w:rsidRDefault="00536600" w:rsidP="00536600">
      <w:pPr>
        <w:pStyle w:val="FootnoteText"/>
      </w:pPr>
      <w:r>
        <w:rPr>
          <w:rStyle w:val="FootnoteReference"/>
        </w:rPr>
        <w:footnoteRef/>
      </w:r>
      <w:r w:rsidRPr="00E0002C">
        <w:rPr>
          <w:lang w:val="id-ID"/>
        </w:rPr>
        <w:t xml:space="preserve">Salim HS, </w:t>
      </w:r>
      <w:r w:rsidRPr="00E0002C">
        <w:rPr>
          <w:i/>
          <w:iCs/>
          <w:lang w:val="id-ID"/>
        </w:rPr>
        <w:t>Hukum Kepailitan dan PKPU di Indonesia</w:t>
      </w:r>
      <w:r w:rsidRPr="00E0002C">
        <w:rPr>
          <w:lang w:val="id-ID"/>
        </w:rPr>
        <w:t xml:space="preserve"> (Jakarta: Sinar Grafika, 2018), hlm. 188.</w:t>
      </w:r>
    </w:p>
  </w:footnote>
  <w:footnote w:id="33">
    <w:p w:rsidR="00536600" w:rsidRPr="00E0002C" w:rsidRDefault="00536600" w:rsidP="00536600">
      <w:pPr>
        <w:pStyle w:val="FootnoteText"/>
      </w:pPr>
      <w:r>
        <w:rPr>
          <w:rStyle w:val="FootnoteReference"/>
        </w:rPr>
        <w:footnoteRef/>
      </w:r>
      <w:r w:rsidRPr="00E0002C">
        <w:rPr>
          <w:lang w:val="id-ID"/>
        </w:rPr>
        <w:t xml:space="preserve">Achmad Ali, </w:t>
      </w:r>
      <w:r w:rsidRPr="00E0002C">
        <w:rPr>
          <w:i/>
          <w:iCs/>
          <w:lang w:val="id-ID"/>
        </w:rPr>
        <w:t>Menggagas Teori Hukum Kepailitan Indonesia</w:t>
      </w:r>
      <w:r w:rsidRPr="00E0002C">
        <w:rPr>
          <w:lang w:val="id-ID"/>
        </w:rPr>
        <w:t xml:space="preserve"> (Jakarta: Kencana, 2019), hlm. 221</w:t>
      </w:r>
    </w:p>
  </w:footnote>
  <w:footnote w:id="34">
    <w:p w:rsidR="00536600" w:rsidRPr="00E0002C" w:rsidRDefault="00536600" w:rsidP="00536600">
      <w:pPr>
        <w:pStyle w:val="FootnoteText"/>
      </w:pPr>
      <w:r>
        <w:rPr>
          <w:rStyle w:val="FootnoteReference"/>
        </w:rPr>
        <w:footnoteRef/>
      </w:r>
      <w:r w:rsidRPr="00E0002C">
        <w:rPr>
          <w:lang w:val="id-ID"/>
        </w:rPr>
        <w:t xml:space="preserve">Yunus Husein, </w:t>
      </w:r>
      <w:r w:rsidRPr="00E0002C">
        <w:rPr>
          <w:i/>
          <w:iCs/>
          <w:lang w:val="id-ID"/>
        </w:rPr>
        <w:t>Hukum Kepailitan dan PKPU: Perspektif Praktik dan Teori</w:t>
      </w:r>
      <w:r w:rsidRPr="00E0002C">
        <w:rPr>
          <w:lang w:val="id-ID"/>
        </w:rPr>
        <w:t xml:space="preserve"> (Jakarta: RajaGrafindo Persada, 2020), hlm. 147.</w:t>
      </w:r>
    </w:p>
  </w:footnote>
  <w:footnote w:id="35">
    <w:p w:rsidR="00536600" w:rsidRPr="00C060D6" w:rsidRDefault="00536600" w:rsidP="00536600">
      <w:pPr>
        <w:pStyle w:val="FootnoteText"/>
      </w:pPr>
      <w:r>
        <w:rPr>
          <w:rStyle w:val="FootnoteReference"/>
        </w:rPr>
        <w:footnoteRef/>
      </w:r>
      <w:r w:rsidRPr="00C060D6">
        <w:rPr>
          <w:lang w:val="id-ID"/>
        </w:rPr>
        <w:t>Undang-Undang Nomor 37 Tahun 2004 tentang Kepailitan dan PKPU, Lembaran Negara Republik Indonesia Tahun 2004 Nomor 131, Tambahan Lembaran Negara Nomor 4443, Pasal 21, hlm. 12.</w:t>
      </w:r>
    </w:p>
  </w:footnote>
  <w:footnote w:id="36">
    <w:p w:rsidR="00536600" w:rsidRPr="00C060D6" w:rsidRDefault="00536600" w:rsidP="00536600">
      <w:pPr>
        <w:pStyle w:val="FootnoteText"/>
      </w:pPr>
      <w:r>
        <w:rPr>
          <w:rStyle w:val="FootnoteReference"/>
        </w:rPr>
        <w:footnoteRef/>
      </w:r>
      <w:r w:rsidRPr="00C060D6">
        <w:rPr>
          <w:lang w:val="id-ID"/>
        </w:rPr>
        <w:t xml:space="preserve">Ridwan Khairandy, </w:t>
      </w:r>
      <w:r w:rsidRPr="00C060D6">
        <w:rPr>
          <w:i/>
          <w:iCs/>
          <w:lang w:val="id-ID"/>
        </w:rPr>
        <w:t>Hukum Kepailitan: Teori, Praktik dan Perkembangan di Indonesia</w:t>
      </w:r>
      <w:r w:rsidRPr="00C060D6">
        <w:rPr>
          <w:lang w:val="id-ID"/>
        </w:rPr>
        <w:t xml:space="preserve"> (Yogyakarta: FH UII Press, 2021), hlm. 166.</w:t>
      </w:r>
    </w:p>
  </w:footnote>
  <w:footnote w:id="37">
    <w:p w:rsidR="00536600" w:rsidRPr="00C060D6" w:rsidRDefault="00536600" w:rsidP="00536600">
      <w:pPr>
        <w:pStyle w:val="FootnoteText"/>
      </w:pPr>
      <w:r>
        <w:rPr>
          <w:rStyle w:val="FootnoteReference"/>
        </w:rPr>
        <w:footnoteRef/>
      </w:r>
      <w:r w:rsidRPr="00C060D6">
        <w:rPr>
          <w:lang w:val="id-ID"/>
        </w:rPr>
        <w:t xml:space="preserve">Salim HS, </w:t>
      </w:r>
      <w:r w:rsidRPr="00C060D6">
        <w:rPr>
          <w:i/>
          <w:iCs/>
          <w:lang w:val="id-ID"/>
        </w:rPr>
        <w:t>Hukum Kepailitan dan PKPU di Indonesia</w:t>
      </w:r>
      <w:r w:rsidRPr="00C060D6">
        <w:rPr>
          <w:lang w:val="id-ID"/>
        </w:rPr>
        <w:t xml:space="preserve"> (Jakarta: Sinar Grafika, 2018), hlm. 191.</w:t>
      </w:r>
    </w:p>
  </w:footnote>
  <w:footnote w:id="38">
    <w:p w:rsidR="00536600" w:rsidRPr="00BA3E5C" w:rsidRDefault="00536600" w:rsidP="00536600">
      <w:pPr>
        <w:pStyle w:val="FootnoteText"/>
      </w:pPr>
      <w:r>
        <w:rPr>
          <w:rStyle w:val="FootnoteReference"/>
        </w:rPr>
        <w:footnoteRef/>
      </w:r>
      <w:r w:rsidRPr="00BA3E5C">
        <w:t>John Rawls, A Theory of Justice (Cambridge, MA: Harvard University Press, 1971), hlm.</w:t>
      </w:r>
    </w:p>
    <w:p w:rsidR="00536600" w:rsidRPr="00BA3E5C" w:rsidRDefault="00536600" w:rsidP="00536600">
      <w:pPr>
        <w:pStyle w:val="FootnoteText"/>
      </w:pPr>
      <w:r w:rsidRPr="00BA3E5C">
        <w:t>118.</w:t>
      </w:r>
    </w:p>
  </w:footnote>
  <w:footnote w:id="39">
    <w:p w:rsidR="00536600" w:rsidRPr="00BA3E5C" w:rsidRDefault="00536600" w:rsidP="00536600">
      <w:pPr>
        <w:pStyle w:val="FootnoteText"/>
      </w:pPr>
      <w:r>
        <w:rPr>
          <w:rStyle w:val="FootnoteReference"/>
        </w:rPr>
        <w:footnoteRef/>
      </w:r>
      <w:r w:rsidRPr="00BA3E5C">
        <w:rPr>
          <w:lang w:val="id-ID"/>
        </w:rPr>
        <w:t>Ibid., hlm. 302–303.</w:t>
      </w:r>
    </w:p>
  </w:footnote>
  <w:footnote w:id="40">
    <w:p w:rsidR="00536600" w:rsidRPr="00BA3E5C" w:rsidRDefault="00536600" w:rsidP="00536600">
      <w:pPr>
        <w:pStyle w:val="FootnoteText"/>
      </w:pPr>
      <w:r>
        <w:rPr>
          <w:rStyle w:val="FootnoteReference"/>
        </w:rPr>
        <w:footnoteRef/>
      </w:r>
      <w:r w:rsidRPr="00BA3E5C">
        <w:rPr>
          <w:lang w:val="id-ID"/>
        </w:rPr>
        <w:t>John Rawls, Justice as Fairness: A Restatement (Cambridge, MA: Harvard University Press, 2001), hlm. 8–9.</w:t>
      </w:r>
    </w:p>
  </w:footnote>
  <w:footnote w:id="41">
    <w:p w:rsidR="00536600" w:rsidRPr="00BA3E5C" w:rsidRDefault="00536600" w:rsidP="00536600">
      <w:pPr>
        <w:pStyle w:val="FootnoteText"/>
      </w:pPr>
      <w:r>
        <w:rPr>
          <w:rStyle w:val="FootnoteReference"/>
        </w:rPr>
        <w:footnoteRef/>
      </w:r>
      <w:r w:rsidRPr="00BA3E5C">
        <w:rPr>
          <w:lang w:val="id-ID"/>
        </w:rPr>
        <w:t>Amartya Sen, The Idea of Justice (Cambridge, MA: Belknap Press, 2009), hlm. 56–58.</w:t>
      </w:r>
    </w:p>
  </w:footnote>
  <w:footnote w:id="42">
    <w:p w:rsidR="00536600" w:rsidRPr="00BA3E5C" w:rsidRDefault="00536600" w:rsidP="00536600">
      <w:pPr>
        <w:pStyle w:val="FootnoteText"/>
      </w:pPr>
      <w:r>
        <w:rPr>
          <w:rStyle w:val="FootnoteReference"/>
        </w:rPr>
        <w:footnoteRef/>
      </w:r>
      <w:r w:rsidRPr="00BA3E5C">
        <w:t>Muhtadi, “Penerapan Teori Hans Kelsen dalam Tertib Hukum Indonesia,” Fiat Justisia: Jurnal Ilmu Hukum, Vol. 5, No. 3 (2011): 248.</w:t>
      </w:r>
    </w:p>
  </w:footnote>
  <w:footnote w:id="43">
    <w:p w:rsidR="00536600" w:rsidRPr="00BA3E5C" w:rsidRDefault="00536600" w:rsidP="00536600">
      <w:pPr>
        <w:pStyle w:val="FootnoteText"/>
      </w:pPr>
      <w:r>
        <w:rPr>
          <w:rStyle w:val="FootnoteReference"/>
        </w:rPr>
        <w:footnoteRef/>
      </w:r>
      <w:r w:rsidRPr="00BA3E5C">
        <w:rPr>
          <w:lang w:val="id-ID"/>
        </w:rPr>
        <w:t>Hans Kelsen, Pure Theory of Law, trans. Max Knight (Berkeley: University of California Press, 1967), 7–9.</w:t>
      </w:r>
    </w:p>
  </w:footnote>
  <w:footnote w:id="44">
    <w:p w:rsidR="00536600" w:rsidRPr="00BA3E5C" w:rsidRDefault="00536600" w:rsidP="00536600">
      <w:pPr>
        <w:pStyle w:val="FootnoteText"/>
      </w:pPr>
      <w:r>
        <w:rPr>
          <w:rStyle w:val="FootnoteReference"/>
        </w:rPr>
        <w:footnoteRef/>
      </w:r>
      <w:r w:rsidRPr="00BA3E5C">
        <w:rPr>
          <w:lang w:val="id-ID"/>
        </w:rPr>
        <w:t>Hana Pertiwi dan Hikmahanto Juwana, “Analisis Perbandingan Penerapan Teori Positivisme Hukum dan Teori Realisme Hukum dalam Penegakan Hukum di Indonesia,” Causa: Jurnal Hukum dan Kewarganegaraan, Vol. 4, No. 10 (2024): 72.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E9782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0" o:spid="_x0000_s2050" type="#_x0000_t75" style="position:absolute;margin-left:0;margin-top:0;width:432.3pt;height:425.9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E9782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1" o:spid="_x0000_s2051" type="#_x0000_t75" style="position:absolute;margin-left:0;margin-top:0;width:432.3pt;height:425.9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E97822">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09" o:spid="_x0000_s2049" type="#_x0000_t75" style="position:absolute;margin-left:0;margin-top:0;width:432.3pt;height:425.9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1DF"/>
    <w:multiLevelType w:val="hybridMultilevel"/>
    <w:tmpl w:val="A4BE88D4"/>
    <w:lvl w:ilvl="0" w:tplc="0421000F">
      <w:start w:val="1"/>
      <w:numFmt w:val="decimal"/>
      <w:lvlText w:val="%1."/>
      <w:lvlJc w:val="left"/>
      <w:pPr>
        <w:ind w:left="1778"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10FD79F6"/>
    <w:multiLevelType w:val="hybridMultilevel"/>
    <w:tmpl w:val="469A1306"/>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13460CC0"/>
    <w:multiLevelType w:val="hybridMultilevel"/>
    <w:tmpl w:val="54DA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F758A"/>
    <w:multiLevelType w:val="hybridMultilevel"/>
    <w:tmpl w:val="15EAFB78"/>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14F1320"/>
    <w:multiLevelType w:val="multilevel"/>
    <w:tmpl w:val="9F3094E0"/>
    <w:lvl w:ilvl="0">
      <w:start w:val="1"/>
      <w:numFmt w:val="decimal"/>
      <w:lvlText w:val="%1."/>
      <w:lvlJc w:val="left"/>
      <w:pPr>
        <w:ind w:left="1508" w:hanging="515"/>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93" w:hanging="567"/>
      </w:pPr>
      <w:rPr>
        <w:rFonts w:ascii="Times New Roman" w:eastAsia="Times New Roman" w:hAnsi="Times New Roman" w:cs="Times New Roman" w:hint="default"/>
        <w:b/>
        <w:bCs/>
        <w:i w:val="0"/>
        <w:iCs w:val="0"/>
        <w:color w:val="auto"/>
        <w:spacing w:val="0"/>
        <w:w w:val="100"/>
        <w:sz w:val="24"/>
        <w:szCs w:val="24"/>
        <w:lang w:eastAsia="en-US" w:bidi="ar-SA"/>
      </w:rPr>
    </w:lvl>
    <w:lvl w:ilvl="2">
      <w:numFmt w:val="bullet"/>
      <w:lvlText w:val="•"/>
      <w:lvlJc w:val="left"/>
      <w:pPr>
        <w:ind w:left="2277" w:hanging="567"/>
      </w:pPr>
      <w:rPr>
        <w:rFonts w:hint="default"/>
        <w:lang w:eastAsia="en-US" w:bidi="ar-SA"/>
      </w:rPr>
    </w:lvl>
    <w:lvl w:ilvl="3">
      <w:numFmt w:val="bullet"/>
      <w:lvlText w:val="•"/>
      <w:lvlJc w:val="left"/>
      <w:pPr>
        <w:ind w:left="3056" w:hanging="567"/>
      </w:pPr>
      <w:rPr>
        <w:rFonts w:hint="default"/>
        <w:lang w:eastAsia="en-US" w:bidi="ar-SA"/>
      </w:rPr>
    </w:lvl>
    <w:lvl w:ilvl="4">
      <w:numFmt w:val="bullet"/>
      <w:lvlText w:val="•"/>
      <w:lvlJc w:val="left"/>
      <w:pPr>
        <w:ind w:left="3834" w:hanging="567"/>
      </w:pPr>
      <w:rPr>
        <w:rFonts w:hint="default"/>
        <w:lang w:eastAsia="en-US" w:bidi="ar-SA"/>
      </w:rPr>
    </w:lvl>
    <w:lvl w:ilvl="5">
      <w:numFmt w:val="bullet"/>
      <w:lvlText w:val="•"/>
      <w:lvlJc w:val="left"/>
      <w:pPr>
        <w:ind w:left="4613" w:hanging="567"/>
      </w:pPr>
      <w:rPr>
        <w:rFonts w:hint="default"/>
        <w:lang w:eastAsia="en-US" w:bidi="ar-SA"/>
      </w:rPr>
    </w:lvl>
    <w:lvl w:ilvl="6">
      <w:numFmt w:val="bullet"/>
      <w:lvlText w:val="•"/>
      <w:lvlJc w:val="left"/>
      <w:pPr>
        <w:ind w:left="5392" w:hanging="567"/>
      </w:pPr>
      <w:rPr>
        <w:rFonts w:hint="default"/>
        <w:lang w:eastAsia="en-US" w:bidi="ar-SA"/>
      </w:rPr>
    </w:lvl>
    <w:lvl w:ilvl="7">
      <w:numFmt w:val="bullet"/>
      <w:lvlText w:val="•"/>
      <w:lvlJc w:val="left"/>
      <w:pPr>
        <w:ind w:left="6170" w:hanging="567"/>
      </w:pPr>
      <w:rPr>
        <w:rFonts w:hint="default"/>
        <w:lang w:eastAsia="en-US" w:bidi="ar-SA"/>
      </w:rPr>
    </w:lvl>
    <w:lvl w:ilvl="8">
      <w:numFmt w:val="bullet"/>
      <w:lvlText w:val="•"/>
      <w:lvlJc w:val="left"/>
      <w:pPr>
        <w:ind w:left="6949" w:hanging="567"/>
      </w:pPr>
      <w:rPr>
        <w:rFonts w:hint="default"/>
        <w:lang w:eastAsia="en-US" w:bidi="ar-SA"/>
      </w:rPr>
    </w:lvl>
  </w:abstractNum>
  <w:abstractNum w:abstractNumId="5">
    <w:nsid w:val="266120C1"/>
    <w:multiLevelType w:val="multilevel"/>
    <w:tmpl w:val="3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78D0A6D"/>
    <w:multiLevelType w:val="hybridMultilevel"/>
    <w:tmpl w:val="3E00D50C"/>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2B004834"/>
    <w:multiLevelType w:val="hybridMultilevel"/>
    <w:tmpl w:val="5D82C58C"/>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48D0193A"/>
    <w:multiLevelType w:val="hybridMultilevel"/>
    <w:tmpl w:val="D4D0DD80"/>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4CA92FF9"/>
    <w:multiLevelType w:val="hybridMultilevel"/>
    <w:tmpl w:val="2B0816A2"/>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nsid w:val="573019B0"/>
    <w:multiLevelType w:val="hybridMultilevel"/>
    <w:tmpl w:val="38BCDA3C"/>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611D6411"/>
    <w:multiLevelType w:val="hybridMultilevel"/>
    <w:tmpl w:val="05E8FB60"/>
    <w:lvl w:ilvl="0" w:tplc="4E2A31E2">
      <w:start w:val="1"/>
      <w:numFmt w:val="upperLetter"/>
      <w:lvlText w:val="%1."/>
      <w:lvlJc w:val="left"/>
      <w:pPr>
        <w:ind w:left="927" w:hanging="360"/>
      </w:pPr>
      <w:rPr>
        <w:rFonts w:hint="default"/>
        <w:b/>
        <w:bCs/>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668252DF"/>
    <w:multiLevelType w:val="hybridMultilevel"/>
    <w:tmpl w:val="15E0B866"/>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3">
    <w:nsid w:val="66E94F31"/>
    <w:multiLevelType w:val="hybridMultilevel"/>
    <w:tmpl w:val="D70C8B04"/>
    <w:lvl w:ilvl="0" w:tplc="04210015">
      <w:start w:val="6"/>
      <w:numFmt w:val="upp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8CB6F18"/>
    <w:multiLevelType w:val="hybridMultilevel"/>
    <w:tmpl w:val="E230F2F8"/>
    <w:lvl w:ilvl="0" w:tplc="A0FC9152">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7FE004E">
      <w:start w:val="1"/>
      <w:numFmt w:val="lowerLetter"/>
      <w:lvlText w:val="%4."/>
      <w:lvlJc w:val="left"/>
      <w:pPr>
        <w:ind w:left="2880" w:hanging="360"/>
      </w:pPr>
      <w:rPr>
        <w:rFonts w:ascii="Times New Roman" w:eastAsia="Times New Roman" w:hAnsi="Times New Roman" w:cs="Times New Roman"/>
      </w:rPr>
    </w:lvl>
    <w:lvl w:ilvl="4" w:tplc="96FE1BD2">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A8E04E2"/>
    <w:multiLevelType w:val="hybridMultilevel"/>
    <w:tmpl w:val="4C98EC30"/>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79172D5D"/>
    <w:multiLevelType w:val="hybridMultilevel"/>
    <w:tmpl w:val="1916D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5"/>
  </w:num>
  <w:num w:numId="3">
    <w:abstractNumId w:val="3"/>
  </w:num>
  <w:num w:numId="4">
    <w:abstractNumId w:val="10"/>
  </w:num>
  <w:num w:numId="5">
    <w:abstractNumId w:val="8"/>
  </w:num>
  <w:num w:numId="6">
    <w:abstractNumId w:val="7"/>
  </w:num>
  <w:num w:numId="7">
    <w:abstractNumId w:val="9"/>
  </w:num>
  <w:num w:numId="8">
    <w:abstractNumId w:val="1"/>
  </w:num>
  <w:num w:numId="9">
    <w:abstractNumId w:val="6"/>
  </w:num>
  <w:num w:numId="10">
    <w:abstractNumId w:val="5"/>
  </w:num>
  <w:num w:numId="11">
    <w:abstractNumId w:val="14"/>
  </w:num>
  <w:num w:numId="12">
    <w:abstractNumId w:val="12"/>
  </w:num>
  <w:num w:numId="13">
    <w:abstractNumId w:val="16"/>
  </w:num>
  <w:num w:numId="14">
    <w:abstractNumId w:val="0"/>
  </w:num>
  <w:num w:numId="15">
    <w:abstractNumId w:val="4"/>
  </w:num>
  <w:num w:numId="16">
    <w:abstractNumId w:val="1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enforcement="1" w:cryptProviderType="rsaFull" w:cryptAlgorithmClass="hash" w:cryptAlgorithmType="typeAny" w:cryptAlgorithmSid="4" w:cryptSpinCount="50000" w:hash="lnWSAOUKGSex6BemsaZo0gkRgYQ=" w:salt="0Zb5VHGSUoXb7HK3Bavv6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33DD4"/>
    <w:rsid w:val="000206E4"/>
    <w:rsid w:val="00072A73"/>
    <w:rsid w:val="00170B7E"/>
    <w:rsid w:val="001937E2"/>
    <w:rsid w:val="00231FD0"/>
    <w:rsid w:val="00297D76"/>
    <w:rsid w:val="00311966"/>
    <w:rsid w:val="00394114"/>
    <w:rsid w:val="003D5F01"/>
    <w:rsid w:val="003E1FF4"/>
    <w:rsid w:val="003E7369"/>
    <w:rsid w:val="003F2E9C"/>
    <w:rsid w:val="004131A7"/>
    <w:rsid w:val="004278E2"/>
    <w:rsid w:val="004506C3"/>
    <w:rsid w:val="0046416A"/>
    <w:rsid w:val="004923DF"/>
    <w:rsid w:val="004E7304"/>
    <w:rsid w:val="004F3AEC"/>
    <w:rsid w:val="00536600"/>
    <w:rsid w:val="00544FC3"/>
    <w:rsid w:val="00573D14"/>
    <w:rsid w:val="005F1D88"/>
    <w:rsid w:val="00653891"/>
    <w:rsid w:val="006D7051"/>
    <w:rsid w:val="007718E3"/>
    <w:rsid w:val="00783571"/>
    <w:rsid w:val="00796CF1"/>
    <w:rsid w:val="009C01E0"/>
    <w:rsid w:val="009C2430"/>
    <w:rsid w:val="00A67D67"/>
    <w:rsid w:val="00AE34B9"/>
    <w:rsid w:val="00B109A7"/>
    <w:rsid w:val="00B15961"/>
    <w:rsid w:val="00B33DD4"/>
    <w:rsid w:val="00B74AD6"/>
    <w:rsid w:val="00CA0770"/>
    <w:rsid w:val="00D167C4"/>
    <w:rsid w:val="00D2736F"/>
    <w:rsid w:val="00DA2041"/>
    <w:rsid w:val="00DA770F"/>
    <w:rsid w:val="00DB4103"/>
    <w:rsid w:val="00DF1087"/>
    <w:rsid w:val="00E7288E"/>
    <w:rsid w:val="00E97822"/>
    <w:rsid w:val="00EA0DD5"/>
    <w:rsid w:val="00F2784B"/>
    <w:rsid w:val="00F5325A"/>
    <w:rsid w:val="00F77DA8"/>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rPr>
  </w:style>
  <w:style w:type="paragraph" w:styleId="Heading1">
    <w:name w:val="heading 1"/>
    <w:basedOn w:val="Normal"/>
    <w:next w:val="Normal"/>
    <w:link w:val="Heading1Char"/>
    <w:uiPriority w:val="9"/>
    <w:qFormat/>
    <w:rsid w:val="00F77DA8"/>
    <w:pPr>
      <w:keepNext/>
      <w:keepLines/>
      <w:numPr>
        <w:numId w:val="10"/>
      </w:numPr>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77DA8"/>
    <w:pPr>
      <w:keepNext/>
      <w:keepLines/>
      <w:numPr>
        <w:ilvl w:val="1"/>
        <w:numId w:val="10"/>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7DA8"/>
    <w:pPr>
      <w:keepNext/>
      <w:keepLines/>
      <w:numPr>
        <w:ilvl w:val="2"/>
        <w:numId w:val="10"/>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7DA8"/>
    <w:pPr>
      <w:keepNext/>
      <w:keepLines/>
      <w:numPr>
        <w:ilvl w:val="3"/>
        <w:numId w:val="10"/>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7DA8"/>
    <w:pPr>
      <w:keepNext/>
      <w:keepLines/>
      <w:numPr>
        <w:ilvl w:val="4"/>
        <w:numId w:val="10"/>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7DA8"/>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A8"/>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A8"/>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A8"/>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rPr>
  </w:style>
  <w:style w:type="paragraph" w:styleId="ListParagraph">
    <w:name w:val="List Paragraph"/>
    <w:basedOn w:val="Normal"/>
    <w:uiPriority w:val="1"/>
    <w:qFormat/>
    <w:rsid w:val="00B74AD6"/>
    <w:pPr>
      <w:ind w:left="720"/>
      <w:contextualSpacing/>
    </w:pPr>
  </w:style>
  <w:style w:type="paragraph" w:styleId="BalloonText">
    <w:name w:val="Balloon Text"/>
    <w:basedOn w:val="Normal"/>
    <w:link w:val="BalloonTextChar"/>
    <w:uiPriority w:val="99"/>
    <w:semiHidden/>
    <w:unhideWhenUsed/>
    <w:rsid w:val="00B7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AD6"/>
    <w:rPr>
      <w:rFonts w:ascii="Tahoma" w:eastAsiaTheme="minorEastAsia" w:hAnsi="Tahoma" w:cs="Tahoma"/>
      <w:kern w:val="2"/>
      <w:sz w:val="16"/>
      <w:szCs w:val="16"/>
      <w:lang w:val="id-ID" w:eastAsia="id-ID"/>
    </w:rPr>
  </w:style>
  <w:style w:type="character" w:customStyle="1" w:styleId="Heading1Char">
    <w:name w:val="Heading 1 Char"/>
    <w:basedOn w:val="DefaultParagraphFont"/>
    <w:link w:val="Heading1"/>
    <w:uiPriority w:val="9"/>
    <w:rsid w:val="00F77DA8"/>
    <w:rPr>
      <w:rFonts w:asciiTheme="majorHAnsi" w:eastAsiaTheme="majorEastAsia" w:hAnsiTheme="majorHAnsi" w:cstheme="majorBidi"/>
      <w:color w:val="365F91" w:themeColor="accent1" w:themeShade="BF"/>
      <w:kern w:val="2"/>
      <w:sz w:val="40"/>
      <w:szCs w:val="40"/>
      <w:lang w:val="id-ID" w:eastAsia="id-ID"/>
    </w:rPr>
  </w:style>
  <w:style w:type="character" w:customStyle="1" w:styleId="Heading2Char">
    <w:name w:val="Heading 2 Char"/>
    <w:basedOn w:val="DefaultParagraphFont"/>
    <w:link w:val="Heading2"/>
    <w:uiPriority w:val="9"/>
    <w:rsid w:val="00F77DA8"/>
    <w:rPr>
      <w:rFonts w:asciiTheme="majorHAnsi" w:eastAsiaTheme="majorEastAsia" w:hAnsiTheme="majorHAnsi" w:cstheme="majorBidi"/>
      <w:color w:val="365F91" w:themeColor="accent1" w:themeShade="BF"/>
      <w:kern w:val="2"/>
      <w:sz w:val="32"/>
      <w:szCs w:val="32"/>
      <w:lang w:val="id-ID" w:eastAsia="id-ID"/>
    </w:rPr>
  </w:style>
  <w:style w:type="character" w:customStyle="1" w:styleId="Heading3Char">
    <w:name w:val="Heading 3 Char"/>
    <w:basedOn w:val="DefaultParagraphFont"/>
    <w:link w:val="Heading3"/>
    <w:uiPriority w:val="9"/>
    <w:semiHidden/>
    <w:rsid w:val="00F77DA8"/>
    <w:rPr>
      <w:rFonts w:eastAsiaTheme="majorEastAsia" w:cstheme="majorBidi"/>
      <w:color w:val="365F91" w:themeColor="accent1" w:themeShade="BF"/>
      <w:kern w:val="2"/>
      <w:sz w:val="28"/>
      <w:szCs w:val="28"/>
      <w:lang w:val="id-ID" w:eastAsia="id-ID"/>
    </w:rPr>
  </w:style>
  <w:style w:type="character" w:customStyle="1" w:styleId="Heading4Char">
    <w:name w:val="Heading 4 Char"/>
    <w:basedOn w:val="DefaultParagraphFont"/>
    <w:link w:val="Heading4"/>
    <w:uiPriority w:val="9"/>
    <w:semiHidden/>
    <w:rsid w:val="00F77DA8"/>
    <w:rPr>
      <w:rFonts w:eastAsiaTheme="majorEastAsia" w:cstheme="majorBidi"/>
      <w:i/>
      <w:iCs/>
      <w:color w:val="365F91" w:themeColor="accent1" w:themeShade="BF"/>
      <w:kern w:val="2"/>
      <w:sz w:val="24"/>
      <w:szCs w:val="24"/>
      <w:lang w:val="id-ID" w:eastAsia="id-ID"/>
    </w:rPr>
  </w:style>
  <w:style w:type="character" w:customStyle="1" w:styleId="Heading5Char">
    <w:name w:val="Heading 5 Char"/>
    <w:basedOn w:val="DefaultParagraphFont"/>
    <w:link w:val="Heading5"/>
    <w:uiPriority w:val="9"/>
    <w:semiHidden/>
    <w:rsid w:val="00F77DA8"/>
    <w:rPr>
      <w:rFonts w:eastAsiaTheme="majorEastAsia" w:cstheme="majorBidi"/>
      <w:color w:val="365F91" w:themeColor="accent1" w:themeShade="BF"/>
      <w:kern w:val="2"/>
      <w:sz w:val="24"/>
      <w:szCs w:val="24"/>
      <w:lang w:val="id-ID" w:eastAsia="id-ID"/>
    </w:rPr>
  </w:style>
  <w:style w:type="character" w:customStyle="1" w:styleId="Heading6Char">
    <w:name w:val="Heading 6 Char"/>
    <w:basedOn w:val="DefaultParagraphFont"/>
    <w:link w:val="Heading6"/>
    <w:uiPriority w:val="9"/>
    <w:semiHidden/>
    <w:rsid w:val="00F77DA8"/>
    <w:rPr>
      <w:rFonts w:eastAsiaTheme="majorEastAsia" w:cstheme="majorBidi"/>
      <w:i/>
      <w:iCs/>
      <w:color w:val="595959" w:themeColor="text1" w:themeTint="A6"/>
      <w:kern w:val="2"/>
      <w:sz w:val="24"/>
      <w:szCs w:val="24"/>
      <w:lang w:val="id-ID" w:eastAsia="id-ID"/>
    </w:rPr>
  </w:style>
  <w:style w:type="character" w:customStyle="1" w:styleId="Heading7Char">
    <w:name w:val="Heading 7 Char"/>
    <w:basedOn w:val="DefaultParagraphFont"/>
    <w:link w:val="Heading7"/>
    <w:uiPriority w:val="9"/>
    <w:semiHidden/>
    <w:rsid w:val="00F77DA8"/>
    <w:rPr>
      <w:rFonts w:eastAsiaTheme="majorEastAsia" w:cstheme="majorBidi"/>
      <w:color w:val="595959" w:themeColor="text1" w:themeTint="A6"/>
      <w:kern w:val="2"/>
      <w:sz w:val="24"/>
      <w:szCs w:val="24"/>
      <w:lang w:val="id-ID" w:eastAsia="id-ID"/>
    </w:rPr>
  </w:style>
  <w:style w:type="character" w:customStyle="1" w:styleId="Heading8Char">
    <w:name w:val="Heading 8 Char"/>
    <w:basedOn w:val="DefaultParagraphFont"/>
    <w:link w:val="Heading8"/>
    <w:uiPriority w:val="9"/>
    <w:semiHidden/>
    <w:rsid w:val="00F77DA8"/>
    <w:rPr>
      <w:rFonts w:eastAsiaTheme="majorEastAsia" w:cstheme="majorBidi"/>
      <w:i/>
      <w:iCs/>
      <w:color w:val="272727" w:themeColor="text1" w:themeTint="D8"/>
      <w:kern w:val="2"/>
      <w:sz w:val="24"/>
      <w:szCs w:val="24"/>
      <w:lang w:val="id-ID" w:eastAsia="id-ID"/>
    </w:rPr>
  </w:style>
  <w:style w:type="character" w:customStyle="1" w:styleId="Heading9Char">
    <w:name w:val="Heading 9 Char"/>
    <w:basedOn w:val="DefaultParagraphFont"/>
    <w:link w:val="Heading9"/>
    <w:uiPriority w:val="9"/>
    <w:semiHidden/>
    <w:rsid w:val="00F77DA8"/>
    <w:rPr>
      <w:rFonts w:eastAsiaTheme="majorEastAsia" w:cstheme="majorBidi"/>
      <w:color w:val="272727" w:themeColor="text1" w:themeTint="D8"/>
      <w:kern w:val="2"/>
      <w:sz w:val="24"/>
      <w:szCs w:val="24"/>
      <w:lang w:val="id-ID" w:eastAsia="id-ID"/>
    </w:rPr>
  </w:style>
  <w:style w:type="paragraph" w:styleId="FootnoteText">
    <w:name w:val="footnote text"/>
    <w:basedOn w:val="Normal"/>
    <w:link w:val="FootnoteTextChar"/>
    <w:uiPriority w:val="99"/>
    <w:semiHidden/>
    <w:unhideWhenUsed/>
    <w:rsid w:val="00F77DA8"/>
    <w:pPr>
      <w:widowControl w:val="0"/>
      <w:autoSpaceDE w:val="0"/>
      <w:autoSpaceDN w:val="0"/>
      <w:spacing w:after="0" w:line="240" w:lineRule="auto"/>
    </w:pPr>
    <w:rPr>
      <w:rFonts w:ascii="Times New Roman" w:eastAsia="Times New Roman" w:hAnsi="Times New Roman" w:cs="Times New Roman"/>
      <w:kern w:val="0"/>
      <w:sz w:val="20"/>
      <w:szCs w:val="20"/>
      <w:lang w:eastAsia="en-US"/>
    </w:rPr>
  </w:style>
  <w:style w:type="character" w:customStyle="1" w:styleId="FootnoteTextChar">
    <w:name w:val="Footnote Text Char"/>
    <w:basedOn w:val="DefaultParagraphFont"/>
    <w:link w:val="FootnoteText"/>
    <w:uiPriority w:val="99"/>
    <w:semiHidden/>
    <w:rsid w:val="00F77DA8"/>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F77DA8"/>
    <w:rPr>
      <w:vertAlign w:val="superscript"/>
    </w:rPr>
  </w:style>
  <w:style w:type="paragraph" w:styleId="BodyText">
    <w:name w:val="Body Text"/>
    <w:basedOn w:val="Normal"/>
    <w:link w:val="BodyTextChar"/>
    <w:uiPriority w:val="1"/>
    <w:qFormat/>
    <w:rsid w:val="00536600"/>
    <w:pPr>
      <w:widowControl w:val="0"/>
      <w:autoSpaceDE w:val="0"/>
      <w:autoSpaceDN w:val="0"/>
      <w:spacing w:after="0" w:line="240" w:lineRule="auto"/>
      <w:jc w:val="both"/>
    </w:pPr>
    <w:rPr>
      <w:rFonts w:ascii="Times New Roman" w:eastAsia="Times New Roman" w:hAnsi="Times New Roman" w:cs="Times New Roman"/>
      <w:kern w:val="0"/>
      <w:lang w:eastAsia="en-US"/>
    </w:rPr>
  </w:style>
  <w:style w:type="character" w:customStyle="1" w:styleId="BodyTextChar">
    <w:name w:val="Body Text Char"/>
    <w:basedOn w:val="DefaultParagraphFont"/>
    <w:link w:val="BodyText"/>
    <w:uiPriority w:val="1"/>
    <w:rsid w:val="00536600"/>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14:ligatures w14:val="standardContextual"/>
    </w:rPr>
  </w:style>
  <w:style w:type="paragraph" w:styleId="Heading1">
    <w:name w:val="heading 1"/>
    <w:basedOn w:val="Normal"/>
    <w:next w:val="Normal"/>
    <w:link w:val="Heading1Char"/>
    <w:uiPriority w:val="9"/>
    <w:qFormat/>
    <w:rsid w:val="00F77DA8"/>
    <w:pPr>
      <w:keepNext/>
      <w:keepLines/>
      <w:numPr>
        <w:numId w:val="10"/>
      </w:numPr>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77DA8"/>
    <w:pPr>
      <w:keepNext/>
      <w:keepLines/>
      <w:numPr>
        <w:ilvl w:val="1"/>
        <w:numId w:val="10"/>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7DA8"/>
    <w:pPr>
      <w:keepNext/>
      <w:keepLines/>
      <w:numPr>
        <w:ilvl w:val="2"/>
        <w:numId w:val="10"/>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7DA8"/>
    <w:pPr>
      <w:keepNext/>
      <w:keepLines/>
      <w:numPr>
        <w:ilvl w:val="3"/>
        <w:numId w:val="10"/>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7DA8"/>
    <w:pPr>
      <w:keepNext/>
      <w:keepLines/>
      <w:numPr>
        <w:ilvl w:val="4"/>
        <w:numId w:val="10"/>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7DA8"/>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A8"/>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A8"/>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A8"/>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14:ligatures w14:val="standardContextual"/>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14:ligatures w14:val="standardContextual"/>
    </w:rPr>
  </w:style>
  <w:style w:type="paragraph" w:styleId="ListParagraph">
    <w:name w:val="List Paragraph"/>
    <w:basedOn w:val="Normal"/>
    <w:uiPriority w:val="1"/>
    <w:qFormat/>
    <w:rsid w:val="00B74AD6"/>
    <w:pPr>
      <w:ind w:left="720"/>
      <w:contextualSpacing/>
    </w:pPr>
  </w:style>
  <w:style w:type="paragraph" w:styleId="BalloonText">
    <w:name w:val="Balloon Text"/>
    <w:basedOn w:val="Normal"/>
    <w:link w:val="BalloonTextChar"/>
    <w:uiPriority w:val="99"/>
    <w:semiHidden/>
    <w:unhideWhenUsed/>
    <w:rsid w:val="00B7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AD6"/>
    <w:rPr>
      <w:rFonts w:ascii="Tahoma" w:eastAsiaTheme="minorEastAsia" w:hAnsi="Tahoma" w:cs="Tahoma"/>
      <w:kern w:val="2"/>
      <w:sz w:val="16"/>
      <w:szCs w:val="16"/>
      <w:lang w:val="id-ID" w:eastAsia="id-ID"/>
      <w14:ligatures w14:val="standardContextual"/>
    </w:rPr>
  </w:style>
  <w:style w:type="character" w:customStyle="1" w:styleId="Heading1Char">
    <w:name w:val="Heading 1 Char"/>
    <w:basedOn w:val="DefaultParagraphFont"/>
    <w:link w:val="Heading1"/>
    <w:uiPriority w:val="9"/>
    <w:rsid w:val="00F77DA8"/>
    <w:rPr>
      <w:rFonts w:asciiTheme="majorHAnsi" w:eastAsiaTheme="majorEastAsia" w:hAnsiTheme="majorHAnsi" w:cstheme="majorBidi"/>
      <w:color w:val="365F91" w:themeColor="accent1" w:themeShade="BF"/>
      <w:kern w:val="2"/>
      <w:sz w:val="40"/>
      <w:szCs w:val="40"/>
      <w:lang w:val="id-ID" w:eastAsia="id-ID"/>
      <w14:ligatures w14:val="standardContextual"/>
    </w:rPr>
  </w:style>
  <w:style w:type="character" w:customStyle="1" w:styleId="Heading2Char">
    <w:name w:val="Heading 2 Char"/>
    <w:basedOn w:val="DefaultParagraphFont"/>
    <w:link w:val="Heading2"/>
    <w:uiPriority w:val="9"/>
    <w:rsid w:val="00F77DA8"/>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character" w:customStyle="1" w:styleId="Heading3Char">
    <w:name w:val="Heading 3 Char"/>
    <w:basedOn w:val="DefaultParagraphFont"/>
    <w:link w:val="Heading3"/>
    <w:uiPriority w:val="9"/>
    <w:semiHidden/>
    <w:rsid w:val="00F77DA8"/>
    <w:rPr>
      <w:rFonts w:eastAsiaTheme="majorEastAsia" w:cstheme="majorBidi"/>
      <w:color w:val="365F91" w:themeColor="accent1" w:themeShade="BF"/>
      <w:kern w:val="2"/>
      <w:sz w:val="28"/>
      <w:szCs w:val="28"/>
      <w:lang w:val="id-ID" w:eastAsia="id-ID"/>
      <w14:ligatures w14:val="standardContextual"/>
    </w:rPr>
  </w:style>
  <w:style w:type="character" w:customStyle="1" w:styleId="Heading4Char">
    <w:name w:val="Heading 4 Char"/>
    <w:basedOn w:val="DefaultParagraphFont"/>
    <w:link w:val="Heading4"/>
    <w:uiPriority w:val="9"/>
    <w:semiHidden/>
    <w:rsid w:val="00F77DA8"/>
    <w:rPr>
      <w:rFonts w:eastAsiaTheme="majorEastAsia" w:cstheme="majorBidi"/>
      <w:i/>
      <w:iCs/>
      <w:color w:val="365F91" w:themeColor="accent1" w:themeShade="BF"/>
      <w:kern w:val="2"/>
      <w:sz w:val="24"/>
      <w:szCs w:val="24"/>
      <w:lang w:val="id-ID" w:eastAsia="id-ID"/>
      <w14:ligatures w14:val="standardContextual"/>
    </w:rPr>
  </w:style>
  <w:style w:type="character" w:customStyle="1" w:styleId="Heading5Char">
    <w:name w:val="Heading 5 Char"/>
    <w:basedOn w:val="DefaultParagraphFont"/>
    <w:link w:val="Heading5"/>
    <w:uiPriority w:val="9"/>
    <w:semiHidden/>
    <w:rsid w:val="00F77DA8"/>
    <w:rPr>
      <w:rFonts w:eastAsiaTheme="majorEastAsia" w:cstheme="majorBidi"/>
      <w:color w:val="365F91" w:themeColor="accent1" w:themeShade="BF"/>
      <w:kern w:val="2"/>
      <w:sz w:val="24"/>
      <w:szCs w:val="24"/>
      <w:lang w:val="id-ID" w:eastAsia="id-ID"/>
      <w14:ligatures w14:val="standardContextual"/>
    </w:rPr>
  </w:style>
  <w:style w:type="character" w:customStyle="1" w:styleId="Heading6Char">
    <w:name w:val="Heading 6 Char"/>
    <w:basedOn w:val="DefaultParagraphFont"/>
    <w:link w:val="Heading6"/>
    <w:uiPriority w:val="9"/>
    <w:semiHidden/>
    <w:rsid w:val="00F77DA8"/>
    <w:rPr>
      <w:rFonts w:eastAsiaTheme="majorEastAsia" w:cstheme="majorBidi"/>
      <w:i/>
      <w:iCs/>
      <w:color w:val="595959" w:themeColor="text1" w:themeTint="A6"/>
      <w:kern w:val="2"/>
      <w:sz w:val="24"/>
      <w:szCs w:val="24"/>
      <w:lang w:val="id-ID" w:eastAsia="id-ID"/>
      <w14:ligatures w14:val="standardContextual"/>
    </w:rPr>
  </w:style>
  <w:style w:type="character" w:customStyle="1" w:styleId="Heading7Char">
    <w:name w:val="Heading 7 Char"/>
    <w:basedOn w:val="DefaultParagraphFont"/>
    <w:link w:val="Heading7"/>
    <w:uiPriority w:val="9"/>
    <w:semiHidden/>
    <w:rsid w:val="00F77DA8"/>
    <w:rPr>
      <w:rFonts w:eastAsiaTheme="majorEastAsia" w:cstheme="majorBidi"/>
      <w:color w:val="595959" w:themeColor="text1" w:themeTint="A6"/>
      <w:kern w:val="2"/>
      <w:sz w:val="24"/>
      <w:szCs w:val="24"/>
      <w:lang w:val="id-ID" w:eastAsia="id-ID"/>
      <w14:ligatures w14:val="standardContextual"/>
    </w:rPr>
  </w:style>
  <w:style w:type="character" w:customStyle="1" w:styleId="Heading8Char">
    <w:name w:val="Heading 8 Char"/>
    <w:basedOn w:val="DefaultParagraphFont"/>
    <w:link w:val="Heading8"/>
    <w:uiPriority w:val="9"/>
    <w:semiHidden/>
    <w:rsid w:val="00F77DA8"/>
    <w:rPr>
      <w:rFonts w:eastAsiaTheme="majorEastAsia" w:cstheme="majorBidi"/>
      <w:i/>
      <w:iCs/>
      <w:color w:val="272727" w:themeColor="text1" w:themeTint="D8"/>
      <w:kern w:val="2"/>
      <w:sz w:val="24"/>
      <w:szCs w:val="24"/>
      <w:lang w:val="id-ID" w:eastAsia="id-ID"/>
      <w14:ligatures w14:val="standardContextual"/>
    </w:rPr>
  </w:style>
  <w:style w:type="character" w:customStyle="1" w:styleId="Heading9Char">
    <w:name w:val="Heading 9 Char"/>
    <w:basedOn w:val="DefaultParagraphFont"/>
    <w:link w:val="Heading9"/>
    <w:uiPriority w:val="9"/>
    <w:semiHidden/>
    <w:rsid w:val="00F77DA8"/>
    <w:rPr>
      <w:rFonts w:eastAsiaTheme="majorEastAsia" w:cstheme="majorBidi"/>
      <w:color w:val="272727" w:themeColor="text1" w:themeTint="D8"/>
      <w:kern w:val="2"/>
      <w:sz w:val="24"/>
      <w:szCs w:val="24"/>
      <w:lang w:val="id-ID" w:eastAsia="id-ID"/>
      <w14:ligatures w14:val="standardContextual"/>
    </w:rPr>
  </w:style>
  <w:style w:type="paragraph" w:styleId="FootnoteText">
    <w:name w:val="footnote text"/>
    <w:basedOn w:val="Normal"/>
    <w:link w:val="FootnoteTextChar"/>
    <w:uiPriority w:val="99"/>
    <w:semiHidden/>
    <w:unhideWhenUsed/>
    <w:rsid w:val="00F77DA8"/>
    <w:pPr>
      <w:widowControl w:val="0"/>
      <w:autoSpaceDE w:val="0"/>
      <w:autoSpaceDN w:val="0"/>
      <w:spacing w:after="0" w:line="240" w:lineRule="auto"/>
    </w:pPr>
    <w:rPr>
      <w:rFonts w:ascii="Times New Roman" w:eastAsia="Times New Roman" w:hAnsi="Times New Roman" w:cs="Times New Roman"/>
      <w:kern w:val="0"/>
      <w:sz w:val="20"/>
      <w:szCs w:val="20"/>
      <w:lang w:val="id" w:eastAsia="en-US"/>
      <w14:ligatures w14:val="none"/>
    </w:rPr>
  </w:style>
  <w:style w:type="character" w:customStyle="1" w:styleId="FootnoteTextChar">
    <w:name w:val="Footnote Text Char"/>
    <w:basedOn w:val="DefaultParagraphFont"/>
    <w:link w:val="FootnoteText"/>
    <w:uiPriority w:val="99"/>
    <w:semiHidden/>
    <w:rsid w:val="00F77DA8"/>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F77DA8"/>
    <w:rPr>
      <w:vertAlign w:val="superscript"/>
    </w:rPr>
  </w:style>
  <w:style w:type="paragraph" w:styleId="BodyText">
    <w:name w:val="Body Text"/>
    <w:basedOn w:val="Normal"/>
    <w:link w:val="BodyTextChar"/>
    <w:uiPriority w:val="1"/>
    <w:qFormat/>
    <w:rsid w:val="00536600"/>
    <w:pPr>
      <w:widowControl w:val="0"/>
      <w:autoSpaceDE w:val="0"/>
      <w:autoSpaceDN w:val="0"/>
      <w:spacing w:after="0" w:line="240" w:lineRule="auto"/>
      <w:jc w:val="both"/>
    </w:pPr>
    <w:rPr>
      <w:rFonts w:ascii="Times New Roman" w:eastAsia="Times New Roman" w:hAnsi="Times New Roman" w:cs="Times New Roman"/>
      <w:kern w:val="0"/>
      <w:lang w:val="id" w:eastAsia="en-US"/>
      <w14:ligatures w14:val="none"/>
    </w:rPr>
  </w:style>
  <w:style w:type="character" w:customStyle="1" w:styleId="BodyTextChar">
    <w:name w:val="Body Text Char"/>
    <w:basedOn w:val="DefaultParagraphFont"/>
    <w:link w:val="BodyText"/>
    <w:uiPriority w:val="1"/>
    <w:rsid w:val="00536600"/>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8294</Words>
  <Characters>47280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2026-06-15T04:44:00Z</dcterms:created>
  <dcterms:modified xsi:type="dcterms:W3CDTF">2026-06-15T04:44:00Z</dcterms:modified>
</cp:coreProperties>
</file>