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9C4" w:rsidRDefault="003369C4" w:rsidP="003369C4">
      <w:pPr>
        <w:pStyle w:val="Heading1"/>
        <w:keepNext w:val="0"/>
        <w:keepLines w:val="0"/>
        <w:widowControl w:val="0"/>
        <w:numPr>
          <w:ilvl w:val="0"/>
          <w:numId w:val="0"/>
        </w:numPr>
        <w:autoSpaceDE w:val="0"/>
        <w:autoSpaceDN w:val="0"/>
        <w:spacing w:before="0" w:after="0" w:line="360" w:lineRule="auto"/>
        <w:ind w:left="3544" w:right="2147"/>
        <w:rPr>
          <w:rFonts w:ascii="Times New Roman" w:hAnsi="Times New Roman" w:cs="Times New Roman"/>
          <w:b/>
          <w:bCs/>
          <w:color w:val="auto"/>
          <w:sz w:val="28"/>
          <w:szCs w:val="28"/>
        </w:rPr>
      </w:pPr>
      <w:bookmarkStart w:id="0" w:name="_TOC_250001"/>
      <w:r w:rsidRPr="009C20A5">
        <w:rPr>
          <w:rFonts w:ascii="Times New Roman" w:hAnsi="Times New Roman" w:cs="Times New Roman"/>
          <w:b/>
          <w:bCs/>
          <w:color w:val="auto"/>
          <w:sz w:val="28"/>
          <w:szCs w:val="28"/>
        </w:rPr>
        <w:t xml:space="preserve">BAB III </w:t>
      </w:r>
      <w:bookmarkEnd w:id="0"/>
    </w:p>
    <w:p w:rsidR="003369C4" w:rsidRPr="009C20A5" w:rsidRDefault="003369C4" w:rsidP="003369C4">
      <w:pPr>
        <w:pStyle w:val="Heading1"/>
        <w:keepNext w:val="0"/>
        <w:keepLines w:val="0"/>
        <w:widowControl w:val="0"/>
        <w:numPr>
          <w:ilvl w:val="0"/>
          <w:numId w:val="0"/>
        </w:numPr>
        <w:autoSpaceDE w:val="0"/>
        <w:autoSpaceDN w:val="0"/>
        <w:spacing w:before="0" w:after="0" w:line="360" w:lineRule="auto"/>
        <w:ind w:left="2127" w:right="849"/>
        <w:rPr>
          <w:rFonts w:ascii="Times New Roman" w:hAnsi="Times New Roman" w:cs="Times New Roman"/>
          <w:b/>
          <w:bCs/>
          <w:sz w:val="28"/>
          <w:szCs w:val="28"/>
          <w:lang w:val="en-US"/>
        </w:rPr>
      </w:pPr>
      <w:r w:rsidRPr="009C20A5">
        <w:rPr>
          <w:rFonts w:ascii="Times New Roman" w:hAnsi="Times New Roman" w:cs="Times New Roman"/>
          <w:b/>
          <w:bCs/>
          <w:color w:val="auto"/>
          <w:sz w:val="28"/>
          <w:szCs w:val="28"/>
          <w:lang w:val="en-US"/>
        </w:rPr>
        <w:t>METEDOLOGI PENELITIAN</w:t>
      </w:r>
    </w:p>
    <w:p w:rsidR="003369C4" w:rsidRPr="0066028A" w:rsidRDefault="003369C4" w:rsidP="003369C4">
      <w:pPr>
        <w:pStyle w:val="Heading2"/>
        <w:keepNext w:val="0"/>
        <w:keepLines w:val="0"/>
        <w:widowControl w:val="0"/>
        <w:numPr>
          <w:ilvl w:val="0"/>
          <w:numId w:val="18"/>
        </w:numPr>
        <w:autoSpaceDE w:val="0"/>
        <w:autoSpaceDN w:val="0"/>
        <w:spacing w:before="237" w:after="0" w:line="360" w:lineRule="auto"/>
        <w:ind w:left="426" w:hanging="426"/>
        <w:rPr>
          <w:rFonts w:ascii="Times New Roman" w:hAnsi="Times New Roman" w:cs="Times New Roman"/>
          <w:b/>
          <w:bCs/>
          <w:color w:val="auto"/>
          <w:sz w:val="24"/>
          <w:szCs w:val="24"/>
        </w:rPr>
      </w:pPr>
      <w:bookmarkStart w:id="1" w:name="_TOC_250000"/>
      <w:r w:rsidRPr="0066028A">
        <w:rPr>
          <w:rFonts w:ascii="Times New Roman" w:hAnsi="Times New Roman" w:cs="Times New Roman"/>
          <w:b/>
          <w:bCs/>
          <w:color w:val="auto"/>
          <w:sz w:val="24"/>
          <w:szCs w:val="24"/>
        </w:rPr>
        <w:t>JenisdanPendekatan</w:t>
      </w:r>
      <w:bookmarkEnd w:id="1"/>
      <w:r w:rsidRPr="0066028A">
        <w:rPr>
          <w:rFonts w:ascii="Times New Roman" w:hAnsi="Times New Roman" w:cs="Times New Roman"/>
          <w:b/>
          <w:bCs/>
          <w:color w:val="auto"/>
          <w:spacing w:val="-2"/>
          <w:sz w:val="24"/>
          <w:szCs w:val="24"/>
        </w:rPr>
        <w:t>Penelitian</w:t>
      </w:r>
    </w:p>
    <w:p w:rsidR="003369C4" w:rsidRPr="0066028A" w:rsidRDefault="003369C4" w:rsidP="003369C4">
      <w:pPr>
        <w:widowControl w:val="0"/>
        <w:autoSpaceDE w:val="0"/>
        <w:autoSpaceDN w:val="0"/>
        <w:spacing w:before="139" w:after="0" w:line="360" w:lineRule="auto"/>
        <w:ind w:left="426" w:right="142" w:firstLine="567"/>
        <w:jc w:val="both"/>
        <w:rPr>
          <w:rFonts w:ascii="Times New Roman" w:hAnsi="Times New Roman" w:cs="Times New Roman"/>
        </w:rPr>
      </w:pPr>
      <w:r w:rsidRPr="0066028A">
        <w:rPr>
          <w:rFonts w:ascii="Times New Roman" w:hAnsi="Times New Roman" w:cs="Times New Roman"/>
        </w:rPr>
        <w:t xml:space="preserve">Penelitian ini menggunakan jenis penelitian yuridis normatif, yakni suatumetodepenelitianyangberfokuspadapengkajianperaturanperundang- undangan, asas hukum, dan doktrin hukum yang berlaku dalam rangka menjawab isu hukum yang telah dirumuskan. Penelitian yuridis normatif disebutjugasebagaipenelitianhukumdoktrinal,karenaberangkatdarilogika internal sistem hukum untuk menilai bagaimana suatu norma bekerja secara ideal dan operasional dalam praktiknya. Dalam konteks ini, penelitian ditujukan untuk menganalisis norma hukum yang mengatur mengenai peran kurator dalam pengurusan dan pemberesan harta </w:t>
      </w:r>
      <w:r>
        <w:rPr>
          <w:rFonts w:ascii="Times New Roman" w:hAnsi="Times New Roman" w:cs="Times New Roman"/>
          <w:lang w:val="en-US"/>
        </w:rPr>
        <w:t xml:space="preserve">debitur </w:t>
      </w:r>
      <w:r w:rsidRPr="0066028A">
        <w:rPr>
          <w:rFonts w:ascii="Times New Roman" w:hAnsi="Times New Roman" w:cs="Times New Roman"/>
        </w:rPr>
        <w:t>pailit sebagaimana diatur dalam Pasal 69 ayat (1) Undang-Undang Nomor 37 Tahun 2004 tentang Kepailitan dan Penundaan Kewajiban Pembayaran Utang.</w:t>
      </w:r>
    </w:p>
    <w:p w:rsidR="003369C4" w:rsidRPr="0066028A" w:rsidRDefault="003369C4" w:rsidP="003369C4">
      <w:pPr>
        <w:widowControl w:val="0"/>
        <w:autoSpaceDE w:val="0"/>
        <w:autoSpaceDN w:val="0"/>
        <w:spacing w:before="139" w:after="0" w:line="360" w:lineRule="auto"/>
        <w:ind w:left="426" w:right="142" w:firstLine="567"/>
        <w:jc w:val="both"/>
        <w:rPr>
          <w:rFonts w:ascii="Times New Roman" w:hAnsi="Times New Roman" w:cs="Times New Roman"/>
        </w:rPr>
      </w:pPr>
      <w:r w:rsidRPr="0066028A">
        <w:rPr>
          <w:rFonts w:ascii="Times New Roman" w:hAnsi="Times New Roman" w:cs="Times New Roman"/>
        </w:rPr>
        <w:t>Menurut Soerjono Soekanto dan Sri Mamudji, penelitian hukum normatifdilakukandenganmenelitibahanpustakaataudatasekunder,bukan dataempirisyangdiperolehlangsungdarilapangan.Olehkarenaitu,metode ini sangat bergantung pada kajian dokumen hukum dan teori hukum yang bersumber dari literatur ilmiah maupun yurisprudensi yang relevan</w:t>
      </w:r>
      <w:r>
        <w:rPr>
          <w:rFonts w:ascii="Times New Roman" w:hAnsi="Times New Roman" w:cs="Times New Roman"/>
          <w:lang w:val="en-US"/>
        </w:rPr>
        <w:t>.</w:t>
      </w:r>
      <w:r w:rsidRPr="0066028A">
        <w:rPr>
          <w:rStyle w:val="FootnoteReference"/>
          <w:rFonts w:ascii="Times New Roman" w:hAnsi="Times New Roman" w:cs="Times New Roman"/>
        </w:rPr>
        <w:footnoteReference w:id="2"/>
      </w:r>
      <w:r w:rsidRPr="0066028A">
        <w:rPr>
          <w:rFonts w:ascii="Times New Roman" w:hAnsi="Times New Roman" w:cs="Times New Roman"/>
        </w:rPr>
        <w:t xml:space="preserve"> Penelitianjenisinisangattepatdigunakandalammengkajipersoalanhukum yang bersifat konseptual dan normatif, sebagaimana yang dikaji dalam penelitian ini.</w:t>
      </w:r>
    </w:p>
    <w:p w:rsidR="003369C4" w:rsidRPr="009E1E5A" w:rsidRDefault="003369C4" w:rsidP="003369C4">
      <w:pPr>
        <w:widowControl w:val="0"/>
        <w:autoSpaceDE w:val="0"/>
        <w:autoSpaceDN w:val="0"/>
        <w:spacing w:before="139" w:after="0" w:line="360" w:lineRule="auto"/>
        <w:ind w:left="426" w:right="142" w:firstLine="567"/>
        <w:jc w:val="both"/>
        <w:rPr>
          <w:rFonts w:ascii="Times New Roman" w:hAnsi="Times New Roman" w:cs="Times New Roman"/>
          <w:lang w:val="en-US"/>
        </w:rPr>
      </w:pPr>
      <w:r w:rsidRPr="0066028A">
        <w:rPr>
          <w:rFonts w:ascii="Times New Roman" w:hAnsi="Times New Roman" w:cs="Times New Roman"/>
        </w:rPr>
        <w:t>Untuk memperdalam analisis dalam penelitian ini, digunakan dua pendekatan, yaitu pendekatan perundang-undangan (statute approach) dan pendekatan konseptual (</w:t>
      </w:r>
      <w:r w:rsidRPr="00483690">
        <w:rPr>
          <w:rFonts w:ascii="Times New Roman" w:hAnsi="Times New Roman" w:cs="Times New Roman"/>
          <w:i/>
          <w:iCs/>
        </w:rPr>
        <w:t>conceptual approach</w:t>
      </w:r>
      <w:r w:rsidRPr="0066028A">
        <w:rPr>
          <w:rFonts w:ascii="Times New Roman" w:hAnsi="Times New Roman" w:cs="Times New Roman"/>
        </w:rPr>
        <w:t>). Pendekatan perundang- undangan dimaksudkan untuk menelaah dan memahami isi dari peraturan perundang-undanganyangmenjadiobjekkajian,khususnyaPasal69ayat</w:t>
      </w:r>
      <w:r w:rsidRPr="0066028A">
        <w:rPr>
          <w:rFonts w:ascii="Times New Roman" w:hAnsi="Times New Roman" w:cs="Times New Roman"/>
          <w:spacing w:val="-5"/>
        </w:rPr>
        <w:t xml:space="preserve">(1). </w:t>
      </w:r>
      <w:r w:rsidRPr="0066028A">
        <w:rPr>
          <w:rFonts w:ascii="Times New Roman" w:hAnsi="Times New Roman" w:cs="Times New Roman"/>
        </w:rPr>
        <w:lastRenderedPageBreak/>
        <w:t>Undang-Undang Kepailitan. Dalam pendekatan ini, peneliti tidak hanya menelaah bunyi pasal tersebut secara tekstual, tetapi juga menghubungkannya dengan pasal-pasal lain yang terkait, serta membandingkannya dengan ketentuan dalam hukum perdata umum seperti Kitab Undang-Undang Hukum Perdata (KUHPerdata), maupun peraturan turunan yang mengatur profesi kurator</w:t>
      </w:r>
      <w:r>
        <w:rPr>
          <w:rFonts w:ascii="Times New Roman" w:hAnsi="Times New Roman" w:cs="Times New Roman"/>
          <w:lang w:val="en-US"/>
        </w:rPr>
        <w:t>.</w:t>
      </w:r>
      <w:r w:rsidRPr="0066028A">
        <w:rPr>
          <w:rStyle w:val="FootnoteReference"/>
          <w:rFonts w:ascii="Times New Roman" w:hAnsi="Times New Roman" w:cs="Times New Roman"/>
        </w:rPr>
        <w:footnoteReference w:id="3"/>
      </w:r>
    </w:p>
    <w:p w:rsidR="003369C4" w:rsidRPr="00182AEE" w:rsidRDefault="003369C4" w:rsidP="003369C4">
      <w:pPr>
        <w:widowControl w:val="0"/>
        <w:autoSpaceDE w:val="0"/>
        <w:autoSpaceDN w:val="0"/>
        <w:spacing w:before="139" w:after="0" w:line="360" w:lineRule="auto"/>
        <w:ind w:left="426" w:right="142" w:firstLine="567"/>
        <w:jc w:val="both"/>
        <w:rPr>
          <w:rFonts w:ascii="Times New Roman" w:eastAsia="Times New Roman" w:hAnsi="Times New Roman" w:cs="Times New Roman"/>
          <w:kern w:val="0"/>
          <w:lang w:val="en-US" w:eastAsia="en-US"/>
        </w:rPr>
      </w:pPr>
      <w:r w:rsidRPr="0066028A">
        <w:rPr>
          <w:rFonts w:ascii="Times New Roman" w:eastAsia="Times New Roman" w:hAnsi="Times New Roman" w:cs="Times New Roman"/>
          <w:kern w:val="0"/>
          <w:lang w:eastAsia="en-US"/>
        </w:rPr>
        <w:t>Lebih lanjut, pendekatan konseptual digunakan untuk mengkaji pengertian,prinsip,dandoktrinhukumyangmelandasitugassertawewenang kurator dalam proses kepailitan. Dalam pendekatan ini, peneliti akan mengkajikonsep-konsepyuridissepertikepailitan,pengurusan,pemberesan, serta kedudukan kurator sebagai pejabat independen yang mewakili kepentingan para kreditur. Pendekatan konseptual sangat penting dalam rangka memahami makna normatif yang tidak selalu tertulis secara eksplisit dalam undang-undang, namun dapat ditemukan melalui penafsiran atas doktrin dan teori hukum</w:t>
      </w:r>
      <w:r>
        <w:rPr>
          <w:rFonts w:ascii="Times New Roman" w:eastAsia="Times New Roman" w:hAnsi="Times New Roman" w:cs="Times New Roman"/>
          <w:kern w:val="0"/>
          <w:lang w:val="en-US" w:eastAsia="en-US"/>
        </w:rPr>
        <w:t>.</w:t>
      </w:r>
      <w:r w:rsidRPr="0066028A">
        <w:rPr>
          <w:rStyle w:val="FootnoteReference"/>
          <w:rFonts w:ascii="Times New Roman" w:eastAsia="Times New Roman" w:hAnsi="Times New Roman" w:cs="Times New Roman"/>
          <w:kern w:val="0"/>
          <w:lang w:eastAsia="en-US"/>
        </w:rPr>
        <w:footnoteReference w:id="4"/>
      </w:r>
    </w:p>
    <w:p w:rsidR="003369C4" w:rsidRPr="0066028A" w:rsidRDefault="003369C4" w:rsidP="003369C4">
      <w:pPr>
        <w:widowControl w:val="0"/>
        <w:autoSpaceDE w:val="0"/>
        <w:autoSpaceDN w:val="0"/>
        <w:spacing w:before="139" w:after="0" w:line="360" w:lineRule="auto"/>
        <w:ind w:left="426" w:right="142" w:firstLine="567"/>
        <w:jc w:val="both"/>
        <w:rPr>
          <w:rFonts w:ascii="Times New Roman" w:eastAsia="Times New Roman" w:hAnsi="Times New Roman" w:cs="Times New Roman"/>
          <w:kern w:val="0"/>
          <w:lang w:eastAsia="en-US"/>
        </w:rPr>
      </w:pPr>
      <w:r w:rsidRPr="0066028A">
        <w:rPr>
          <w:rFonts w:ascii="Times New Roman" w:eastAsia="Times New Roman" w:hAnsi="Times New Roman" w:cs="Times New Roman"/>
          <w:kern w:val="0"/>
          <w:lang w:eastAsia="en-US"/>
        </w:rPr>
        <w:t>Menurut Peter Mahmud Marzuki, pendekatan konseptual dalam penelitian hukum berangkat dari pandangan-pandangan atau doktrin-doktrin hukumyangberkembangdantidakselalutercantumdalamperaturantertulis, tetapi menjadi kerangka berpikir dalam menganalisis norma hukum. Ia menyatakan bahwa, “pendekatan konseptual digunakan ketika tidak ditemukan peraturan yang secara langsung menjawab isu hukum, sehingga diperlukan pemahaman terhadap prinsip-prinsip hukum yang mendasari norma tersebut”</w:t>
      </w:r>
      <w:r w:rsidRPr="00D41D72">
        <w:rPr>
          <w:rFonts w:ascii="Times New Roman" w:eastAsia="Times New Roman" w:hAnsi="Times New Roman" w:cs="Times New Roman"/>
          <w:kern w:val="0"/>
          <w:lang w:eastAsia="en-US"/>
        </w:rPr>
        <w:t>.</w:t>
      </w:r>
      <w:r w:rsidRPr="0066028A">
        <w:rPr>
          <w:rStyle w:val="FootnoteReference"/>
          <w:rFonts w:ascii="Times New Roman" w:eastAsia="Times New Roman" w:hAnsi="Times New Roman" w:cs="Times New Roman"/>
          <w:kern w:val="0"/>
          <w:lang w:eastAsia="en-US"/>
        </w:rPr>
        <w:footnoteReference w:id="5"/>
      </w:r>
    </w:p>
    <w:p w:rsidR="003369C4" w:rsidRPr="0066028A" w:rsidRDefault="003369C4" w:rsidP="003369C4">
      <w:pPr>
        <w:widowControl w:val="0"/>
        <w:autoSpaceDE w:val="0"/>
        <w:autoSpaceDN w:val="0"/>
        <w:spacing w:before="139" w:after="0" w:line="360" w:lineRule="auto"/>
        <w:ind w:left="426" w:right="142" w:firstLine="567"/>
        <w:jc w:val="both"/>
        <w:rPr>
          <w:rFonts w:ascii="Times New Roman" w:eastAsia="Times New Roman" w:hAnsi="Times New Roman" w:cs="Times New Roman"/>
          <w:kern w:val="0"/>
          <w:lang w:eastAsia="en-US"/>
        </w:rPr>
      </w:pPr>
      <w:r w:rsidRPr="0066028A">
        <w:rPr>
          <w:rFonts w:ascii="Times New Roman" w:eastAsia="Times New Roman" w:hAnsi="Times New Roman" w:cs="Times New Roman"/>
          <w:kern w:val="0"/>
          <w:lang w:eastAsia="en-US"/>
        </w:rPr>
        <w:t>Dengan pendekatan ini, peneliti dapat memberikan penilaian yang kritis terhadap pelaksanaan peran kurator dalam praktik kepailitan, serta menyarankan perbaikan apabila ditemukan adanya kekosongan hukum atau tumpangtindihnorma.Halinimenjadipentingmengingatdalam</w:t>
      </w:r>
      <w:r w:rsidRPr="0066028A">
        <w:rPr>
          <w:rFonts w:ascii="Times New Roman" w:eastAsia="Times New Roman" w:hAnsi="Times New Roman" w:cs="Times New Roman"/>
          <w:spacing w:val="-2"/>
          <w:kern w:val="0"/>
          <w:lang w:eastAsia="en-US"/>
        </w:rPr>
        <w:t>praktiknya,</w:t>
      </w:r>
      <w:r w:rsidRPr="0066028A">
        <w:rPr>
          <w:rFonts w:ascii="Times New Roman" w:eastAsia="Times New Roman" w:hAnsi="Times New Roman" w:cs="Times New Roman"/>
          <w:kern w:val="0"/>
          <w:lang w:eastAsia="en-US"/>
        </w:rPr>
        <w:t xml:space="preserve">peran </w:t>
      </w:r>
      <w:r w:rsidRPr="0066028A">
        <w:rPr>
          <w:rFonts w:ascii="Times New Roman" w:eastAsia="Times New Roman" w:hAnsi="Times New Roman" w:cs="Times New Roman"/>
          <w:kern w:val="0"/>
          <w:lang w:eastAsia="en-US"/>
        </w:rPr>
        <w:lastRenderedPageBreak/>
        <w:t>kurator tidak jarang mengalami berbagai tantangan, baik dalam hal pengumpulan aset debitor, komunikasi dengan para kreditur, hingga pengawasan oleh hakim pengawas.</w:t>
      </w:r>
      <w:r w:rsidRPr="0066028A">
        <w:rPr>
          <w:rStyle w:val="FootnoteReference"/>
          <w:rFonts w:ascii="Times New Roman" w:eastAsia="Times New Roman" w:hAnsi="Times New Roman" w:cs="Times New Roman"/>
          <w:kern w:val="0"/>
          <w:lang w:eastAsia="en-US"/>
        </w:rPr>
        <w:footnoteReference w:id="6"/>
      </w:r>
    </w:p>
    <w:p w:rsidR="003369C4" w:rsidRPr="0066028A" w:rsidRDefault="003369C4" w:rsidP="003369C4">
      <w:pPr>
        <w:widowControl w:val="0"/>
        <w:autoSpaceDE w:val="0"/>
        <w:autoSpaceDN w:val="0"/>
        <w:spacing w:before="139" w:after="0" w:line="360" w:lineRule="auto"/>
        <w:ind w:left="426" w:right="142" w:firstLine="567"/>
        <w:jc w:val="both"/>
        <w:rPr>
          <w:rFonts w:ascii="Times New Roman" w:eastAsia="Times New Roman" w:hAnsi="Times New Roman" w:cs="Times New Roman"/>
          <w:kern w:val="0"/>
          <w:lang w:eastAsia="en-US"/>
        </w:rPr>
      </w:pPr>
      <w:r w:rsidRPr="0066028A">
        <w:rPr>
          <w:rFonts w:ascii="Times New Roman" w:eastAsia="Times New Roman" w:hAnsi="Times New Roman" w:cs="Times New Roman"/>
          <w:kern w:val="0"/>
          <w:lang w:eastAsia="en-US"/>
        </w:rPr>
        <w:t>Selain itu, pendekatan normatif-konseptual juga membuka ruang untukmenganalisisasas-asashukumyangrelevan,sepertiasaskeadilan,asas kepastian hukum, dan asas kemanfaatan, sebagaimana dikembangkan oleh GustavRadbruchdalamfilsafathukummodern</w:t>
      </w:r>
      <w:r w:rsidRPr="0066028A">
        <w:rPr>
          <w:rStyle w:val="FootnoteReference"/>
          <w:rFonts w:ascii="Times New Roman" w:eastAsia="Times New Roman" w:hAnsi="Times New Roman" w:cs="Times New Roman"/>
          <w:kern w:val="0"/>
          <w:lang w:eastAsia="en-US"/>
        </w:rPr>
        <w:footnoteReference w:id="7"/>
      </w:r>
      <w:r w:rsidRPr="0066028A">
        <w:rPr>
          <w:rFonts w:ascii="Times New Roman" w:eastAsia="Times New Roman" w:hAnsi="Times New Roman" w:cs="Times New Roman"/>
          <w:kern w:val="0"/>
          <w:lang w:eastAsia="en-US"/>
        </w:rPr>
        <w:t>.Asas-asastersebutpenting untukmemastikanbahwapenerapanPasal69ayat(1)tidakhanyamemenuhi syaratlegal-formal,tetapijugaadilsecarasubstansialdalammelindungihak- hak kreditur maupun debitor.</w:t>
      </w:r>
    </w:p>
    <w:p w:rsidR="003369C4" w:rsidRPr="008B5F1B" w:rsidRDefault="003369C4" w:rsidP="003369C4">
      <w:pPr>
        <w:widowControl w:val="0"/>
        <w:autoSpaceDE w:val="0"/>
        <w:autoSpaceDN w:val="0"/>
        <w:spacing w:before="139" w:after="0" w:line="360" w:lineRule="auto"/>
        <w:ind w:left="426" w:right="142" w:firstLine="567"/>
        <w:jc w:val="both"/>
        <w:rPr>
          <w:rFonts w:ascii="Times New Roman" w:eastAsia="Times New Roman" w:hAnsi="Times New Roman" w:cs="Times New Roman"/>
          <w:spacing w:val="-2"/>
          <w:kern w:val="0"/>
          <w:lang w:eastAsia="en-US"/>
        </w:rPr>
      </w:pPr>
      <w:r w:rsidRPr="0066028A">
        <w:rPr>
          <w:rFonts w:ascii="Times New Roman" w:eastAsia="Times New Roman" w:hAnsi="Times New Roman" w:cs="Times New Roman"/>
          <w:kern w:val="0"/>
          <w:lang w:eastAsia="en-US"/>
        </w:rPr>
        <w:t xml:space="preserve">Olehkarenaitu,penggunaanjenispenelitianyuridisnormatifdengan dua pendekatan ini diharapkan mampu menghasilkan suatu kajian hukum yang tidak hanya deskriptif tetapi juga analitis dan evaluatif, serta dapat memberikan kontribusi bagi pengembangan hukum kepailitan di Indonesia. Penelitian ini juga bertujuan untuk mengisi celah hukum (legal gap) yang masih terdapat dalam praktik pelaksanaan tugas kurator di Indonesia, baik dari segi kejelasan kewenangan, profesionalitas, maupun mekanisme </w:t>
      </w:r>
      <w:r w:rsidRPr="0066028A">
        <w:rPr>
          <w:rFonts w:ascii="Times New Roman" w:eastAsia="Times New Roman" w:hAnsi="Times New Roman" w:cs="Times New Roman"/>
          <w:spacing w:val="-2"/>
          <w:kern w:val="0"/>
          <w:lang w:eastAsia="en-US"/>
        </w:rPr>
        <w:t>pengawasannya.</w:t>
      </w:r>
      <w:r w:rsidRPr="0066028A">
        <w:rPr>
          <w:rStyle w:val="FootnoteReference"/>
          <w:rFonts w:ascii="Times New Roman" w:eastAsia="Times New Roman" w:hAnsi="Times New Roman" w:cs="Times New Roman"/>
          <w:spacing w:val="-2"/>
          <w:kern w:val="0"/>
          <w:lang w:eastAsia="en-US"/>
        </w:rPr>
        <w:footnoteReference w:id="8"/>
      </w:r>
    </w:p>
    <w:p w:rsidR="003369C4" w:rsidRPr="009C20A5" w:rsidRDefault="003369C4" w:rsidP="003369C4">
      <w:pPr>
        <w:pStyle w:val="Heading2"/>
        <w:keepNext w:val="0"/>
        <w:keepLines w:val="0"/>
        <w:widowControl w:val="0"/>
        <w:numPr>
          <w:ilvl w:val="0"/>
          <w:numId w:val="18"/>
        </w:numPr>
        <w:autoSpaceDE w:val="0"/>
        <w:autoSpaceDN w:val="0"/>
        <w:spacing w:before="237" w:after="0" w:line="360" w:lineRule="auto"/>
        <w:ind w:left="426" w:hanging="426"/>
        <w:rPr>
          <w:rFonts w:ascii="Times New Roman" w:eastAsia="Times New Roman" w:hAnsi="Times New Roman" w:cs="Times New Roman"/>
          <w:kern w:val="0"/>
          <w:sz w:val="24"/>
          <w:szCs w:val="24"/>
          <w:lang w:eastAsia="en-US"/>
        </w:rPr>
      </w:pPr>
      <w:r w:rsidRPr="009C20A5">
        <w:rPr>
          <w:rFonts w:ascii="Times New Roman" w:eastAsia="Times New Roman" w:hAnsi="Times New Roman" w:cs="Times New Roman"/>
          <w:b/>
          <w:bCs/>
          <w:color w:val="auto"/>
          <w:kern w:val="0"/>
          <w:sz w:val="24"/>
          <w:szCs w:val="24"/>
          <w:lang w:eastAsia="en-US"/>
        </w:rPr>
        <w:t>SumberdanTeknikPengumpulan</w:t>
      </w:r>
      <w:r w:rsidRPr="009C20A5">
        <w:rPr>
          <w:rFonts w:ascii="Times New Roman" w:eastAsia="Times New Roman" w:hAnsi="Times New Roman" w:cs="Times New Roman"/>
          <w:b/>
          <w:bCs/>
          <w:color w:val="auto"/>
          <w:spacing w:val="-4"/>
          <w:kern w:val="0"/>
          <w:sz w:val="24"/>
          <w:szCs w:val="24"/>
          <w:lang w:eastAsia="en-US"/>
        </w:rPr>
        <w:t>Data</w:t>
      </w:r>
    </w:p>
    <w:p w:rsidR="003369C4" w:rsidRPr="0066028A" w:rsidRDefault="003369C4" w:rsidP="003369C4">
      <w:pPr>
        <w:widowControl w:val="0"/>
        <w:autoSpaceDE w:val="0"/>
        <w:autoSpaceDN w:val="0"/>
        <w:spacing w:before="139" w:after="0" w:line="360" w:lineRule="auto"/>
        <w:ind w:left="426" w:right="142" w:firstLine="567"/>
        <w:jc w:val="both"/>
        <w:rPr>
          <w:rFonts w:ascii="Times New Roman" w:hAnsi="Times New Roman" w:cs="Times New Roman"/>
        </w:rPr>
      </w:pPr>
      <w:r w:rsidRPr="0066028A">
        <w:rPr>
          <w:rFonts w:ascii="Times New Roman" w:hAnsi="Times New Roman" w:cs="Times New Roman"/>
        </w:rPr>
        <w:t>Dalam penelitian hukum normatif, data yang digunakan pada dasarnya adalah data sekunder, karena pendekatan yang digunakan tidak bersifatempiris,melainkanberdasarkankajianterhadapbahan-bahanpustaka atau dokumen hukum. Meski demikian, untuk memperdalam dan memperluasruanglingkupanalisis,datadalampenelitianini</w:t>
      </w:r>
      <w:r w:rsidRPr="0066028A">
        <w:rPr>
          <w:rFonts w:ascii="Times New Roman" w:hAnsi="Times New Roman" w:cs="Times New Roman"/>
          <w:spacing w:val="-2"/>
        </w:rPr>
        <w:t xml:space="preserve">diklasifikasikan </w:t>
      </w:r>
      <w:r w:rsidRPr="0066028A">
        <w:rPr>
          <w:rFonts w:ascii="Times New Roman" w:hAnsi="Times New Roman" w:cs="Times New Roman"/>
        </w:rPr>
        <w:t>menjadi dua kategori, yakni data primer dan data sekunder, yang keduanya diperoleh melalui teknik pengumpulan data berbasis studi kepustakaan.</w:t>
      </w:r>
    </w:p>
    <w:p w:rsidR="003369C4" w:rsidRPr="0066028A" w:rsidRDefault="003369C4" w:rsidP="003369C4">
      <w:pPr>
        <w:widowControl w:val="0"/>
        <w:autoSpaceDE w:val="0"/>
        <w:autoSpaceDN w:val="0"/>
        <w:spacing w:before="139" w:after="0" w:line="360" w:lineRule="auto"/>
        <w:ind w:left="426" w:right="142" w:firstLine="567"/>
        <w:jc w:val="both"/>
        <w:rPr>
          <w:rFonts w:ascii="Times New Roman" w:hAnsi="Times New Roman" w:cs="Times New Roman"/>
        </w:rPr>
      </w:pPr>
      <w:r w:rsidRPr="0066028A">
        <w:rPr>
          <w:rFonts w:ascii="Times New Roman" w:hAnsi="Times New Roman" w:cs="Times New Roman"/>
        </w:rPr>
        <w:lastRenderedPageBreak/>
        <w:t>Data primer dalam penelitian ini terdiri atas bahan hukum primer, yaitu peraturan perundang-undangan yang menjadi dasar hukum utama terhadap peran kurator dalam proses kepailitan. Data ini mencakup Undang- UndangNomor37Tahun2004tentangKepailitandanPenundaanKewajiban PembayaranUtangsebagairegulasiutama,sertadidukungolehketentuanlain yang relevan seperti Kitab Undang-Undang Hukum Perdata (KUHPerdata), Peraturan Mahkamah Agung, dan Undang-Undang tentang Kekuasaan Kehakiman.Peraturan-peraturanini digunakan untuk memahami bagaimana sistem hukum Indonesia mengatur prosedur pengurusan dan pemberesan harta</w:t>
      </w:r>
      <w:r>
        <w:rPr>
          <w:rFonts w:ascii="Times New Roman" w:hAnsi="Times New Roman" w:cs="Times New Roman"/>
          <w:lang w:val="en-US"/>
        </w:rPr>
        <w:t xml:space="preserve"> debitur</w:t>
      </w:r>
      <w:r w:rsidRPr="0066028A">
        <w:rPr>
          <w:rFonts w:ascii="Times New Roman" w:hAnsi="Times New Roman" w:cs="Times New Roman"/>
        </w:rPr>
        <w:t xml:space="preserve"> pailit yang dijalankan oleh kurator.</w:t>
      </w:r>
      <w:r w:rsidRPr="0066028A">
        <w:rPr>
          <w:rStyle w:val="FootnoteReference"/>
          <w:rFonts w:ascii="Times New Roman" w:hAnsi="Times New Roman" w:cs="Times New Roman"/>
        </w:rPr>
        <w:footnoteReference w:id="9"/>
      </w:r>
      <w:r w:rsidRPr="0066028A">
        <w:rPr>
          <w:rFonts w:ascii="Times New Roman" w:hAnsi="Times New Roman" w:cs="Times New Roman"/>
        </w:rPr>
        <w:t xml:space="preserve"> Menurut Mahfud MD, bahan hukum primer merupakan sumber utama dalam penelitian normatif karena langsung mengatur objek yang dikaji secara normatif atau yuridis.</w:t>
      </w:r>
      <w:r w:rsidRPr="0066028A">
        <w:rPr>
          <w:rStyle w:val="FootnoteReference"/>
          <w:rFonts w:ascii="Times New Roman" w:hAnsi="Times New Roman" w:cs="Times New Roman"/>
        </w:rPr>
        <w:footnoteReference w:id="10"/>
      </w:r>
    </w:p>
    <w:p w:rsidR="003369C4" w:rsidRPr="0066028A" w:rsidRDefault="003369C4" w:rsidP="003369C4">
      <w:pPr>
        <w:widowControl w:val="0"/>
        <w:autoSpaceDE w:val="0"/>
        <w:autoSpaceDN w:val="0"/>
        <w:spacing w:before="139" w:after="0" w:line="360" w:lineRule="auto"/>
        <w:ind w:left="426" w:right="142" w:firstLine="567"/>
        <w:jc w:val="both"/>
        <w:rPr>
          <w:rFonts w:ascii="Times New Roman" w:hAnsi="Times New Roman" w:cs="Times New Roman"/>
        </w:rPr>
      </w:pPr>
      <w:r w:rsidRPr="0066028A">
        <w:rPr>
          <w:rFonts w:ascii="Times New Roman" w:hAnsi="Times New Roman" w:cs="Times New Roman"/>
        </w:rPr>
        <w:t>Disampingbahanhukumprimer,datasekundermenjadielemenyang tak kalah penting. Data sekunder mencakup bahan hukum sekunder dan tersier. Bahan hukum sekunder diperoleh dari berbagai sumber literatur hukum seperti buku-buku teks, jurnal ilmiah, artikel hukum, skripsi, tesis, disertasi, serta putusan pengadilan yang telah berkekuatan hukum tetap (</w:t>
      </w:r>
      <w:r w:rsidRPr="00B1289B">
        <w:rPr>
          <w:rFonts w:ascii="Times New Roman" w:hAnsi="Times New Roman" w:cs="Times New Roman"/>
          <w:i/>
          <w:iCs/>
        </w:rPr>
        <w:t>inkracht van gewijsde</w:t>
      </w:r>
      <w:r w:rsidRPr="0066028A">
        <w:rPr>
          <w:rFonts w:ascii="Times New Roman" w:hAnsi="Times New Roman" w:cs="Times New Roman"/>
        </w:rPr>
        <w:t>) yang membahas dan menguraikan peran kurator dalam praktik. Misalnya, karya dari Rachmadi Usman dalam Hukum Kepailitan memberikan pemahaman menyeluruh tentang prinsip-prinsip dasardanteknispelaksanaankepailitandi Indonesia</w:t>
      </w:r>
      <w:r>
        <w:rPr>
          <w:rFonts w:ascii="Times New Roman" w:hAnsi="Times New Roman" w:cs="Times New Roman"/>
          <w:lang w:val="en-US"/>
        </w:rPr>
        <w:t>.</w:t>
      </w:r>
      <w:r w:rsidRPr="0066028A">
        <w:rPr>
          <w:rStyle w:val="FootnoteReference"/>
          <w:rFonts w:ascii="Times New Roman" w:hAnsi="Times New Roman" w:cs="Times New Roman"/>
        </w:rPr>
        <w:footnoteReference w:id="11"/>
      </w:r>
      <w:r w:rsidRPr="0066028A">
        <w:rPr>
          <w:rFonts w:ascii="Times New Roman" w:hAnsi="Times New Roman" w:cs="Times New Roman"/>
        </w:rPr>
        <w:t>Begitupulapendapat Ridwan Khairandy yang menyatakan bahwa kurator memegang peranan sentral dalam menjaga keadilan dan kepastian hukum bagi para pihak dalam perkara kepailitan.</w:t>
      </w:r>
    </w:p>
    <w:p w:rsidR="003369C4" w:rsidRPr="0066028A" w:rsidRDefault="003369C4" w:rsidP="003369C4">
      <w:pPr>
        <w:widowControl w:val="0"/>
        <w:autoSpaceDE w:val="0"/>
        <w:autoSpaceDN w:val="0"/>
        <w:spacing w:before="139" w:after="0" w:line="360" w:lineRule="auto"/>
        <w:ind w:left="426" w:right="142" w:firstLine="567"/>
        <w:jc w:val="both"/>
        <w:rPr>
          <w:rFonts w:ascii="Times New Roman" w:hAnsi="Times New Roman" w:cs="Times New Roman"/>
        </w:rPr>
      </w:pPr>
      <w:r w:rsidRPr="0066028A">
        <w:rPr>
          <w:rFonts w:ascii="Times New Roman" w:hAnsi="Times New Roman" w:cs="Times New Roman"/>
        </w:rPr>
        <w:t xml:space="preserve">Jurnal-jurnalilmiahyangdipublikasikanolehfakultashukummaupun lembaga riset hukum, seperti Jurnal Hukum IUS, Jurnal Yuridika, dan lain- lain,jugamenjadibagianpentingdaridatasekunder.Melaluianalisisyuridis </w:t>
      </w:r>
      <w:r w:rsidRPr="0066028A">
        <w:rPr>
          <w:rFonts w:ascii="Times New Roman" w:hAnsi="Times New Roman" w:cs="Times New Roman"/>
        </w:rPr>
        <w:lastRenderedPageBreak/>
        <w:t>dalam artikel-artikel tersebut, peneliti memperoleh sudut pandang akademik terhadapimplementasihukumpositifdan dinamikayangberkembangdalam praktik hukum</w:t>
      </w:r>
      <w:r>
        <w:rPr>
          <w:rFonts w:ascii="Times New Roman" w:hAnsi="Times New Roman" w:cs="Times New Roman"/>
          <w:lang w:val="en-US"/>
        </w:rPr>
        <w:t>.</w:t>
      </w:r>
      <w:r w:rsidRPr="0066028A">
        <w:rPr>
          <w:rStyle w:val="FootnoteReference"/>
          <w:rFonts w:ascii="Times New Roman" w:hAnsi="Times New Roman" w:cs="Times New Roman"/>
        </w:rPr>
        <w:footnoteReference w:id="12"/>
      </w:r>
    </w:p>
    <w:p w:rsidR="003369C4" w:rsidRPr="0066028A" w:rsidRDefault="003369C4" w:rsidP="003369C4">
      <w:pPr>
        <w:widowControl w:val="0"/>
        <w:autoSpaceDE w:val="0"/>
        <w:autoSpaceDN w:val="0"/>
        <w:spacing w:before="139" w:after="0" w:line="360" w:lineRule="auto"/>
        <w:ind w:left="426" w:right="142" w:firstLine="567"/>
        <w:jc w:val="both"/>
        <w:rPr>
          <w:rFonts w:ascii="Times New Roman" w:hAnsi="Times New Roman" w:cs="Times New Roman"/>
        </w:rPr>
      </w:pPr>
      <w:r w:rsidRPr="0066028A">
        <w:rPr>
          <w:rFonts w:ascii="Times New Roman" w:hAnsi="Times New Roman" w:cs="Times New Roman"/>
        </w:rPr>
        <w:t>Selainitu,datasekunderjugadiperolehdariputusanpengadilanyang berkaitandengankepailitan,khususnyayangmenyangkutpelaksanaantugas kurator dalam pengurusan dan pemberesan aset debitor. Putusan Mahkamah Agung maupun Pengadilan Niaga digunakan untuk memperkaya perspektif dalammemahamibagaimananormaPasal69ayat(1)diterapkandilapangan. Misalnya, dalam putusan Nomor 01/PAILIT/2020/PN.Niaga.JKT.PST, pengadilan menegaskan peran kurator dalam menjaga transparansi dan akuntabilitas proses kepailitan</w:t>
      </w:r>
      <w:r>
        <w:rPr>
          <w:rFonts w:ascii="Times New Roman" w:hAnsi="Times New Roman" w:cs="Times New Roman"/>
          <w:lang w:val="en-US"/>
        </w:rPr>
        <w:t>.</w:t>
      </w:r>
      <w:r w:rsidRPr="0066028A">
        <w:rPr>
          <w:rStyle w:val="FootnoteReference"/>
          <w:rFonts w:ascii="Times New Roman" w:hAnsi="Times New Roman" w:cs="Times New Roman"/>
        </w:rPr>
        <w:footnoteReference w:id="13"/>
      </w:r>
    </w:p>
    <w:p w:rsidR="003369C4" w:rsidRPr="0066028A" w:rsidRDefault="003369C4" w:rsidP="003369C4">
      <w:pPr>
        <w:widowControl w:val="0"/>
        <w:autoSpaceDE w:val="0"/>
        <w:autoSpaceDN w:val="0"/>
        <w:spacing w:before="139" w:after="0" w:line="360" w:lineRule="auto"/>
        <w:ind w:left="426" w:right="142" w:firstLine="567"/>
        <w:jc w:val="both"/>
        <w:rPr>
          <w:rFonts w:ascii="Times New Roman" w:hAnsi="Times New Roman" w:cs="Times New Roman"/>
        </w:rPr>
      </w:pPr>
      <w:r w:rsidRPr="0066028A">
        <w:rPr>
          <w:rFonts w:ascii="Times New Roman" w:hAnsi="Times New Roman" w:cs="Times New Roman"/>
        </w:rPr>
        <w:t>Teknik pengumpulan data yang digunakan adalah studi kepustakaan (</w:t>
      </w:r>
      <w:r w:rsidRPr="002550E7">
        <w:rPr>
          <w:rFonts w:ascii="Times New Roman" w:hAnsi="Times New Roman" w:cs="Times New Roman"/>
        </w:rPr>
        <w:t>library research</w:t>
      </w:r>
      <w:r w:rsidRPr="0066028A">
        <w:rPr>
          <w:rFonts w:ascii="Times New Roman" w:hAnsi="Times New Roman" w:cs="Times New Roman"/>
        </w:rPr>
        <w:t>), yaitu kegiatan mencari, mengkaji, dan mencatat berbagai bahan hukum serta literatur yang relevan dengan fokus penelitian. Studi kepustakaanmenjadimetodeutamadalampenelitianyuridisnormatifkarena fokusnya pada pemahaman terhadap norma-norma hukum dan doktrin yang berlaku</w:t>
      </w:r>
      <w:r w:rsidRPr="002550E7">
        <w:rPr>
          <w:rFonts w:ascii="Times New Roman" w:hAnsi="Times New Roman" w:cs="Times New Roman"/>
        </w:rPr>
        <w:t>.</w:t>
      </w:r>
      <w:r w:rsidRPr="002550E7">
        <w:footnoteReference w:id="14"/>
      </w:r>
      <w:r w:rsidRPr="0066028A">
        <w:rPr>
          <w:rFonts w:ascii="Times New Roman" w:hAnsi="Times New Roman" w:cs="Times New Roman"/>
        </w:rPr>
        <w:t xml:space="preserve">MenurutZainuddinAli,studikepustakaandalampenelitianhukum dilakukanmelaluipencariandatadalamperaturan,jurnal,buku,dandokumen hukum lainnyasebagai sarana pembuktian ilmiah dalam menjawab rumusan </w:t>
      </w:r>
      <w:r w:rsidRPr="002550E7">
        <w:rPr>
          <w:rFonts w:ascii="Times New Roman" w:hAnsi="Times New Roman" w:cs="Times New Roman"/>
        </w:rPr>
        <w:t>masalah.</w:t>
      </w:r>
      <w:r w:rsidRPr="002550E7">
        <w:footnoteReference w:id="15"/>
      </w:r>
    </w:p>
    <w:p w:rsidR="003369C4" w:rsidRPr="0066028A" w:rsidRDefault="003369C4" w:rsidP="003369C4">
      <w:pPr>
        <w:widowControl w:val="0"/>
        <w:autoSpaceDE w:val="0"/>
        <w:autoSpaceDN w:val="0"/>
        <w:spacing w:before="139" w:after="0" w:line="360" w:lineRule="auto"/>
        <w:ind w:left="426" w:right="142" w:firstLine="567"/>
        <w:jc w:val="both"/>
        <w:rPr>
          <w:rFonts w:ascii="Times New Roman" w:hAnsi="Times New Roman" w:cs="Times New Roman"/>
        </w:rPr>
      </w:pPr>
      <w:r w:rsidRPr="0066028A">
        <w:rPr>
          <w:rFonts w:ascii="Times New Roman" w:hAnsi="Times New Roman" w:cs="Times New Roman"/>
        </w:rPr>
        <w:t>Teknikinimemungkinkanpenelitiuntukmelakukananalisisterhadap normahukumsecarasistematisdankomprehensif.Disampingitu,teknikini juga mendukung proses penemuan hukum melalui metode interpretasi dan konstruksihukum.Interpretasihukumdiperlukanuntuk</w:t>
      </w:r>
      <w:r w:rsidRPr="0066028A">
        <w:rPr>
          <w:rFonts w:ascii="Times New Roman" w:hAnsi="Times New Roman" w:cs="Times New Roman"/>
          <w:spacing w:val="-2"/>
        </w:rPr>
        <w:t xml:space="preserve">menafsirkan </w:t>
      </w:r>
      <w:r w:rsidRPr="0066028A">
        <w:rPr>
          <w:rFonts w:ascii="Times New Roman" w:hAnsi="Times New Roman" w:cs="Times New Roman"/>
        </w:rPr>
        <w:t>ketentuan normatif dalam undang-undang, sedangkan konstruksi hukum digunakan untuk mengisi kekosongan hukum (</w:t>
      </w:r>
      <w:r w:rsidRPr="00306A2D">
        <w:rPr>
          <w:rFonts w:ascii="Times New Roman" w:hAnsi="Times New Roman" w:cs="Times New Roman"/>
          <w:i/>
          <w:iCs/>
        </w:rPr>
        <w:t>rechtvacuum</w:t>
      </w:r>
      <w:r w:rsidRPr="0066028A">
        <w:rPr>
          <w:rFonts w:ascii="Times New Roman" w:hAnsi="Times New Roman" w:cs="Times New Roman"/>
        </w:rPr>
        <w:t xml:space="preserve">) atau menjembatani </w:t>
      </w:r>
      <w:r w:rsidRPr="0066028A">
        <w:rPr>
          <w:rFonts w:ascii="Times New Roman" w:hAnsi="Times New Roman" w:cs="Times New Roman"/>
        </w:rPr>
        <w:lastRenderedPageBreak/>
        <w:t>kekaburan norma (</w:t>
      </w:r>
      <w:r w:rsidRPr="00306A2D">
        <w:rPr>
          <w:rFonts w:ascii="Times New Roman" w:hAnsi="Times New Roman" w:cs="Times New Roman"/>
          <w:i/>
          <w:iCs/>
        </w:rPr>
        <w:t>vagueness of norm</w:t>
      </w:r>
      <w:r w:rsidRPr="0066028A">
        <w:rPr>
          <w:rFonts w:ascii="Times New Roman" w:hAnsi="Times New Roman" w:cs="Times New Roman"/>
        </w:rPr>
        <w:t>)</w:t>
      </w:r>
      <w:r>
        <w:rPr>
          <w:rFonts w:ascii="Times New Roman" w:hAnsi="Times New Roman" w:cs="Times New Roman"/>
          <w:lang w:val="en-US"/>
        </w:rPr>
        <w:t>.</w:t>
      </w:r>
      <w:r w:rsidRPr="0066028A">
        <w:rPr>
          <w:rStyle w:val="FootnoteReference"/>
          <w:rFonts w:ascii="Times New Roman" w:hAnsi="Times New Roman" w:cs="Times New Roman"/>
        </w:rPr>
        <w:footnoteReference w:id="16"/>
      </w:r>
      <w:r w:rsidRPr="0066028A">
        <w:rPr>
          <w:rFonts w:ascii="Times New Roman" w:hAnsi="Times New Roman" w:cs="Times New Roman"/>
        </w:rPr>
        <w:t xml:space="preserve"> Studi kepustakaan jugasangatefisiendalam penelitiannormatifkarenamemungkinkanpeneliti untuk mengakses informasi hukum lintas waktu, baik yang bersifat kontemporer maupun historis</w:t>
      </w:r>
      <w:r>
        <w:rPr>
          <w:rFonts w:ascii="Times New Roman" w:hAnsi="Times New Roman" w:cs="Times New Roman"/>
          <w:lang w:val="en-US"/>
        </w:rPr>
        <w:t>.</w:t>
      </w:r>
      <w:r w:rsidRPr="0066028A">
        <w:rPr>
          <w:rStyle w:val="FootnoteReference"/>
          <w:rFonts w:ascii="Times New Roman" w:hAnsi="Times New Roman" w:cs="Times New Roman"/>
        </w:rPr>
        <w:footnoteReference w:id="17"/>
      </w:r>
    </w:p>
    <w:p w:rsidR="003369C4" w:rsidRPr="0066028A" w:rsidRDefault="003369C4" w:rsidP="003369C4">
      <w:pPr>
        <w:widowControl w:val="0"/>
        <w:autoSpaceDE w:val="0"/>
        <w:autoSpaceDN w:val="0"/>
        <w:spacing w:before="139" w:after="0" w:line="360" w:lineRule="auto"/>
        <w:ind w:left="426" w:right="142" w:firstLine="567"/>
        <w:jc w:val="both"/>
        <w:rPr>
          <w:rFonts w:ascii="Times New Roman" w:hAnsi="Times New Roman" w:cs="Times New Roman"/>
        </w:rPr>
      </w:pPr>
      <w:r w:rsidRPr="0066028A">
        <w:rPr>
          <w:rFonts w:ascii="Times New Roman" w:hAnsi="Times New Roman" w:cs="Times New Roman"/>
        </w:rPr>
        <w:t>Denganmenggabungkan penggunaandataprimer dansekunderyang diperoleh melalui studi kepustakaan, penelitian ini diharapkan mampu menghasilkan analisis yang utuh, baik dari sisi dogmatik hukum maupun dimensi praktisnya.</w:t>
      </w:r>
    </w:p>
    <w:p w:rsidR="003369C4" w:rsidRPr="0066028A" w:rsidRDefault="003369C4" w:rsidP="003369C4">
      <w:pPr>
        <w:pStyle w:val="Heading2"/>
        <w:keepNext w:val="0"/>
        <w:keepLines w:val="0"/>
        <w:widowControl w:val="0"/>
        <w:numPr>
          <w:ilvl w:val="0"/>
          <w:numId w:val="18"/>
        </w:numPr>
        <w:autoSpaceDE w:val="0"/>
        <w:autoSpaceDN w:val="0"/>
        <w:spacing w:before="237" w:after="0" w:line="360" w:lineRule="auto"/>
        <w:ind w:left="426" w:hanging="426"/>
        <w:rPr>
          <w:rFonts w:ascii="Times New Roman" w:hAnsi="Times New Roman" w:cs="Times New Roman"/>
          <w:b/>
          <w:bCs/>
          <w:color w:val="auto"/>
          <w:sz w:val="24"/>
          <w:szCs w:val="24"/>
        </w:rPr>
      </w:pPr>
      <w:r w:rsidRPr="0066028A">
        <w:rPr>
          <w:rFonts w:ascii="Times New Roman" w:hAnsi="Times New Roman" w:cs="Times New Roman"/>
          <w:b/>
          <w:bCs/>
          <w:color w:val="auto"/>
          <w:sz w:val="24"/>
          <w:szCs w:val="24"/>
        </w:rPr>
        <w:t>TeknikAnalisis</w:t>
      </w:r>
      <w:r w:rsidRPr="0066028A">
        <w:rPr>
          <w:rFonts w:ascii="Times New Roman" w:hAnsi="Times New Roman" w:cs="Times New Roman"/>
          <w:b/>
          <w:bCs/>
          <w:color w:val="auto"/>
          <w:spacing w:val="-4"/>
          <w:sz w:val="24"/>
          <w:szCs w:val="24"/>
        </w:rPr>
        <w:t>Data</w:t>
      </w:r>
    </w:p>
    <w:p w:rsidR="003369C4" w:rsidRPr="0066028A" w:rsidRDefault="003369C4" w:rsidP="003369C4">
      <w:pPr>
        <w:widowControl w:val="0"/>
        <w:autoSpaceDE w:val="0"/>
        <w:autoSpaceDN w:val="0"/>
        <w:spacing w:before="139" w:after="0" w:line="360" w:lineRule="auto"/>
        <w:ind w:left="426" w:right="142" w:firstLine="567"/>
        <w:jc w:val="both"/>
        <w:rPr>
          <w:rFonts w:ascii="Times New Roman" w:hAnsi="Times New Roman" w:cs="Times New Roman"/>
        </w:rPr>
      </w:pPr>
      <w:r w:rsidRPr="0066028A">
        <w:rPr>
          <w:rFonts w:ascii="Times New Roman" w:hAnsi="Times New Roman" w:cs="Times New Roman"/>
        </w:rPr>
        <w:t xml:space="preserve">Dalam penelitian hukum normatif ini, teknik analisis data yang digunakan adalah </w:t>
      </w:r>
      <w:r w:rsidRPr="0066028A">
        <w:rPr>
          <w:rFonts w:ascii="Times New Roman" w:hAnsi="Times New Roman" w:cs="Times New Roman"/>
          <w:i/>
        </w:rPr>
        <w:t xml:space="preserve">analisis kualitatif </w:t>
      </w:r>
      <w:r w:rsidRPr="0066028A">
        <w:rPr>
          <w:rFonts w:ascii="Times New Roman" w:hAnsi="Times New Roman" w:cs="Times New Roman"/>
        </w:rPr>
        <w:t xml:space="preserve">dengan metode </w:t>
      </w:r>
      <w:r w:rsidRPr="0066028A">
        <w:rPr>
          <w:rFonts w:ascii="Times New Roman" w:hAnsi="Times New Roman" w:cs="Times New Roman"/>
          <w:i/>
        </w:rPr>
        <w:t>deskriptif-analitis</w:t>
      </w:r>
      <w:r w:rsidRPr="0066028A">
        <w:rPr>
          <w:rFonts w:ascii="Times New Roman" w:hAnsi="Times New Roman" w:cs="Times New Roman"/>
        </w:rPr>
        <w:t>. Analisis data secara kualitatif dilakukan tanpa menggunakan angka atau statistik, melainkan dengan menafsirkan, mengkaji, dan menguraikan bahan hukum yang relevan sesuai dengan rumusan masalah penelitian. Tujuan dari teknik ini adalah untuk menggambarkan dan menganalisis norma hukum secara sistematis, sehingga dapat diperoleh pemahaman yang mendalam terhadap peran kurator sebagaimana diatur dalam Pasal 69 ayat (1) Undang- UndangNomor37Tahun2004tentangKepailitandanPenundaanKewajiban Pembayaran Utang.</w:t>
      </w:r>
    </w:p>
    <w:p w:rsidR="003369C4" w:rsidRPr="0066028A" w:rsidRDefault="003369C4" w:rsidP="003369C4">
      <w:pPr>
        <w:widowControl w:val="0"/>
        <w:autoSpaceDE w:val="0"/>
        <w:autoSpaceDN w:val="0"/>
        <w:spacing w:before="139" w:after="0" w:line="360" w:lineRule="auto"/>
        <w:ind w:left="426" w:right="142" w:firstLine="567"/>
        <w:jc w:val="both"/>
        <w:rPr>
          <w:rFonts w:ascii="Times New Roman" w:hAnsi="Times New Roman" w:cs="Times New Roman"/>
        </w:rPr>
      </w:pPr>
      <w:r w:rsidRPr="0066028A">
        <w:rPr>
          <w:rFonts w:ascii="Times New Roman" w:hAnsi="Times New Roman" w:cs="Times New Roman"/>
        </w:rPr>
        <w:t>Sebagaimana dijelaskan oleh Peter Mahmud Marzuki, analisis kualitatif dalam penelitian hukum bertujuan untuk mengkaji isi hukum yang bersifat normatif melalui pendekatan terhadap peraturan perundang-undangan, doktrin, dan putusan pengadilan yang relevan dengan permasalahanyangdiangkatdalampenelitiantersebut</w:t>
      </w:r>
      <w:r>
        <w:rPr>
          <w:rFonts w:ascii="Times New Roman" w:hAnsi="Times New Roman" w:cs="Times New Roman"/>
          <w:lang w:val="en-US"/>
        </w:rPr>
        <w:t>.</w:t>
      </w:r>
      <w:r w:rsidRPr="0066028A">
        <w:rPr>
          <w:rStyle w:val="FootnoteReference"/>
          <w:rFonts w:ascii="Times New Roman" w:hAnsi="Times New Roman" w:cs="Times New Roman"/>
        </w:rPr>
        <w:footnoteReference w:id="18"/>
      </w:r>
      <w:r w:rsidRPr="0066028A">
        <w:rPr>
          <w:rFonts w:ascii="Times New Roman" w:hAnsi="Times New Roman" w:cs="Times New Roman"/>
        </w:rPr>
        <w:t>Dengankata</w:t>
      </w:r>
      <w:r w:rsidRPr="0066028A">
        <w:rPr>
          <w:rFonts w:ascii="Times New Roman" w:hAnsi="Times New Roman" w:cs="Times New Roman"/>
          <w:spacing w:val="-2"/>
        </w:rPr>
        <w:t xml:space="preserve">lain, </w:t>
      </w:r>
      <w:r w:rsidRPr="0066028A">
        <w:rPr>
          <w:rFonts w:ascii="Times New Roman" w:hAnsi="Times New Roman" w:cs="Times New Roman"/>
        </w:rPr>
        <w:t xml:space="preserve">metode ini tidak hanya mendeskripsikan bunyi norma hukum, tetapi juga menelaahbagaimananormatersebutbekerjadalampraktik,khususnyadalam </w:t>
      </w:r>
      <w:r w:rsidRPr="0066028A">
        <w:rPr>
          <w:rFonts w:ascii="Times New Roman" w:hAnsi="Times New Roman" w:cs="Times New Roman"/>
        </w:rPr>
        <w:lastRenderedPageBreak/>
        <w:t>kontekspelaksanaantugaskuratordalamprosespengurusandanpemberesan harta debitor pailit.</w:t>
      </w:r>
    </w:p>
    <w:p w:rsidR="003369C4" w:rsidRPr="0066028A" w:rsidRDefault="003369C4" w:rsidP="003369C4">
      <w:pPr>
        <w:widowControl w:val="0"/>
        <w:autoSpaceDE w:val="0"/>
        <w:autoSpaceDN w:val="0"/>
        <w:spacing w:before="139" w:after="0" w:line="360" w:lineRule="auto"/>
        <w:ind w:left="426" w:right="142" w:firstLine="567"/>
        <w:jc w:val="both"/>
        <w:rPr>
          <w:rFonts w:ascii="Times New Roman" w:hAnsi="Times New Roman" w:cs="Times New Roman"/>
        </w:rPr>
      </w:pPr>
      <w:r w:rsidRPr="0066028A">
        <w:rPr>
          <w:rFonts w:ascii="Times New Roman" w:hAnsi="Times New Roman" w:cs="Times New Roman"/>
        </w:rPr>
        <w:t>Metode deskriptif-analitis digunakan untuk menggambarkan norma hukum dan konsep-konsep hukum yang berkaitan dengan kurator, serta menganalisis bagaimana implementasinya di lapangan. Dalam konteks ini, deskripsi tidak hanya menjelaskan ketentuan dalam Pasal 69 ayat (1), tetapi juga menghubungkannya dengan peraturan lain, misalnya peraturan pelaksanaan, putusan pengadilan, dan doktrin hukum yang membahas peran serta tanggung jawab kurator. Seperti dijelaskan oleh Soerjono Soekanto, metodedeskriptif-analitismemungkinkanpenelitiuntukmenyusungambaran hukum yang utuh dan mengidentifikasi kesenjangan antara aturan normatif dengan realitas hukum di lapangan</w:t>
      </w:r>
      <w:r>
        <w:rPr>
          <w:rFonts w:ascii="Times New Roman" w:hAnsi="Times New Roman" w:cs="Times New Roman"/>
          <w:lang w:val="en-US"/>
        </w:rPr>
        <w:t>.</w:t>
      </w:r>
      <w:r w:rsidRPr="0066028A">
        <w:rPr>
          <w:rStyle w:val="FootnoteReference"/>
          <w:rFonts w:ascii="Times New Roman" w:hAnsi="Times New Roman" w:cs="Times New Roman"/>
        </w:rPr>
        <w:footnoteReference w:id="19"/>
      </w:r>
    </w:p>
    <w:p w:rsidR="003369C4" w:rsidRPr="0066028A" w:rsidRDefault="003369C4" w:rsidP="003369C4">
      <w:pPr>
        <w:widowControl w:val="0"/>
        <w:autoSpaceDE w:val="0"/>
        <w:autoSpaceDN w:val="0"/>
        <w:spacing w:before="139" w:after="0" w:line="360" w:lineRule="auto"/>
        <w:ind w:left="426" w:right="142" w:firstLine="567"/>
        <w:jc w:val="both"/>
        <w:rPr>
          <w:rFonts w:ascii="Times New Roman" w:hAnsi="Times New Roman" w:cs="Times New Roman"/>
        </w:rPr>
      </w:pPr>
      <w:r w:rsidRPr="0066028A">
        <w:rPr>
          <w:rFonts w:ascii="Times New Roman" w:hAnsi="Times New Roman" w:cs="Times New Roman"/>
        </w:rPr>
        <w:t xml:space="preserve">Analisis dilakukan secara sistematis terhadap setiap unsur norma hukum, seperti subjek hukum (kurator), obyek hukum (harta </w:t>
      </w:r>
      <w:r>
        <w:rPr>
          <w:rFonts w:ascii="Times New Roman" w:hAnsi="Times New Roman" w:cs="Times New Roman"/>
          <w:lang w:val="en-US"/>
        </w:rPr>
        <w:t xml:space="preserve">debitur </w:t>
      </w:r>
      <w:r w:rsidRPr="0066028A">
        <w:rPr>
          <w:rFonts w:ascii="Times New Roman" w:hAnsi="Times New Roman" w:cs="Times New Roman"/>
        </w:rPr>
        <w:t xml:space="preserve">pailit), dan prosedurpengurusansertapemberesan.Disampingitu,jugadilakukantelaah </w:t>
      </w:r>
      <w:r w:rsidRPr="0066028A">
        <w:rPr>
          <w:rFonts w:ascii="Times New Roman" w:hAnsi="Times New Roman" w:cs="Times New Roman"/>
          <w:spacing w:val="-2"/>
        </w:rPr>
        <w:t xml:space="preserve">terhadap aspek legalitas dan akuntabilitas kurator sebagaimanadituntut dalam </w:t>
      </w:r>
      <w:r w:rsidRPr="0066028A">
        <w:rPr>
          <w:rFonts w:ascii="Times New Roman" w:hAnsi="Times New Roman" w:cs="Times New Roman"/>
        </w:rPr>
        <w:t>hukum kepailitan modern. Menurut Rachmadi Usman, dalam praktik kepailitan, tugas kurator bukan hanya administratif, tetapi juga memerlukan tanggungjawabhukumyangtinggikarenamenyangkutkepentingankreditur, debitur, serta stabilitas hukum ekonomi</w:t>
      </w:r>
      <w:r>
        <w:rPr>
          <w:rFonts w:ascii="Times New Roman" w:hAnsi="Times New Roman" w:cs="Times New Roman"/>
          <w:lang w:val="en-US"/>
        </w:rPr>
        <w:t>.</w:t>
      </w:r>
      <w:r w:rsidRPr="0066028A">
        <w:rPr>
          <w:rStyle w:val="FootnoteReference"/>
          <w:rFonts w:ascii="Times New Roman" w:hAnsi="Times New Roman" w:cs="Times New Roman"/>
        </w:rPr>
        <w:footnoteReference w:id="20"/>
      </w:r>
    </w:p>
    <w:p w:rsidR="003369C4" w:rsidRPr="0066028A" w:rsidRDefault="003369C4" w:rsidP="003369C4">
      <w:pPr>
        <w:widowControl w:val="0"/>
        <w:autoSpaceDE w:val="0"/>
        <w:autoSpaceDN w:val="0"/>
        <w:spacing w:before="139" w:after="0" w:line="360" w:lineRule="auto"/>
        <w:ind w:left="426" w:right="142" w:firstLine="567"/>
        <w:jc w:val="both"/>
        <w:rPr>
          <w:rFonts w:ascii="Times New Roman" w:hAnsi="Times New Roman" w:cs="Times New Roman"/>
        </w:rPr>
      </w:pPr>
      <w:r w:rsidRPr="0066028A">
        <w:rPr>
          <w:rFonts w:ascii="Times New Roman" w:hAnsi="Times New Roman" w:cs="Times New Roman"/>
        </w:rPr>
        <w:t>Untuk menunjang keabsahan analisis, data yang diperoleh dari studi kepustakaan disusun, diklasifikasi, dan dikaitkan secara logis antara norma hukum, praktik pengadilan, dan teori hukum yang berlaku. Selanjutnya, interpretasi dilakukan secara gramatikal, sistematis, dan teleologis terhadap Pasal69ayat(1)danpasal-pasallainyangterkait.BernardArief</w:t>
      </w:r>
      <w:r w:rsidRPr="0066028A">
        <w:rPr>
          <w:rFonts w:ascii="Times New Roman" w:hAnsi="Times New Roman" w:cs="Times New Roman"/>
          <w:spacing w:val="-2"/>
        </w:rPr>
        <w:t xml:space="preserve">Sidharta </w:t>
      </w:r>
      <w:r w:rsidRPr="0066028A">
        <w:rPr>
          <w:rFonts w:ascii="Times New Roman" w:hAnsi="Times New Roman" w:cs="Times New Roman"/>
        </w:rPr>
        <w:t xml:space="preserve">menyatakan bahwa dalam penelitian hukum normatif, interpretasi norma tidak bisa dilepaskan dari konteks sistem hukumnya, agar penemuan hukum </w:t>
      </w:r>
      <w:r w:rsidRPr="0066028A">
        <w:rPr>
          <w:rFonts w:ascii="Times New Roman" w:hAnsi="Times New Roman" w:cs="Times New Roman"/>
        </w:rPr>
        <w:lastRenderedPageBreak/>
        <w:t>bersifat kontekstual dan tidak menyimpang dari prinsip keadilan huku.</w:t>
      </w:r>
      <w:r w:rsidRPr="0066028A">
        <w:rPr>
          <w:rStyle w:val="FootnoteReference"/>
          <w:rFonts w:ascii="Times New Roman" w:hAnsi="Times New Roman" w:cs="Times New Roman"/>
        </w:rPr>
        <w:footnoteReference w:id="21"/>
      </w:r>
    </w:p>
    <w:p w:rsidR="003369C4" w:rsidRPr="0066028A" w:rsidRDefault="003369C4" w:rsidP="003369C4">
      <w:pPr>
        <w:widowControl w:val="0"/>
        <w:autoSpaceDE w:val="0"/>
        <w:autoSpaceDN w:val="0"/>
        <w:spacing w:before="139" w:after="0" w:line="360" w:lineRule="auto"/>
        <w:ind w:left="426" w:right="142" w:firstLine="567"/>
        <w:jc w:val="both"/>
        <w:rPr>
          <w:rFonts w:ascii="Times New Roman" w:hAnsi="Times New Roman" w:cs="Times New Roman"/>
        </w:rPr>
      </w:pPr>
      <w:r w:rsidRPr="0066028A">
        <w:rPr>
          <w:rFonts w:ascii="Times New Roman" w:hAnsi="Times New Roman" w:cs="Times New Roman"/>
        </w:rPr>
        <w:t>Melaluipendekatanini, penelitidapatmenguraikanbagaimanaperan kuratordalampengurusandanpemberesanharta</w:t>
      </w:r>
      <w:r>
        <w:rPr>
          <w:rFonts w:ascii="Times New Roman" w:eastAsia="Times New Roman" w:hAnsi="Times New Roman" w:cs="Times New Roman"/>
          <w:kern w:val="0"/>
          <w:lang w:val="en-US" w:eastAsia="en-US"/>
        </w:rPr>
        <w:t xml:space="preserve">debitur </w:t>
      </w:r>
      <w:r w:rsidRPr="0066028A">
        <w:rPr>
          <w:rFonts w:ascii="Times New Roman" w:hAnsi="Times New Roman" w:cs="Times New Roman"/>
        </w:rPr>
        <w:t>pailitdijalankansecaraideal menurut hukum positif, serta apakah praktiknya di lapangan telah sejalan dengan amanat Undang-Undang Nomor 37 Tahun 2004. Teknik analisis ini juga bermanfaat dalam menilai efektifitas norma dan mengidentifikasi hambatan-hambatanyangmunculdalampelaksanaantugaskurator,terutama dalam menjaga transparansi, integritas, dan kepastian hukum. Sebagaimana ditegaskan oleh Zainuddin Ali, analisis kualitatif yang deskriptif-analitis bertujuan untuk menghasilkan kesimpulan normatif yang logis dan dapat dipertanggungjawabkan secara ilmiah</w:t>
      </w:r>
      <w:r>
        <w:rPr>
          <w:rFonts w:ascii="Times New Roman" w:hAnsi="Times New Roman" w:cs="Times New Roman"/>
          <w:lang w:val="en-US"/>
        </w:rPr>
        <w:t>.</w:t>
      </w:r>
      <w:r w:rsidRPr="0066028A">
        <w:rPr>
          <w:rStyle w:val="FootnoteReference"/>
          <w:rFonts w:ascii="Times New Roman" w:hAnsi="Times New Roman" w:cs="Times New Roman"/>
        </w:rPr>
        <w:footnoteReference w:id="22"/>
      </w:r>
    </w:p>
    <w:p w:rsidR="003369C4" w:rsidRPr="0066028A" w:rsidRDefault="003369C4" w:rsidP="003369C4">
      <w:pPr>
        <w:pStyle w:val="Heading2"/>
        <w:keepNext w:val="0"/>
        <w:keepLines w:val="0"/>
        <w:widowControl w:val="0"/>
        <w:numPr>
          <w:ilvl w:val="0"/>
          <w:numId w:val="18"/>
        </w:numPr>
        <w:autoSpaceDE w:val="0"/>
        <w:autoSpaceDN w:val="0"/>
        <w:spacing w:before="237" w:after="0" w:line="360" w:lineRule="auto"/>
        <w:ind w:left="426" w:hanging="426"/>
        <w:rPr>
          <w:rFonts w:ascii="Times New Roman" w:hAnsi="Times New Roman" w:cs="Times New Roman"/>
          <w:b/>
          <w:bCs/>
          <w:color w:val="auto"/>
          <w:sz w:val="24"/>
          <w:szCs w:val="24"/>
        </w:rPr>
      </w:pPr>
      <w:r w:rsidRPr="0066028A">
        <w:rPr>
          <w:rFonts w:ascii="Times New Roman" w:hAnsi="Times New Roman" w:cs="Times New Roman"/>
          <w:b/>
          <w:bCs/>
          <w:color w:val="auto"/>
          <w:sz w:val="24"/>
          <w:szCs w:val="24"/>
        </w:rPr>
        <w:t xml:space="preserve">LokasidanWaktu </w:t>
      </w:r>
      <w:r w:rsidRPr="0066028A">
        <w:rPr>
          <w:rFonts w:ascii="Times New Roman" w:hAnsi="Times New Roman" w:cs="Times New Roman"/>
          <w:b/>
          <w:bCs/>
          <w:color w:val="auto"/>
          <w:spacing w:val="-2"/>
          <w:sz w:val="24"/>
          <w:szCs w:val="24"/>
        </w:rPr>
        <w:t>Penelitian</w:t>
      </w:r>
    </w:p>
    <w:p w:rsidR="003369C4" w:rsidRPr="002550E7" w:rsidRDefault="003369C4" w:rsidP="003369C4">
      <w:pPr>
        <w:widowControl w:val="0"/>
        <w:autoSpaceDE w:val="0"/>
        <w:autoSpaceDN w:val="0"/>
        <w:spacing w:before="139" w:after="0" w:line="360" w:lineRule="auto"/>
        <w:ind w:left="426" w:right="142" w:firstLine="567"/>
        <w:jc w:val="both"/>
        <w:rPr>
          <w:rFonts w:ascii="Times New Roman" w:hAnsi="Times New Roman" w:cs="Times New Roman"/>
        </w:rPr>
      </w:pPr>
      <w:r>
        <w:rPr>
          <w:rFonts w:ascii="Times New Roman" w:hAnsi="Times New Roman" w:cs="Times New Roman"/>
        </w:rPr>
        <w:t>Penelitian ini dilaksanakan di Pengadilan Niaga pada Pengadilan Negeri Jakarta Pusat, yang berwenang menangani perkara kepailitan dan penundaan kewajiban pembayaran utang (PKPU). Lokasi ini dipilih karena merupakan lembaga peradilan niaga yang memiliki yurisdiksi nasional dalam memeriksa, mengadili, dan memutus perkara kepailitan yang diajukan terhadap perusahaan maupun perorangan. Selain itu, Pengadilan Niaga Jakarta Pusat juga menjadi rujukan utama dalam berbagai putusan penting yang berkaitan dengan interpretasi hukum kepailitan di Indonesia, sehingga relevan untuk dijadikan sebagai sumber utama dalam kajian hukum yuridis terhadap putusan pailit.</w:t>
      </w:r>
    </w:p>
    <w:p w:rsidR="00653891" w:rsidRPr="003369C4" w:rsidRDefault="00653891" w:rsidP="003369C4">
      <w:bookmarkStart w:id="2" w:name="_GoBack"/>
      <w:bookmarkEnd w:id="2"/>
    </w:p>
    <w:sectPr w:rsidR="00653891" w:rsidRPr="003369C4" w:rsidSect="00B33DD4">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E53" w:rsidRDefault="00FE7E53" w:rsidP="00F77DA8">
      <w:pPr>
        <w:spacing w:after="0" w:line="240" w:lineRule="auto"/>
      </w:pPr>
      <w:r>
        <w:separator/>
      </w:r>
    </w:p>
  </w:endnote>
  <w:endnote w:type="continuationSeparator" w:id="1">
    <w:p w:rsidR="00FE7E53" w:rsidRDefault="00FE7E53" w:rsidP="00F77D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89" w:rsidRDefault="00FE7E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89" w:rsidRDefault="00FE7E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0FA" w:rsidRDefault="00FE7E53" w:rsidP="00820F02">
    <w:pPr>
      <w:pStyle w:val="Footer"/>
      <w:jc w:val="center"/>
    </w:pPr>
  </w:p>
  <w:p w:rsidR="000A00FA" w:rsidRDefault="00FE7E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E53" w:rsidRDefault="00FE7E53" w:rsidP="00F77DA8">
      <w:pPr>
        <w:spacing w:after="0" w:line="240" w:lineRule="auto"/>
      </w:pPr>
      <w:r>
        <w:separator/>
      </w:r>
    </w:p>
  </w:footnote>
  <w:footnote w:type="continuationSeparator" w:id="1">
    <w:p w:rsidR="00FE7E53" w:rsidRDefault="00FE7E53" w:rsidP="00F77DA8">
      <w:pPr>
        <w:spacing w:after="0" w:line="240" w:lineRule="auto"/>
      </w:pPr>
      <w:r>
        <w:continuationSeparator/>
      </w:r>
    </w:p>
  </w:footnote>
  <w:footnote w:id="2">
    <w:p w:rsidR="003369C4" w:rsidRPr="00090EBF" w:rsidRDefault="003369C4" w:rsidP="003369C4">
      <w:pPr>
        <w:pStyle w:val="FootnoteText"/>
      </w:pPr>
      <w:r>
        <w:rPr>
          <w:rStyle w:val="FootnoteReference"/>
        </w:rPr>
        <w:footnoteRef/>
      </w:r>
      <w:r w:rsidRPr="00090EBF">
        <w:t xml:space="preserve">Soerjono Soekanto dan Sri Mamudji, </w:t>
      </w:r>
      <w:r w:rsidRPr="00090EBF">
        <w:rPr>
          <w:i/>
        </w:rPr>
        <w:t>Penelitian Hukum Normatif: Suatu Tinjauan Singkat</w:t>
      </w:r>
      <w:r w:rsidRPr="00090EBF">
        <w:t>, (Jakarta: RajaGrafindo Persada, 2003), hlm. 13.</w:t>
      </w:r>
    </w:p>
    <w:p w:rsidR="003369C4" w:rsidRPr="00090EBF" w:rsidRDefault="003369C4" w:rsidP="003369C4">
      <w:pPr>
        <w:pStyle w:val="FootnoteText"/>
      </w:pPr>
    </w:p>
  </w:footnote>
  <w:footnote w:id="3">
    <w:p w:rsidR="003369C4" w:rsidRPr="00090EBF" w:rsidRDefault="003369C4" w:rsidP="003369C4">
      <w:pPr>
        <w:pStyle w:val="FootnoteText"/>
      </w:pPr>
      <w:r>
        <w:rPr>
          <w:rStyle w:val="FootnoteReference"/>
        </w:rPr>
        <w:footnoteRef/>
      </w:r>
      <w:r w:rsidRPr="00090EBF">
        <w:rPr>
          <w:lang w:val="id-ID"/>
        </w:rPr>
        <w:t xml:space="preserve">Rachmadi Usman, </w:t>
      </w:r>
      <w:r w:rsidRPr="00090EBF">
        <w:rPr>
          <w:i/>
          <w:lang w:val="id-ID"/>
        </w:rPr>
        <w:t>Hukum Kepailitan</w:t>
      </w:r>
      <w:r w:rsidRPr="00090EBF">
        <w:rPr>
          <w:lang w:val="id-ID"/>
        </w:rPr>
        <w:t>, (Jakarta: Sinar Grafika, 2014), hlm. 102</w:t>
      </w:r>
    </w:p>
  </w:footnote>
  <w:footnote w:id="4">
    <w:p w:rsidR="003369C4" w:rsidRPr="00090EBF" w:rsidRDefault="003369C4" w:rsidP="003369C4">
      <w:pPr>
        <w:pStyle w:val="FootnoteText"/>
      </w:pPr>
      <w:r>
        <w:rPr>
          <w:rStyle w:val="FootnoteReference"/>
        </w:rPr>
        <w:footnoteRef/>
      </w:r>
      <w:r w:rsidRPr="00090EBF">
        <w:rPr>
          <w:lang w:val="id-ID"/>
        </w:rPr>
        <w:t xml:space="preserve">Ridwan Khairandy, </w:t>
      </w:r>
      <w:r w:rsidRPr="00090EBF">
        <w:rPr>
          <w:i/>
          <w:lang w:val="id-ID"/>
        </w:rPr>
        <w:t>Hukum Kepailitan: Teori dan Praktik</w:t>
      </w:r>
      <w:r w:rsidRPr="00090EBF">
        <w:rPr>
          <w:lang w:val="id-ID"/>
        </w:rPr>
        <w:t>, (Yogyakarta: FH UII Press, 2018), hlm. 57</w:t>
      </w:r>
    </w:p>
  </w:footnote>
  <w:footnote w:id="5">
    <w:p w:rsidR="003369C4" w:rsidRPr="004321BC" w:rsidRDefault="003369C4" w:rsidP="003369C4">
      <w:pPr>
        <w:pStyle w:val="FootnoteText"/>
      </w:pPr>
      <w:r>
        <w:rPr>
          <w:rStyle w:val="FootnoteReference"/>
        </w:rPr>
        <w:footnoteRef/>
      </w:r>
      <w:r w:rsidRPr="004321BC">
        <w:rPr>
          <w:lang w:val="id-ID"/>
        </w:rPr>
        <w:t xml:space="preserve">Peter Mahmud Marzuki, </w:t>
      </w:r>
      <w:r w:rsidRPr="004321BC">
        <w:rPr>
          <w:i/>
          <w:lang w:val="id-ID"/>
        </w:rPr>
        <w:t>Penelitian Hukum</w:t>
      </w:r>
      <w:r w:rsidRPr="004321BC">
        <w:rPr>
          <w:lang w:val="id-ID"/>
        </w:rPr>
        <w:t>, (Jakarta: Kencana, 2010), hlm. 133</w:t>
      </w:r>
    </w:p>
  </w:footnote>
  <w:footnote w:id="6">
    <w:p w:rsidR="003369C4" w:rsidRPr="004321BC" w:rsidRDefault="003369C4" w:rsidP="003369C4">
      <w:pPr>
        <w:pStyle w:val="FootnoteText"/>
      </w:pPr>
      <w:r>
        <w:rPr>
          <w:rStyle w:val="FootnoteReference"/>
        </w:rPr>
        <w:footnoteRef/>
      </w:r>
      <w:r w:rsidRPr="004321BC">
        <w:t xml:space="preserve"> Putri Ayu Lestari, “</w:t>
      </w:r>
      <w:r w:rsidRPr="004321BC">
        <w:rPr>
          <w:i/>
        </w:rPr>
        <w:t xml:space="preserve">Peranan Kurator dalam Pengurusan dan Pemberesan </w:t>
      </w:r>
      <w:r>
        <w:rPr>
          <w:i/>
        </w:rPr>
        <w:t>Harta Debito</w:t>
      </w:r>
      <w:r w:rsidRPr="004321BC">
        <w:rPr>
          <w:i/>
        </w:rPr>
        <w:t>Pailit</w:t>
      </w:r>
      <w:r>
        <w:t>”</w:t>
      </w:r>
      <w:r w:rsidRPr="004321BC">
        <w:t>Skripsi, Universitas Lampung, 2019, hlm. 41.</w:t>
      </w:r>
    </w:p>
  </w:footnote>
  <w:footnote w:id="7">
    <w:p w:rsidR="003369C4" w:rsidRPr="004321BC" w:rsidRDefault="003369C4" w:rsidP="003369C4">
      <w:pPr>
        <w:pStyle w:val="FootnoteText"/>
      </w:pPr>
      <w:r>
        <w:rPr>
          <w:rStyle w:val="FootnoteReference"/>
        </w:rPr>
        <w:footnoteRef/>
      </w:r>
      <w:r w:rsidRPr="004321BC">
        <w:t xml:space="preserve">Gustav Radbruch, </w:t>
      </w:r>
      <w:r w:rsidRPr="004321BC">
        <w:rPr>
          <w:i/>
        </w:rPr>
        <w:t>Filsafat Hukum</w:t>
      </w:r>
      <w:r w:rsidRPr="004321BC">
        <w:t>, diterjemahkan oleh Muhammad Taufik, (Bandung: Nusamedia, 2014), hlm. 23.</w:t>
      </w:r>
    </w:p>
  </w:footnote>
  <w:footnote w:id="8">
    <w:p w:rsidR="003369C4" w:rsidRPr="00B23BC2" w:rsidRDefault="003369C4" w:rsidP="003369C4">
      <w:pPr>
        <w:pStyle w:val="FootnoteText"/>
        <w:ind w:right="-143"/>
        <w:rPr>
          <w:lang w:val="en-US"/>
        </w:rPr>
      </w:pPr>
      <w:r>
        <w:rPr>
          <w:rStyle w:val="FootnoteReference"/>
        </w:rPr>
        <w:footnoteRef/>
      </w:r>
      <w:r w:rsidRPr="004321BC">
        <w:t xml:space="preserve">Bismar Nasution, </w:t>
      </w:r>
      <w:r w:rsidRPr="004321BC">
        <w:rPr>
          <w:i/>
        </w:rPr>
        <w:t xml:space="preserve">Membangun Hukum yang Responsif, </w:t>
      </w:r>
      <w:r w:rsidRPr="004321BC">
        <w:t>(Jakarta: Ge</w:t>
      </w:r>
      <w:r>
        <w:t>nta Publishing, 2016), hlm8</w:t>
      </w:r>
      <w:r>
        <w:rPr>
          <w:lang w:val="en-US"/>
        </w:rPr>
        <w:t>8</w:t>
      </w:r>
    </w:p>
  </w:footnote>
  <w:footnote w:id="9">
    <w:p w:rsidR="003369C4" w:rsidRPr="004321BC" w:rsidRDefault="003369C4" w:rsidP="003369C4">
      <w:pPr>
        <w:pStyle w:val="FootnoteText"/>
      </w:pPr>
      <w:r>
        <w:rPr>
          <w:rStyle w:val="FootnoteReference"/>
        </w:rPr>
        <w:footnoteRef/>
      </w:r>
      <w:r w:rsidRPr="004321BC">
        <w:t xml:space="preserve">Republik Indonesia, </w:t>
      </w:r>
      <w:r w:rsidRPr="004321BC">
        <w:rPr>
          <w:i/>
        </w:rPr>
        <w:t>Undang-Undang Nomor 37 Tahun 2004 tentang Kepailitan dan Penundaan Kewajiban Pembayaran Utang</w:t>
      </w:r>
      <w:r w:rsidRPr="004321BC">
        <w:t>, Lembaran Negara Republik Indonesia Tahun 2004 Nomor 131.</w:t>
      </w:r>
    </w:p>
  </w:footnote>
  <w:footnote w:id="10">
    <w:p w:rsidR="003369C4" w:rsidRPr="004321BC" w:rsidRDefault="003369C4" w:rsidP="003369C4">
      <w:pPr>
        <w:pStyle w:val="FootnoteText"/>
      </w:pPr>
      <w:r>
        <w:rPr>
          <w:rStyle w:val="FootnoteReference"/>
        </w:rPr>
        <w:footnoteRef/>
      </w:r>
      <w:r w:rsidRPr="004321BC">
        <w:rPr>
          <w:lang w:val="id-ID"/>
        </w:rPr>
        <w:t xml:space="preserve">Mahfud MD, </w:t>
      </w:r>
      <w:r w:rsidRPr="004321BC">
        <w:rPr>
          <w:i/>
          <w:lang w:val="id-ID"/>
        </w:rPr>
        <w:t>Politik Hukum di Indonesia</w:t>
      </w:r>
      <w:r w:rsidRPr="004321BC">
        <w:rPr>
          <w:lang w:val="id-ID"/>
        </w:rPr>
        <w:t>, (Jakarta: Rajawali Press, 2011), hlm. 112.</w:t>
      </w:r>
    </w:p>
  </w:footnote>
  <w:footnote w:id="11">
    <w:p w:rsidR="003369C4" w:rsidRPr="004321BC" w:rsidRDefault="003369C4" w:rsidP="003369C4">
      <w:pPr>
        <w:pStyle w:val="FootnoteText"/>
      </w:pPr>
      <w:r>
        <w:rPr>
          <w:rStyle w:val="FootnoteReference"/>
        </w:rPr>
        <w:footnoteRef/>
      </w:r>
      <w:r w:rsidRPr="004321BC">
        <w:t>Rachmadi Usman, Hukum Kepailitan, (Jakarta: Sinar Grafika, 2014), hlm. 156.</w:t>
      </w:r>
    </w:p>
  </w:footnote>
  <w:footnote w:id="12">
    <w:p w:rsidR="003369C4" w:rsidRPr="004321BC" w:rsidRDefault="003369C4" w:rsidP="003369C4">
      <w:pPr>
        <w:pStyle w:val="FootnoteText"/>
        <w:rPr>
          <w:i/>
        </w:rPr>
      </w:pPr>
      <w:r>
        <w:rPr>
          <w:rStyle w:val="FootnoteReference"/>
        </w:rPr>
        <w:footnoteRef/>
      </w:r>
      <w:r w:rsidRPr="004321BC">
        <w:t xml:space="preserve">Ani Wahyuni, “Peran Kurator dalam Menjaga Aset Debitur Pailit”, </w:t>
      </w:r>
      <w:r w:rsidRPr="004321BC">
        <w:rPr>
          <w:i/>
        </w:rPr>
        <w:t>Jurnal Hukum IUS,</w:t>
      </w:r>
    </w:p>
    <w:p w:rsidR="003369C4" w:rsidRPr="004321BC" w:rsidRDefault="003369C4" w:rsidP="003369C4">
      <w:pPr>
        <w:pStyle w:val="FootnoteText"/>
      </w:pPr>
      <w:r w:rsidRPr="004321BC">
        <w:rPr>
          <w:lang w:val="id-ID"/>
        </w:rPr>
        <w:t>Vol. 28, No. 2, 2021, hlm. 115</w:t>
      </w:r>
    </w:p>
  </w:footnote>
  <w:footnote w:id="13">
    <w:p w:rsidR="003369C4" w:rsidRPr="004321BC" w:rsidRDefault="003369C4" w:rsidP="003369C4">
      <w:pPr>
        <w:pStyle w:val="FootnoteText"/>
      </w:pPr>
      <w:r>
        <w:rPr>
          <w:rStyle w:val="FootnoteReference"/>
        </w:rPr>
        <w:footnoteRef/>
      </w:r>
      <w:r>
        <w:t xml:space="preserve"> PutusanPengadilanNiagaJakartaPusat,Nomor</w:t>
      </w:r>
      <w:r>
        <w:rPr>
          <w:spacing w:val="-2"/>
        </w:rPr>
        <w:t>01/PAILIT/2020/PN.Niaga.JKT.PST.</w:t>
      </w:r>
    </w:p>
  </w:footnote>
  <w:footnote w:id="14">
    <w:p w:rsidR="003369C4" w:rsidRPr="004321BC" w:rsidRDefault="003369C4" w:rsidP="003369C4">
      <w:pPr>
        <w:pStyle w:val="FootnoteText"/>
      </w:pPr>
      <w:r>
        <w:rPr>
          <w:rStyle w:val="FootnoteReference"/>
        </w:rPr>
        <w:footnoteRef/>
      </w:r>
      <w:r>
        <w:t xml:space="preserve"> PeterMahmudMarzuki,</w:t>
      </w:r>
      <w:r>
        <w:rPr>
          <w:i/>
        </w:rPr>
        <w:t>PenelitianHukum</w:t>
      </w:r>
      <w:r>
        <w:t>,(Jakarta:Kencana,2010),hlm.</w:t>
      </w:r>
      <w:r>
        <w:rPr>
          <w:spacing w:val="-5"/>
        </w:rPr>
        <w:t>95.</w:t>
      </w:r>
    </w:p>
  </w:footnote>
  <w:footnote w:id="15">
    <w:p w:rsidR="003369C4" w:rsidRPr="004321BC" w:rsidRDefault="003369C4" w:rsidP="003369C4">
      <w:pPr>
        <w:pStyle w:val="FootnoteText"/>
      </w:pPr>
      <w:r>
        <w:rPr>
          <w:rStyle w:val="FootnoteReference"/>
        </w:rPr>
        <w:footnoteRef/>
      </w:r>
      <w:r w:rsidRPr="004321BC">
        <w:rPr>
          <w:lang w:val="id-ID"/>
        </w:rPr>
        <w:t xml:space="preserve">Zainuddin Ali, </w:t>
      </w:r>
      <w:r w:rsidRPr="004321BC">
        <w:rPr>
          <w:i/>
          <w:lang w:val="id-ID"/>
        </w:rPr>
        <w:t>Metode Penelitian Hukum</w:t>
      </w:r>
      <w:r w:rsidRPr="004321BC">
        <w:rPr>
          <w:lang w:val="id-ID"/>
        </w:rPr>
        <w:t>, (Jakarta: Sinar Grafika, 2013), hlm. 71</w:t>
      </w:r>
    </w:p>
  </w:footnote>
  <w:footnote w:id="16">
    <w:p w:rsidR="003369C4" w:rsidRPr="004321BC" w:rsidRDefault="003369C4" w:rsidP="003369C4">
      <w:pPr>
        <w:pStyle w:val="FootnoteText"/>
      </w:pPr>
      <w:r>
        <w:rPr>
          <w:rStyle w:val="FootnoteReference"/>
        </w:rPr>
        <w:footnoteRef/>
      </w:r>
      <w:r w:rsidRPr="004321BC">
        <w:t xml:space="preserve">Bernard Arief Sidharta, </w:t>
      </w:r>
      <w:r w:rsidRPr="004321BC">
        <w:rPr>
          <w:i/>
        </w:rPr>
        <w:t xml:space="preserve">Refleksi tentang Struktur Ilmu Hukum, </w:t>
      </w:r>
      <w:r w:rsidRPr="004321BC">
        <w:t>(Bandung: Mandar Maju, 2000), hlm. 89.</w:t>
      </w:r>
    </w:p>
  </w:footnote>
  <w:footnote w:id="17">
    <w:p w:rsidR="003369C4" w:rsidRPr="004321BC" w:rsidRDefault="003369C4" w:rsidP="003369C4">
      <w:pPr>
        <w:pStyle w:val="FootnoteText"/>
      </w:pPr>
      <w:r>
        <w:rPr>
          <w:rStyle w:val="FootnoteReference"/>
        </w:rPr>
        <w:footnoteRef/>
      </w:r>
      <w:r w:rsidRPr="004321BC">
        <w:t xml:space="preserve">Soerjono Soekanto dan Sri Mamudji, </w:t>
      </w:r>
      <w:r w:rsidRPr="004321BC">
        <w:rPr>
          <w:i/>
        </w:rPr>
        <w:t>Penelitian Hukum Normatif: Suatu Tinjauan Singkat</w:t>
      </w:r>
      <w:r w:rsidRPr="004321BC">
        <w:t>, (Jakarta: RajaGrafindo Persada, 2003), hlm. 34.</w:t>
      </w:r>
    </w:p>
  </w:footnote>
  <w:footnote w:id="18">
    <w:p w:rsidR="003369C4" w:rsidRPr="004321BC" w:rsidRDefault="003369C4" w:rsidP="003369C4">
      <w:pPr>
        <w:pStyle w:val="FootnoteText"/>
      </w:pPr>
      <w:r>
        <w:rPr>
          <w:rStyle w:val="FootnoteReference"/>
        </w:rPr>
        <w:footnoteRef/>
      </w:r>
      <w:r w:rsidRPr="004321BC">
        <w:t xml:space="preserve">Peter Mahmud Marzuki, </w:t>
      </w:r>
      <w:r w:rsidRPr="004321BC">
        <w:rPr>
          <w:i/>
        </w:rPr>
        <w:t>Penelitian Huku</w:t>
      </w:r>
      <w:r w:rsidRPr="004321BC">
        <w:t>, (Jakarta: Kencana, 2010), hlm. 146.</w:t>
      </w:r>
    </w:p>
  </w:footnote>
  <w:footnote w:id="19">
    <w:p w:rsidR="003369C4" w:rsidRPr="004321BC" w:rsidRDefault="003369C4" w:rsidP="003369C4">
      <w:pPr>
        <w:pStyle w:val="FootnoteText"/>
      </w:pPr>
      <w:r>
        <w:rPr>
          <w:rStyle w:val="FootnoteReference"/>
        </w:rPr>
        <w:footnoteRef/>
      </w:r>
      <w:r w:rsidRPr="004321BC">
        <w:rPr>
          <w:szCs w:val="22"/>
        </w:rPr>
        <w:t>SoerjonoSoekanto,</w:t>
      </w:r>
      <w:r w:rsidRPr="004321BC">
        <w:rPr>
          <w:i/>
          <w:szCs w:val="22"/>
        </w:rPr>
        <w:t>PengantarPenelitianHukum</w:t>
      </w:r>
      <w:r w:rsidRPr="004321BC">
        <w:rPr>
          <w:szCs w:val="22"/>
        </w:rPr>
        <w:t>,(Jakarta:UIPress,2007),hlm.</w:t>
      </w:r>
      <w:r w:rsidRPr="004321BC">
        <w:rPr>
          <w:spacing w:val="-5"/>
          <w:szCs w:val="22"/>
        </w:rPr>
        <w:t>62</w:t>
      </w:r>
    </w:p>
  </w:footnote>
  <w:footnote w:id="20">
    <w:p w:rsidR="003369C4" w:rsidRPr="006E417A" w:rsidRDefault="003369C4" w:rsidP="003369C4">
      <w:pPr>
        <w:pStyle w:val="FootnoteText"/>
      </w:pPr>
      <w:r>
        <w:rPr>
          <w:rStyle w:val="FootnoteReference"/>
        </w:rPr>
        <w:footnoteRef/>
      </w:r>
      <w:r w:rsidRPr="006E417A">
        <w:t>Rachmadi Usman, Hukum Kepailitan, (Jakarta: Sinar Grafika, 2014), hlm. 193.</w:t>
      </w:r>
    </w:p>
  </w:footnote>
  <w:footnote w:id="21">
    <w:p w:rsidR="003369C4" w:rsidRPr="006E417A" w:rsidRDefault="003369C4" w:rsidP="003369C4">
      <w:pPr>
        <w:pStyle w:val="FootnoteText"/>
      </w:pPr>
      <w:r>
        <w:rPr>
          <w:rStyle w:val="FootnoteReference"/>
        </w:rPr>
        <w:footnoteRef/>
      </w:r>
      <w:r>
        <w:t xml:space="preserve"> Bernard Arief Sidharta, </w:t>
      </w:r>
      <w:r>
        <w:rPr>
          <w:i/>
        </w:rPr>
        <w:t>Refleksitentang StrukturIlmu Huku</w:t>
      </w:r>
      <w:r>
        <w:t>m,(Bandung:Mandar Maju,2000), hlm. 110</w:t>
      </w:r>
    </w:p>
  </w:footnote>
  <w:footnote w:id="22">
    <w:p w:rsidR="003369C4" w:rsidRPr="006E417A" w:rsidRDefault="003369C4" w:rsidP="003369C4">
      <w:pPr>
        <w:pStyle w:val="FootnoteText"/>
        <w:rPr>
          <w:lang w:val="id-ID"/>
        </w:rPr>
      </w:pPr>
      <w:r>
        <w:rPr>
          <w:rStyle w:val="FootnoteReference"/>
        </w:rPr>
        <w:footnoteRef/>
      </w:r>
      <w:r>
        <w:t xml:space="preserve"> ZainuddinAli,</w:t>
      </w:r>
      <w:r>
        <w:rPr>
          <w:i/>
        </w:rPr>
        <w:t>MetodePenelitianHukum</w:t>
      </w:r>
      <w:r>
        <w:t>,(Jakarta:SinarGrafika,2013),hlm.</w:t>
      </w:r>
      <w:r>
        <w:rPr>
          <w:spacing w:val="-5"/>
        </w:rPr>
        <w:t>85.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89" w:rsidRDefault="0025610A">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33910" o:spid="_x0000_s2050" type="#_x0000_t75" style="position:absolute;margin-left:0;margin-top:0;width:432.3pt;height:425.95pt;z-index:-251656192;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89" w:rsidRDefault="0025610A">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33911" o:spid="_x0000_s2051" type="#_x0000_t75" style="position:absolute;margin-left:0;margin-top:0;width:432.3pt;height:425.95pt;z-index:-251655168;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89" w:rsidRDefault="0025610A">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33909" o:spid="_x0000_s2049" type="#_x0000_t75" style="position:absolute;margin-left:0;margin-top:0;width:432.3pt;height:425.95pt;z-index:-251657216;mso-position-horizontal:center;mso-position-horizontal-relative:margin;mso-position-vertical:center;mso-position-vertical-relative:margin" o:allowincell="f">
          <v:imagedata r:id="rId1" o:title="LOGO-UMN-1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361DF"/>
    <w:multiLevelType w:val="hybridMultilevel"/>
    <w:tmpl w:val="A4BE88D4"/>
    <w:lvl w:ilvl="0" w:tplc="0421000F">
      <w:start w:val="1"/>
      <w:numFmt w:val="decimal"/>
      <w:lvlText w:val="%1."/>
      <w:lvlJc w:val="left"/>
      <w:pPr>
        <w:ind w:left="1778" w:hanging="360"/>
      </w:p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
    <w:nsid w:val="10FD79F6"/>
    <w:multiLevelType w:val="hybridMultilevel"/>
    <w:tmpl w:val="469A1306"/>
    <w:lvl w:ilvl="0" w:tplc="0421000F">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
    <w:nsid w:val="13460CC0"/>
    <w:multiLevelType w:val="hybridMultilevel"/>
    <w:tmpl w:val="54DAB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AF758A"/>
    <w:multiLevelType w:val="hybridMultilevel"/>
    <w:tmpl w:val="15EAFB78"/>
    <w:lvl w:ilvl="0" w:tplc="04210015">
      <w:start w:val="1"/>
      <w:numFmt w:val="upp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214F1320"/>
    <w:multiLevelType w:val="multilevel"/>
    <w:tmpl w:val="9F3094E0"/>
    <w:lvl w:ilvl="0">
      <w:start w:val="1"/>
      <w:numFmt w:val="decimal"/>
      <w:lvlText w:val="%1."/>
      <w:lvlJc w:val="left"/>
      <w:pPr>
        <w:ind w:left="1508" w:hanging="515"/>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993" w:hanging="567"/>
      </w:pPr>
      <w:rPr>
        <w:rFonts w:ascii="Times New Roman" w:eastAsia="Times New Roman" w:hAnsi="Times New Roman" w:cs="Times New Roman" w:hint="default"/>
        <w:b/>
        <w:bCs/>
        <w:i w:val="0"/>
        <w:iCs w:val="0"/>
        <w:color w:val="auto"/>
        <w:spacing w:val="0"/>
        <w:w w:val="100"/>
        <w:sz w:val="24"/>
        <w:szCs w:val="24"/>
        <w:lang w:eastAsia="en-US" w:bidi="ar-SA"/>
      </w:rPr>
    </w:lvl>
    <w:lvl w:ilvl="2">
      <w:numFmt w:val="bullet"/>
      <w:lvlText w:val="•"/>
      <w:lvlJc w:val="left"/>
      <w:pPr>
        <w:ind w:left="2277" w:hanging="567"/>
      </w:pPr>
      <w:rPr>
        <w:rFonts w:hint="default"/>
        <w:lang w:eastAsia="en-US" w:bidi="ar-SA"/>
      </w:rPr>
    </w:lvl>
    <w:lvl w:ilvl="3">
      <w:numFmt w:val="bullet"/>
      <w:lvlText w:val="•"/>
      <w:lvlJc w:val="left"/>
      <w:pPr>
        <w:ind w:left="3056" w:hanging="567"/>
      </w:pPr>
      <w:rPr>
        <w:rFonts w:hint="default"/>
        <w:lang w:eastAsia="en-US" w:bidi="ar-SA"/>
      </w:rPr>
    </w:lvl>
    <w:lvl w:ilvl="4">
      <w:numFmt w:val="bullet"/>
      <w:lvlText w:val="•"/>
      <w:lvlJc w:val="left"/>
      <w:pPr>
        <w:ind w:left="3834" w:hanging="567"/>
      </w:pPr>
      <w:rPr>
        <w:rFonts w:hint="default"/>
        <w:lang w:eastAsia="en-US" w:bidi="ar-SA"/>
      </w:rPr>
    </w:lvl>
    <w:lvl w:ilvl="5">
      <w:numFmt w:val="bullet"/>
      <w:lvlText w:val="•"/>
      <w:lvlJc w:val="left"/>
      <w:pPr>
        <w:ind w:left="4613" w:hanging="567"/>
      </w:pPr>
      <w:rPr>
        <w:rFonts w:hint="default"/>
        <w:lang w:eastAsia="en-US" w:bidi="ar-SA"/>
      </w:rPr>
    </w:lvl>
    <w:lvl w:ilvl="6">
      <w:numFmt w:val="bullet"/>
      <w:lvlText w:val="•"/>
      <w:lvlJc w:val="left"/>
      <w:pPr>
        <w:ind w:left="5392" w:hanging="567"/>
      </w:pPr>
      <w:rPr>
        <w:rFonts w:hint="default"/>
        <w:lang w:eastAsia="en-US" w:bidi="ar-SA"/>
      </w:rPr>
    </w:lvl>
    <w:lvl w:ilvl="7">
      <w:numFmt w:val="bullet"/>
      <w:lvlText w:val="•"/>
      <w:lvlJc w:val="left"/>
      <w:pPr>
        <w:ind w:left="6170" w:hanging="567"/>
      </w:pPr>
      <w:rPr>
        <w:rFonts w:hint="default"/>
        <w:lang w:eastAsia="en-US" w:bidi="ar-SA"/>
      </w:rPr>
    </w:lvl>
    <w:lvl w:ilvl="8">
      <w:numFmt w:val="bullet"/>
      <w:lvlText w:val="•"/>
      <w:lvlJc w:val="left"/>
      <w:pPr>
        <w:ind w:left="6949" w:hanging="567"/>
      </w:pPr>
      <w:rPr>
        <w:rFonts w:hint="default"/>
        <w:lang w:eastAsia="en-US" w:bidi="ar-SA"/>
      </w:rPr>
    </w:lvl>
  </w:abstractNum>
  <w:abstractNum w:abstractNumId="5">
    <w:nsid w:val="266120C1"/>
    <w:multiLevelType w:val="multilevel"/>
    <w:tmpl w:val="3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78D0A6D"/>
    <w:multiLevelType w:val="hybridMultilevel"/>
    <w:tmpl w:val="3E00D50C"/>
    <w:lvl w:ilvl="0" w:tplc="0421000F">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7">
    <w:nsid w:val="2B004834"/>
    <w:multiLevelType w:val="hybridMultilevel"/>
    <w:tmpl w:val="5D82C58C"/>
    <w:lvl w:ilvl="0" w:tplc="04210015">
      <w:start w:val="1"/>
      <w:numFmt w:val="upp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48D0193A"/>
    <w:multiLevelType w:val="hybridMultilevel"/>
    <w:tmpl w:val="D4D0DD80"/>
    <w:lvl w:ilvl="0" w:tplc="04210015">
      <w:start w:val="1"/>
      <w:numFmt w:val="upp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4CA92FF9"/>
    <w:multiLevelType w:val="hybridMultilevel"/>
    <w:tmpl w:val="2B0816A2"/>
    <w:lvl w:ilvl="0" w:tplc="0421000F">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0">
    <w:nsid w:val="573019B0"/>
    <w:multiLevelType w:val="hybridMultilevel"/>
    <w:tmpl w:val="38BCDA3C"/>
    <w:lvl w:ilvl="0" w:tplc="04210015">
      <w:start w:val="1"/>
      <w:numFmt w:val="upp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nsid w:val="5C673118"/>
    <w:multiLevelType w:val="hybridMultilevel"/>
    <w:tmpl w:val="C7B4C0F6"/>
    <w:lvl w:ilvl="0" w:tplc="1BDA00F8">
      <w:start w:val="1"/>
      <w:numFmt w:val="upperLetter"/>
      <w:lvlText w:val="%1."/>
      <w:lvlJc w:val="left"/>
      <w:pPr>
        <w:ind w:left="786" w:hanging="360"/>
      </w:pPr>
      <w:rPr>
        <w:rFonts w:hint="default"/>
        <w:b/>
        <w:bCs/>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611D6411"/>
    <w:multiLevelType w:val="hybridMultilevel"/>
    <w:tmpl w:val="05E8FB60"/>
    <w:lvl w:ilvl="0" w:tplc="4E2A31E2">
      <w:start w:val="1"/>
      <w:numFmt w:val="upperLetter"/>
      <w:lvlText w:val="%1."/>
      <w:lvlJc w:val="left"/>
      <w:pPr>
        <w:ind w:left="927" w:hanging="360"/>
      </w:pPr>
      <w:rPr>
        <w:rFonts w:hint="default"/>
        <w:b/>
        <w:bCs/>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nsid w:val="668252DF"/>
    <w:multiLevelType w:val="hybridMultilevel"/>
    <w:tmpl w:val="15E0B866"/>
    <w:lvl w:ilvl="0" w:tplc="0421000F">
      <w:start w:val="1"/>
      <w:numFmt w:val="decimal"/>
      <w:lvlText w:val="%1."/>
      <w:lvlJc w:val="left"/>
      <w:pPr>
        <w:ind w:left="2700" w:hanging="360"/>
      </w:pPr>
    </w:lvl>
    <w:lvl w:ilvl="1" w:tplc="04210019" w:tentative="1">
      <w:start w:val="1"/>
      <w:numFmt w:val="lowerLetter"/>
      <w:lvlText w:val="%2."/>
      <w:lvlJc w:val="left"/>
      <w:pPr>
        <w:ind w:left="3420" w:hanging="360"/>
      </w:pPr>
    </w:lvl>
    <w:lvl w:ilvl="2" w:tplc="0421001B" w:tentative="1">
      <w:start w:val="1"/>
      <w:numFmt w:val="lowerRoman"/>
      <w:lvlText w:val="%3."/>
      <w:lvlJc w:val="right"/>
      <w:pPr>
        <w:ind w:left="4140" w:hanging="180"/>
      </w:pPr>
    </w:lvl>
    <w:lvl w:ilvl="3" w:tplc="0421000F" w:tentative="1">
      <w:start w:val="1"/>
      <w:numFmt w:val="decimal"/>
      <w:lvlText w:val="%4."/>
      <w:lvlJc w:val="left"/>
      <w:pPr>
        <w:ind w:left="4860" w:hanging="360"/>
      </w:pPr>
    </w:lvl>
    <w:lvl w:ilvl="4" w:tplc="04210019" w:tentative="1">
      <w:start w:val="1"/>
      <w:numFmt w:val="lowerLetter"/>
      <w:lvlText w:val="%5."/>
      <w:lvlJc w:val="left"/>
      <w:pPr>
        <w:ind w:left="5580" w:hanging="360"/>
      </w:pPr>
    </w:lvl>
    <w:lvl w:ilvl="5" w:tplc="0421001B" w:tentative="1">
      <w:start w:val="1"/>
      <w:numFmt w:val="lowerRoman"/>
      <w:lvlText w:val="%6."/>
      <w:lvlJc w:val="right"/>
      <w:pPr>
        <w:ind w:left="6300" w:hanging="180"/>
      </w:pPr>
    </w:lvl>
    <w:lvl w:ilvl="6" w:tplc="0421000F" w:tentative="1">
      <w:start w:val="1"/>
      <w:numFmt w:val="decimal"/>
      <w:lvlText w:val="%7."/>
      <w:lvlJc w:val="left"/>
      <w:pPr>
        <w:ind w:left="7020" w:hanging="360"/>
      </w:pPr>
    </w:lvl>
    <w:lvl w:ilvl="7" w:tplc="04210019" w:tentative="1">
      <w:start w:val="1"/>
      <w:numFmt w:val="lowerLetter"/>
      <w:lvlText w:val="%8."/>
      <w:lvlJc w:val="left"/>
      <w:pPr>
        <w:ind w:left="7740" w:hanging="360"/>
      </w:pPr>
    </w:lvl>
    <w:lvl w:ilvl="8" w:tplc="0421001B" w:tentative="1">
      <w:start w:val="1"/>
      <w:numFmt w:val="lowerRoman"/>
      <w:lvlText w:val="%9."/>
      <w:lvlJc w:val="right"/>
      <w:pPr>
        <w:ind w:left="8460" w:hanging="180"/>
      </w:pPr>
    </w:lvl>
  </w:abstractNum>
  <w:abstractNum w:abstractNumId="14">
    <w:nsid w:val="66E94F31"/>
    <w:multiLevelType w:val="hybridMultilevel"/>
    <w:tmpl w:val="D70C8B04"/>
    <w:lvl w:ilvl="0" w:tplc="04210015">
      <w:start w:val="6"/>
      <w:numFmt w:val="upperLetter"/>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8CB6F18"/>
    <w:multiLevelType w:val="hybridMultilevel"/>
    <w:tmpl w:val="E230F2F8"/>
    <w:lvl w:ilvl="0" w:tplc="A0FC9152">
      <w:start w:val="1"/>
      <w:numFmt w:val="upperLetter"/>
      <w:lvlText w:val="%1."/>
      <w:lvlJc w:val="left"/>
      <w:pPr>
        <w:ind w:left="720" w:hanging="360"/>
      </w:pPr>
      <w:rPr>
        <w:rFonts w:hint="default"/>
        <w:b/>
        <w:bCs/>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67FE004E">
      <w:start w:val="1"/>
      <w:numFmt w:val="lowerLetter"/>
      <w:lvlText w:val="%4."/>
      <w:lvlJc w:val="left"/>
      <w:pPr>
        <w:ind w:left="2880" w:hanging="360"/>
      </w:pPr>
      <w:rPr>
        <w:rFonts w:ascii="Times New Roman" w:eastAsia="Times New Roman" w:hAnsi="Times New Roman" w:cs="Times New Roman"/>
      </w:rPr>
    </w:lvl>
    <w:lvl w:ilvl="4" w:tplc="96FE1BD2">
      <w:start w:val="1"/>
      <w:numFmt w:val="decimal"/>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A8E04E2"/>
    <w:multiLevelType w:val="hybridMultilevel"/>
    <w:tmpl w:val="4C98EC30"/>
    <w:lvl w:ilvl="0" w:tplc="04210015">
      <w:start w:val="1"/>
      <w:numFmt w:val="upp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nsid w:val="79172D5D"/>
    <w:multiLevelType w:val="hybridMultilevel"/>
    <w:tmpl w:val="1916DB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6"/>
  </w:num>
  <w:num w:numId="3">
    <w:abstractNumId w:val="3"/>
  </w:num>
  <w:num w:numId="4">
    <w:abstractNumId w:val="10"/>
  </w:num>
  <w:num w:numId="5">
    <w:abstractNumId w:val="8"/>
  </w:num>
  <w:num w:numId="6">
    <w:abstractNumId w:val="7"/>
  </w:num>
  <w:num w:numId="7">
    <w:abstractNumId w:val="9"/>
  </w:num>
  <w:num w:numId="8">
    <w:abstractNumId w:val="1"/>
  </w:num>
  <w:num w:numId="9">
    <w:abstractNumId w:val="6"/>
  </w:num>
  <w:num w:numId="10">
    <w:abstractNumId w:val="5"/>
  </w:num>
  <w:num w:numId="11">
    <w:abstractNumId w:val="15"/>
  </w:num>
  <w:num w:numId="12">
    <w:abstractNumId w:val="13"/>
  </w:num>
  <w:num w:numId="13">
    <w:abstractNumId w:val="17"/>
  </w:num>
  <w:num w:numId="14">
    <w:abstractNumId w:val="0"/>
  </w:num>
  <w:num w:numId="15">
    <w:abstractNumId w:val="4"/>
  </w:num>
  <w:num w:numId="16">
    <w:abstractNumId w:val="12"/>
  </w:num>
  <w:num w:numId="17">
    <w:abstractNumId w:val="14"/>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documentProtection w:edit="forms" w:enforcement="1" w:cryptProviderType="rsaFull" w:cryptAlgorithmClass="hash" w:cryptAlgorithmType="typeAny" w:cryptAlgorithmSid="4" w:cryptSpinCount="50000" w:hash="YUqIAE5ln3DVcjmCskEVMrkyHZk=" w:salt="U72z9b41tsvqSyL/kN5kb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33DD4"/>
    <w:rsid w:val="000206E4"/>
    <w:rsid w:val="00072A73"/>
    <w:rsid w:val="000B5DDE"/>
    <w:rsid w:val="00170B7E"/>
    <w:rsid w:val="001937E2"/>
    <w:rsid w:val="00231FD0"/>
    <w:rsid w:val="0025610A"/>
    <w:rsid w:val="00297D76"/>
    <w:rsid w:val="00311966"/>
    <w:rsid w:val="003369C4"/>
    <w:rsid w:val="00394114"/>
    <w:rsid w:val="003D5F01"/>
    <w:rsid w:val="003E1FF4"/>
    <w:rsid w:val="003F2E9C"/>
    <w:rsid w:val="004131A7"/>
    <w:rsid w:val="004278E2"/>
    <w:rsid w:val="004506C3"/>
    <w:rsid w:val="0046416A"/>
    <w:rsid w:val="004923DF"/>
    <w:rsid w:val="004E7304"/>
    <w:rsid w:val="004F3AEC"/>
    <w:rsid w:val="00536600"/>
    <w:rsid w:val="00544FC3"/>
    <w:rsid w:val="00573D14"/>
    <w:rsid w:val="005F1D88"/>
    <w:rsid w:val="00653891"/>
    <w:rsid w:val="006D7051"/>
    <w:rsid w:val="007718E3"/>
    <w:rsid w:val="00783571"/>
    <w:rsid w:val="00796CF1"/>
    <w:rsid w:val="009C01E0"/>
    <w:rsid w:val="009C2430"/>
    <w:rsid w:val="00A67D67"/>
    <w:rsid w:val="00AE34B9"/>
    <w:rsid w:val="00B33DD4"/>
    <w:rsid w:val="00B74AD6"/>
    <w:rsid w:val="00CA0770"/>
    <w:rsid w:val="00D167C4"/>
    <w:rsid w:val="00D2736F"/>
    <w:rsid w:val="00DA2041"/>
    <w:rsid w:val="00DA770F"/>
    <w:rsid w:val="00DB05B2"/>
    <w:rsid w:val="00DB4103"/>
    <w:rsid w:val="00DF1087"/>
    <w:rsid w:val="00E7288E"/>
    <w:rsid w:val="00EA0DD5"/>
    <w:rsid w:val="00F2784B"/>
    <w:rsid w:val="00F5325A"/>
    <w:rsid w:val="00F77DA8"/>
    <w:rsid w:val="00FA5ACB"/>
    <w:rsid w:val="00FE7E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DD4"/>
    <w:pPr>
      <w:spacing w:after="160" w:line="278" w:lineRule="auto"/>
    </w:pPr>
    <w:rPr>
      <w:rFonts w:eastAsiaTheme="minorEastAsia"/>
      <w:kern w:val="2"/>
      <w:sz w:val="24"/>
      <w:szCs w:val="24"/>
      <w:lang w:val="id-ID" w:eastAsia="id-ID"/>
    </w:rPr>
  </w:style>
  <w:style w:type="paragraph" w:styleId="Heading1">
    <w:name w:val="heading 1"/>
    <w:basedOn w:val="Normal"/>
    <w:next w:val="Normal"/>
    <w:link w:val="Heading1Char"/>
    <w:uiPriority w:val="9"/>
    <w:qFormat/>
    <w:rsid w:val="00F77DA8"/>
    <w:pPr>
      <w:keepNext/>
      <w:keepLines/>
      <w:numPr>
        <w:numId w:val="10"/>
      </w:numPr>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F77DA8"/>
    <w:pPr>
      <w:keepNext/>
      <w:keepLines/>
      <w:numPr>
        <w:ilvl w:val="1"/>
        <w:numId w:val="10"/>
      </w:numPr>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77DA8"/>
    <w:pPr>
      <w:keepNext/>
      <w:keepLines/>
      <w:numPr>
        <w:ilvl w:val="2"/>
        <w:numId w:val="10"/>
      </w:numPr>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77DA8"/>
    <w:pPr>
      <w:keepNext/>
      <w:keepLines/>
      <w:numPr>
        <w:ilvl w:val="3"/>
        <w:numId w:val="10"/>
      </w:numPr>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77DA8"/>
    <w:pPr>
      <w:keepNext/>
      <w:keepLines/>
      <w:numPr>
        <w:ilvl w:val="4"/>
        <w:numId w:val="10"/>
      </w:numPr>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77DA8"/>
    <w:pPr>
      <w:keepNext/>
      <w:keepLines/>
      <w:numPr>
        <w:ilvl w:val="5"/>
        <w:numId w:val="10"/>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7DA8"/>
    <w:pPr>
      <w:keepNext/>
      <w:keepLines/>
      <w:numPr>
        <w:ilvl w:val="6"/>
        <w:numId w:val="10"/>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7DA8"/>
    <w:pPr>
      <w:keepNext/>
      <w:keepLines/>
      <w:numPr>
        <w:ilvl w:val="7"/>
        <w:numId w:val="10"/>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7DA8"/>
    <w:pPr>
      <w:keepNext/>
      <w:keepLines/>
      <w:numPr>
        <w:ilvl w:val="8"/>
        <w:numId w:val="10"/>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D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DD4"/>
    <w:rPr>
      <w:rFonts w:eastAsiaTheme="minorEastAsia"/>
      <w:kern w:val="2"/>
      <w:sz w:val="24"/>
      <w:szCs w:val="24"/>
      <w:lang w:val="id-ID" w:eastAsia="id-ID"/>
    </w:rPr>
  </w:style>
  <w:style w:type="paragraph" w:styleId="Footer">
    <w:name w:val="footer"/>
    <w:basedOn w:val="Normal"/>
    <w:link w:val="FooterChar"/>
    <w:uiPriority w:val="99"/>
    <w:unhideWhenUsed/>
    <w:rsid w:val="00B33D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DD4"/>
    <w:rPr>
      <w:rFonts w:eastAsiaTheme="minorEastAsia"/>
      <w:kern w:val="2"/>
      <w:sz w:val="24"/>
      <w:szCs w:val="24"/>
      <w:lang w:val="id-ID" w:eastAsia="id-ID"/>
    </w:rPr>
  </w:style>
  <w:style w:type="paragraph" w:styleId="ListParagraph">
    <w:name w:val="List Paragraph"/>
    <w:basedOn w:val="Normal"/>
    <w:uiPriority w:val="1"/>
    <w:qFormat/>
    <w:rsid w:val="00B74AD6"/>
    <w:pPr>
      <w:ind w:left="720"/>
      <w:contextualSpacing/>
    </w:pPr>
  </w:style>
  <w:style w:type="paragraph" w:styleId="BalloonText">
    <w:name w:val="Balloon Text"/>
    <w:basedOn w:val="Normal"/>
    <w:link w:val="BalloonTextChar"/>
    <w:uiPriority w:val="99"/>
    <w:semiHidden/>
    <w:unhideWhenUsed/>
    <w:rsid w:val="00B74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AD6"/>
    <w:rPr>
      <w:rFonts w:ascii="Tahoma" w:eastAsiaTheme="minorEastAsia" w:hAnsi="Tahoma" w:cs="Tahoma"/>
      <w:kern w:val="2"/>
      <w:sz w:val="16"/>
      <w:szCs w:val="16"/>
      <w:lang w:val="id-ID" w:eastAsia="id-ID"/>
    </w:rPr>
  </w:style>
  <w:style w:type="character" w:customStyle="1" w:styleId="Heading1Char">
    <w:name w:val="Heading 1 Char"/>
    <w:basedOn w:val="DefaultParagraphFont"/>
    <w:link w:val="Heading1"/>
    <w:uiPriority w:val="9"/>
    <w:rsid w:val="00F77DA8"/>
    <w:rPr>
      <w:rFonts w:asciiTheme="majorHAnsi" w:eastAsiaTheme="majorEastAsia" w:hAnsiTheme="majorHAnsi" w:cstheme="majorBidi"/>
      <w:color w:val="365F91" w:themeColor="accent1" w:themeShade="BF"/>
      <w:kern w:val="2"/>
      <w:sz w:val="40"/>
      <w:szCs w:val="40"/>
      <w:lang w:val="id-ID" w:eastAsia="id-ID"/>
    </w:rPr>
  </w:style>
  <w:style w:type="character" w:customStyle="1" w:styleId="Heading2Char">
    <w:name w:val="Heading 2 Char"/>
    <w:basedOn w:val="DefaultParagraphFont"/>
    <w:link w:val="Heading2"/>
    <w:uiPriority w:val="9"/>
    <w:rsid w:val="00F77DA8"/>
    <w:rPr>
      <w:rFonts w:asciiTheme="majorHAnsi" w:eastAsiaTheme="majorEastAsia" w:hAnsiTheme="majorHAnsi" w:cstheme="majorBidi"/>
      <w:color w:val="365F91" w:themeColor="accent1" w:themeShade="BF"/>
      <w:kern w:val="2"/>
      <w:sz w:val="32"/>
      <w:szCs w:val="32"/>
      <w:lang w:val="id-ID" w:eastAsia="id-ID"/>
    </w:rPr>
  </w:style>
  <w:style w:type="character" w:customStyle="1" w:styleId="Heading3Char">
    <w:name w:val="Heading 3 Char"/>
    <w:basedOn w:val="DefaultParagraphFont"/>
    <w:link w:val="Heading3"/>
    <w:uiPriority w:val="9"/>
    <w:semiHidden/>
    <w:rsid w:val="00F77DA8"/>
    <w:rPr>
      <w:rFonts w:eastAsiaTheme="majorEastAsia" w:cstheme="majorBidi"/>
      <w:color w:val="365F91" w:themeColor="accent1" w:themeShade="BF"/>
      <w:kern w:val="2"/>
      <w:sz w:val="28"/>
      <w:szCs w:val="28"/>
      <w:lang w:val="id-ID" w:eastAsia="id-ID"/>
    </w:rPr>
  </w:style>
  <w:style w:type="character" w:customStyle="1" w:styleId="Heading4Char">
    <w:name w:val="Heading 4 Char"/>
    <w:basedOn w:val="DefaultParagraphFont"/>
    <w:link w:val="Heading4"/>
    <w:uiPriority w:val="9"/>
    <w:semiHidden/>
    <w:rsid w:val="00F77DA8"/>
    <w:rPr>
      <w:rFonts w:eastAsiaTheme="majorEastAsia" w:cstheme="majorBidi"/>
      <w:i/>
      <w:iCs/>
      <w:color w:val="365F91" w:themeColor="accent1" w:themeShade="BF"/>
      <w:kern w:val="2"/>
      <w:sz w:val="24"/>
      <w:szCs w:val="24"/>
      <w:lang w:val="id-ID" w:eastAsia="id-ID"/>
    </w:rPr>
  </w:style>
  <w:style w:type="character" w:customStyle="1" w:styleId="Heading5Char">
    <w:name w:val="Heading 5 Char"/>
    <w:basedOn w:val="DefaultParagraphFont"/>
    <w:link w:val="Heading5"/>
    <w:uiPriority w:val="9"/>
    <w:semiHidden/>
    <w:rsid w:val="00F77DA8"/>
    <w:rPr>
      <w:rFonts w:eastAsiaTheme="majorEastAsia" w:cstheme="majorBidi"/>
      <w:color w:val="365F91" w:themeColor="accent1" w:themeShade="BF"/>
      <w:kern w:val="2"/>
      <w:sz w:val="24"/>
      <w:szCs w:val="24"/>
      <w:lang w:val="id-ID" w:eastAsia="id-ID"/>
    </w:rPr>
  </w:style>
  <w:style w:type="character" w:customStyle="1" w:styleId="Heading6Char">
    <w:name w:val="Heading 6 Char"/>
    <w:basedOn w:val="DefaultParagraphFont"/>
    <w:link w:val="Heading6"/>
    <w:uiPriority w:val="9"/>
    <w:semiHidden/>
    <w:rsid w:val="00F77DA8"/>
    <w:rPr>
      <w:rFonts w:eastAsiaTheme="majorEastAsia" w:cstheme="majorBidi"/>
      <w:i/>
      <w:iCs/>
      <w:color w:val="595959" w:themeColor="text1" w:themeTint="A6"/>
      <w:kern w:val="2"/>
      <w:sz w:val="24"/>
      <w:szCs w:val="24"/>
      <w:lang w:val="id-ID" w:eastAsia="id-ID"/>
    </w:rPr>
  </w:style>
  <w:style w:type="character" w:customStyle="1" w:styleId="Heading7Char">
    <w:name w:val="Heading 7 Char"/>
    <w:basedOn w:val="DefaultParagraphFont"/>
    <w:link w:val="Heading7"/>
    <w:uiPriority w:val="9"/>
    <w:semiHidden/>
    <w:rsid w:val="00F77DA8"/>
    <w:rPr>
      <w:rFonts w:eastAsiaTheme="majorEastAsia" w:cstheme="majorBidi"/>
      <w:color w:val="595959" w:themeColor="text1" w:themeTint="A6"/>
      <w:kern w:val="2"/>
      <w:sz w:val="24"/>
      <w:szCs w:val="24"/>
      <w:lang w:val="id-ID" w:eastAsia="id-ID"/>
    </w:rPr>
  </w:style>
  <w:style w:type="character" w:customStyle="1" w:styleId="Heading8Char">
    <w:name w:val="Heading 8 Char"/>
    <w:basedOn w:val="DefaultParagraphFont"/>
    <w:link w:val="Heading8"/>
    <w:uiPriority w:val="9"/>
    <w:semiHidden/>
    <w:rsid w:val="00F77DA8"/>
    <w:rPr>
      <w:rFonts w:eastAsiaTheme="majorEastAsia" w:cstheme="majorBidi"/>
      <w:i/>
      <w:iCs/>
      <w:color w:val="272727" w:themeColor="text1" w:themeTint="D8"/>
      <w:kern w:val="2"/>
      <w:sz w:val="24"/>
      <w:szCs w:val="24"/>
      <w:lang w:val="id-ID" w:eastAsia="id-ID"/>
    </w:rPr>
  </w:style>
  <w:style w:type="character" w:customStyle="1" w:styleId="Heading9Char">
    <w:name w:val="Heading 9 Char"/>
    <w:basedOn w:val="DefaultParagraphFont"/>
    <w:link w:val="Heading9"/>
    <w:uiPriority w:val="9"/>
    <w:semiHidden/>
    <w:rsid w:val="00F77DA8"/>
    <w:rPr>
      <w:rFonts w:eastAsiaTheme="majorEastAsia" w:cstheme="majorBidi"/>
      <w:color w:val="272727" w:themeColor="text1" w:themeTint="D8"/>
      <w:kern w:val="2"/>
      <w:sz w:val="24"/>
      <w:szCs w:val="24"/>
      <w:lang w:val="id-ID" w:eastAsia="id-ID"/>
    </w:rPr>
  </w:style>
  <w:style w:type="paragraph" w:styleId="FootnoteText">
    <w:name w:val="footnote text"/>
    <w:basedOn w:val="Normal"/>
    <w:link w:val="FootnoteTextChar"/>
    <w:uiPriority w:val="99"/>
    <w:semiHidden/>
    <w:unhideWhenUsed/>
    <w:rsid w:val="00F77DA8"/>
    <w:pPr>
      <w:widowControl w:val="0"/>
      <w:autoSpaceDE w:val="0"/>
      <w:autoSpaceDN w:val="0"/>
      <w:spacing w:after="0" w:line="240" w:lineRule="auto"/>
    </w:pPr>
    <w:rPr>
      <w:rFonts w:ascii="Times New Roman" w:eastAsia="Times New Roman" w:hAnsi="Times New Roman" w:cs="Times New Roman"/>
      <w:kern w:val="0"/>
      <w:sz w:val="20"/>
      <w:szCs w:val="20"/>
      <w:lang w:eastAsia="en-US"/>
    </w:rPr>
  </w:style>
  <w:style w:type="character" w:customStyle="1" w:styleId="FootnoteTextChar">
    <w:name w:val="Footnote Text Char"/>
    <w:basedOn w:val="DefaultParagraphFont"/>
    <w:link w:val="FootnoteText"/>
    <w:uiPriority w:val="99"/>
    <w:semiHidden/>
    <w:rsid w:val="00F77DA8"/>
    <w:rPr>
      <w:rFonts w:ascii="Times New Roman" w:eastAsia="Times New Roman" w:hAnsi="Times New Roman" w:cs="Times New Roman"/>
      <w:sz w:val="20"/>
      <w:szCs w:val="20"/>
      <w:lang/>
    </w:rPr>
  </w:style>
  <w:style w:type="character" w:styleId="FootnoteReference">
    <w:name w:val="footnote reference"/>
    <w:basedOn w:val="DefaultParagraphFont"/>
    <w:uiPriority w:val="99"/>
    <w:semiHidden/>
    <w:unhideWhenUsed/>
    <w:rsid w:val="00F77DA8"/>
    <w:rPr>
      <w:vertAlign w:val="superscript"/>
    </w:rPr>
  </w:style>
  <w:style w:type="paragraph" w:styleId="BodyText">
    <w:name w:val="Body Text"/>
    <w:basedOn w:val="Normal"/>
    <w:link w:val="BodyTextChar"/>
    <w:uiPriority w:val="1"/>
    <w:qFormat/>
    <w:rsid w:val="00536600"/>
    <w:pPr>
      <w:widowControl w:val="0"/>
      <w:autoSpaceDE w:val="0"/>
      <w:autoSpaceDN w:val="0"/>
      <w:spacing w:after="0" w:line="240" w:lineRule="auto"/>
      <w:jc w:val="both"/>
    </w:pPr>
    <w:rPr>
      <w:rFonts w:ascii="Times New Roman" w:eastAsia="Times New Roman" w:hAnsi="Times New Roman" w:cs="Times New Roman"/>
      <w:kern w:val="0"/>
      <w:lang w:eastAsia="en-US"/>
    </w:rPr>
  </w:style>
  <w:style w:type="character" w:customStyle="1" w:styleId="BodyTextChar">
    <w:name w:val="Body Text Char"/>
    <w:basedOn w:val="DefaultParagraphFont"/>
    <w:link w:val="BodyText"/>
    <w:uiPriority w:val="1"/>
    <w:rsid w:val="00536600"/>
    <w:rPr>
      <w:rFonts w:ascii="Times New Roman" w:eastAsia="Times New Roman" w:hAnsi="Times New Roman" w:cs="Times New Roman"/>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DD4"/>
    <w:pPr>
      <w:spacing w:after="160" w:line="278" w:lineRule="auto"/>
    </w:pPr>
    <w:rPr>
      <w:rFonts w:eastAsiaTheme="minorEastAsia"/>
      <w:kern w:val="2"/>
      <w:sz w:val="24"/>
      <w:szCs w:val="24"/>
      <w:lang w:val="id-ID" w:eastAsia="id-ID"/>
      <w14:ligatures w14:val="standardContextual"/>
    </w:rPr>
  </w:style>
  <w:style w:type="paragraph" w:styleId="Heading1">
    <w:name w:val="heading 1"/>
    <w:basedOn w:val="Normal"/>
    <w:next w:val="Normal"/>
    <w:link w:val="Heading1Char"/>
    <w:uiPriority w:val="9"/>
    <w:qFormat/>
    <w:rsid w:val="00F77DA8"/>
    <w:pPr>
      <w:keepNext/>
      <w:keepLines/>
      <w:numPr>
        <w:numId w:val="10"/>
      </w:numPr>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F77DA8"/>
    <w:pPr>
      <w:keepNext/>
      <w:keepLines/>
      <w:numPr>
        <w:ilvl w:val="1"/>
        <w:numId w:val="10"/>
      </w:numPr>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77DA8"/>
    <w:pPr>
      <w:keepNext/>
      <w:keepLines/>
      <w:numPr>
        <w:ilvl w:val="2"/>
        <w:numId w:val="10"/>
      </w:numPr>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77DA8"/>
    <w:pPr>
      <w:keepNext/>
      <w:keepLines/>
      <w:numPr>
        <w:ilvl w:val="3"/>
        <w:numId w:val="10"/>
      </w:numPr>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77DA8"/>
    <w:pPr>
      <w:keepNext/>
      <w:keepLines/>
      <w:numPr>
        <w:ilvl w:val="4"/>
        <w:numId w:val="10"/>
      </w:numPr>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77DA8"/>
    <w:pPr>
      <w:keepNext/>
      <w:keepLines/>
      <w:numPr>
        <w:ilvl w:val="5"/>
        <w:numId w:val="10"/>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7DA8"/>
    <w:pPr>
      <w:keepNext/>
      <w:keepLines/>
      <w:numPr>
        <w:ilvl w:val="6"/>
        <w:numId w:val="10"/>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7DA8"/>
    <w:pPr>
      <w:keepNext/>
      <w:keepLines/>
      <w:numPr>
        <w:ilvl w:val="7"/>
        <w:numId w:val="10"/>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7DA8"/>
    <w:pPr>
      <w:keepNext/>
      <w:keepLines/>
      <w:numPr>
        <w:ilvl w:val="8"/>
        <w:numId w:val="10"/>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D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DD4"/>
    <w:rPr>
      <w:rFonts w:eastAsiaTheme="minorEastAsia"/>
      <w:kern w:val="2"/>
      <w:sz w:val="24"/>
      <w:szCs w:val="24"/>
      <w:lang w:val="id-ID" w:eastAsia="id-ID"/>
      <w14:ligatures w14:val="standardContextual"/>
    </w:rPr>
  </w:style>
  <w:style w:type="paragraph" w:styleId="Footer">
    <w:name w:val="footer"/>
    <w:basedOn w:val="Normal"/>
    <w:link w:val="FooterChar"/>
    <w:uiPriority w:val="99"/>
    <w:unhideWhenUsed/>
    <w:rsid w:val="00B33D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DD4"/>
    <w:rPr>
      <w:rFonts w:eastAsiaTheme="minorEastAsia"/>
      <w:kern w:val="2"/>
      <w:sz w:val="24"/>
      <w:szCs w:val="24"/>
      <w:lang w:val="id-ID" w:eastAsia="id-ID"/>
      <w14:ligatures w14:val="standardContextual"/>
    </w:rPr>
  </w:style>
  <w:style w:type="paragraph" w:styleId="ListParagraph">
    <w:name w:val="List Paragraph"/>
    <w:basedOn w:val="Normal"/>
    <w:uiPriority w:val="1"/>
    <w:qFormat/>
    <w:rsid w:val="00B74AD6"/>
    <w:pPr>
      <w:ind w:left="720"/>
      <w:contextualSpacing/>
    </w:pPr>
  </w:style>
  <w:style w:type="paragraph" w:styleId="BalloonText">
    <w:name w:val="Balloon Text"/>
    <w:basedOn w:val="Normal"/>
    <w:link w:val="BalloonTextChar"/>
    <w:uiPriority w:val="99"/>
    <w:semiHidden/>
    <w:unhideWhenUsed/>
    <w:rsid w:val="00B74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AD6"/>
    <w:rPr>
      <w:rFonts w:ascii="Tahoma" w:eastAsiaTheme="minorEastAsia" w:hAnsi="Tahoma" w:cs="Tahoma"/>
      <w:kern w:val="2"/>
      <w:sz w:val="16"/>
      <w:szCs w:val="16"/>
      <w:lang w:val="id-ID" w:eastAsia="id-ID"/>
      <w14:ligatures w14:val="standardContextual"/>
    </w:rPr>
  </w:style>
  <w:style w:type="character" w:customStyle="1" w:styleId="Heading1Char">
    <w:name w:val="Heading 1 Char"/>
    <w:basedOn w:val="DefaultParagraphFont"/>
    <w:link w:val="Heading1"/>
    <w:uiPriority w:val="9"/>
    <w:rsid w:val="00F77DA8"/>
    <w:rPr>
      <w:rFonts w:asciiTheme="majorHAnsi" w:eastAsiaTheme="majorEastAsia" w:hAnsiTheme="majorHAnsi" w:cstheme="majorBidi"/>
      <w:color w:val="365F91" w:themeColor="accent1" w:themeShade="BF"/>
      <w:kern w:val="2"/>
      <w:sz w:val="40"/>
      <w:szCs w:val="40"/>
      <w:lang w:val="id-ID" w:eastAsia="id-ID"/>
      <w14:ligatures w14:val="standardContextual"/>
    </w:rPr>
  </w:style>
  <w:style w:type="character" w:customStyle="1" w:styleId="Heading2Char">
    <w:name w:val="Heading 2 Char"/>
    <w:basedOn w:val="DefaultParagraphFont"/>
    <w:link w:val="Heading2"/>
    <w:uiPriority w:val="9"/>
    <w:rsid w:val="00F77DA8"/>
    <w:rPr>
      <w:rFonts w:asciiTheme="majorHAnsi" w:eastAsiaTheme="majorEastAsia" w:hAnsiTheme="majorHAnsi" w:cstheme="majorBidi"/>
      <w:color w:val="365F91" w:themeColor="accent1" w:themeShade="BF"/>
      <w:kern w:val="2"/>
      <w:sz w:val="32"/>
      <w:szCs w:val="32"/>
      <w:lang w:val="id-ID" w:eastAsia="id-ID"/>
      <w14:ligatures w14:val="standardContextual"/>
    </w:rPr>
  </w:style>
  <w:style w:type="character" w:customStyle="1" w:styleId="Heading3Char">
    <w:name w:val="Heading 3 Char"/>
    <w:basedOn w:val="DefaultParagraphFont"/>
    <w:link w:val="Heading3"/>
    <w:uiPriority w:val="9"/>
    <w:semiHidden/>
    <w:rsid w:val="00F77DA8"/>
    <w:rPr>
      <w:rFonts w:eastAsiaTheme="majorEastAsia" w:cstheme="majorBidi"/>
      <w:color w:val="365F91" w:themeColor="accent1" w:themeShade="BF"/>
      <w:kern w:val="2"/>
      <w:sz w:val="28"/>
      <w:szCs w:val="28"/>
      <w:lang w:val="id-ID" w:eastAsia="id-ID"/>
      <w14:ligatures w14:val="standardContextual"/>
    </w:rPr>
  </w:style>
  <w:style w:type="character" w:customStyle="1" w:styleId="Heading4Char">
    <w:name w:val="Heading 4 Char"/>
    <w:basedOn w:val="DefaultParagraphFont"/>
    <w:link w:val="Heading4"/>
    <w:uiPriority w:val="9"/>
    <w:semiHidden/>
    <w:rsid w:val="00F77DA8"/>
    <w:rPr>
      <w:rFonts w:eastAsiaTheme="majorEastAsia" w:cstheme="majorBidi"/>
      <w:i/>
      <w:iCs/>
      <w:color w:val="365F91" w:themeColor="accent1" w:themeShade="BF"/>
      <w:kern w:val="2"/>
      <w:sz w:val="24"/>
      <w:szCs w:val="24"/>
      <w:lang w:val="id-ID" w:eastAsia="id-ID"/>
      <w14:ligatures w14:val="standardContextual"/>
    </w:rPr>
  </w:style>
  <w:style w:type="character" w:customStyle="1" w:styleId="Heading5Char">
    <w:name w:val="Heading 5 Char"/>
    <w:basedOn w:val="DefaultParagraphFont"/>
    <w:link w:val="Heading5"/>
    <w:uiPriority w:val="9"/>
    <w:semiHidden/>
    <w:rsid w:val="00F77DA8"/>
    <w:rPr>
      <w:rFonts w:eastAsiaTheme="majorEastAsia" w:cstheme="majorBidi"/>
      <w:color w:val="365F91" w:themeColor="accent1" w:themeShade="BF"/>
      <w:kern w:val="2"/>
      <w:sz w:val="24"/>
      <w:szCs w:val="24"/>
      <w:lang w:val="id-ID" w:eastAsia="id-ID"/>
      <w14:ligatures w14:val="standardContextual"/>
    </w:rPr>
  </w:style>
  <w:style w:type="character" w:customStyle="1" w:styleId="Heading6Char">
    <w:name w:val="Heading 6 Char"/>
    <w:basedOn w:val="DefaultParagraphFont"/>
    <w:link w:val="Heading6"/>
    <w:uiPriority w:val="9"/>
    <w:semiHidden/>
    <w:rsid w:val="00F77DA8"/>
    <w:rPr>
      <w:rFonts w:eastAsiaTheme="majorEastAsia" w:cstheme="majorBidi"/>
      <w:i/>
      <w:iCs/>
      <w:color w:val="595959" w:themeColor="text1" w:themeTint="A6"/>
      <w:kern w:val="2"/>
      <w:sz w:val="24"/>
      <w:szCs w:val="24"/>
      <w:lang w:val="id-ID" w:eastAsia="id-ID"/>
      <w14:ligatures w14:val="standardContextual"/>
    </w:rPr>
  </w:style>
  <w:style w:type="character" w:customStyle="1" w:styleId="Heading7Char">
    <w:name w:val="Heading 7 Char"/>
    <w:basedOn w:val="DefaultParagraphFont"/>
    <w:link w:val="Heading7"/>
    <w:uiPriority w:val="9"/>
    <w:semiHidden/>
    <w:rsid w:val="00F77DA8"/>
    <w:rPr>
      <w:rFonts w:eastAsiaTheme="majorEastAsia" w:cstheme="majorBidi"/>
      <w:color w:val="595959" w:themeColor="text1" w:themeTint="A6"/>
      <w:kern w:val="2"/>
      <w:sz w:val="24"/>
      <w:szCs w:val="24"/>
      <w:lang w:val="id-ID" w:eastAsia="id-ID"/>
      <w14:ligatures w14:val="standardContextual"/>
    </w:rPr>
  </w:style>
  <w:style w:type="character" w:customStyle="1" w:styleId="Heading8Char">
    <w:name w:val="Heading 8 Char"/>
    <w:basedOn w:val="DefaultParagraphFont"/>
    <w:link w:val="Heading8"/>
    <w:uiPriority w:val="9"/>
    <w:semiHidden/>
    <w:rsid w:val="00F77DA8"/>
    <w:rPr>
      <w:rFonts w:eastAsiaTheme="majorEastAsia" w:cstheme="majorBidi"/>
      <w:i/>
      <w:iCs/>
      <w:color w:val="272727" w:themeColor="text1" w:themeTint="D8"/>
      <w:kern w:val="2"/>
      <w:sz w:val="24"/>
      <w:szCs w:val="24"/>
      <w:lang w:val="id-ID" w:eastAsia="id-ID"/>
      <w14:ligatures w14:val="standardContextual"/>
    </w:rPr>
  </w:style>
  <w:style w:type="character" w:customStyle="1" w:styleId="Heading9Char">
    <w:name w:val="Heading 9 Char"/>
    <w:basedOn w:val="DefaultParagraphFont"/>
    <w:link w:val="Heading9"/>
    <w:uiPriority w:val="9"/>
    <w:semiHidden/>
    <w:rsid w:val="00F77DA8"/>
    <w:rPr>
      <w:rFonts w:eastAsiaTheme="majorEastAsia" w:cstheme="majorBidi"/>
      <w:color w:val="272727" w:themeColor="text1" w:themeTint="D8"/>
      <w:kern w:val="2"/>
      <w:sz w:val="24"/>
      <w:szCs w:val="24"/>
      <w:lang w:val="id-ID" w:eastAsia="id-ID"/>
      <w14:ligatures w14:val="standardContextual"/>
    </w:rPr>
  </w:style>
  <w:style w:type="paragraph" w:styleId="FootnoteText">
    <w:name w:val="footnote text"/>
    <w:basedOn w:val="Normal"/>
    <w:link w:val="FootnoteTextChar"/>
    <w:uiPriority w:val="99"/>
    <w:semiHidden/>
    <w:unhideWhenUsed/>
    <w:rsid w:val="00F77DA8"/>
    <w:pPr>
      <w:widowControl w:val="0"/>
      <w:autoSpaceDE w:val="0"/>
      <w:autoSpaceDN w:val="0"/>
      <w:spacing w:after="0" w:line="240" w:lineRule="auto"/>
    </w:pPr>
    <w:rPr>
      <w:rFonts w:ascii="Times New Roman" w:eastAsia="Times New Roman" w:hAnsi="Times New Roman" w:cs="Times New Roman"/>
      <w:kern w:val="0"/>
      <w:sz w:val="20"/>
      <w:szCs w:val="20"/>
      <w:lang w:val="id" w:eastAsia="en-US"/>
      <w14:ligatures w14:val="none"/>
    </w:rPr>
  </w:style>
  <w:style w:type="character" w:customStyle="1" w:styleId="FootnoteTextChar">
    <w:name w:val="Footnote Text Char"/>
    <w:basedOn w:val="DefaultParagraphFont"/>
    <w:link w:val="FootnoteText"/>
    <w:uiPriority w:val="99"/>
    <w:semiHidden/>
    <w:rsid w:val="00F77DA8"/>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F77DA8"/>
    <w:rPr>
      <w:vertAlign w:val="superscript"/>
    </w:rPr>
  </w:style>
  <w:style w:type="paragraph" w:styleId="BodyText">
    <w:name w:val="Body Text"/>
    <w:basedOn w:val="Normal"/>
    <w:link w:val="BodyTextChar"/>
    <w:uiPriority w:val="1"/>
    <w:qFormat/>
    <w:rsid w:val="00536600"/>
    <w:pPr>
      <w:widowControl w:val="0"/>
      <w:autoSpaceDE w:val="0"/>
      <w:autoSpaceDN w:val="0"/>
      <w:spacing w:after="0" w:line="240" w:lineRule="auto"/>
      <w:jc w:val="both"/>
    </w:pPr>
    <w:rPr>
      <w:rFonts w:ascii="Times New Roman" w:eastAsia="Times New Roman" w:hAnsi="Times New Roman" w:cs="Times New Roman"/>
      <w:kern w:val="0"/>
      <w:lang w:val="id" w:eastAsia="en-US"/>
      <w14:ligatures w14:val="none"/>
    </w:rPr>
  </w:style>
  <w:style w:type="character" w:customStyle="1" w:styleId="BodyTextChar">
    <w:name w:val="Body Text Char"/>
    <w:basedOn w:val="DefaultParagraphFont"/>
    <w:link w:val="BodyText"/>
    <w:uiPriority w:val="1"/>
    <w:rsid w:val="00536600"/>
    <w:rPr>
      <w:rFonts w:ascii="Times New Roman" w:eastAsia="Times New Roman" w:hAnsi="Times New Roman" w:cs="Times New Roman"/>
      <w:sz w:val="24"/>
      <w:szCs w:val="24"/>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1947</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2026-06-15T04:44:00Z</dcterms:created>
  <dcterms:modified xsi:type="dcterms:W3CDTF">2026-06-15T04:44:00Z</dcterms:modified>
</cp:coreProperties>
</file>