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06" w:rsidRPr="008A06BE" w:rsidRDefault="00870D06" w:rsidP="00870D06">
      <w:pPr>
        <w:pStyle w:val="Heading1"/>
        <w:numPr>
          <w:ilvl w:val="0"/>
          <w:numId w:val="0"/>
        </w:numPr>
        <w:ind w:left="432"/>
        <w:jc w:val="center"/>
        <w:rPr>
          <w:rFonts w:asciiTheme="majorBidi" w:hAnsiTheme="majorBidi"/>
          <w:b/>
          <w:bCs/>
          <w:color w:val="auto"/>
          <w:sz w:val="28"/>
          <w:szCs w:val="28"/>
        </w:rPr>
      </w:pPr>
      <w:r w:rsidRPr="008A06BE">
        <w:rPr>
          <w:rFonts w:asciiTheme="majorBidi" w:hAnsiTheme="majorBidi"/>
          <w:b/>
          <w:bCs/>
          <w:color w:val="auto"/>
          <w:sz w:val="28"/>
          <w:szCs w:val="28"/>
        </w:rPr>
        <w:t>BAB V</w:t>
      </w:r>
    </w:p>
    <w:p w:rsidR="00870D06" w:rsidRPr="008A06BE" w:rsidRDefault="00870D06" w:rsidP="00870D06">
      <w:pPr>
        <w:pStyle w:val="Heading1"/>
        <w:numPr>
          <w:ilvl w:val="0"/>
          <w:numId w:val="0"/>
        </w:numPr>
        <w:ind w:left="432"/>
        <w:jc w:val="center"/>
        <w:rPr>
          <w:rFonts w:asciiTheme="majorBidi" w:hAnsiTheme="majorBidi"/>
          <w:b/>
          <w:bCs/>
          <w:color w:val="auto"/>
          <w:sz w:val="28"/>
          <w:szCs w:val="28"/>
        </w:rPr>
      </w:pPr>
      <w:r>
        <w:rPr>
          <w:rFonts w:asciiTheme="majorBidi" w:hAnsiTheme="majorBidi"/>
          <w:b/>
          <w:bCs/>
          <w:color w:val="auto"/>
          <w:sz w:val="28"/>
          <w:szCs w:val="28"/>
        </w:rPr>
        <w:t>KESIMPULAN DAN SARAN</w:t>
      </w:r>
    </w:p>
    <w:p w:rsidR="00870D06" w:rsidRPr="00F1418D" w:rsidRDefault="00870D06" w:rsidP="00870D06">
      <w:pPr>
        <w:pStyle w:val="Heading2"/>
        <w:numPr>
          <w:ilvl w:val="0"/>
          <w:numId w:val="22"/>
        </w:numPr>
        <w:ind w:left="567" w:hanging="567"/>
        <w:rPr>
          <w:rFonts w:asciiTheme="majorBidi" w:hAnsiTheme="majorBidi"/>
          <w:b/>
          <w:bCs/>
          <w:sz w:val="24"/>
          <w:szCs w:val="24"/>
        </w:rPr>
      </w:pPr>
      <w:r w:rsidRPr="00F1418D">
        <w:rPr>
          <w:rFonts w:asciiTheme="majorBidi" w:hAnsiTheme="majorBidi"/>
          <w:b/>
          <w:bCs/>
          <w:color w:val="auto"/>
          <w:sz w:val="24"/>
          <w:szCs w:val="24"/>
        </w:rPr>
        <w:t>Kesimpulan</w:t>
      </w:r>
    </w:p>
    <w:p w:rsidR="00870D06" w:rsidRPr="008A06BE" w:rsidRDefault="00870D06" w:rsidP="00870D06">
      <w:pPr>
        <w:widowControl w:val="0"/>
        <w:autoSpaceDE w:val="0"/>
        <w:autoSpaceDN w:val="0"/>
        <w:spacing w:before="139" w:after="0" w:line="360" w:lineRule="auto"/>
        <w:ind w:left="709" w:right="139" w:firstLine="427"/>
        <w:jc w:val="both"/>
        <w:rPr>
          <w:rFonts w:ascii="Times New Roman" w:hAnsi="Times New Roman" w:cs="Times New Roman"/>
        </w:rPr>
      </w:pPr>
      <w:r w:rsidRPr="008A06BE">
        <w:rPr>
          <w:rFonts w:ascii="Times New Roman" w:hAnsi="Times New Roman" w:cs="Times New Roman"/>
        </w:rPr>
        <w:t>Berdasarkan hasil penelitian dan analisis terhadap Putusan Pengadilan Niaga Jakarta Pusat Nomor 7/Pdt.Sus-Pailit/2025/PN.Niaga.Jkt.Pst serta tinjauan yuridis terhadap pelaksanaan tugas kurator dalam proses kepailitan, maka diperoleh beberapa kesimpulan sebagai berikut:</w:t>
      </w:r>
    </w:p>
    <w:p w:rsidR="00870D06" w:rsidRDefault="00870D06" w:rsidP="00870D06">
      <w:pPr>
        <w:pStyle w:val="BodyText"/>
        <w:numPr>
          <w:ilvl w:val="0"/>
          <w:numId w:val="20"/>
        </w:numPr>
        <w:spacing w:before="241" w:line="360" w:lineRule="auto"/>
        <w:ind w:left="1276" w:right="136"/>
      </w:pPr>
      <w:r>
        <w:t>Putusan kepailitan terhadap PT Mulia Karya Berkah Bersama telah sesuai dengan ketentuan Pasal 2 ayat (1) dan Pasal 8 ayat (4) UUK-PKPU, yang menyatakan bahwa syarat minimal untuk menyatakan pailit adalah adanya dua atau lebih kreditor dan satu utang yang telah jatuh tempo dan dapat ditagih. Pengakuan utang oleh debitur dan ketidakmampuan membayar menjadi dasar yang cukup dalam penerapan asas pembuktian sederhana oleh hakim.</w:t>
      </w:r>
    </w:p>
    <w:p w:rsidR="00870D06" w:rsidRDefault="00870D06" w:rsidP="00870D06">
      <w:pPr>
        <w:pStyle w:val="BodyText"/>
        <w:numPr>
          <w:ilvl w:val="0"/>
          <w:numId w:val="20"/>
        </w:numPr>
        <w:spacing w:before="241" w:line="360" w:lineRule="auto"/>
        <w:ind w:left="1276" w:right="136"/>
      </w:pPr>
      <w:r>
        <w:t>Kurator yang ditunjuk oleh pengadilan menjalankan tanggung jawab pengurusan dan pemberesan harta pailit berdasarkan Pasal 69 ayat (1) UUK-PKPU, dengan langkah-langkah konkret seperti penyegelan aset, inventarisasi harta, pengumuman kepailitan, serta pelelangan aset. Meskipun mengalami kendala teknis dan administratif, kurator tetap bekerja dalam koridor hukum dan diawasi oleh hakim pengawas.</w:t>
      </w:r>
    </w:p>
    <w:p w:rsidR="00870D06" w:rsidRDefault="00870D06" w:rsidP="00870D06">
      <w:pPr>
        <w:pStyle w:val="BodyText"/>
        <w:numPr>
          <w:ilvl w:val="0"/>
          <w:numId w:val="20"/>
        </w:numPr>
        <w:spacing w:before="241" w:line="360" w:lineRule="auto"/>
        <w:ind w:left="1276" w:right="136"/>
      </w:pPr>
      <w:r>
        <w:t>Pengawasan oleh hakim pengawas berperan penting dalam menjaga objektivitas dan akuntabilitas kurator, terutama dalam persetujuan atas tindakan strategis seperti penjualan aset atau penggunaan dana boedel pailit. Hakim pengawas berfungsi sebagai penjaga hukum acara kepailitan agar tidak terjadi penyimpangan.</w:t>
      </w:r>
    </w:p>
    <w:p w:rsidR="00870D06" w:rsidRDefault="00870D06" w:rsidP="00870D06">
      <w:pPr>
        <w:pStyle w:val="BodyText"/>
        <w:numPr>
          <w:ilvl w:val="0"/>
          <w:numId w:val="20"/>
        </w:numPr>
        <w:spacing w:before="241" w:line="360" w:lineRule="auto"/>
        <w:ind w:left="1276" w:right="136"/>
      </w:pPr>
      <w:r>
        <w:lastRenderedPageBreak/>
        <w:t>Kendala yang dihadapi kurator dalam pemberesan harta pailit antara lain mencakup: kerusakan aset akibat kebakaran, keberadaan aset dalam penguasaan pihak ketiga, dan kompleksitas proses verifikasi tagihan. Namun, kurator tetap berupaya menempuh langkah hukum yang relevan, termasuk penetapan pengadilan dan kerja sama dengan kreditor.</w:t>
      </w:r>
    </w:p>
    <w:p w:rsidR="00870D06" w:rsidRPr="00761737" w:rsidRDefault="00870D06" w:rsidP="00870D06">
      <w:pPr>
        <w:pStyle w:val="BodyText"/>
        <w:numPr>
          <w:ilvl w:val="0"/>
          <w:numId w:val="20"/>
        </w:numPr>
        <w:spacing w:before="241" w:line="360" w:lineRule="auto"/>
        <w:ind w:left="1276" w:right="136"/>
      </w:pPr>
      <w:r>
        <w:t>Peran kurator dalam perkara ini mencerminkan pentingnya fungsi profesionalisme dan independensi kurator dalam menjamin prinsip keadilan, kepastian hukum, dan efisiensi dalam sistem kepailitan. Oleh karena itu, implementasi Pasal 69 ayat (1) UUK-PKPU tidak hanya bersifat formal tetapi juga mengandung dimensi substantif dalam praktik.</w:t>
      </w:r>
    </w:p>
    <w:p w:rsidR="00870D06" w:rsidRDefault="00870D06" w:rsidP="00870D06">
      <w:pPr>
        <w:pStyle w:val="BodyText"/>
        <w:numPr>
          <w:ilvl w:val="0"/>
          <w:numId w:val="22"/>
        </w:numPr>
        <w:spacing w:before="241" w:line="360" w:lineRule="auto"/>
        <w:ind w:left="567" w:right="136" w:hanging="567"/>
        <w:rPr>
          <w:b/>
          <w:bCs/>
        </w:rPr>
      </w:pPr>
      <w:r w:rsidRPr="00761737">
        <w:rPr>
          <w:b/>
          <w:bCs/>
        </w:rPr>
        <w:t xml:space="preserve">Saran </w:t>
      </w:r>
    </w:p>
    <w:p w:rsidR="00870D06" w:rsidRPr="008A06BE" w:rsidRDefault="00870D06" w:rsidP="00870D06">
      <w:pPr>
        <w:widowControl w:val="0"/>
        <w:autoSpaceDE w:val="0"/>
        <w:autoSpaceDN w:val="0"/>
        <w:spacing w:before="139" w:after="0" w:line="360" w:lineRule="auto"/>
        <w:ind w:left="567" w:right="139" w:firstLine="427"/>
        <w:jc w:val="both"/>
        <w:rPr>
          <w:rFonts w:ascii="Times New Roman" w:hAnsi="Times New Roman" w:cs="Times New Roman"/>
        </w:rPr>
      </w:pPr>
      <w:r w:rsidRPr="008A06BE">
        <w:rPr>
          <w:rFonts w:ascii="Times New Roman" w:hAnsi="Times New Roman" w:cs="Times New Roman"/>
        </w:rPr>
        <w:t>Berdasarkan kesimpulan di atas, penulis memberikan beberapa saran sebagai berikut:</w:t>
      </w:r>
    </w:p>
    <w:p w:rsidR="00870D06" w:rsidRDefault="00870D06" w:rsidP="00870D06">
      <w:pPr>
        <w:pStyle w:val="BodyText"/>
        <w:numPr>
          <w:ilvl w:val="0"/>
          <w:numId w:val="21"/>
        </w:numPr>
        <w:spacing w:before="241" w:line="360" w:lineRule="auto"/>
        <w:ind w:left="1276" w:right="136" w:hanging="425"/>
      </w:pPr>
      <w:r w:rsidRPr="00164CAA">
        <w:t>Bagi kurator, diharapkan untuk meningkatkan profesionalisme melalui pendidikan dan pelatihan berkelanjutan, khususnya terkait etika profesi, manajemen aset, dan negosiasi dengan kreditor. Kurator juga harus membangun sistem kerja yang transparan dan akuntabel agar kepercayaan para pihak tetap terjaga.</w:t>
      </w:r>
    </w:p>
    <w:p w:rsidR="00870D06" w:rsidRDefault="00870D06" w:rsidP="00870D06">
      <w:pPr>
        <w:pStyle w:val="BodyText"/>
        <w:numPr>
          <w:ilvl w:val="0"/>
          <w:numId w:val="21"/>
        </w:numPr>
        <w:spacing w:before="241" w:line="360" w:lineRule="auto"/>
        <w:ind w:left="1276" w:right="136" w:hanging="425"/>
      </w:pPr>
      <w:r w:rsidRPr="00164CAA">
        <w:t>Bagi hakim pengawas dan pengadilan niaga, perlu memperkuat mekanisme pengawasan terhadap pelaksanaan tugas kurator, tidak hanya dalam bentuk evaluasi administratif, tetapi juga melalui audit substansi laporan dan pemeriksaan lapangan terhadap kegiatan pemberesan.</w:t>
      </w:r>
    </w:p>
    <w:p w:rsidR="00870D06" w:rsidRDefault="00870D06" w:rsidP="00870D06">
      <w:pPr>
        <w:pStyle w:val="BodyText"/>
        <w:numPr>
          <w:ilvl w:val="0"/>
          <w:numId w:val="21"/>
        </w:numPr>
        <w:spacing w:before="241" w:line="360" w:lineRule="auto"/>
        <w:ind w:left="1276" w:right="136" w:hanging="425"/>
      </w:pPr>
      <w:r>
        <w:t xml:space="preserve">Bagi pembuat kebijakan (legislator dan Kementerian Hukum dan HAM), sebaiknya dilakukan revisi atau penyempurnaan terhadap UUK-PKPU khususnya dalam aspek standarisasi prosedur </w:t>
      </w:r>
      <w:r>
        <w:lastRenderedPageBreak/>
        <w:t>pemberesan, waktu maksimal penyelesaian pailit, serta penguatan kelembagaan kurator dan pengawasan profesinya secara lebih sistematis.</w:t>
      </w:r>
    </w:p>
    <w:p w:rsidR="00870D06" w:rsidRDefault="00870D06" w:rsidP="00870D06">
      <w:pPr>
        <w:pStyle w:val="BodyText"/>
        <w:numPr>
          <w:ilvl w:val="0"/>
          <w:numId w:val="21"/>
        </w:numPr>
        <w:spacing w:before="241" w:line="360" w:lineRule="auto"/>
        <w:ind w:left="1276" w:right="136"/>
      </w:pPr>
      <w:r>
        <w:t>Bagi akademisi dan mahasiswa hukum, penting untuk terus mengkaji praktik kepailitan secara kritis dan menyeluruh agar mampu memberikan kontribusi ilmiah terhadap pembaruan hukum kepailitan, khususnya dalam konteks penegakan prinsip keadilan dan efisiensi ekonomi.</w:t>
      </w:r>
    </w:p>
    <w:p w:rsidR="00870D06" w:rsidRDefault="00870D06" w:rsidP="00870D06">
      <w:pPr>
        <w:pStyle w:val="BodyText"/>
        <w:numPr>
          <w:ilvl w:val="0"/>
          <w:numId w:val="21"/>
        </w:numPr>
        <w:spacing w:before="241" w:line="360" w:lineRule="auto"/>
        <w:ind w:left="1276" w:right="136"/>
      </w:pPr>
      <w:r>
        <w:t>Bagi para kreditor dan debitor, perlu memahami mekanisme hukum kepailitan secara menyeluruh agar tidak terjebak pada konflik berkepanjangan. Kreditor sebaiknya aktif dalam rapat kreditor dan melakukan kontrol terhadap proses pemberesan, sementara debitor harus kooperatif dalam mendukung kelancaran pengurusan asetnya.</w:t>
      </w:r>
    </w:p>
    <w:p w:rsidR="00653891" w:rsidRPr="00870D06" w:rsidRDefault="00653891" w:rsidP="00870D06">
      <w:bookmarkStart w:id="0" w:name="_GoBack"/>
      <w:bookmarkEnd w:id="0"/>
    </w:p>
    <w:sectPr w:rsidR="00653891" w:rsidRPr="00870D06" w:rsidSect="00B33DD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435" w:rsidRDefault="00681435" w:rsidP="00F77DA8">
      <w:pPr>
        <w:spacing w:after="0" w:line="240" w:lineRule="auto"/>
      </w:pPr>
      <w:r>
        <w:separator/>
      </w:r>
    </w:p>
  </w:endnote>
  <w:endnote w:type="continuationSeparator" w:id="1">
    <w:p w:rsidR="00681435" w:rsidRDefault="00681435" w:rsidP="00F77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6814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6814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FA" w:rsidRDefault="00681435" w:rsidP="00820F02">
    <w:pPr>
      <w:pStyle w:val="Footer"/>
      <w:jc w:val="center"/>
    </w:pPr>
  </w:p>
  <w:p w:rsidR="000A00FA" w:rsidRDefault="006814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435" w:rsidRDefault="00681435" w:rsidP="00F77DA8">
      <w:pPr>
        <w:spacing w:after="0" w:line="240" w:lineRule="auto"/>
      </w:pPr>
      <w:r>
        <w:separator/>
      </w:r>
    </w:p>
  </w:footnote>
  <w:footnote w:type="continuationSeparator" w:id="1">
    <w:p w:rsidR="00681435" w:rsidRDefault="00681435" w:rsidP="00F77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AA67B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0" o:spid="_x0000_s2050" type="#_x0000_t75" style="position:absolute;margin-left:0;margin-top:0;width:432.3pt;height:425.9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AA67B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1" o:spid="_x0000_s2051" type="#_x0000_t75" style="position:absolute;margin-left:0;margin-top:0;width:432.3pt;height:425.9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AA67B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09" o:spid="_x0000_s2049" type="#_x0000_t75" style="position:absolute;margin-left:0;margin-top:0;width:432.3pt;height:425.9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1DF"/>
    <w:multiLevelType w:val="hybridMultilevel"/>
    <w:tmpl w:val="A4BE88D4"/>
    <w:lvl w:ilvl="0" w:tplc="0421000F">
      <w:start w:val="1"/>
      <w:numFmt w:val="decimal"/>
      <w:lvlText w:val="%1."/>
      <w:lvlJc w:val="left"/>
      <w:pPr>
        <w:ind w:left="1778"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10FD79F6"/>
    <w:multiLevelType w:val="hybridMultilevel"/>
    <w:tmpl w:val="469A1306"/>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13460CC0"/>
    <w:multiLevelType w:val="hybridMultilevel"/>
    <w:tmpl w:val="54DA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F758A"/>
    <w:multiLevelType w:val="hybridMultilevel"/>
    <w:tmpl w:val="15EAFB78"/>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8E36892"/>
    <w:multiLevelType w:val="hybridMultilevel"/>
    <w:tmpl w:val="96501A3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4F1320"/>
    <w:multiLevelType w:val="multilevel"/>
    <w:tmpl w:val="9F3094E0"/>
    <w:lvl w:ilvl="0">
      <w:start w:val="1"/>
      <w:numFmt w:val="decimal"/>
      <w:lvlText w:val="%1."/>
      <w:lvlJc w:val="left"/>
      <w:pPr>
        <w:ind w:left="1508" w:hanging="515"/>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color w:val="auto"/>
        <w:spacing w:val="0"/>
        <w:w w:val="100"/>
        <w:sz w:val="24"/>
        <w:szCs w:val="24"/>
        <w:lang w:eastAsia="en-US" w:bidi="ar-SA"/>
      </w:rPr>
    </w:lvl>
    <w:lvl w:ilvl="2">
      <w:numFmt w:val="bullet"/>
      <w:lvlText w:val="•"/>
      <w:lvlJc w:val="left"/>
      <w:pPr>
        <w:ind w:left="2277" w:hanging="567"/>
      </w:pPr>
      <w:rPr>
        <w:rFonts w:hint="default"/>
        <w:lang w:eastAsia="en-US" w:bidi="ar-SA"/>
      </w:rPr>
    </w:lvl>
    <w:lvl w:ilvl="3">
      <w:numFmt w:val="bullet"/>
      <w:lvlText w:val="•"/>
      <w:lvlJc w:val="left"/>
      <w:pPr>
        <w:ind w:left="3056" w:hanging="567"/>
      </w:pPr>
      <w:rPr>
        <w:rFonts w:hint="default"/>
        <w:lang w:eastAsia="en-US" w:bidi="ar-SA"/>
      </w:rPr>
    </w:lvl>
    <w:lvl w:ilvl="4">
      <w:numFmt w:val="bullet"/>
      <w:lvlText w:val="•"/>
      <w:lvlJc w:val="left"/>
      <w:pPr>
        <w:ind w:left="3834" w:hanging="567"/>
      </w:pPr>
      <w:rPr>
        <w:rFonts w:hint="default"/>
        <w:lang w:eastAsia="en-US" w:bidi="ar-SA"/>
      </w:rPr>
    </w:lvl>
    <w:lvl w:ilvl="5">
      <w:numFmt w:val="bullet"/>
      <w:lvlText w:val="•"/>
      <w:lvlJc w:val="left"/>
      <w:pPr>
        <w:ind w:left="4613" w:hanging="567"/>
      </w:pPr>
      <w:rPr>
        <w:rFonts w:hint="default"/>
        <w:lang w:eastAsia="en-US" w:bidi="ar-SA"/>
      </w:rPr>
    </w:lvl>
    <w:lvl w:ilvl="6">
      <w:numFmt w:val="bullet"/>
      <w:lvlText w:val="•"/>
      <w:lvlJc w:val="left"/>
      <w:pPr>
        <w:ind w:left="5392" w:hanging="567"/>
      </w:pPr>
      <w:rPr>
        <w:rFonts w:hint="default"/>
        <w:lang w:eastAsia="en-US" w:bidi="ar-SA"/>
      </w:rPr>
    </w:lvl>
    <w:lvl w:ilvl="7">
      <w:numFmt w:val="bullet"/>
      <w:lvlText w:val="•"/>
      <w:lvlJc w:val="left"/>
      <w:pPr>
        <w:ind w:left="6170" w:hanging="567"/>
      </w:pPr>
      <w:rPr>
        <w:rFonts w:hint="default"/>
        <w:lang w:eastAsia="en-US" w:bidi="ar-SA"/>
      </w:rPr>
    </w:lvl>
    <w:lvl w:ilvl="8">
      <w:numFmt w:val="bullet"/>
      <w:lvlText w:val="•"/>
      <w:lvlJc w:val="left"/>
      <w:pPr>
        <w:ind w:left="6949" w:hanging="567"/>
      </w:pPr>
      <w:rPr>
        <w:rFonts w:hint="default"/>
        <w:lang w:eastAsia="en-US" w:bidi="ar-SA"/>
      </w:rPr>
    </w:lvl>
  </w:abstractNum>
  <w:abstractNum w:abstractNumId="6">
    <w:nsid w:val="266120C1"/>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78D0A6D"/>
    <w:multiLevelType w:val="hybridMultilevel"/>
    <w:tmpl w:val="3E00D50C"/>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nsid w:val="2B004834"/>
    <w:multiLevelType w:val="hybridMultilevel"/>
    <w:tmpl w:val="5D82C58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30B4896"/>
    <w:multiLevelType w:val="hybridMultilevel"/>
    <w:tmpl w:val="E2965902"/>
    <w:lvl w:ilvl="0" w:tplc="FFFFFFFF">
      <w:start w:val="1"/>
      <w:numFmt w:val="decimal"/>
      <w:lvlText w:val="%1."/>
      <w:lvlJc w:val="left"/>
      <w:pPr>
        <w:ind w:left="360" w:hanging="360"/>
      </w:pPr>
      <w:rPr>
        <w:rFonts w:hint="default"/>
      </w:rPr>
    </w:lvl>
    <w:lvl w:ilvl="1" w:tplc="1C22C9AA">
      <w:start w:val="1"/>
      <w:numFmt w:val="upp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420487C"/>
    <w:multiLevelType w:val="hybridMultilevel"/>
    <w:tmpl w:val="2B444B68"/>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8D0193A"/>
    <w:multiLevelType w:val="hybridMultilevel"/>
    <w:tmpl w:val="D4D0DD8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CA92FF9"/>
    <w:multiLevelType w:val="hybridMultilevel"/>
    <w:tmpl w:val="2B0816A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nsid w:val="573019B0"/>
    <w:multiLevelType w:val="hybridMultilevel"/>
    <w:tmpl w:val="38BCDA3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5C673118"/>
    <w:multiLevelType w:val="hybridMultilevel"/>
    <w:tmpl w:val="C7B4C0F6"/>
    <w:lvl w:ilvl="0" w:tplc="1BDA00F8">
      <w:start w:val="1"/>
      <w:numFmt w:val="upperLetter"/>
      <w:lvlText w:val="%1."/>
      <w:lvlJc w:val="left"/>
      <w:pPr>
        <w:ind w:left="786" w:hanging="360"/>
      </w:pPr>
      <w:rPr>
        <w:rFonts w:hint="default"/>
        <w:b/>
        <w:bCs/>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5FE92AD7"/>
    <w:multiLevelType w:val="multilevel"/>
    <w:tmpl w:val="F1D08300"/>
    <w:lvl w:ilvl="0">
      <w:start w:val="1"/>
      <w:numFmt w:val="decimal"/>
      <w:lvlText w:val="%1."/>
      <w:lvlJc w:val="left"/>
      <w:pPr>
        <w:ind w:left="144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611D6411"/>
    <w:multiLevelType w:val="hybridMultilevel"/>
    <w:tmpl w:val="05E8FB60"/>
    <w:lvl w:ilvl="0" w:tplc="4E2A31E2">
      <w:start w:val="1"/>
      <w:numFmt w:val="upperLetter"/>
      <w:lvlText w:val="%1."/>
      <w:lvlJc w:val="left"/>
      <w:pPr>
        <w:ind w:left="927" w:hanging="360"/>
      </w:pPr>
      <w:rPr>
        <w:rFonts w:hint="default"/>
        <w:b/>
        <w:b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668252DF"/>
    <w:multiLevelType w:val="hybridMultilevel"/>
    <w:tmpl w:val="15E0B866"/>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8">
    <w:nsid w:val="66E94F31"/>
    <w:multiLevelType w:val="hybridMultilevel"/>
    <w:tmpl w:val="D70C8B04"/>
    <w:lvl w:ilvl="0" w:tplc="04210015">
      <w:start w:val="6"/>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CB6F18"/>
    <w:multiLevelType w:val="hybridMultilevel"/>
    <w:tmpl w:val="E230F2F8"/>
    <w:lvl w:ilvl="0" w:tplc="A0FC9152">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7FE004E">
      <w:start w:val="1"/>
      <w:numFmt w:val="lowerLetter"/>
      <w:lvlText w:val="%4."/>
      <w:lvlJc w:val="left"/>
      <w:pPr>
        <w:ind w:left="2880" w:hanging="360"/>
      </w:pPr>
      <w:rPr>
        <w:rFonts w:ascii="Times New Roman" w:eastAsia="Times New Roman" w:hAnsi="Times New Roman" w:cs="Times New Roman"/>
      </w:rPr>
    </w:lvl>
    <w:lvl w:ilvl="4" w:tplc="96FE1BD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8E04E2"/>
    <w:multiLevelType w:val="hybridMultilevel"/>
    <w:tmpl w:val="4C98EC3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79172D5D"/>
    <w:multiLevelType w:val="hybridMultilevel"/>
    <w:tmpl w:val="1916D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20"/>
  </w:num>
  <w:num w:numId="3">
    <w:abstractNumId w:val="3"/>
  </w:num>
  <w:num w:numId="4">
    <w:abstractNumId w:val="13"/>
  </w:num>
  <w:num w:numId="5">
    <w:abstractNumId w:val="11"/>
  </w:num>
  <w:num w:numId="6">
    <w:abstractNumId w:val="8"/>
  </w:num>
  <w:num w:numId="7">
    <w:abstractNumId w:val="12"/>
  </w:num>
  <w:num w:numId="8">
    <w:abstractNumId w:val="1"/>
  </w:num>
  <w:num w:numId="9">
    <w:abstractNumId w:val="7"/>
  </w:num>
  <w:num w:numId="10">
    <w:abstractNumId w:val="6"/>
  </w:num>
  <w:num w:numId="11">
    <w:abstractNumId w:val="19"/>
  </w:num>
  <w:num w:numId="12">
    <w:abstractNumId w:val="17"/>
  </w:num>
  <w:num w:numId="13">
    <w:abstractNumId w:val="21"/>
  </w:num>
  <w:num w:numId="14">
    <w:abstractNumId w:val="0"/>
  </w:num>
  <w:num w:numId="15">
    <w:abstractNumId w:val="5"/>
  </w:num>
  <w:num w:numId="16">
    <w:abstractNumId w:val="16"/>
  </w:num>
  <w:num w:numId="17">
    <w:abstractNumId w:val="18"/>
  </w:num>
  <w:num w:numId="18">
    <w:abstractNumId w:val="14"/>
  </w:num>
  <w:num w:numId="19">
    <w:abstractNumId w:val="10"/>
  </w:num>
  <w:num w:numId="20">
    <w:abstractNumId w:val="15"/>
  </w:num>
  <w:num w:numId="21">
    <w:abstractNumId w:val="9"/>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enforcement="1" w:cryptProviderType="rsaFull" w:cryptAlgorithmClass="hash" w:cryptAlgorithmType="typeAny" w:cryptAlgorithmSid="4" w:cryptSpinCount="50000" w:hash="6phzl4SRDCCSw5w5Xh1YJ/WjobY=" w:salt="DtpOmHEn2x3+clKwd/zx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33DD4"/>
    <w:rsid w:val="000206E4"/>
    <w:rsid w:val="00072A73"/>
    <w:rsid w:val="00085596"/>
    <w:rsid w:val="00170B7E"/>
    <w:rsid w:val="001937E2"/>
    <w:rsid w:val="00231FD0"/>
    <w:rsid w:val="00297D76"/>
    <w:rsid w:val="00311966"/>
    <w:rsid w:val="003369C4"/>
    <w:rsid w:val="00394114"/>
    <w:rsid w:val="003D5F01"/>
    <w:rsid w:val="003E1FF4"/>
    <w:rsid w:val="003F2E9C"/>
    <w:rsid w:val="004131A7"/>
    <w:rsid w:val="004278E2"/>
    <w:rsid w:val="004506C3"/>
    <w:rsid w:val="0046416A"/>
    <w:rsid w:val="004923DF"/>
    <w:rsid w:val="004E7304"/>
    <w:rsid w:val="004F3AEC"/>
    <w:rsid w:val="00536600"/>
    <w:rsid w:val="00544FC3"/>
    <w:rsid w:val="00573D14"/>
    <w:rsid w:val="005F1D88"/>
    <w:rsid w:val="00653891"/>
    <w:rsid w:val="00681435"/>
    <w:rsid w:val="006D7051"/>
    <w:rsid w:val="007718E3"/>
    <w:rsid w:val="00783571"/>
    <w:rsid w:val="00796CF1"/>
    <w:rsid w:val="008236E7"/>
    <w:rsid w:val="00870D06"/>
    <w:rsid w:val="00894E4C"/>
    <w:rsid w:val="009C01E0"/>
    <w:rsid w:val="009C2430"/>
    <w:rsid w:val="00A67D67"/>
    <w:rsid w:val="00AA67B8"/>
    <w:rsid w:val="00AE34B9"/>
    <w:rsid w:val="00B33DD4"/>
    <w:rsid w:val="00B74AD6"/>
    <w:rsid w:val="00CA0770"/>
    <w:rsid w:val="00D167C4"/>
    <w:rsid w:val="00D2736F"/>
    <w:rsid w:val="00DA2041"/>
    <w:rsid w:val="00DA770F"/>
    <w:rsid w:val="00DB4103"/>
    <w:rsid w:val="00DF1087"/>
    <w:rsid w:val="00E7288E"/>
    <w:rsid w:val="00EA0DD5"/>
    <w:rsid w:val="00F2784B"/>
    <w:rsid w:val="00F5325A"/>
    <w:rsid w:val="00F77DA8"/>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F77DA8"/>
    <w:rPr>
      <w:vertAlign w:val="superscript"/>
    </w:rPr>
  </w:style>
  <w:style w:type="paragraph" w:styleId="BodyText">
    <w:name w:val="Body Text"/>
    <w:basedOn w:val="Normal"/>
    <w:link w:val="BodyTextChar"/>
    <w:uiPriority w:val="1"/>
    <w:qFormat/>
    <w:rsid w:val="00536600"/>
    <w:pPr>
      <w:widowControl w:val="0"/>
      <w:autoSpaceDE w:val="0"/>
      <w:autoSpaceDN w:val="0"/>
      <w:spacing w:after="0" w:line="240" w:lineRule="auto"/>
      <w:jc w:val="both"/>
    </w:pPr>
    <w:rPr>
      <w:rFonts w:ascii="Times New Roman" w:eastAsia="Times New Roman" w:hAnsi="Times New Roman" w:cs="Times New Roman"/>
      <w:kern w:val="0"/>
      <w:lang w:eastAsia="en-US"/>
    </w:rPr>
  </w:style>
  <w:style w:type="character" w:customStyle="1" w:styleId="BodyTextChar">
    <w:name w:val="Body Text Char"/>
    <w:basedOn w:val="DefaultParagraphFont"/>
    <w:link w:val="BodyText"/>
    <w:uiPriority w:val="1"/>
    <w:rsid w:val="00536600"/>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14:ligatures w14:val="standardContextual"/>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14:ligatures w14:val="standardContextual"/>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14:ligatures w14:val="standardContextual"/>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14:ligatures w14:val="standardContextual"/>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14:ligatures w14:val="standardContextual"/>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14:ligatures w14:val="standardContextual"/>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14:ligatures w14:val="standardContextual"/>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14:ligatures w14:val="standardContextual"/>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14:ligatures w14:val="standardContextual"/>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14:ligatures w14:val="standardContextual"/>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14:ligatures w14:val="standardContextual"/>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14:ligatures w14:val="standardContextual"/>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val="id" w:eastAsia="en-US"/>
      <w14:ligatures w14:val="none"/>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77DA8"/>
    <w:rPr>
      <w:vertAlign w:val="superscript"/>
    </w:rPr>
  </w:style>
  <w:style w:type="paragraph" w:styleId="BodyText">
    <w:name w:val="Body Text"/>
    <w:basedOn w:val="Normal"/>
    <w:link w:val="BodyTextChar"/>
    <w:uiPriority w:val="1"/>
    <w:qFormat/>
    <w:rsid w:val="00536600"/>
    <w:pPr>
      <w:widowControl w:val="0"/>
      <w:autoSpaceDE w:val="0"/>
      <w:autoSpaceDN w:val="0"/>
      <w:spacing w:after="0" w:line="240" w:lineRule="auto"/>
      <w:jc w:val="both"/>
    </w:pPr>
    <w:rPr>
      <w:rFonts w:ascii="Times New Roman" w:eastAsia="Times New Roman" w:hAnsi="Times New Roman" w:cs="Times New Roman"/>
      <w:kern w:val="0"/>
      <w:lang w:val="id" w:eastAsia="en-US"/>
      <w14:ligatures w14:val="none"/>
    </w:rPr>
  </w:style>
  <w:style w:type="character" w:customStyle="1" w:styleId="BodyTextChar">
    <w:name w:val="Body Text Char"/>
    <w:basedOn w:val="DefaultParagraphFont"/>
    <w:link w:val="BodyText"/>
    <w:uiPriority w:val="1"/>
    <w:rsid w:val="00536600"/>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2026-06-15T04:45:00Z</dcterms:created>
  <dcterms:modified xsi:type="dcterms:W3CDTF">2026-06-15T04:45:00Z</dcterms:modified>
</cp:coreProperties>
</file>