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8BA" w:rsidRDefault="003728BA" w:rsidP="003728BA">
      <w:pPr>
        <w:pStyle w:val="BodyText"/>
        <w:jc w:val="center"/>
        <w:rPr>
          <w:rFonts w:ascii="Times New Roman" w:hAnsi="Times New Roman"/>
          <w:b/>
          <w:szCs w:val="24"/>
        </w:rPr>
      </w:pPr>
      <w:bookmarkStart w:id="0" w:name="_GoBack"/>
      <w:bookmarkEnd w:id="0"/>
      <w:r>
        <w:rPr>
          <w:rFonts w:ascii="Times New Roman" w:hAnsi="Times New Roman"/>
          <w:b/>
          <w:szCs w:val="24"/>
        </w:rPr>
        <w:t>BAB II</w:t>
      </w:r>
    </w:p>
    <w:p w:rsidR="003728BA" w:rsidRDefault="003728BA" w:rsidP="003728BA">
      <w:pPr>
        <w:pStyle w:val="BodyText"/>
        <w:jc w:val="center"/>
        <w:rPr>
          <w:rFonts w:ascii="Times New Roman" w:hAnsi="Times New Roman"/>
          <w:b/>
          <w:szCs w:val="24"/>
          <w:lang w:val="x-none"/>
        </w:rPr>
      </w:pPr>
      <w:r>
        <w:rPr>
          <w:rFonts w:ascii="Times New Roman" w:hAnsi="Times New Roman"/>
          <w:b/>
          <w:szCs w:val="24"/>
        </w:rPr>
        <w:t>TINJAUAN PUSTAKA.</w:t>
      </w:r>
    </w:p>
    <w:p w:rsidR="003728BA" w:rsidRDefault="003728BA" w:rsidP="00D671C6">
      <w:pPr>
        <w:numPr>
          <w:ilvl w:val="0"/>
          <w:numId w:val="4"/>
        </w:numPr>
        <w:tabs>
          <w:tab w:val="left" w:pos="709"/>
        </w:tabs>
        <w:spacing w:line="480" w:lineRule="auto"/>
        <w:jc w:val="both"/>
        <w:rPr>
          <w:b/>
          <w:bCs/>
        </w:rPr>
      </w:pPr>
      <w:bookmarkStart w:id="1" w:name="_Hlk105134821"/>
      <w:r>
        <w:rPr>
          <w:b/>
          <w:bCs/>
        </w:rPr>
        <w:t>Tinjauan Tentang Pungutan Liar</w:t>
      </w:r>
    </w:p>
    <w:p w:rsidR="003728BA" w:rsidRDefault="003728BA" w:rsidP="00D671C6">
      <w:pPr>
        <w:numPr>
          <w:ilvl w:val="0"/>
          <w:numId w:val="5"/>
        </w:numPr>
        <w:spacing w:line="480" w:lineRule="auto"/>
        <w:rPr>
          <w:b/>
        </w:rPr>
      </w:pPr>
      <w:r>
        <w:rPr>
          <w:b/>
        </w:rPr>
        <w:t>Pengertian Pungutan Liar</w:t>
      </w:r>
      <w:bookmarkEnd w:id="1"/>
    </w:p>
    <w:p w:rsidR="003728BA" w:rsidRDefault="003728BA" w:rsidP="003728BA">
      <w:pPr>
        <w:spacing w:line="480" w:lineRule="auto"/>
        <w:ind w:firstLine="720"/>
        <w:jc w:val="both"/>
      </w:pPr>
      <w:r>
        <w:t>Pungutan liar atau pungli adalah pengenaan biaya di tempat yang tidak seharusnya biaya dikenakan atau dipungut. Kegiatan pungutan liar bukanlah hal baru. Pungli berasal dari frasa pungutan liar yang secara etimologis dapat diartikan sebagai suatu kegiatan yang memungut bayaran/meminta uang secara paksa. Jadi pungli merupakan praktek kejahatan.</w:t>
      </w:r>
    </w:p>
    <w:p w:rsidR="003728BA" w:rsidRDefault="003728BA" w:rsidP="003728BA">
      <w:pPr>
        <w:spacing w:line="480" w:lineRule="auto"/>
        <w:ind w:firstLine="720"/>
        <w:jc w:val="both"/>
      </w:pPr>
      <w:r>
        <w:t xml:space="preserve">Pungutan liar merupakan perbuatan yang dilakukan oleh seseorang atau Pegawai Negeri atau Pejabat Negara dengan </w:t>
      </w:r>
      <w:proofErr w:type="gramStart"/>
      <w:r>
        <w:t>cara</w:t>
      </w:r>
      <w:proofErr w:type="gramEnd"/>
      <w:r>
        <w:t xml:space="preserve"> meminta pembayaran sejumlah uang yang tidak sesuai atau tidak berdasarkan peraturan yang berkaitan dengan pembayaran tersebut. Hal ini sering disamakan dengan perbuatan pemerasan.</w:t>
      </w:r>
      <w:r>
        <w:rPr>
          <w:rStyle w:val="FootnoteReference"/>
        </w:rPr>
        <w:footnoteReference w:id="1"/>
      </w:r>
    </w:p>
    <w:p w:rsidR="003728BA" w:rsidRDefault="003728BA" w:rsidP="003728BA">
      <w:pPr>
        <w:spacing w:line="480" w:lineRule="auto"/>
        <w:ind w:firstLine="720"/>
        <w:jc w:val="both"/>
      </w:pPr>
      <w:r>
        <w:t xml:space="preserve">Berdasarkan catatan dari Dokumen Perserikatan Bangsa-Bangsa Tentang Upaya Pemberantasan Korupsi, pungutan liar merupakan pungutan tidak resmi, </w:t>
      </w:r>
      <w:proofErr w:type="gramStart"/>
      <w:r>
        <w:t>permintaan</w:t>
      </w:r>
      <w:proofErr w:type="gramEnd"/>
      <w:r>
        <w:t>, penerimaan segala pembayaran, hadiah atau keuntungan lainnya, secara langsung atau tidak langsung, oleh pejabat publik atau wakil yang dipilih dari suatu negara dari perusahaan swasta atau publik termasuk perusahaan transnasional atau individu dari negara lain yang dikaitkan dengan maksud untuk melakukan atau tidak melakukan suatu tugas yang berkaitan dengan suatu transaksi komersial internasional.</w:t>
      </w:r>
      <w:r>
        <w:rPr>
          <w:rStyle w:val="FootnoteReference"/>
        </w:rPr>
        <w:footnoteReference w:id="2"/>
      </w:r>
    </w:p>
    <w:p w:rsidR="003728BA" w:rsidRDefault="003728BA" w:rsidP="003728BA">
      <w:pPr>
        <w:spacing w:line="480" w:lineRule="auto"/>
        <w:ind w:firstLine="720"/>
        <w:jc w:val="both"/>
      </w:pPr>
      <w:r>
        <w:t xml:space="preserve">Tingginya tingkat ketidakpastian pelayanan sebagai akibat adanya prosedur pelayanan yang panjang dan melelahkan menjadi penyebab dari semakin </w:t>
      </w:r>
      <w:r>
        <w:lastRenderedPageBreak/>
        <w:t>banyaknya masyarakat yang menyerah ketika berhadapan dengan pelayanan publik yang korupsi. Hal ini merupakan salah satu faktor yang menyebabkan masyarakat cenderung semakin toleran terhadap praktik pungutan liar dalam penyelenggaraan pelayanan publik.</w:t>
      </w:r>
    </w:p>
    <w:p w:rsidR="003728BA" w:rsidRDefault="003728BA" w:rsidP="003728BA">
      <w:pPr>
        <w:spacing w:line="480" w:lineRule="auto"/>
        <w:ind w:firstLine="720"/>
        <w:jc w:val="both"/>
      </w:pPr>
      <w:r>
        <w:t>Awalnya, tindakan kolutif dari masyarakat lebih banyak karena keterpaksaan, yaitu sebagai bentuk respons mereka terhadap kerumitan, pemaksaan dan ketidak pastian pelayanan publik. Perkembangannya masyarakat pengguna layanan justru banyak yang merasa lega ketika melakukan hal itu, atau bahkan mengharapkannya karena beranggapan hal itu dapat mempercepat urusannya, dan tidak menganggapnya sebagai praktik negatif yang merugikan berarti masyarakat kita telah ikut melembagakan praktik pungutan liar.</w:t>
      </w:r>
    </w:p>
    <w:p w:rsidR="003728BA" w:rsidRDefault="003728BA" w:rsidP="003728BA">
      <w:pPr>
        <w:spacing w:line="480" w:lineRule="auto"/>
        <w:ind w:firstLine="720"/>
        <w:jc w:val="both"/>
      </w:pPr>
      <w:r>
        <w:t>Instruksi Presiden No. 9 tahun 1977 tentang Operasi Penertiban merupakan salah satu upaya memberantas pungutan liar dengan tugas membersihkan pungutan liar, penertiban uang siluman, penertiban aparat pemda dan departemen. Untuk memperlancar dan mengefektifkan pelaksanaan penertiban ini ditugaskan kepada Menteri Negara Penertiban Aparatur Negara, untuk mengkoordinir pelaksanaannya dan Pangkopkamtib untuk membantu Departemen/Lembaga pelaksanaanya secara operasional.</w:t>
      </w:r>
    </w:p>
    <w:p w:rsidR="003728BA" w:rsidRDefault="003728BA" w:rsidP="003728BA">
      <w:pPr>
        <w:ind w:left="709"/>
        <w:jc w:val="both"/>
      </w:pPr>
      <w:r>
        <w:t xml:space="preserve">Pemberantasan pungutan liar yang dipimpin oleh Panglima Komando Operasi Keamanan dan Ketertiban (Pangkopkamtib) yaitu Laksamana Sudomo. Jabatan Pangkopkamtib pada masa orde-baru merupakan institusi </w:t>
      </w:r>
      <w:r>
        <w:rPr>
          <w:i/>
          <w:iCs/>
        </w:rPr>
        <w:t xml:space="preserve">super body </w:t>
      </w:r>
      <w:r>
        <w:t xml:space="preserve">bidang politik, hukum dan keamanan. Militer, dan seluruh institusi penegak hukum di bawah kendali Pangkopkamtib. Pungutan liar di jembatan timbang dijadikan simbol pemberantasan pungutan liar. Karena “kebiasaan” di jembatan timbang, telah terjadi puluhan tahun. </w:t>
      </w:r>
      <w:r>
        <w:lastRenderedPageBreak/>
        <w:t>Begitu pula dengan institusi perizinan juga dituding sebagai sarang pungutan liar.</w:t>
      </w:r>
      <w:r>
        <w:rPr>
          <w:rStyle w:val="FootnoteReference"/>
        </w:rPr>
        <w:footnoteReference w:customMarkFollows="1" w:id="3"/>
        <w:t>9</w:t>
      </w:r>
    </w:p>
    <w:p w:rsidR="003728BA" w:rsidRDefault="003728BA" w:rsidP="003728BA">
      <w:pPr>
        <w:ind w:left="426"/>
        <w:jc w:val="both"/>
      </w:pPr>
    </w:p>
    <w:p w:rsidR="003728BA" w:rsidRDefault="003728BA" w:rsidP="003728BA">
      <w:pPr>
        <w:spacing w:line="480" w:lineRule="auto"/>
        <w:ind w:firstLine="720"/>
        <w:jc w:val="both"/>
      </w:pPr>
      <w:r>
        <w:t xml:space="preserve">Prioritas penindakan Operasi Tertib adalah "pungutan liar" dalam segala bentuknya. </w:t>
      </w:r>
      <w:proofErr w:type="gramStart"/>
      <w:r>
        <w:t>khususnya</w:t>
      </w:r>
      <w:proofErr w:type="gramEnd"/>
      <w:r>
        <w:t xml:space="preserve"> pungutan liar yang menyangkut kepentingan masyarakat luas, seperti pungutan liar di jembatan timbang, pungutan liar oleh penegak hukum di semua instansi (hakim, jaksa, polisi), per-caloan kreta api/pesawat/kapal laut, pungutan liar pada pengurusan Ijin Mendirikan Bangunan (IMB) dan lain sebagainya.</w:t>
      </w:r>
      <w:r>
        <w:rPr>
          <w:rStyle w:val="FootnoteReference"/>
        </w:rPr>
        <w:footnoteReference w:customMarkFollows="1" w:id="4"/>
        <w:t>10</w:t>
      </w:r>
    </w:p>
    <w:p w:rsidR="003728BA" w:rsidRDefault="003728BA" w:rsidP="003728BA">
      <w:pPr>
        <w:pStyle w:val="Default"/>
        <w:spacing w:line="480" w:lineRule="auto"/>
        <w:ind w:firstLine="708"/>
        <w:jc w:val="both"/>
      </w:pPr>
      <w:r>
        <w:t xml:space="preserve">Berdasarkan Instruksi Presiden Republik Indonesia Nomor 9 Tahun 1977 Tentang Operasi Tertib bertujuan untuk menghilangkan praktek-praktek yang dilakukan oleh oknum-oknum dalam aparatur Pemerintah yang tidak berdasarkan peraturan seperti pungutan liar dalam berbagai bentuknya dan untuk memperbaiki serta meningkatkan dayaguna dan hasil-guna aparatur Pemerintah, diperlukan adanya langkah-langkah penertiban secara menyeluruh dan terus menerus di dalam tubuh aparatur Pemerintah. </w:t>
      </w:r>
    </w:p>
    <w:p w:rsidR="003728BA" w:rsidRDefault="003728BA" w:rsidP="003728BA">
      <w:pPr>
        <w:pStyle w:val="Default"/>
        <w:spacing w:line="504" w:lineRule="auto"/>
        <w:ind w:firstLine="709"/>
        <w:jc w:val="both"/>
      </w:pPr>
      <w:r>
        <w:t>Awalnya Operasi Tertib dibentuk untuk pembersihan pungutan liar di jalan-jalan, penertiban uang siluman di pelabuhan, baik pungutan tidak resmi maupun resmi, tetapi tidak sah menurut hukum.</w:t>
      </w:r>
      <w:r>
        <w:rPr>
          <w:rStyle w:val="FootnoteReference"/>
        </w:rPr>
        <w:footnoteReference w:customMarkFollows="1" w:id="5"/>
        <w:t>11</w:t>
      </w:r>
      <w:r>
        <w:t xml:space="preserve"> Namun, pada tahun 1977 sasaran penertibannya diperluas, beralih dari jalan-jalan ke aparat departemen dan daerah. Terbentuknya Operasi Tertib adalah juga pengakuan bahwa masih banyak yang tidak tertib dalam administrasi </w:t>
      </w:r>
      <w:r>
        <w:lastRenderedPageBreak/>
        <w:t>pemerintahan sehingga menciptakan pungutan liar. Adanya Operasi Tertib di lain pihak juga menyajikan harapan kepada masyarakat yang tahu bahwa tidak bersihnya aparatur negara sudah pada titik yang menimbulkan putus asa.</w:t>
      </w:r>
    </w:p>
    <w:p w:rsidR="003728BA" w:rsidRDefault="003728BA" w:rsidP="003728BA">
      <w:pPr>
        <w:pStyle w:val="Default"/>
        <w:spacing w:line="504" w:lineRule="auto"/>
        <w:ind w:firstLine="709"/>
        <w:jc w:val="both"/>
      </w:pPr>
      <w:r>
        <w:t>Memangkas biaya pungutan liar juga bertujuan untuk meringankan beban pengusaha, dan mengalihkan biaya tersebut untuk kepentingan buruh.</w:t>
      </w:r>
      <w:r>
        <w:rPr>
          <w:rStyle w:val="FootnoteReference"/>
        </w:rPr>
        <w:footnoteReference w:customMarkFollows="1" w:id="6"/>
        <w:t>12</w:t>
      </w:r>
      <w:r>
        <w:t xml:space="preserve"> Pemerintah tak perlu menempuh kebijakan populis yang seolah membela tapi sebenarnya dalam jangka panjang merugikan buruh.Berhasil tidaknya Operasi Tertib ini juga tergantung dari aparatur negara. Ada kesan bahwa atasan itu cenderung melindungi bawahan. Satu dan lain hal disebabkan karena pungutan liar memang terjadi dari atas sampai ke bawah. Bahkan tidak mustahil merupakan jaringan kerjasama dari atas ke bawah. </w:t>
      </w:r>
    </w:p>
    <w:p w:rsidR="003728BA" w:rsidRDefault="003728BA" w:rsidP="003728BA">
      <w:pPr>
        <w:pStyle w:val="HUKUM"/>
        <w:spacing w:line="240" w:lineRule="auto"/>
        <w:ind w:left="360"/>
        <w:jc w:val="both"/>
        <w:rPr>
          <w:b/>
          <w:bCs/>
          <w:color w:val="000000"/>
          <w:w w:val="100"/>
        </w:rPr>
      </w:pPr>
    </w:p>
    <w:p w:rsidR="003728BA" w:rsidRDefault="003728BA" w:rsidP="00D671C6">
      <w:pPr>
        <w:pStyle w:val="HUKUM"/>
        <w:numPr>
          <w:ilvl w:val="0"/>
          <w:numId w:val="5"/>
        </w:numPr>
        <w:ind w:left="360"/>
        <w:jc w:val="both"/>
        <w:rPr>
          <w:b/>
          <w:bCs/>
          <w:color w:val="000000"/>
          <w:w w:val="100"/>
        </w:rPr>
      </w:pPr>
      <w:r>
        <w:rPr>
          <w:b/>
          <w:bCs/>
          <w:color w:val="000000"/>
          <w:w w:val="100"/>
          <w:lang w:val="id-ID"/>
        </w:rPr>
        <w:t>Jenis-Jenis</w:t>
      </w:r>
      <w:r>
        <w:rPr>
          <w:b/>
          <w:color w:val="000000"/>
          <w:lang w:val="id-ID"/>
        </w:rPr>
        <w:t xml:space="preserve"> </w:t>
      </w:r>
      <w:r>
        <w:rPr>
          <w:b/>
          <w:bCs/>
          <w:color w:val="000000"/>
          <w:w w:val="100"/>
        </w:rPr>
        <w:t xml:space="preserve">Pungutan Liar </w:t>
      </w:r>
    </w:p>
    <w:p w:rsidR="003728BA" w:rsidRDefault="003728BA" w:rsidP="003728BA">
      <w:pPr>
        <w:spacing w:line="480" w:lineRule="auto"/>
        <w:ind w:firstLine="720"/>
        <w:jc w:val="both"/>
        <w:rPr>
          <w:color w:val="000000"/>
        </w:rPr>
      </w:pPr>
      <w:r>
        <w:rPr>
          <w:color w:val="000000"/>
        </w:rPr>
        <w:t xml:space="preserve">Berdasarkan catatan dari Dokumen Perserikatan Bangsa-Bangsa Tentang Upaya Pemberantasan Korupsi, pungutan liar merupakan pungutan tidak resmi, permintaan, penerimaan segala pembayaran, hadiah atau keuntungan lainnya, secara langsung atau tidak langsung, oleh pejabat publik atau wakil yang dipilih dari suatu negara dari perusahaan swasta atau publik termasuk perusahaan transnasional atau individu dari negara lain yang dikaitkan dengan maksud untuk </w:t>
      </w:r>
      <w:r>
        <w:rPr>
          <w:color w:val="000000"/>
        </w:rPr>
        <w:lastRenderedPageBreak/>
        <w:t>melakukan atau tidak melakukan suatu tugas yang berkaitan dengan suatu transaksi komersial internasional.</w:t>
      </w:r>
      <w:r>
        <w:rPr>
          <w:rStyle w:val="FootnoteReference"/>
          <w:color w:val="000000"/>
        </w:rPr>
        <w:footnoteReference w:id="7"/>
      </w:r>
    </w:p>
    <w:p w:rsidR="003728BA" w:rsidRDefault="003728BA" w:rsidP="003728BA">
      <w:pPr>
        <w:spacing w:line="504" w:lineRule="auto"/>
        <w:ind w:firstLine="720"/>
        <w:jc w:val="both"/>
        <w:rPr>
          <w:color w:val="000000"/>
          <w:lang w:val="id-ID" w:eastAsia="id-ID"/>
        </w:rPr>
      </w:pPr>
      <w:r>
        <w:rPr>
          <w:color w:val="000000"/>
          <w:lang w:val="id-ID" w:eastAsia="id-ID"/>
        </w:rPr>
        <w:t>Pungutan liar juga merupakan maladministrasi yang dilakukan oleh pejabat publik atau penyelenggara pelayanan publik. Sebagai contoh, jika ada oknum pemerintah yang memungut biaya dalam pengurusan akta kelahiran, maka bias disebut dengan pungutan liar karena bertentangan dengan peraturan yang lazim. Pungutan tanpa dasar hukum yang sah dapat dikatakan sebagai kegiatan maladministrasi. Maladministrasi menurut Undang-Undang Nomor 37 Tahun 2008 Tentang Ombudsman Republik Indonesia diartikan sebagai perilaku atau perbuatan melawan hukum, melampaui wewenang, menggunakan wewenang untuk tujuan lain dari yang menjadi tujuan wewenang tersebut, termasuk kelalaian atau pengabaian kewajiban hukum dalam penyelanggara pelayanan publik yang dilakukan oleh penyelenggara negara dan pemerintah yang menimbulkan kerugian materil dan immaterial bagi seseorang atau masyarakat.</w:t>
      </w:r>
      <w:r>
        <w:rPr>
          <w:rStyle w:val="FootnoteReference"/>
          <w:color w:val="000000"/>
          <w:lang w:val="id-ID" w:eastAsia="id-ID"/>
        </w:rPr>
        <w:footnoteReference w:id="8"/>
      </w:r>
    </w:p>
    <w:p w:rsidR="003728BA" w:rsidRDefault="003728BA" w:rsidP="003728BA">
      <w:pPr>
        <w:spacing w:line="504" w:lineRule="auto"/>
        <w:ind w:firstLine="720"/>
        <w:jc w:val="both"/>
        <w:rPr>
          <w:color w:val="000000"/>
          <w:lang w:val="id-ID" w:eastAsia="id-ID"/>
        </w:rPr>
      </w:pPr>
      <w:r>
        <w:rPr>
          <w:color w:val="000000"/>
          <w:lang w:val="id-ID" w:eastAsia="id-ID"/>
        </w:rPr>
        <w:t xml:space="preserve">Tindak pidana memaksa orang lain oleh seorang pegawai negeri dengan menyalahgunakan kekuasaannya dengan maksud untuk menguntungkan diri sendiri atau orang lain untuk menyerahkan sesuatu, melakukan suatu pembayaran, melakukan pemotongan terhadap suatu pembayaran atau untuk melakukan suatu pekerjaan untuk pribadi itu oleh pembentuk undang-undang telah diatur dalam Pasal 423 KUHP yang rumusannya berbunyi sebagai berikut : “Pegawai Negeri </w:t>
      </w:r>
      <w:r>
        <w:rPr>
          <w:color w:val="000000"/>
          <w:lang w:val="id-ID" w:eastAsia="id-ID"/>
        </w:rPr>
        <w:lastRenderedPageBreak/>
        <w:t>yang dengan maksud menguntungkan diri sendiri atau orang lain secara melawan hukum, dengan menyalahgunakan kekuasaannya memaksa orang lain untuk menyerahkan sesuatu, melakukan suatu pembayaran, melakukan pemotongan terhadap suatu pembayaran atau melakukan suatu pekerjaan untuk pribadi, dipidana dengan pidana penjara selama-lamanya enam tahun”.</w:t>
      </w:r>
    </w:p>
    <w:p w:rsidR="003728BA" w:rsidRDefault="003728BA" w:rsidP="003728BA">
      <w:pPr>
        <w:spacing w:line="480" w:lineRule="auto"/>
        <w:ind w:firstLine="720"/>
        <w:jc w:val="both"/>
        <w:rPr>
          <w:color w:val="000000"/>
        </w:rPr>
      </w:pPr>
      <w:r>
        <w:rPr>
          <w:color w:val="000000"/>
        </w:rPr>
        <w:t>Tingginya tingkat ketidakpastian pelayanan sebagai akibat adanya prosedur pelayanan yang panjang dan melelahkan menjadi penyebab dari semakin banyaknya masyarakat yang menyerah ketika berhadapan dengan pelayanan publik yang korupsi. Hal ini merupakan salah satu faktor yang menyebabkan masyarakat cenderung semakin toleran terhadap praktik pungutan liar dalam penyelenggaraan pelayanan publik.</w:t>
      </w:r>
    </w:p>
    <w:p w:rsidR="003728BA" w:rsidRDefault="003728BA" w:rsidP="003728BA">
      <w:pPr>
        <w:spacing w:line="480" w:lineRule="auto"/>
        <w:ind w:firstLine="720"/>
        <w:jc w:val="both"/>
        <w:rPr>
          <w:color w:val="000000"/>
        </w:rPr>
      </w:pPr>
      <w:r>
        <w:rPr>
          <w:color w:val="000000"/>
        </w:rPr>
        <w:t>Tindakan kolutif dari masyarakat awalnya lebih banyak karena keterpaksaan, yaitu sebagai bentuk respons mereka terhadap kerumitan, pemaksaan dan ketidak pastian pelayanan publik. Perkembangannya masyarakat pengguna layanan justru banyak yang merasa lega ketika melakukan hal itu, atau bahkan mengharapkannya karena beranggapan hal itu dapat mempercepat urusannya, dan tidak menganggapnya sebagai praktik negatif yang merugikan berarti masyarakat kita telah ikut melembagakan praktik pungutan liar.</w:t>
      </w:r>
    </w:p>
    <w:p w:rsidR="003728BA" w:rsidRDefault="003728BA" w:rsidP="003728BA">
      <w:pPr>
        <w:spacing w:line="480" w:lineRule="auto"/>
        <w:ind w:firstLine="720"/>
        <w:jc w:val="both"/>
        <w:rPr>
          <w:color w:val="000000"/>
        </w:rPr>
      </w:pPr>
      <w:r>
        <w:rPr>
          <w:color w:val="000000"/>
        </w:rPr>
        <w:t>Instruksi Presiden No</w:t>
      </w:r>
      <w:r>
        <w:rPr>
          <w:color w:val="000000"/>
          <w:lang w:val="id-ID"/>
        </w:rPr>
        <w:t>mor</w:t>
      </w:r>
      <w:r>
        <w:rPr>
          <w:color w:val="000000"/>
        </w:rPr>
        <w:t xml:space="preserve"> 9 tahun 1977 tentang Operasi Penertiban merupakan salah satu upaya memberantas pungutan liar dengan tugas membersihkan pungutan liar, penertiban uang siluman, penertiban aparat pemda dan departemen. Untuk memperlancar dan mengefektifkan pelaksanaan penertiban ini ditugaskan kepada Menteri Negara Penertiban Aparatur Negara, </w:t>
      </w:r>
      <w:r>
        <w:rPr>
          <w:color w:val="000000"/>
        </w:rPr>
        <w:lastRenderedPageBreak/>
        <w:t>untuk mengkoordinir pelaksanaannya dan Pangkopkamtib untuk membantu Departemen/Lembaga pelaksanaanya secara operasional.</w:t>
      </w:r>
    </w:p>
    <w:p w:rsidR="003728BA" w:rsidRDefault="003728BA" w:rsidP="003728BA">
      <w:pPr>
        <w:spacing w:line="504" w:lineRule="auto"/>
        <w:ind w:firstLine="720"/>
        <w:jc w:val="both"/>
        <w:rPr>
          <w:color w:val="000000"/>
        </w:rPr>
      </w:pPr>
      <w:r>
        <w:rPr>
          <w:color w:val="000000"/>
        </w:rPr>
        <w:t xml:space="preserve">Pemberantasan pungutan liar yang dipimpin oleh Panglima Komando Operasi Keamanan dan Ketertiban (Pangkopkamtib) yaitu Laksamana Sudomo. Jabatan Pangkopkamtib pada masa orde-baru merupakan institusi </w:t>
      </w:r>
      <w:r>
        <w:rPr>
          <w:i/>
          <w:iCs/>
          <w:color w:val="000000"/>
        </w:rPr>
        <w:t xml:space="preserve">super body </w:t>
      </w:r>
      <w:r>
        <w:rPr>
          <w:color w:val="000000"/>
        </w:rPr>
        <w:t>bidang politik, hukum dan keamanan. Militer, dan seluruh institusi penegak hukum di bawah kendali Pangkopkamtib. Pungutan liar di jembatan timbang dijadikan simbol pemberantasan pungutan liar. Karena “kebiasaan” di jembatan timbang, telah terjadi puluhan tahun. Begitu pula dengan institusi perizinan juga dituding sebagai sarang pungutan liar.</w:t>
      </w:r>
      <w:r>
        <w:rPr>
          <w:rStyle w:val="FootnoteReference"/>
          <w:color w:val="000000"/>
        </w:rPr>
        <w:footnoteReference w:id="9"/>
      </w:r>
    </w:p>
    <w:p w:rsidR="003728BA" w:rsidRDefault="003728BA" w:rsidP="003728BA">
      <w:pPr>
        <w:spacing w:line="504" w:lineRule="auto"/>
        <w:ind w:firstLine="720"/>
        <w:jc w:val="both"/>
        <w:rPr>
          <w:color w:val="000000"/>
        </w:rPr>
      </w:pPr>
      <w:r>
        <w:rPr>
          <w:color w:val="000000"/>
        </w:rPr>
        <w:t xml:space="preserve">Prioritas penindakan Operasi Tertib adalah "pungutan liar" dalam segala bentuknya. </w:t>
      </w:r>
      <w:proofErr w:type="gramStart"/>
      <w:r>
        <w:rPr>
          <w:color w:val="000000"/>
        </w:rPr>
        <w:t>khususnya</w:t>
      </w:r>
      <w:proofErr w:type="gramEnd"/>
      <w:r>
        <w:rPr>
          <w:color w:val="000000"/>
        </w:rPr>
        <w:t xml:space="preserve"> pungutan liar yang menyangkut kepentingan masyarakat luas, seperti pungutan liar di jembatan timbang, pungutan liar oleh penegak hukum di semua instansi (hakim, jaksa, polisi), per-caloan kreta api/pesawat/kapal laut, pungutan liar pada pengurusan Ijin Mendirikan Bangunan (IMB) dan lain sebagainya.</w:t>
      </w:r>
      <w:r>
        <w:rPr>
          <w:rStyle w:val="FootnoteReference"/>
          <w:color w:val="000000"/>
        </w:rPr>
        <w:footnoteReference w:id="10"/>
      </w:r>
    </w:p>
    <w:p w:rsidR="003728BA" w:rsidRDefault="003728BA" w:rsidP="003728BA">
      <w:pPr>
        <w:pStyle w:val="Default"/>
        <w:spacing w:line="504" w:lineRule="auto"/>
        <w:ind w:firstLine="708"/>
        <w:jc w:val="both"/>
      </w:pPr>
      <w:r>
        <w:t xml:space="preserve">Berdasarkan Instruksi Presiden Republik Indonesia Nomor 9 Tahun 1977 Tentang Operasi Tertib bertujuan untuk menghilangkan praktek-praktek yang dilakukan oleh oknum-oknum dalam aparatur Pemerintah yang tidak berdasarkan peraturan seperti pungutan liar dalam berbagai bentuknya dan untuk memperbaiki serta meningkatkan dayaguna dan </w:t>
      </w:r>
      <w:r>
        <w:lastRenderedPageBreak/>
        <w:t xml:space="preserve">hasil-guna aparatur Pemerintah, diperlukan adanya langkah-langkah penertiban secara menyeluruh dan terus menerus di dalam tubuh aparatur Pemerintah. </w:t>
      </w:r>
    </w:p>
    <w:p w:rsidR="003728BA" w:rsidRDefault="003728BA" w:rsidP="003728BA">
      <w:pPr>
        <w:pStyle w:val="Default"/>
        <w:spacing w:line="504" w:lineRule="auto"/>
        <w:ind w:firstLine="709"/>
        <w:jc w:val="both"/>
      </w:pPr>
      <w:r>
        <w:t>Operasi Tertib dibentuk untuk pembersihan pungutan liar di jalan-jalan, penertiban uang siluman di pelabuhan, baik pungutan tidak resmi maupun resmi, tetapi tidak sah menurut hukum.</w:t>
      </w:r>
      <w:r>
        <w:rPr>
          <w:rStyle w:val="FootnoteReference"/>
        </w:rPr>
        <w:footnoteReference w:id="11"/>
      </w:r>
      <w:r>
        <w:t xml:space="preserve"> Namun, pada tahun 1977 sasaran penertibannya diperluas, beralih dari jalan-jalan ke aparat departemen dan daerah. Terbentuknya Operasi Tertib adalah juga pengakuan bahwa masih banyak yang tidak tertib dalam administrasi pemerintahan sehingga menciptakan pungutan liar. Adanya Operasi Tertib di lain pihak juga menyajikan harapan kepada masyarakat yang tahu bahwa tidak bersihnya aparatur negara sudah pada titik yang menimbulkan putus asa.</w:t>
      </w:r>
    </w:p>
    <w:p w:rsidR="003728BA" w:rsidRDefault="003728BA" w:rsidP="003728BA">
      <w:pPr>
        <w:pStyle w:val="Default"/>
        <w:spacing w:line="504" w:lineRule="auto"/>
        <w:ind w:firstLine="709"/>
        <w:jc w:val="both"/>
      </w:pPr>
      <w:r>
        <w:t>Memangkas biaya pungutan liar juga bertujuan untuk meringankan beban pengusaha, dan mengalihkan biaya tersebut untuk kepentingan buruh.</w:t>
      </w:r>
      <w:r>
        <w:rPr>
          <w:rStyle w:val="FootnoteReference"/>
        </w:rPr>
        <w:footnoteReference w:id="12"/>
      </w:r>
      <w:r>
        <w:t xml:space="preserve"> Pemerintah tak perlu menempuh kebijakan populis yang seolah membela tapi sebenarnya dalam jangka panjang merugikan buruh.Berhasil tidaknya Operasi Tertib ini juga tergantung dari aparatur negara. Ada kesan bahwa atasan itu cenderung melindungi bawahan. Satu dan lain hal disebabkan karena pungutan liar memang terjadi dari </w:t>
      </w:r>
      <w:r>
        <w:lastRenderedPageBreak/>
        <w:t>atas sampai ke bawah. Bahkan tidak mustahil merupakan jaringan kerjasama dari atas ke bawah.</w:t>
      </w:r>
    </w:p>
    <w:p w:rsidR="003728BA" w:rsidRDefault="003728BA" w:rsidP="003728BA">
      <w:pPr>
        <w:pStyle w:val="BodyText"/>
        <w:spacing w:line="504" w:lineRule="auto"/>
        <w:ind w:firstLine="720"/>
        <w:rPr>
          <w:rFonts w:ascii="Times New Roman" w:hAnsi="Times New Roman"/>
          <w:color w:val="000000"/>
          <w:szCs w:val="24"/>
        </w:rPr>
      </w:pPr>
      <w:r>
        <w:rPr>
          <w:rFonts w:ascii="Times New Roman" w:hAnsi="Times New Roman"/>
          <w:color w:val="000000"/>
          <w:szCs w:val="24"/>
        </w:rPr>
        <w:t xml:space="preserve">Posisi masyarakat dalam proses pelayanan publik sangat rentan menjadi korban pungutan liar karena daya tawar yang rendah. Masyarakat dipaksa menyerahkan sejumlah uang tambahan karena ketiadaan lembaga pengawasan yang efektif untuk memaksa birokrat yang kerap melakukan pungutan liar. </w:t>
      </w:r>
    </w:p>
    <w:p w:rsidR="003728BA" w:rsidRDefault="003728BA" w:rsidP="003728BA">
      <w:pPr>
        <w:pStyle w:val="BodyText"/>
        <w:spacing w:line="516" w:lineRule="auto"/>
        <w:ind w:firstLine="720"/>
        <w:rPr>
          <w:rFonts w:ascii="Times New Roman" w:hAnsi="Times New Roman"/>
          <w:color w:val="000000"/>
          <w:szCs w:val="24"/>
          <w:lang w:val="x-none"/>
        </w:rPr>
      </w:pPr>
      <w:r>
        <w:rPr>
          <w:rFonts w:ascii="Times New Roman" w:hAnsi="Times New Roman"/>
          <w:color w:val="000000"/>
          <w:szCs w:val="24"/>
        </w:rPr>
        <w:t xml:space="preserve">Masyarakat juga menyumbang kontribusi terhadap tumbuh suburnya praktek pungutan liar dengan </w:t>
      </w:r>
      <w:proofErr w:type="gramStart"/>
      <w:r>
        <w:rPr>
          <w:rFonts w:ascii="Times New Roman" w:hAnsi="Times New Roman"/>
          <w:color w:val="000000"/>
          <w:szCs w:val="24"/>
        </w:rPr>
        <w:t>cara</w:t>
      </w:r>
      <w:proofErr w:type="gramEnd"/>
      <w:r>
        <w:rPr>
          <w:rFonts w:ascii="Times New Roman" w:hAnsi="Times New Roman"/>
          <w:color w:val="000000"/>
          <w:szCs w:val="24"/>
        </w:rPr>
        <w:t xml:space="preserve"> membiasakan diri member uang tanpa mampu bersikap kritis melakukan penolakan pembayaran di luar biaya resmi.</w:t>
      </w:r>
      <w:r>
        <w:rPr>
          <w:rFonts w:ascii="Times New Roman" w:hAnsi="Times New Roman"/>
          <w:color w:val="000000"/>
          <w:szCs w:val="24"/>
          <w:lang w:val="id-ID"/>
        </w:rPr>
        <w:t xml:space="preserve"> </w:t>
      </w:r>
      <w:r>
        <w:rPr>
          <w:rFonts w:ascii="Times New Roman" w:hAnsi="Times New Roman"/>
          <w:color w:val="000000"/>
          <w:szCs w:val="24"/>
        </w:rPr>
        <w:t>Pengelompokan jenis pungutan liar:</w:t>
      </w:r>
    </w:p>
    <w:p w:rsidR="003728BA" w:rsidRDefault="003728BA" w:rsidP="00D671C6">
      <w:pPr>
        <w:numPr>
          <w:ilvl w:val="0"/>
          <w:numId w:val="6"/>
        </w:numPr>
        <w:ind w:left="1134"/>
        <w:jc w:val="both"/>
        <w:rPr>
          <w:color w:val="000000"/>
        </w:rPr>
      </w:pPr>
      <w:r>
        <w:rPr>
          <w:color w:val="000000"/>
        </w:rPr>
        <w:t>Pungli jenis tindak pidana, diantaranya:</w:t>
      </w:r>
    </w:p>
    <w:p w:rsidR="003728BA" w:rsidRDefault="003728BA" w:rsidP="00D671C6">
      <w:pPr>
        <w:numPr>
          <w:ilvl w:val="0"/>
          <w:numId w:val="7"/>
        </w:numPr>
        <w:ind w:left="1494"/>
      </w:pPr>
      <w:r>
        <w:t xml:space="preserve">Korupsi uang </w:t>
      </w:r>
      <w:r>
        <w:rPr>
          <w:lang w:val="id-ID"/>
        </w:rPr>
        <w:t>n</w:t>
      </w:r>
      <w:r>
        <w:t>egara</w:t>
      </w:r>
      <w:r>
        <w:rPr>
          <w:lang w:val="id-ID"/>
        </w:rPr>
        <w:t>.</w:t>
      </w:r>
    </w:p>
    <w:p w:rsidR="003728BA" w:rsidRDefault="003728BA" w:rsidP="00D671C6">
      <w:pPr>
        <w:numPr>
          <w:ilvl w:val="0"/>
          <w:numId w:val="7"/>
        </w:numPr>
        <w:ind w:left="1494"/>
      </w:pPr>
      <w:r>
        <w:rPr>
          <w:color w:val="000000"/>
        </w:rPr>
        <w:t xml:space="preserve">Menghindarkan pajak dan </w:t>
      </w:r>
      <w:proofErr w:type="gramStart"/>
      <w:r>
        <w:rPr>
          <w:color w:val="000000"/>
        </w:rPr>
        <w:t>bea</w:t>
      </w:r>
      <w:proofErr w:type="gramEnd"/>
      <w:r>
        <w:rPr>
          <w:color w:val="000000"/>
        </w:rPr>
        <w:t xml:space="preserve"> cukai.</w:t>
      </w:r>
    </w:p>
    <w:p w:rsidR="003728BA" w:rsidRDefault="003728BA" w:rsidP="00D671C6">
      <w:pPr>
        <w:numPr>
          <w:ilvl w:val="0"/>
          <w:numId w:val="7"/>
        </w:numPr>
        <w:ind w:left="1494"/>
      </w:pPr>
      <w:r>
        <w:rPr>
          <w:color w:val="000000"/>
        </w:rPr>
        <w:t>Pemerasan.</w:t>
      </w:r>
    </w:p>
    <w:p w:rsidR="003728BA" w:rsidRDefault="003728BA" w:rsidP="00D671C6">
      <w:pPr>
        <w:numPr>
          <w:ilvl w:val="0"/>
          <w:numId w:val="7"/>
        </w:numPr>
        <w:ind w:left="1494"/>
      </w:pPr>
      <w:r>
        <w:rPr>
          <w:color w:val="000000"/>
        </w:rPr>
        <w:t>Penyuapan.</w:t>
      </w:r>
    </w:p>
    <w:p w:rsidR="003728BA" w:rsidRDefault="003728BA" w:rsidP="00D671C6">
      <w:pPr>
        <w:numPr>
          <w:ilvl w:val="0"/>
          <w:numId w:val="6"/>
        </w:numPr>
        <w:tabs>
          <w:tab w:val="clear" w:pos="720"/>
          <w:tab w:val="num" w:pos="1134"/>
        </w:tabs>
        <w:ind w:left="1134"/>
        <w:jc w:val="both"/>
        <w:rPr>
          <w:color w:val="000000"/>
        </w:rPr>
      </w:pPr>
      <w:r>
        <w:rPr>
          <w:color w:val="000000"/>
        </w:rPr>
        <w:t>Pungli jenis pidana yang sulit dibuktikan, diantaranya:</w:t>
      </w:r>
    </w:p>
    <w:p w:rsidR="003728BA" w:rsidRDefault="003728BA" w:rsidP="00D671C6">
      <w:pPr>
        <w:numPr>
          <w:ilvl w:val="0"/>
          <w:numId w:val="8"/>
        </w:numPr>
        <w:tabs>
          <w:tab w:val="clear" w:pos="720"/>
          <w:tab w:val="left" w:pos="1418"/>
        </w:tabs>
        <w:ind w:left="1418" w:hanging="284"/>
        <w:jc w:val="both"/>
        <w:rPr>
          <w:color w:val="000000"/>
        </w:rPr>
      </w:pPr>
      <w:r>
        <w:rPr>
          <w:color w:val="000000"/>
        </w:rPr>
        <w:t>Komisi dalam pemberian kredit bank;</w:t>
      </w:r>
    </w:p>
    <w:p w:rsidR="003728BA" w:rsidRDefault="003728BA" w:rsidP="00D671C6">
      <w:pPr>
        <w:numPr>
          <w:ilvl w:val="0"/>
          <w:numId w:val="8"/>
        </w:numPr>
        <w:tabs>
          <w:tab w:val="clear" w:pos="720"/>
          <w:tab w:val="left" w:pos="1418"/>
        </w:tabs>
        <w:ind w:left="1418" w:hanging="284"/>
        <w:jc w:val="both"/>
        <w:rPr>
          <w:color w:val="000000"/>
        </w:rPr>
      </w:pPr>
      <w:r>
        <w:rPr>
          <w:color w:val="000000"/>
        </w:rPr>
        <w:t>Komisi tender proyek;</w:t>
      </w:r>
    </w:p>
    <w:p w:rsidR="003728BA" w:rsidRDefault="003728BA" w:rsidP="00D671C6">
      <w:pPr>
        <w:numPr>
          <w:ilvl w:val="0"/>
          <w:numId w:val="8"/>
        </w:numPr>
        <w:tabs>
          <w:tab w:val="clear" w:pos="720"/>
          <w:tab w:val="left" w:pos="1418"/>
        </w:tabs>
        <w:ind w:left="1418" w:hanging="284"/>
        <w:jc w:val="both"/>
        <w:rPr>
          <w:color w:val="000000"/>
        </w:rPr>
      </w:pPr>
      <w:r>
        <w:rPr>
          <w:color w:val="000000"/>
        </w:rPr>
        <w:t>Imbalan jasa, dalam pemberian izin-izin, kenaikan pangkat, penggunaan SKO dan sebagainya;</w:t>
      </w:r>
    </w:p>
    <w:p w:rsidR="003728BA" w:rsidRDefault="003728BA" w:rsidP="00D671C6">
      <w:pPr>
        <w:numPr>
          <w:ilvl w:val="0"/>
          <w:numId w:val="8"/>
        </w:numPr>
        <w:tabs>
          <w:tab w:val="clear" w:pos="720"/>
          <w:tab w:val="left" w:pos="1418"/>
        </w:tabs>
        <w:ind w:left="1418" w:hanging="284"/>
        <w:jc w:val="both"/>
        <w:rPr>
          <w:color w:val="000000"/>
        </w:rPr>
      </w:pPr>
      <w:r>
        <w:rPr>
          <w:color w:val="000000"/>
        </w:rPr>
        <w:t>Pungutan gaji pegawai;</w:t>
      </w:r>
    </w:p>
    <w:p w:rsidR="003728BA" w:rsidRDefault="003728BA" w:rsidP="00D671C6">
      <w:pPr>
        <w:numPr>
          <w:ilvl w:val="0"/>
          <w:numId w:val="8"/>
        </w:numPr>
        <w:tabs>
          <w:tab w:val="clear" w:pos="720"/>
          <w:tab w:val="left" w:pos="1418"/>
        </w:tabs>
        <w:ind w:left="1418" w:hanging="284"/>
        <w:jc w:val="both"/>
        <w:rPr>
          <w:color w:val="000000"/>
        </w:rPr>
      </w:pPr>
      <w:r>
        <w:rPr>
          <w:color w:val="000000"/>
        </w:rPr>
        <w:t>Pungutan terhadap uang perjalanan;</w:t>
      </w:r>
    </w:p>
    <w:p w:rsidR="003728BA" w:rsidRDefault="003728BA" w:rsidP="00D671C6">
      <w:pPr>
        <w:numPr>
          <w:ilvl w:val="0"/>
          <w:numId w:val="8"/>
        </w:numPr>
        <w:tabs>
          <w:tab w:val="clear" w:pos="720"/>
          <w:tab w:val="left" w:pos="1418"/>
        </w:tabs>
        <w:ind w:left="1418" w:hanging="284"/>
        <w:jc w:val="both"/>
        <w:rPr>
          <w:color w:val="000000"/>
        </w:rPr>
      </w:pPr>
      <w:r>
        <w:rPr>
          <w:color w:val="000000"/>
        </w:rPr>
        <w:t>Pungutan oleh pos-pos pencegatan.</w:t>
      </w:r>
      <w:r>
        <w:rPr>
          <w:rStyle w:val="FootnoteReference"/>
          <w:color w:val="000000"/>
        </w:rPr>
        <w:footnoteReference w:id="13"/>
      </w:r>
    </w:p>
    <w:p w:rsidR="003728BA" w:rsidRDefault="003728BA" w:rsidP="003728BA">
      <w:pPr>
        <w:tabs>
          <w:tab w:val="left" w:pos="1418"/>
        </w:tabs>
        <w:ind w:left="1418"/>
        <w:jc w:val="both"/>
        <w:rPr>
          <w:color w:val="000000"/>
        </w:rPr>
      </w:pPr>
    </w:p>
    <w:p w:rsidR="003728BA" w:rsidRDefault="003728BA" w:rsidP="00D671C6">
      <w:pPr>
        <w:pStyle w:val="Default"/>
        <w:numPr>
          <w:ilvl w:val="0"/>
          <w:numId w:val="5"/>
        </w:numPr>
        <w:spacing w:line="480" w:lineRule="auto"/>
        <w:ind w:left="360"/>
        <w:jc w:val="both"/>
        <w:rPr>
          <w:b/>
        </w:rPr>
      </w:pPr>
      <w:r>
        <w:rPr>
          <w:b/>
        </w:rPr>
        <w:t>Sanksi</w:t>
      </w:r>
      <w:r>
        <w:rPr>
          <w:b/>
          <w:lang w:val="id-ID"/>
        </w:rPr>
        <w:t xml:space="preserve"> Pidana</w:t>
      </w:r>
      <w:r>
        <w:rPr>
          <w:b/>
        </w:rPr>
        <w:t xml:space="preserve"> Terhadap </w:t>
      </w:r>
      <w:r>
        <w:rPr>
          <w:b/>
          <w:lang w:val="id-ID"/>
        </w:rPr>
        <w:t xml:space="preserve">Pelaku </w:t>
      </w:r>
      <w:r>
        <w:rPr>
          <w:b/>
        </w:rPr>
        <w:t>Pungutan Liar</w:t>
      </w:r>
    </w:p>
    <w:p w:rsidR="003728BA" w:rsidRDefault="003728BA" w:rsidP="003728BA">
      <w:pPr>
        <w:spacing w:line="480" w:lineRule="auto"/>
        <w:ind w:firstLine="720"/>
        <w:jc w:val="both"/>
        <w:rPr>
          <w:color w:val="000000"/>
          <w:lang w:val="id-ID" w:eastAsia="id-ID"/>
        </w:rPr>
      </w:pPr>
      <w:r>
        <w:rPr>
          <w:color w:val="000000"/>
          <w:lang w:val="id-ID" w:eastAsia="id-ID"/>
        </w:rPr>
        <w:t xml:space="preserve">Fenomena perbuatan pungutan liar yang sering terjadi di Lembaga/Instansi Pemerintah melibatkan oknum dan masyarakat, yang menjadikan suatu budaya sosial yang dipelihara sehingga menjadi hal yang wajar. Hal ini sangat mencoreng </w:t>
      </w:r>
      <w:r>
        <w:rPr>
          <w:color w:val="000000"/>
          <w:lang w:val="id-ID" w:eastAsia="id-ID"/>
        </w:rPr>
        <w:lastRenderedPageBreak/>
        <w:t>Lembaga/Instansi yang menyediakan layanan kepada masyarkat tersebut. Permaslahan pelayanan publik sangat komplek sehingga masyarakat yang membutuhkan dan penyelenggara pelayanan publik cenderung melanggengkan pungutan liar tersebut. Praktik pungutan liar saat ini telah merusak sendi-sendi kehidupan bermasyarakat dan menyebabkan kerugian kepada masyarakat yang membutuhkannya.</w:t>
      </w:r>
    </w:p>
    <w:p w:rsidR="003728BA" w:rsidRDefault="003728BA" w:rsidP="003728BA">
      <w:pPr>
        <w:spacing w:line="480" w:lineRule="auto"/>
        <w:ind w:firstLine="720"/>
        <w:jc w:val="both"/>
        <w:rPr>
          <w:color w:val="000000"/>
          <w:lang w:val="id-ID" w:eastAsia="id-ID"/>
        </w:rPr>
      </w:pPr>
      <w:r>
        <w:rPr>
          <w:color w:val="000000"/>
          <w:lang w:val="id-ID" w:eastAsia="id-ID"/>
        </w:rPr>
        <w:t>Pemakaian kata pungli itu ternyata mempunyai akibat yang sifatnya merugikan bagi penegakan hukum di tanah air, karena orang kemudian mempunyai kesan bahwa menurut hukum itu seolah-olah terdapat gradasi mengenai perbuatan-perbuatan memungut uang dari rakyat yang dilarang oleh undang-undang, yakni dari tingkat yang seolah-olah tidak perlu dituntut menurut hukum pidana yang berlaku, sedang yang dewasa ini biasa disebut pungli itu memang tidak pernah membuat para pelakunya diajukan ke pengadilan untuk diadili, melainkan cukup dengan diambilnya tindakan-tindakan disipliner terhadap mereka, padahal semua mengetahui korupsi seperti yang antara lain diatur dalam Pasal 423 KUHP jo. Pasal 12 Undang-Undang Nomor 20 Tahun 2001.</w:t>
      </w:r>
      <w:r>
        <w:rPr>
          <w:rStyle w:val="FootnoteReference"/>
          <w:color w:val="000000"/>
          <w:lang w:val="id-ID" w:eastAsia="id-ID"/>
        </w:rPr>
        <w:footnoteReference w:id="14"/>
      </w:r>
    </w:p>
    <w:p w:rsidR="003728BA" w:rsidRDefault="003728BA" w:rsidP="003728BA">
      <w:pPr>
        <w:spacing w:line="480" w:lineRule="auto"/>
        <w:ind w:firstLine="720"/>
        <w:jc w:val="both"/>
        <w:rPr>
          <w:color w:val="000000"/>
          <w:lang w:val="id-ID" w:eastAsia="id-ID"/>
        </w:rPr>
      </w:pPr>
      <w:r>
        <w:rPr>
          <w:color w:val="000000"/>
          <w:lang w:val="id-ID" w:eastAsia="id-ID"/>
        </w:rPr>
        <w:t>Rumusan korupsi pada Pasal 12 huruf e UU No. 20 Tahun 2001 berasal dari Pasal 423 KUHP yang dirujuk dalam Pasal 1 ayat (1) huruf c UU No. 3 Tahun 1971, dan Pasal 12 UU No. 31 Tahun 1991 sebagai tindak pidana korupsi, yang kemudian dirumuskan ulang pada UU No. 20 Tahun 2001.</w:t>
      </w:r>
      <w:r>
        <w:rPr>
          <w:rStyle w:val="FootnoteReference"/>
          <w:color w:val="000000"/>
          <w:lang w:val="id-ID" w:eastAsia="id-ID"/>
        </w:rPr>
        <w:footnoteReference w:id="15"/>
      </w:r>
    </w:p>
    <w:p w:rsidR="003728BA" w:rsidRDefault="003728BA" w:rsidP="003728BA">
      <w:pPr>
        <w:spacing w:line="480" w:lineRule="auto"/>
        <w:ind w:firstLine="720"/>
        <w:jc w:val="both"/>
        <w:rPr>
          <w:color w:val="000000"/>
          <w:lang w:val="id-ID"/>
        </w:rPr>
      </w:pPr>
      <w:r>
        <w:rPr>
          <w:color w:val="000000"/>
          <w:lang w:val="id-ID" w:eastAsia="id-ID"/>
        </w:rPr>
        <w:t xml:space="preserve">Pasal 12 huruf e UU No.31 Tahun 1999 jo. UU No.20 Tahun 2001: Dipidana dengan pidana penjara seumur hidup atau pidana penjara paling singkat </w:t>
      </w:r>
      <w:r>
        <w:rPr>
          <w:color w:val="000000"/>
          <w:lang w:val="id-ID" w:eastAsia="id-ID"/>
        </w:rPr>
        <w:lastRenderedPageBreak/>
        <w:t>4 (empat) tahun dan paling lama 20 (dua puluh) tahun dan pidana denda paling sedikit Rp. 200.000.000,00 (dua ratus juta rupiah) dan paling banyak Rp 1.000.000.000,00 (satu miliar rupiah)</w:t>
      </w:r>
    </w:p>
    <w:p w:rsidR="003728BA" w:rsidRDefault="003728BA" w:rsidP="003728BA">
      <w:pPr>
        <w:spacing w:line="480" w:lineRule="auto"/>
        <w:ind w:firstLine="720"/>
        <w:jc w:val="both"/>
        <w:rPr>
          <w:color w:val="000000"/>
        </w:rPr>
      </w:pPr>
      <w:r>
        <w:rPr>
          <w:color w:val="000000"/>
        </w:rPr>
        <w:t xml:space="preserve">Pasal 423 </w:t>
      </w:r>
      <w:proofErr w:type="gramStart"/>
      <w:r>
        <w:rPr>
          <w:color w:val="000000"/>
        </w:rPr>
        <w:t>KUHP :</w:t>
      </w:r>
      <w:proofErr w:type="gramEnd"/>
      <w:r>
        <w:rPr>
          <w:color w:val="000000"/>
        </w:rPr>
        <w:t xml:space="preserve"> “Pegawai negeri yang dengan maksud menguntungkan diri sendiri atau orang lain secara melawan hukum, dengan menyalahgunakan kekuasaannya memaksa orang lain untuk menyerahkan sesuatu, melakukan suatu pembayaran, melakukan pemotongan terhadap suatu pembayaran atau melakukan suatu pekerjaan untuk pribadi sendiri, dipidana dengan pidana penjara selama-lamanya enam tahun.”</w:t>
      </w:r>
    </w:p>
    <w:p w:rsidR="003728BA" w:rsidRDefault="003728BA" w:rsidP="003728BA">
      <w:pPr>
        <w:spacing w:line="480" w:lineRule="auto"/>
        <w:ind w:firstLine="720"/>
        <w:jc w:val="both"/>
        <w:rPr>
          <w:color w:val="000000"/>
        </w:rPr>
      </w:pPr>
      <w:r>
        <w:rPr>
          <w:color w:val="000000"/>
        </w:rPr>
        <w:t xml:space="preserve">Tindak pidana yang diatur dalam Pasal 423 KUHP maksud untuk menguntungkan diri sendiri atau orang lain secara melawan hukum di dalam rumusan Pasal 423 KUHP itu merupakan suatu </w:t>
      </w:r>
      <w:r>
        <w:rPr>
          <w:i/>
          <w:iCs/>
          <w:color w:val="000000"/>
        </w:rPr>
        <w:t xml:space="preserve">bijkomend oogmerk. </w:t>
      </w:r>
      <w:proofErr w:type="gramStart"/>
      <w:r>
        <w:rPr>
          <w:color w:val="000000"/>
        </w:rPr>
        <w:t>sehingga</w:t>
      </w:r>
      <w:proofErr w:type="gramEnd"/>
      <w:r>
        <w:rPr>
          <w:color w:val="000000"/>
        </w:rPr>
        <w:t xml:space="preserve"> </w:t>
      </w:r>
      <w:r>
        <w:rPr>
          <w:i/>
          <w:iCs/>
          <w:color w:val="000000"/>
        </w:rPr>
        <w:t xml:space="preserve">oogmerk </w:t>
      </w:r>
      <w:r>
        <w:rPr>
          <w:color w:val="000000"/>
        </w:rPr>
        <w:t>atau maksud tersebut tidak perlu telah terlaksana pada waktu seorang pelaku selesai melakukan perbuatan-perbuatan yang terlarang di dalam pasal ini.</w:t>
      </w:r>
      <w:r>
        <w:rPr>
          <w:rStyle w:val="FootnoteReference"/>
          <w:color w:val="000000"/>
        </w:rPr>
        <w:footnoteReference w:id="16"/>
      </w:r>
    </w:p>
    <w:p w:rsidR="003728BA" w:rsidRDefault="003728BA" w:rsidP="003728BA">
      <w:pPr>
        <w:autoSpaceDE w:val="0"/>
        <w:autoSpaceDN w:val="0"/>
        <w:adjustRightInd w:val="0"/>
        <w:spacing w:line="504" w:lineRule="auto"/>
        <w:ind w:firstLine="709"/>
        <w:jc w:val="both"/>
        <w:rPr>
          <w:color w:val="000000"/>
        </w:rPr>
      </w:pPr>
      <w:r>
        <w:rPr>
          <w:color w:val="000000"/>
        </w:rPr>
        <w:t xml:space="preserve">Rumusan ketentuan pidana yang diatur dalam Pasal 423 KUHP di atas, dapat diketahui bahwa yang dilarang di dalam pasal ini ialah perbuatan-perbuatan dengan menyalahgunakan kekuasaan memaksa orang lain: </w:t>
      </w:r>
    </w:p>
    <w:p w:rsidR="003728BA" w:rsidRDefault="003728BA" w:rsidP="00D671C6">
      <w:pPr>
        <w:numPr>
          <w:ilvl w:val="0"/>
          <w:numId w:val="9"/>
        </w:numPr>
        <w:spacing w:line="504" w:lineRule="auto"/>
        <w:ind w:left="360"/>
      </w:pPr>
      <w:r>
        <w:t>Untuk menyerahkan sesuatu</w:t>
      </w:r>
    </w:p>
    <w:p w:rsidR="003728BA" w:rsidRDefault="003728BA" w:rsidP="00D671C6">
      <w:pPr>
        <w:numPr>
          <w:ilvl w:val="0"/>
          <w:numId w:val="9"/>
        </w:numPr>
        <w:spacing w:line="504" w:lineRule="auto"/>
        <w:ind w:left="360"/>
      </w:pPr>
      <w:r>
        <w:rPr>
          <w:color w:val="000000"/>
        </w:rPr>
        <w:t>Untuk melakukan suatu pembayaran.</w:t>
      </w:r>
    </w:p>
    <w:p w:rsidR="003728BA" w:rsidRDefault="003728BA" w:rsidP="00D671C6">
      <w:pPr>
        <w:numPr>
          <w:ilvl w:val="0"/>
          <w:numId w:val="9"/>
        </w:numPr>
        <w:spacing w:line="504" w:lineRule="auto"/>
        <w:ind w:left="360"/>
      </w:pPr>
      <w:r>
        <w:rPr>
          <w:color w:val="000000"/>
        </w:rPr>
        <w:t>Untuk menerima pemotongan yang dilakukan terhadap suatu pembayaran</w:t>
      </w:r>
    </w:p>
    <w:p w:rsidR="003728BA" w:rsidRDefault="003728BA" w:rsidP="00D671C6">
      <w:pPr>
        <w:numPr>
          <w:ilvl w:val="0"/>
          <w:numId w:val="9"/>
        </w:numPr>
        <w:spacing w:line="504" w:lineRule="auto"/>
        <w:ind w:left="360"/>
      </w:pPr>
      <w:r>
        <w:rPr>
          <w:color w:val="000000"/>
        </w:rPr>
        <w:t>Untuk melakukan suatu pekerjaan untuk pribadi pelaku.</w:t>
      </w:r>
    </w:p>
    <w:p w:rsidR="003728BA" w:rsidRDefault="003728BA" w:rsidP="003728BA">
      <w:pPr>
        <w:spacing w:line="504" w:lineRule="auto"/>
        <w:ind w:firstLine="709"/>
        <w:jc w:val="both"/>
        <w:rPr>
          <w:color w:val="000000"/>
        </w:rPr>
      </w:pPr>
      <w:r>
        <w:rPr>
          <w:color w:val="000000"/>
        </w:rPr>
        <w:lastRenderedPageBreak/>
        <w:t xml:space="preserve">Perbuatan-perbuatan dengan menyalahgunakan kekuasaan memaksa orang lain untuk menyerahkan sesuatu, melakukan suatu pembayaran, menerima pemotongan yang dilakukan terhadap suatu pembayaran dan melakukan suatu pekerjaan untuk pribadi pelaku itu merupakan tindak-tindak pidana materil, hingga orang baru dapat berbicara tentang selesai dilakukannya tindak-tindak pidana tersebut, jika akibat-akibat yang tidak dikehendaki oleh undang-undang karena perbuatan-perbuatan itu telah timbul atau telah terjadi. Karena tidak diberikannya kualifikasi oleh undang-undang mengenai tindak-tindak pidana yang diatur dalam Pasal 423 KUHP, maka timbullah kesulitan di dalam praktik mengenai sebutan </w:t>
      </w:r>
      <w:proofErr w:type="gramStart"/>
      <w:r>
        <w:rPr>
          <w:color w:val="000000"/>
        </w:rPr>
        <w:t>apa</w:t>
      </w:r>
      <w:proofErr w:type="gramEnd"/>
      <w:r>
        <w:rPr>
          <w:color w:val="000000"/>
        </w:rPr>
        <w:t xml:space="preserve"> yang harus diberikan pada tindak pidana tersebut.</w:t>
      </w:r>
      <w:r>
        <w:rPr>
          <w:rStyle w:val="FootnoteReference"/>
          <w:color w:val="000000"/>
        </w:rPr>
        <w:footnoteReference w:id="17"/>
      </w:r>
    </w:p>
    <w:p w:rsidR="003728BA" w:rsidRDefault="003728BA" w:rsidP="003728BA">
      <w:pPr>
        <w:spacing w:line="504" w:lineRule="auto"/>
        <w:ind w:firstLine="709"/>
        <w:jc w:val="both"/>
        <w:rPr>
          <w:color w:val="000000"/>
        </w:rPr>
      </w:pPr>
      <w:r>
        <w:rPr>
          <w:color w:val="000000"/>
        </w:rPr>
        <w:t xml:space="preserve">Sejak diperkenalkannya kata pungutan liar oleh seorang pejabat negara, tindak-tindak pidana yang dimaksudkan dalam Pasal 423 KUHP sehari-hari disebut sebagai pungutan liar. Pemakaian kata pungutan liar itu ternyata mempunyai akibat yang sifatnya merugikan bagi penegakan hukum di tanah air, karena orang kemudian mempunyai kesan bahwa menurut hukum itu seolah-olah terdapat gradasi mengenai perbuatan-perbuatan memungut uang dari rakyat yang dilarang oleh undang-undang, yakni dari tingkat yang seolah-olah tidak perlu dituntut menurut hukum pidana yang berlaku hingga tingkat yang seolah-olah harus dituntut menurut hukum pidana yang berlaku, sedang yang dewasa ini biasa disebut pungutan liar itu memang jarang membuat para pelakunya diajukan ke pengadilan untuk diadili, melainkan cukup dengan diambilnya tindakan-tindakan </w:t>
      </w:r>
      <w:r>
        <w:rPr>
          <w:color w:val="000000"/>
        </w:rPr>
        <w:lastRenderedPageBreak/>
        <w:t>disipliner atau administratif terhadap mereka, padahal semua mengetahui bahwa yang disebut pungutan liar itu sebenarnya merupakan tindak pidana korupsi seperti yang antara lain diatur dalam Pasal 12 huruf e dan f Undang-Undang Nomor 20 Tahun 2001.</w:t>
      </w:r>
    </w:p>
    <w:p w:rsidR="003728BA" w:rsidRDefault="003728BA" w:rsidP="003728BA">
      <w:pPr>
        <w:spacing w:line="516" w:lineRule="auto"/>
        <w:ind w:firstLine="709"/>
        <w:jc w:val="both"/>
        <w:rPr>
          <w:color w:val="000000"/>
        </w:rPr>
      </w:pPr>
      <w:r>
        <w:rPr>
          <w:color w:val="000000"/>
        </w:rPr>
        <w:t>Perbuatan yang dilarang dalam Pasal 423 KUHP ialah dengan menyalahgunakan kekuasaan memaksa orang lain melakukan suatu pembayaran. Sebenarnya tidak seorang pun dapat dipaksa melakukan suatu pembayaran kecuali jika pemaksaan untuk melakukan pembayaran seperti itu dilakukan berdasarkan suatu peraturan undang-undang.</w:t>
      </w:r>
    </w:p>
    <w:p w:rsidR="003728BA" w:rsidRDefault="003728BA" w:rsidP="003728BA">
      <w:pPr>
        <w:spacing w:line="516" w:lineRule="auto"/>
        <w:ind w:firstLine="709"/>
        <w:jc w:val="both"/>
        <w:rPr>
          <w:color w:val="000000"/>
          <w:lang w:val="id-ID"/>
        </w:rPr>
      </w:pPr>
      <w:r>
        <w:rPr>
          <w:color w:val="000000"/>
        </w:rPr>
        <w:t xml:space="preserve">Dasar hukum untuk menjerat pelaku pungutan liar sendiri diatur dalam beberapa ketentuan perundang-undangan sebagaimana dijabarkan dalam tabel </w:t>
      </w:r>
      <w:r>
        <w:rPr>
          <w:color w:val="000000"/>
          <w:lang w:val="id-ID"/>
        </w:rPr>
        <w:t xml:space="preserve">sebagai </w:t>
      </w:r>
      <w:proofErr w:type="gramStart"/>
      <w:r>
        <w:rPr>
          <w:color w:val="000000"/>
        </w:rPr>
        <w:t>berikut</w:t>
      </w:r>
      <w:r>
        <w:rPr>
          <w:color w:val="000000"/>
          <w:lang w:val="id-ID"/>
        </w:rPr>
        <w:t xml:space="preserve"> :</w:t>
      </w:r>
      <w:proofErr w:type="gramEnd"/>
    </w:p>
    <w:p w:rsidR="003728BA" w:rsidRDefault="003728BA" w:rsidP="003728BA">
      <w:pPr>
        <w:jc w:val="center"/>
        <w:rPr>
          <w:b/>
          <w:color w:val="000000"/>
          <w:lang w:val="id-ID"/>
        </w:rPr>
      </w:pPr>
      <w:r>
        <w:rPr>
          <w:b/>
          <w:color w:val="000000"/>
          <w:lang w:val="id-ID"/>
        </w:rPr>
        <w:t>Tabel 1</w:t>
      </w:r>
    </w:p>
    <w:p w:rsidR="003728BA" w:rsidRDefault="003728BA" w:rsidP="003728BA">
      <w:pPr>
        <w:spacing w:line="480" w:lineRule="auto"/>
        <w:jc w:val="center"/>
        <w:rPr>
          <w:b/>
          <w:color w:val="000000"/>
          <w:lang w:val="id-ID"/>
        </w:rPr>
      </w:pPr>
      <w:r>
        <w:rPr>
          <w:b/>
          <w:color w:val="000000"/>
          <w:lang w:val="id-ID"/>
        </w:rPr>
        <w:t>Sanksi Pidana Pemungutan Liar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563"/>
        <w:gridCol w:w="2805"/>
        <w:gridCol w:w="2133"/>
      </w:tblGrid>
      <w:tr w:rsidR="003728BA" w:rsidTr="003728BA">
        <w:tc>
          <w:tcPr>
            <w:tcW w:w="559"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b/>
                <w:color w:val="000000"/>
                <w:lang w:val="id-ID"/>
              </w:rPr>
            </w:pPr>
            <w:r>
              <w:rPr>
                <w:b/>
                <w:color w:val="000000"/>
                <w:lang w:val="id-ID"/>
              </w:rPr>
              <w:t>No</w:t>
            </w:r>
          </w:p>
        </w:tc>
        <w:tc>
          <w:tcPr>
            <w:tcW w:w="2843"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b/>
                <w:color w:val="000000"/>
                <w:lang w:val="id-ID"/>
              </w:rPr>
            </w:pPr>
            <w:r>
              <w:rPr>
                <w:b/>
                <w:color w:val="000000"/>
                <w:lang w:val="id-ID"/>
              </w:rPr>
              <w:t>Ketentuan Hukum</w:t>
            </w:r>
          </w:p>
        </w:tc>
        <w:tc>
          <w:tcPr>
            <w:tcW w:w="2410"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b/>
                <w:color w:val="000000"/>
                <w:lang w:val="id-ID"/>
              </w:rPr>
            </w:pPr>
            <w:r>
              <w:rPr>
                <w:b/>
                <w:color w:val="000000"/>
                <w:lang w:val="id-ID"/>
              </w:rPr>
              <w:t>Jenis</w:t>
            </w:r>
          </w:p>
        </w:tc>
        <w:tc>
          <w:tcPr>
            <w:tcW w:w="2234"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b/>
                <w:color w:val="000000"/>
                <w:lang w:val="id-ID"/>
              </w:rPr>
            </w:pPr>
            <w:r>
              <w:rPr>
                <w:b/>
                <w:color w:val="000000"/>
                <w:lang w:val="id-ID"/>
              </w:rPr>
              <w:t>Ancaman Pidana</w:t>
            </w:r>
          </w:p>
        </w:tc>
      </w:tr>
      <w:tr w:rsidR="003728BA" w:rsidTr="003728BA">
        <w:tc>
          <w:tcPr>
            <w:tcW w:w="559"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color w:val="000000"/>
                <w:lang w:val="id-ID"/>
              </w:rPr>
            </w:pPr>
            <w:r>
              <w:rPr>
                <w:color w:val="000000"/>
                <w:lang w:val="id-ID"/>
              </w:rPr>
              <w:t>1</w:t>
            </w:r>
          </w:p>
        </w:tc>
        <w:tc>
          <w:tcPr>
            <w:tcW w:w="2843" w:type="dxa"/>
            <w:tcBorders>
              <w:top w:val="single" w:sz="4" w:space="0" w:color="auto"/>
              <w:left w:val="single" w:sz="4" w:space="0" w:color="auto"/>
              <w:bottom w:val="single" w:sz="4" w:space="0" w:color="auto"/>
              <w:right w:val="single" w:sz="4" w:space="0" w:color="auto"/>
            </w:tcBorders>
          </w:tcPr>
          <w:p w:rsidR="003728BA" w:rsidRDefault="003728BA">
            <w:pPr>
              <w:pStyle w:val="Default"/>
              <w:jc w:val="both"/>
            </w:pPr>
            <w:r>
              <w:t xml:space="preserve">UU No. 11 Tahun 1980 tentang Tindak Pidana Suap (Pasal 3) </w:t>
            </w:r>
          </w:p>
          <w:p w:rsidR="003728BA" w:rsidRDefault="003728BA">
            <w:pPr>
              <w:jc w:val="center"/>
              <w:rPr>
                <w:color w:val="000000"/>
                <w:lang w:val="id-ID"/>
              </w:rPr>
            </w:pPr>
          </w:p>
        </w:tc>
        <w:tc>
          <w:tcPr>
            <w:tcW w:w="2410" w:type="dxa"/>
            <w:tcBorders>
              <w:top w:val="single" w:sz="4" w:space="0" w:color="auto"/>
              <w:left w:val="single" w:sz="4" w:space="0" w:color="auto"/>
              <w:bottom w:val="single" w:sz="4" w:space="0" w:color="auto"/>
              <w:right w:val="single" w:sz="4" w:space="0" w:color="auto"/>
            </w:tcBorders>
            <w:hideMark/>
          </w:tcPr>
          <w:p w:rsidR="003728BA" w:rsidRDefault="003728BA">
            <w:pPr>
              <w:rPr>
                <w:color w:val="000000"/>
                <w:lang w:val="id-ID"/>
              </w:rPr>
            </w:pPr>
            <w:r>
              <w:rPr>
                <w:color w:val="000000"/>
                <w:lang w:val="id-ID"/>
              </w:rPr>
              <w:t>Penerima Suap</w:t>
            </w:r>
          </w:p>
        </w:tc>
        <w:tc>
          <w:tcPr>
            <w:tcW w:w="2234"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jc w:val="both"/>
              <w:rPr>
                <w:lang w:val="id-ID"/>
              </w:rPr>
            </w:pPr>
            <w:r>
              <w:t xml:space="preserve">3 tahun penjara atau denda sebanyak-banyaknya Rp. 15.000.000,- </w:t>
            </w:r>
          </w:p>
        </w:tc>
      </w:tr>
      <w:tr w:rsidR="003728BA" w:rsidTr="003728BA">
        <w:tc>
          <w:tcPr>
            <w:tcW w:w="559"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color w:val="000000"/>
                <w:lang w:val="id-ID"/>
              </w:rPr>
            </w:pPr>
            <w:r>
              <w:rPr>
                <w:color w:val="000000"/>
                <w:lang w:val="id-ID"/>
              </w:rPr>
              <w:t>2</w:t>
            </w:r>
          </w:p>
        </w:tc>
        <w:tc>
          <w:tcPr>
            <w:tcW w:w="2843" w:type="dxa"/>
            <w:tcBorders>
              <w:top w:val="single" w:sz="4" w:space="0" w:color="auto"/>
              <w:left w:val="single" w:sz="4" w:space="0" w:color="auto"/>
              <w:bottom w:val="single" w:sz="4" w:space="0" w:color="auto"/>
              <w:right w:val="single" w:sz="4" w:space="0" w:color="auto"/>
            </w:tcBorders>
            <w:hideMark/>
          </w:tcPr>
          <w:p w:rsidR="003728BA" w:rsidRDefault="003728BA">
            <w:pPr>
              <w:rPr>
                <w:color w:val="000000"/>
                <w:lang w:val="id-ID"/>
              </w:rPr>
            </w:pPr>
            <w:r>
              <w:rPr>
                <w:color w:val="000000"/>
                <w:lang w:val="id-ID"/>
              </w:rPr>
              <w:t>KUHP (Pasal 368)</w:t>
            </w:r>
          </w:p>
        </w:tc>
        <w:tc>
          <w:tcPr>
            <w:tcW w:w="2410"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color w:val="000000"/>
                <w:lang w:val="id-ID"/>
              </w:rPr>
            </w:pPr>
            <w:r>
              <w:rPr>
                <w:color w:val="000000"/>
                <w:lang w:val="id-ID"/>
              </w:rPr>
              <w:t>Pemerasan</w:t>
            </w:r>
          </w:p>
        </w:tc>
        <w:tc>
          <w:tcPr>
            <w:tcW w:w="2234"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jc w:val="center"/>
              <w:rPr>
                <w:lang w:val="id-ID"/>
              </w:rPr>
            </w:pPr>
            <w:r>
              <w:t>9 tahun penjara</w:t>
            </w:r>
          </w:p>
        </w:tc>
      </w:tr>
      <w:tr w:rsidR="003728BA" w:rsidTr="003728BA">
        <w:tc>
          <w:tcPr>
            <w:tcW w:w="559"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color w:val="000000"/>
                <w:lang w:val="id-ID"/>
              </w:rPr>
            </w:pPr>
            <w:r>
              <w:rPr>
                <w:color w:val="000000"/>
                <w:lang w:val="id-ID"/>
              </w:rPr>
              <w:t>3</w:t>
            </w:r>
          </w:p>
        </w:tc>
        <w:tc>
          <w:tcPr>
            <w:tcW w:w="2843"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jc w:val="both"/>
              <w:rPr>
                <w:lang w:val="id-ID"/>
              </w:rPr>
            </w:pPr>
            <w:r>
              <w:t xml:space="preserve">UU No. 20 Tahun 2001 tentang Perubahan atas UU 31 Tahun 1999 tentang Pemberantasan Tindak Pidana Korupsi (Pasal 5 ayat (1)) </w:t>
            </w:r>
          </w:p>
        </w:tc>
        <w:tc>
          <w:tcPr>
            <w:tcW w:w="2410"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jc w:val="both"/>
              <w:rPr>
                <w:lang w:val="id-ID"/>
              </w:rPr>
            </w:pPr>
            <w:r>
              <w:t xml:space="preserve">Pemberi/Menjanjikan pada Pegawai Negeri atau Penyelenggara Negara </w:t>
            </w:r>
          </w:p>
        </w:tc>
        <w:tc>
          <w:tcPr>
            <w:tcW w:w="2234"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jc w:val="both"/>
              <w:rPr>
                <w:lang w:val="id-ID"/>
              </w:rPr>
            </w:pPr>
            <w:r>
              <w:t xml:space="preserve">Pidana penjara paling singkat 1 tahun, paling lama 5 tahun dan/atau denda paling sedikit Rp. 50.000.000,- dan paling banyak Rp. 250.000.000 </w:t>
            </w:r>
          </w:p>
        </w:tc>
      </w:tr>
      <w:tr w:rsidR="003728BA" w:rsidTr="003728BA">
        <w:tc>
          <w:tcPr>
            <w:tcW w:w="559"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color w:val="000000"/>
                <w:lang w:val="id-ID"/>
              </w:rPr>
            </w:pPr>
            <w:r>
              <w:rPr>
                <w:color w:val="000000"/>
                <w:lang w:val="id-ID"/>
              </w:rPr>
              <w:t>4</w:t>
            </w:r>
          </w:p>
        </w:tc>
        <w:tc>
          <w:tcPr>
            <w:tcW w:w="2843"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jc w:val="both"/>
              <w:rPr>
                <w:lang w:val="id-ID"/>
              </w:rPr>
            </w:pPr>
            <w:r>
              <w:t xml:space="preserve">UU No. 20 Tahun </w:t>
            </w:r>
            <w:r>
              <w:lastRenderedPageBreak/>
              <w:t xml:space="preserve">2001 tentang Perubahan atas UU 31 Tahun 1999 tentang Pemberantasan Tindak Pidana Korupsi (Pasal 5 ayat (2)) </w:t>
            </w:r>
          </w:p>
        </w:tc>
        <w:tc>
          <w:tcPr>
            <w:tcW w:w="2410" w:type="dxa"/>
            <w:tcBorders>
              <w:top w:val="single" w:sz="4" w:space="0" w:color="auto"/>
              <w:left w:val="single" w:sz="4" w:space="0" w:color="auto"/>
              <w:bottom w:val="single" w:sz="4" w:space="0" w:color="auto"/>
              <w:right w:val="single" w:sz="4" w:space="0" w:color="auto"/>
            </w:tcBorders>
          </w:tcPr>
          <w:p w:rsidR="003728BA" w:rsidRDefault="003728BA">
            <w:pPr>
              <w:pStyle w:val="Default"/>
              <w:jc w:val="both"/>
            </w:pPr>
            <w:r>
              <w:lastRenderedPageBreak/>
              <w:t xml:space="preserve">Pegawai Negeri atau </w:t>
            </w:r>
            <w:r>
              <w:lastRenderedPageBreak/>
              <w:t xml:space="preserve">Penyelenggara Negara penerima pemberian/janji </w:t>
            </w:r>
          </w:p>
          <w:p w:rsidR="003728BA" w:rsidRDefault="003728BA">
            <w:pPr>
              <w:jc w:val="center"/>
              <w:rPr>
                <w:color w:val="000000"/>
                <w:lang w:val="id-ID"/>
              </w:rPr>
            </w:pPr>
          </w:p>
        </w:tc>
        <w:tc>
          <w:tcPr>
            <w:tcW w:w="2234"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jc w:val="both"/>
              <w:rPr>
                <w:lang w:val="id-ID"/>
              </w:rPr>
            </w:pPr>
            <w:r>
              <w:lastRenderedPageBreak/>
              <w:t xml:space="preserve">Pidana penjara </w:t>
            </w:r>
            <w:r>
              <w:lastRenderedPageBreak/>
              <w:t xml:space="preserve">paling singkat 1 tahun, paling lama 5 tahun dan/atau denda paling sedikit Rp. 50.000.000,- dan paling banyak Rp. 250.000.000,- </w:t>
            </w:r>
          </w:p>
        </w:tc>
      </w:tr>
      <w:tr w:rsidR="003728BA" w:rsidTr="003728BA">
        <w:tc>
          <w:tcPr>
            <w:tcW w:w="559"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color w:val="000000"/>
                <w:lang w:val="id-ID"/>
              </w:rPr>
            </w:pPr>
            <w:r>
              <w:rPr>
                <w:color w:val="000000"/>
                <w:lang w:val="id-ID"/>
              </w:rPr>
              <w:lastRenderedPageBreak/>
              <w:t>5</w:t>
            </w:r>
          </w:p>
        </w:tc>
        <w:tc>
          <w:tcPr>
            <w:tcW w:w="2843"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spacing w:line="216" w:lineRule="auto"/>
              <w:jc w:val="both"/>
              <w:rPr>
                <w:lang w:val="id-ID"/>
              </w:rPr>
            </w:pPr>
            <w:r>
              <w:t>UU No. 20 Tahun 2001 tentang Perubahan atas UU 31 Tahun 1999 tentang Pemberantasan Tindak Pidana Korupsi (Pasal 11)</w:t>
            </w:r>
          </w:p>
        </w:tc>
        <w:tc>
          <w:tcPr>
            <w:tcW w:w="2410" w:type="dxa"/>
            <w:tcBorders>
              <w:top w:val="single" w:sz="4" w:space="0" w:color="auto"/>
              <w:left w:val="single" w:sz="4" w:space="0" w:color="auto"/>
              <w:bottom w:val="single" w:sz="4" w:space="0" w:color="auto"/>
              <w:right w:val="single" w:sz="4" w:space="0" w:color="auto"/>
            </w:tcBorders>
          </w:tcPr>
          <w:p w:rsidR="003728BA" w:rsidRDefault="003728BA">
            <w:pPr>
              <w:pStyle w:val="Default"/>
              <w:spacing w:line="216" w:lineRule="auto"/>
              <w:jc w:val="both"/>
            </w:pPr>
            <w:r>
              <w:t xml:space="preserve">Pegawai Negeri atau Penyelenggara Negara menerima hadiah/janji padahal diketahui karena kekuasaan/kewenangan </w:t>
            </w:r>
          </w:p>
          <w:p w:rsidR="003728BA" w:rsidRDefault="003728BA">
            <w:pPr>
              <w:spacing w:line="216" w:lineRule="auto"/>
              <w:jc w:val="center"/>
              <w:rPr>
                <w:color w:val="000000"/>
                <w:lang w:val="id-ID"/>
              </w:rPr>
            </w:pPr>
          </w:p>
        </w:tc>
        <w:tc>
          <w:tcPr>
            <w:tcW w:w="2234"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spacing w:line="216" w:lineRule="auto"/>
              <w:jc w:val="both"/>
              <w:rPr>
                <w:lang w:val="id-ID"/>
              </w:rPr>
            </w:pPr>
            <w:r>
              <w:t xml:space="preserve">Pidana penjara paling singkat 1 tahun, paling lama 5 tahun dan/atau denda paling sedikit Rp. 50.000.000,- dan paling banyak Rp. 250.000.000,- </w:t>
            </w:r>
          </w:p>
        </w:tc>
      </w:tr>
      <w:tr w:rsidR="003728BA" w:rsidTr="003728BA">
        <w:tc>
          <w:tcPr>
            <w:tcW w:w="559"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color w:val="000000"/>
                <w:lang w:val="id-ID"/>
              </w:rPr>
            </w:pPr>
            <w:r>
              <w:rPr>
                <w:color w:val="000000"/>
                <w:lang w:val="id-ID"/>
              </w:rPr>
              <w:t>6</w:t>
            </w:r>
          </w:p>
        </w:tc>
        <w:tc>
          <w:tcPr>
            <w:tcW w:w="2843" w:type="dxa"/>
            <w:tcBorders>
              <w:top w:val="single" w:sz="4" w:space="0" w:color="auto"/>
              <w:left w:val="single" w:sz="4" w:space="0" w:color="auto"/>
              <w:bottom w:val="single" w:sz="4" w:space="0" w:color="auto"/>
              <w:right w:val="single" w:sz="4" w:space="0" w:color="auto"/>
            </w:tcBorders>
          </w:tcPr>
          <w:p w:rsidR="003728BA" w:rsidRDefault="003728BA">
            <w:pPr>
              <w:pStyle w:val="Default"/>
              <w:spacing w:line="216" w:lineRule="auto"/>
              <w:jc w:val="both"/>
            </w:pPr>
            <w:r>
              <w:t xml:space="preserve">UU No. 20 Tahun 2001 tentang Perubahan atas UU 31 Tahun 1999 tentang Pemberantasan Tindak Pidana Korupsi (Pasal 12B) </w:t>
            </w:r>
          </w:p>
          <w:p w:rsidR="003728BA" w:rsidRDefault="003728BA">
            <w:pPr>
              <w:spacing w:line="216" w:lineRule="auto"/>
              <w:jc w:val="center"/>
              <w:rPr>
                <w:color w:val="000000"/>
                <w:lang w:val="id-ID"/>
              </w:rPr>
            </w:pPr>
          </w:p>
        </w:tc>
        <w:tc>
          <w:tcPr>
            <w:tcW w:w="2410" w:type="dxa"/>
            <w:tcBorders>
              <w:top w:val="single" w:sz="4" w:space="0" w:color="auto"/>
              <w:left w:val="single" w:sz="4" w:space="0" w:color="auto"/>
              <w:bottom w:val="single" w:sz="4" w:space="0" w:color="auto"/>
              <w:right w:val="single" w:sz="4" w:space="0" w:color="auto"/>
            </w:tcBorders>
          </w:tcPr>
          <w:p w:rsidR="003728BA" w:rsidRDefault="003728BA">
            <w:pPr>
              <w:pStyle w:val="Default"/>
              <w:spacing w:line="216" w:lineRule="auto"/>
              <w:jc w:val="both"/>
            </w:pPr>
            <w:r>
              <w:t xml:space="preserve">Pegawai Negeri atau Penyelenggara Negara penerima gratifikasi </w:t>
            </w:r>
          </w:p>
          <w:p w:rsidR="003728BA" w:rsidRDefault="003728BA">
            <w:pPr>
              <w:spacing w:line="216" w:lineRule="auto"/>
              <w:jc w:val="center"/>
              <w:rPr>
                <w:color w:val="000000"/>
                <w:lang w:val="id-ID"/>
              </w:rPr>
            </w:pPr>
          </w:p>
        </w:tc>
        <w:tc>
          <w:tcPr>
            <w:tcW w:w="2234"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spacing w:line="216" w:lineRule="auto"/>
              <w:jc w:val="both"/>
              <w:rPr>
                <w:lang w:val="id-ID"/>
              </w:rPr>
            </w:pPr>
            <w:r>
              <w:t xml:space="preserve">Pidana penjara seumur hidup/paling singkat 4 tahun dan paling lama 20 tahun denda paling sedikit Rp. 200.000.000,- paling banyak Rp. 1.000.000.000,- </w:t>
            </w:r>
          </w:p>
        </w:tc>
      </w:tr>
      <w:tr w:rsidR="003728BA" w:rsidTr="003728BA">
        <w:tc>
          <w:tcPr>
            <w:tcW w:w="559"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color w:val="000000"/>
                <w:lang w:val="id-ID"/>
              </w:rPr>
            </w:pPr>
            <w:r>
              <w:rPr>
                <w:color w:val="000000"/>
                <w:lang w:val="id-ID"/>
              </w:rPr>
              <w:t>7</w:t>
            </w:r>
          </w:p>
        </w:tc>
        <w:tc>
          <w:tcPr>
            <w:tcW w:w="2843" w:type="dxa"/>
            <w:tcBorders>
              <w:top w:val="single" w:sz="4" w:space="0" w:color="auto"/>
              <w:left w:val="single" w:sz="4" w:space="0" w:color="auto"/>
              <w:bottom w:val="single" w:sz="4" w:space="0" w:color="auto"/>
              <w:right w:val="single" w:sz="4" w:space="0" w:color="auto"/>
            </w:tcBorders>
          </w:tcPr>
          <w:p w:rsidR="003728BA" w:rsidRDefault="003728BA">
            <w:pPr>
              <w:pStyle w:val="Default"/>
              <w:spacing w:line="216" w:lineRule="auto"/>
              <w:jc w:val="both"/>
            </w:pPr>
            <w:r>
              <w:t xml:space="preserve">UU No. 20 Tahun 2001 tentang Perubahan atas UU 31 Tahun 1999 tentang Pemberantasan Tindak Pidana Korupsi (Pasal 12E) </w:t>
            </w:r>
          </w:p>
          <w:p w:rsidR="003728BA" w:rsidRDefault="003728BA">
            <w:pPr>
              <w:pStyle w:val="Default"/>
              <w:spacing w:line="216" w:lineRule="auto"/>
              <w:jc w:val="center"/>
            </w:pPr>
          </w:p>
          <w:p w:rsidR="003728BA" w:rsidRDefault="003728BA">
            <w:pPr>
              <w:spacing w:line="216" w:lineRule="auto"/>
              <w:jc w:val="center"/>
              <w:rPr>
                <w:color w:val="000000"/>
                <w:lang w:val="id-ID"/>
              </w:rPr>
            </w:pPr>
          </w:p>
        </w:tc>
        <w:tc>
          <w:tcPr>
            <w:tcW w:w="2410" w:type="dxa"/>
            <w:tcBorders>
              <w:top w:val="single" w:sz="4" w:space="0" w:color="auto"/>
              <w:left w:val="single" w:sz="4" w:space="0" w:color="auto"/>
              <w:bottom w:val="single" w:sz="4" w:space="0" w:color="auto"/>
              <w:right w:val="single" w:sz="4" w:space="0" w:color="auto"/>
            </w:tcBorders>
          </w:tcPr>
          <w:p w:rsidR="003728BA" w:rsidRDefault="003728BA">
            <w:pPr>
              <w:pStyle w:val="Default"/>
              <w:spacing w:line="216" w:lineRule="auto"/>
              <w:jc w:val="both"/>
            </w:pPr>
            <w:r>
              <w:t xml:space="preserve">Pegawai Negeri atau Penyelenggara Negara yang dengan maksud menguntungkan diri sendiri </w:t>
            </w:r>
          </w:p>
          <w:p w:rsidR="003728BA" w:rsidRDefault="003728BA">
            <w:pPr>
              <w:spacing w:line="216" w:lineRule="auto"/>
              <w:jc w:val="center"/>
              <w:rPr>
                <w:color w:val="000000"/>
                <w:lang w:val="id-ID"/>
              </w:rPr>
            </w:pPr>
          </w:p>
        </w:tc>
        <w:tc>
          <w:tcPr>
            <w:tcW w:w="2234"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spacing w:line="216" w:lineRule="auto"/>
              <w:jc w:val="both"/>
            </w:pPr>
            <w:r>
              <w:t xml:space="preserve">Pidana penjara paling singkat 1 tahun, paling lama 5 tahun dan/atau denda paling sedikit Rp. </w:t>
            </w:r>
          </w:p>
          <w:p w:rsidR="003728BA" w:rsidRDefault="003728BA">
            <w:pPr>
              <w:pStyle w:val="Default"/>
              <w:spacing w:line="216" w:lineRule="auto"/>
              <w:jc w:val="both"/>
              <w:rPr>
                <w:lang w:val="id-ID"/>
              </w:rPr>
            </w:pPr>
            <w:r>
              <w:t xml:space="preserve">50.000.000,- dan paling banyak Rp. 250.000.000,- </w:t>
            </w:r>
          </w:p>
        </w:tc>
      </w:tr>
      <w:tr w:rsidR="003728BA" w:rsidTr="003728BA">
        <w:tc>
          <w:tcPr>
            <w:tcW w:w="559"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color w:val="000000"/>
                <w:lang w:val="id-ID"/>
              </w:rPr>
            </w:pPr>
            <w:r>
              <w:rPr>
                <w:color w:val="000000"/>
                <w:lang w:val="id-ID"/>
              </w:rPr>
              <w:t>8</w:t>
            </w:r>
          </w:p>
        </w:tc>
        <w:tc>
          <w:tcPr>
            <w:tcW w:w="2843" w:type="dxa"/>
            <w:tcBorders>
              <w:top w:val="single" w:sz="4" w:space="0" w:color="auto"/>
              <w:left w:val="single" w:sz="4" w:space="0" w:color="auto"/>
              <w:bottom w:val="single" w:sz="4" w:space="0" w:color="auto"/>
              <w:right w:val="single" w:sz="4" w:space="0" w:color="auto"/>
            </w:tcBorders>
            <w:hideMark/>
          </w:tcPr>
          <w:p w:rsidR="003728BA" w:rsidRDefault="003728BA">
            <w:pPr>
              <w:tabs>
                <w:tab w:val="left" w:pos="450"/>
                <w:tab w:val="left" w:pos="870"/>
              </w:tabs>
              <w:spacing w:line="216" w:lineRule="auto"/>
              <w:jc w:val="both"/>
              <w:rPr>
                <w:color w:val="000000"/>
                <w:lang w:val="id-ID"/>
              </w:rPr>
            </w:pPr>
            <w:r>
              <w:rPr>
                <w:color w:val="000000"/>
              </w:rPr>
              <w:t xml:space="preserve">UU No. 20 Tahun 2001 tentang Perubahan atas UU 31 Tahun 1999 tentang Pemberantasan Tindak Pidana Korupsi (Pasal 12E) </w:t>
            </w:r>
          </w:p>
        </w:tc>
        <w:tc>
          <w:tcPr>
            <w:tcW w:w="2410"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spacing w:line="216" w:lineRule="auto"/>
              <w:jc w:val="both"/>
              <w:rPr>
                <w:lang w:val="id-ID"/>
              </w:rPr>
            </w:pPr>
            <w:r>
              <w:t>Pemberi hadiah/janji ke Pegawai Negeri atau Penyelenggara Negara karena kekuasaan/</w:t>
            </w:r>
            <w:r>
              <w:rPr>
                <w:lang w:val="id-ID"/>
              </w:rPr>
              <w:t xml:space="preserve"> </w:t>
            </w:r>
            <w:r>
              <w:t xml:space="preserve">kewenangan </w:t>
            </w:r>
          </w:p>
        </w:tc>
        <w:tc>
          <w:tcPr>
            <w:tcW w:w="2234" w:type="dxa"/>
            <w:tcBorders>
              <w:top w:val="single" w:sz="4" w:space="0" w:color="auto"/>
              <w:left w:val="single" w:sz="4" w:space="0" w:color="auto"/>
              <w:bottom w:val="single" w:sz="4" w:space="0" w:color="auto"/>
              <w:right w:val="single" w:sz="4" w:space="0" w:color="auto"/>
            </w:tcBorders>
            <w:hideMark/>
          </w:tcPr>
          <w:p w:rsidR="003728BA" w:rsidRDefault="003728BA">
            <w:pPr>
              <w:pStyle w:val="Default"/>
              <w:spacing w:line="216" w:lineRule="auto"/>
              <w:jc w:val="both"/>
              <w:rPr>
                <w:lang w:val="id-ID"/>
              </w:rPr>
            </w:pPr>
            <w:r>
              <w:t xml:space="preserve">Pidana penjara paling lama 3 tahun denda paling banyak Rp. 150.000.000,- </w:t>
            </w:r>
          </w:p>
        </w:tc>
      </w:tr>
      <w:tr w:rsidR="003728BA" w:rsidTr="003728BA">
        <w:tc>
          <w:tcPr>
            <w:tcW w:w="559"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color w:val="000000"/>
                <w:lang w:val="id-ID"/>
              </w:rPr>
            </w:pPr>
            <w:r>
              <w:rPr>
                <w:color w:val="000000"/>
                <w:lang w:val="id-ID"/>
              </w:rPr>
              <w:t>9</w:t>
            </w:r>
          </w:p>
        </w:tc>
        <w:tc>
          <w:tcPr>
            <w:tcW w:w="2843" w:type="dxa"/>
            <w:tcBorders>
              <w:top w:val="single" w:sz="4" w:space="0" w:color="auto"/>
              <w:left w:val="single" w:sz="4" w:space="0" w:color="auto"/>
              <w:bottom w:val="single" w:sz="4" w:space="0" w:color="auto"/>
              <w:right w:val="single" w:sz="4" w:space="0" w:color="auto"/>
            </w:tcBorders>
          </w:tcPr>
          <w:p w:rsidR="003728BA" w:rsidRDefault="003728BA">
            <w:pPr>
              <w:pStyle w:val="Default"/>
              <w:spacing w:line="216" w:lineRule="auto"/>
              <w:jc w:val="both"/>
            </w:pPr>
            <w:r>
              <w:t xml:space="preserve">PP No. 53 Tahun 2010 tentang Disiplin Pegawai Negeri Sipil </w:t>
            </w:r>
          </w:p>
          <w:p w:rsidR="003728BA" w:rsidRDefault="003728BA">
            <w:pPr>
              <w:spacing w:line="216" w:lineRule="auto"/>
              <w:jc w:val="center"/>
              <w:rPr>
                <w:color w:val="000000"/>
                <w:lang w:val="id-ID"/>
              </w:rPr>
            </w:pPr>
          </w:p>
        </w:tc>
        <w:tc>
          <w:tcPr>
            <w:tcW w:w="2410" w:type="dxa"/>
            <w:tcBorders>
              <w:top w:val="single" w:sz="4" w:space="0" w:color="auto"/>
              <w:left w:val="single" w:sz="4" w:space="0" w:color="auto"/>
              <w:bottom w:val="single" w:sz="4" w:space="0" w:color="auto"/>
              <w:right w:val="single" w:sz="4" w:space="0" w:color="auto"/>
            </w:tcBorders>
          </w:tcPr>
          <w:p w:rsidR="003728BA" w:rsidRDefault="003728BA">
            <w:pPr>
              <w:pStyle w:val="Default"/>
              <w:spacing w:line="216" w:lineRule="auto"/>
            </w:pPr>
            <w:r>
              <w:t xml:space="preserve">Perbuatan Tercela </w:t>
            </w:r>
          </w:p>
          <w:p w:rsidR="003728BA" w:rsidRDefault="003728BA">
            <w:pPr>
              <w:spacing w:line="216" w:lineRule="auto"/>
              <w:jc w:val="center"/>
              <w:rPr>
                <w:color w:val="000000"/>
                <w:lang w:val="id-ID"/>
              </w:rPr>
            </w:pPr>
          </w:p>
        </w:tc>
        <w:tc>
          <w:tcPr>
            <w:tcW w:w="2234" w:type="dxa"/>
            <w:tcBorders>
              <w:top w:val="single" w:sz="4" w:space="0" w:color="auto"/>
              <w:left w:val="single" w:sz="4" w:space="0" w:color="auto"/>
              <w:bottom w:val="single" w:sz="4" w:space="0" w:color="auto"/>
              <w:right w:val="single" w:sz="4" w:space="0" w:color="auto"/>
            </w:tcBorders>
            <w:hideMark/>
          </w:tcPr>
          <w:p w:rsidR="003728BA" w:rsidRDefault="003728BA">
            <w:pPr>
              <w:spacing w:line="216" w:lineRule="auto"/>
              <w:jc w:val="both"/>
              <w:rPr>
                <w:color w:val="000000"/>
                <w:lang w:val="id-ID"/>
              </w:rPr>
            </w:pPr>
            <w:r>
              <w:rPr>
                <w:color w:val="000000"/>
              </w:rPr>
              <w:t>Pemberhentian Tidak Dengan Hormat</w:t>
            </w:r>
            <w:r>
              <w:rPr>
                <w:color w:val="000000"/>
                <w:lang w:val="id-ID"/>
              </w:rPr>
              <w:t xml:space="preserve">,  </w:t>
            </w:r>
            <w:r>
              <w:rPr>
                <w:color w:val="000000"/>
              </w:rPr>
              <w:t xml:space="preserve">Pemberhentian </w:t>
            </w:r>
            <w:r>
              <w:rPr>
                <w:color w:val="000000"/>
              </w:rPr>
              <w:lastRenderedPageBreak/>
              <w:t>Dengan Hormat</w:t>
            </w:r>
            <w:r>
              <w:rPr>
                <w:color w:val="000000"/>
                <w:lang w:val="id-ID"/>
              </w:rPr>
              <w:t>,</w:t>
            </w:r>
            <w:r>
              <w:rPr>
                <w:color w:val="000000"/>
              </w:rPr>
              <w:t xml:space="preserve"> Tidak Atas Permintaan Sendiri </w:t>
            </w:r>
          </w:p>
        </w:tc>
      </w:tr>
      <w:tr w:rsidR="003728BA" w:rsidTr="003728BA">
        <w:tc>
          <w:tcPr>
            <w:tcW w:w="559" w:type="dxa"/>
            <w:tcBorders>
              <w:top w:val="single" w:sz="4" w:space="0" w:color="auto"/>
              <w:left w:val="single" w:sz="4" w:space="0" w:color="auto"/>
              <w:bottom w:val="single" w:sz="4" w:space="0" w:color="auto"/>
              <w:right w:val="single" w:sz="4" w:space="0" w:color="auto"/>
            </w:tcBorders>
            <w:hideMark/>
          </w:tcPr>
          <w:p w:rsidR="003728BA" w:rsidRDefault="003728BA">
            <w:pPr>
              <w:jc w:val="center"/>
              <w:rPr>
                <w:color w:val="000000"/>
                <w:lang w:val="id-ID"/>
              </w:rPr>
            </w:pPr>
            <w:r>
              <w:rPr>
                <w:color w:val="000000"/>
                <w:lang w:val="id-ID"/>
              </w:rPr>
              <w:lastRenderedPageBreak/>
              <w:t>10</w:t>
            </w:r>
          </w:p>
        </w:tc>
        <w:tc>
          <w:tcPr>
            <w:tcW w:w="2843" w:type="dxa"/>
            <w:tcBorders>
              <w:top w:val="single" w:sz="4" w:space="0" w:color="auto"/>
              <w:left w:val="single" w:sz="4" w:space="0" w:color="auto"/>
              <w:bottom w:val="single" w:sz="4" w:space="0" w:color="auto"/>
              <w:right w:val="single" w:sz="4" w:space="0" w:color="auto"/>
            </w:tcBorders>
          </w:tcPr>
          <w:p w:rsidR="003728BA" w:rsidRDefault="003728BA">
            <w:pPr>
              <w:pStyle w:val="Default"/>
              <w:spacing w:line="216" w:lineRule="auto"/>
              <w:jc w:val="both"/>
            </w:pPr>
            <w:r>
              <w:t xml:space="preserve">PP. No. 20 Tahun 2008 tentang Pemberhentian Jaksa </w:t>
            </w:r>
          </w:p>
          <w:p w:rsidR="003728BA" w:rsidRDefault="003728BA">
            <w:pPr>
              <w:spacing w:line="216" w:lineRule="auto"/>
              <w:jc w:val="center"/>
              <w:rPr>
                <w:color w:val="000000"/>
                <w:lang w:val="id-ID"/>
              </w:rPr>
            </w:pPr>
          </w:p>
        </w:tc>
        <w:tc>
          <w:tcPr>
            <w:tcW w:w="2410" w:type="dxa"/>
            <w:tcBorders>
              <w:top w:val="single" w:sz="4" w:space="0" w:color="auto"/>
              <w:left w:val="single" w:sz="4" w:space="0" w:color="auto"/>
              <w:bottom w:val="single" w:sz="4" w:space="0" w:color="auto"/>
              <w:right w:val="single" w:sz="4" w:space="0" w:color="auto"/>
            </w:tcBorders>
          </w:tcPr>
          <w:p w:rsidR="003728BA" w:rsidRDefault="003728BA">
            <w:pPr>
              <w:pStyle w:val="Default"/>
              <w:spacing w:line="216" w:lineRule="auto"/>
              <w:jc w:val="both"/>
            </w:pPr>
            <w:r>
              <w:t xml:space="preserve">Melakukan Tindak Pidana </w:t>
            </w:r>
          </w:p>
          <w:p w:rsidR="003728BA" w:rsidRDefault="003728BA">
            <w:pPr>
              <w:spacing w:line="216" w:lineRule="auto"/>
              <w:jc w:val="center"/>
              <w:rPr>
                <w:color w:val="000000"/>
                <w:lang w:val="id-ID"/>
              </w:rPr>
            </w:pPr>
          </w:p>
        </w:tc>
        <w:tc>
          <w:tcPr>
            <w:tcW w:w="2234" w:type="dxa"/>
            <w:tcBorders>
              <w:top w:val="single" w:sz="4" w:space="0" w:color="auto"/>
              <w:left w:val="single" w:sz="4" w:space="0" w:color="auto"/>
              <w:bottom w:val="single" w:sz="4" w:space="0" w:color="auto"/>
              <w:right w:val="single" w:sz="4" w:space="0" w:color="auto"/>
            </w:tcBorders>
          </w:tcPr>
          <w:p w:rsidR="003728BA" w:rsidRDefault="003728BA">
            <w:pPr>
              <w:pStyle w:val="Default"/>
              <w:spacing w:line="216" w:lineRule="auto"/>
              <w:jc w:val="both"/>
            </w:pPr>
            <w:r>
              <w:t xml:space="preserve">Pemberhentian Tidak Dengan Hormat </w:t>
            </w:r>
          </w:p>
          <w:p w:rsidR="003728BA" w:rsidRDefault="003728BA">
            <w:pPr>
              <w:spacing w:line="216" w:lineRule="auto"/>
              <w:jc w:val="center"/>
              <w:rPr>
                <w:color w:val="000000"/>
                <w:lang w:val="id-ID"/>
              </w:rPr>
            </w:pPr>
          </w:p>
        </w:tc>
      </w:tr>
    </w:tbl>
    <w:p w:rsidR="003728BA" w:rsidRDefault="003728BA" w:rsidP="003728BA">
      <w:pPr>
        <w:jc w:val="center"/>
        <w:rPr>
          <w:color w:val="000000"/>
          <w:lang w:val="id-ID"/>
        </w:rPr>
      </w:pPr>
    </w:p>
    <w:p w:rsidR="003728BA" w:rsidRDefault="003728BA" w:rsidP="00D671C6">
      <w:pPr>
        <w:numPr>
          <w:ilvl w:val="0"/>
          <w:numId w:val="4"/>
        </w:numPr>
        <w:spacing w:line="504" w:lineRule="auto"/>
        <w:jc w:val="both"/>
        <w:rPr>
          <w:b/>
        </w:rPr>
      </w:pPr>
      <w:bookmarkStart w:id="3" w:name="_Hlk138684197"/>
      <w:r>
        <w:rPr>
          <w:b/>
        </w:rPr>
        <w:t>Tinjauan Tentang Penyidikan</w:t>
      </w:r>
    </w:p>
    <w:p w:rsidR="003728BA" w:rsidRDefault="003728BA" w:rsidP="00D671C6">
      <w:pPr>
        <w:numPr>
          <w:ilvl w:val="1"/>
          <w:numId w:val="10"/>
        </w:numPr>
        <w:tabs>
          <w:tab w:val="num" w:pos="-1009"/>
        </w:tabs>
        <w:spacing w:line="504" w:lineRule="auto"/>
        <w:ind w:left="709"/>
        <w:jc w:val="both"/>
        <w:rPr>
          <w:b/>
        </w:rPr>
      </w:pPr>
      <w:r>
        <w:rPr>
          <w:b/>
        </w:rPr>
        <w:t>Pengertian Penyidikan</w:t>
      </w:r>
      <w:bookmarkEnd w:id="3"/>
      <w:r>
        <w:rPr>
          <w:b/>
        </w:rPr>
        <w:t xml:space="preserve"> </w:t>
      </w:r>
    </w:p>
    <w:p w:rsidR="003728BA" w:rsidRDefault="003728BA" w:rsidP="003728BA">
      <w:pPr>
        <w:pStyle w:val="BodyText"/>
        <w:ind w:firstLine="709"/>
        <w:rPr>
          <w:rFonts w:ascii="Times New Roman" w:hAnsi="Times New Roman"/>
        </w:rPr>
      </w:pPr>
      <w:r>
        <w:rPr>
          <w:rFonts w:ascii="Times New Roman" w:hAnsi="Times New Roman"/>
        </w:rPr>
        <w:t xml:space="preserve">Penyidikan suatu istilah yang dimaksudkan sejajar dengan pengertian </w:t>
      </w:r>
      <w:r>
        <w:rPr>
          <w:rFonts w:ascii="Times New Roman" w:hAnsi="Times New Roman"/>
          <w:i/>
          <w:iCs/>
        </w:rPr>
        <w:t xml:space="preserve">opsporing </w:t>
      </w:r>
      <w:r>
        <w:rPr>
          <w:rFonts w:ascii="Times New Roman" w:hAnsi="Times New Roman"/>
        </w:rPr>
        <w:t xml:space="preserve">(Belanda) dan </w:t>
      </w:r>
      <w:r>
        <w:rPr>
          <w:rFonts w:ascii="Times New Roman" w:hAnsi="Times New Roman"/>
          <w:i/>
          <w:iCs/>
        </w:rPr>
        <w:t xml:space="preserve">investigation </w:t>
      </w:r>
      <w:r>
        <w:rPr>
          <w:rFonts w:ascii="Times New Roman" w:hAnsi="Times New Roman"/>
        </w:rPr>
        <w:t xml:space="preserve">(Inggris) atau </w:t>
      </w:r>
      <w:r>
        <w:rPr>
          <w:rFonts w:ascii="Times New Roman" w:hAnsi="Times New Roman"/>
          <w:iCs/>
        </w:rPr>
        <w:t xml:space="preserve">penyiasatan </w:t>
      </w:r>
      <w:r>
        <w:rPr>
          <w:rFonts w:ascii="Times New Roman" w:hAnsi="Times New Roman"/>
        </w:rPr>
        <w:t xml:space="preserve">atau </w:t>
      </w:r>
      <w:r>
        <w:rPr>
          <w:rFonts w:ascii="Times New Roman" w:hAnsi="Times New Roman"/>
          <w:iCs/>
        </w:rPr>
        <w:t>siasat</w:t>
      </w:r>
      <w:r>
        <w:rPr>
          <w:rFonts w:ascii="Times New Roman" w:hAnsi="Times New Roman"/>
          <w:i/>
          <w:iCs/>
        </w:rPr>
        <w:t xml:space="preserve"> </w:t>
      </w:r>
      <w:r>
        <w:rPr>
          <w:rFonts w:ascii="Times New Roman" w:hAnsi="Times New Roman"/>
        </w:rPr>
        <w:t>(Malaysia).</w:t>
      </w:r>
      <w:r>
        <w:rPr>
          <w:rStyle w:val="FootnoteReference"/>
          <w:rFonts w:ascii="Times New Roman" w:hAnsi="Times New Roman"/>
        </w:rPr>
        <w:footnoteReference w:id="18"/>
      </w:r>
      <w:r>
        <w:rPr>
          <w:rFonts w:ascii="Times New Roman" w:hAnsi="Times New Roman"/>
        </w:rPr>
        <w:t xml:space="preserve"> Pasal 1 ayat (2) Peraturan Kepala Kepolisian Negara Republik Indonesia Tentang Manajemen Penyidikan Tindak Pidana, memberi definisi penyidikan sebagai </w:t>
      </w:r>
      <w:proofErr w:type="gramStart"/>
      <w:r>
        <w:rPr>
          <w:rFonts w:ascii="Times New Roman" w:hAnsi="Times New Roman"/>
        </w:rPr>
        <w:t>berikut :</w:t>
      </w:r>
      <w:proofErr w:type="gramEnd"/>
      <w:r>
        <w:rPr>
          <w:rFonts w:ascii="Times New Roman" w:hAnsi="Times New Roman"/>
        </w:rPr>
        <w:t xml:space="preserve"> “Serangkaian tindakan penyidikan dalam hal dan menurut cara yang diatur dalam undang-undang ini untuk mencari serta mengumpulkan bukti yang dengan bukti itu membuat terang tentang tindak pidana yang terjadi dan guna menemukan tersangkanya”.</w:t>
      </w:r>
      <w:r>
        <w:rPr>
          <w:rStyle w:val="FootnoteReference"/>
          <w:rFonts w:ascii="Times New Roman" w:hAnsi="Times New Roman"/>
        </w:rPr>
        <w:footnoteReference w:id="19"/>
      </w:r>
    </w:p>
    <w:p w:rsidR="003728BA" w:rsidRDefault="003728BA" w:rsidP="003728BA">
      <w:pPr>
        <w:pStyle w:val="BodyText"/>
        <w:ind w:firstLine="709"/>
        <w:rPr>
          <w:rFonts w:ascii="Times New Roman" w:hAnsi="Times New Roman"/>
        </w:rPr>
      </w:pPr>
      <w:r>
        <w:rPr>
          <w:rFonts w:ascii="Times New Roman" w:hAnsi="Times New Roman"/>
        </w:rPr>
        <w:t xml:space="preserve">Sebagaimana diatur dalam Pasal 1 ayat (2) KUHAP diatas, menjelaskan bahwa penyidikan adalah setiap tindakan penyidik untuk mencari bukti-bukti yang dapat menyakinkan atau mendukung kenyakinan bahwa perbuatan pidana atau perbuatan yang dilarang oleh ketentuan pidana itu benar-benar terjadi. Pengumpulan bahan keterangan untuk mendukung keyakinan bahwa perbuatan pidana itu telah terjadi, harus dilakukan dengan </w:t>
      </w:r>
      <w:proofErr w:type="gramStart"/>
      <w:r>
        <w:rPr>
          <w:rFonts w:ascii="Times New Roman" w:hAnsi="Times New Roman"/>
        </w:rPr>
        <w:t>cara</w:t>
      </w:r>
      <w:proofErr w:type="gramEnd"/>
      <w:r>
        <w:rPr>
          <w:rFonts w:ascii="Times New Roman" w:hAnsi="Times New Roman"/>
        </w:rPr>
        <w:t xml:space="preserve"> mempertimbangkan dengan saksama makna dari kemauan hukum sesungguhnya, dengan parameter apakah perbuatan atau peristiwa pidana itu bertentangan dengan nilai-nilai yang hidup pada komunitas yang di masyarakat setempat, misalnya perbuatan itu nyata-nyata merugikan pihak lain di peristiwa tersebut.</w:t>
      </w:r>
    </w:p>
    <w:p w:rsidR="003728BA" w:rsidRDefault="003728BA" w:rsidP="003728BA">
      <w:pPr>
        <w:pStyle w:val="BodyText"/>
        <w:ind w:firstLine="709"/>
        <w:rPr>
          <w:rFonts w:ascii="Times New Roman" w:hAnsi="Times New Roman"/>
        </w:rPr>
      </w:pPr>
      <w:r>
        <w:rPr>
          <w:rFonts w:ascii="Times New Roman" w:hAnsi="Times New Roman"/>
        </w:rPr>
        <w:t>Undang-Undang Nomor 2 tahun 2002 Tentang Kepolisian Republik Indonesia, terdapat ketentuan yang secara khusus mengatur tentang penyidikan, penuntutan, dan pemeriksaan di sidang pengadilan yang tidak diatur di dalam KUHAP dan hal ini merupakan relevansi asas hukum pidana (</w:t>
      </w:r>
      <w:r>
        <w:rPr>
          <w:rFonts w:ascii="Times New Roman" w:hAnsi="Times New Roman"/>
          <w:i/>
          <w:iCs/>
        </w:rPr>
        <w:t>lex specialist derogat lex generalist</w:t>
      </w:r>
      <w:r>
        <w:rPr>
          <w:rFonts w:ascii="Times New Roman" w:hAnsi="Times New Roman"/>
        </w:rPr>
        <w:t>) secara sosiologi, kewenangan polisi dalam proses pemeriksaan pendahuluan ini dilihat sebagai kedudukan (</w:t>
      </w:r>
      <w:r>
        <w:rPr>
          <w:rFonts w:ascii="Times New Roman" w:hAnsi="Times New Roman"/>
          <w:i/>
          <w:iCs/>
        </w:rPr>
        <w:t>status</w:t>
      </w:r>
      <w:r>
        <w:rPr>
          <w:rFonts w:ascii="Times New Roman" w:hAnsi="Times New Roman"/>
        </w:rPr>
        <w:t>) dan peranan (</w:t>
      </w:r>
      <w:r>
        <w:rPr>
          <w:rFonts w:ascii="Times New Roman" w:hAnsi="Times New Roman"/>
          <w:i/>
          <w:iCs/>
        </w:rPr>
        <w:t>rule</w:t>
      </w:r>
      <w:r>
        <w:rPr>
          <w:rFonts w:ascii="Times New Roman" w:hAnsi="Times New Roman"/>
        </w:rPr>
        <w:t>).</w:t>
      </w:r>
    </w:p>
    <w:p w:rsidR="003728BA" w:rsidRDefault="003728BA" w:rsidP="003728BA">
      <w:pPr>
        <w:pStyle w:val="BodyText"/>
        <w:ind w:firstLine="709"/>
        <w:rPr>
          <w:rFonts w:ascii="Times New Roman" w:hAnsi="Times New Roman"/>
        </w:rPr>
      </w:pPr>
      <w:r>
        <w:rPr>
          <w:rFonts w:ascii="Times New Roman" w:hAnsi="Times New Roman"/>
        </w:rPr>
        <w:t xml:space="preserve">Menurut M. Yahya Harahap, pengertian penyidikan adalah suatu tindakan lanjut dari kegiatan penyelidikan dengan adanya suatu terjadinya peristiwa tindak pidana. Persyaratan dan pembatasan yang ketat dalam penggunaan upaya paksa </w:t>
      </w:r>
      <w:r>
        <w:rPr>
          <w:rFonts w:ascii="Times New Roman" w:hAnsi="Times New Roman"/>
        </w:rPr>
        <w:lastRenderedPageBreak/>
        <w:t>setelah pengumpulan bukti permulaan yang cukup guna membuat terang suatu peristiwa yang patut diduga merupakan tindak pidana.</w:t>
      </w:r>
      <w:r>
        <w:rPr>
          <w:rStyle w:val="FootnoteReference"/>
          <w:rFonts w:ascii="Times New Roman" w:hAnsi="Times New Roman"/>
        </w:rPr>
        <w:footnoteReference w:id="20"/>
      </w:r>
    </w:p>
    <w:p w:rsidR="003728BA" w:rsidRDefault="003728BA" w:rsidP="003728BA">
      <w:pPr>
        <w:pStyle w:val="BodyText"/>
        <w:ind w:firstLine="720"/>
        <w:rPr>
          <w:rFonts w:ascii="Times New Roman" w:hAnsi="Times New Roman"/>
        </w:rPr>
      </w:pPr>
      <w:r>
        <w:rPr>
          <w:rFonts w:ascii="Times New Roman" w:hAnsi="Times New Roman"/>
        </w:rPr>
        <w:t>Penyidikan merupakan tahapan penyelesaian perkara pidana setelah penyelidikan yang merupakan tahapan permulaan mencari ada atau tidaknya tindak pidana dalam suatu peristiwa. Ketika diketahui ada tindak pidana terjadi, maka saat itulah penyidikan dapat dilakukan berdasarkan hasil penyelidikan. Pada tindakan penyelidikan, penekanannya diletakkan pada tindakan “mencari dan menemukan” suatu “peristiwa” yang dianggap atau diduga sebagai tindakan pidana. Sedangkan pada penyidikan titik berat penekanannya diletakkan pada tindakan “mencari serta mengumpulkan bukti”. Penyidikan bertujuan membuat terang tindak pidana yang ditemukan dan juga menentukan pelakunya.</w:t>
      </w:r>
    </w:p>
    <w:p w:rsidR="003728BA" w:rsidRDefault="003728BA" w:rsidP="003728BA">
      <w:pPr>
        <w:spacing w:line="480" w:lineRule="auto"/>
        <w:ind w:firstLine="720"/>
        <w:jc w:val="both"/>
      </w:pPr>
      <w:r>
        <w:t xml:space="preserve">Penyidikan suatu istilah yang dimaksudkan sejajar dengan pengertian </w:t>
      </w:r>
      <w:proofErr w:type="gramStart"/>
      <w:r>
        <w:rPr>
          <w:i/>
        </w:rPr>
        <w:t xml:space="preserve">opsporing </w:t>
      </w:r>
      <w:r>
        <w:t xml:space="preserve"> (</w:t>
      </w:r>
      <w:proofErr w:type="gramEnd"/>
      <w:r>
        <w:t xml:space="preserve">Belanda) dan </w:t>
      </w:r>
      <w:r>
        <w:rPr>
          <w:i/>
        </w:rPr>
        <w:t xml:space="preserve">investigation </w:t>
      </w:r>
      <w:r>
        <w:t>(Inggris) atau  penyiasatan atau siasat (Melaysia).</w:t>
      </w:r>
      <w:r>
        <w:rPr>
          <w:rStyle w:val="FootnoteReference"/>
        </w:rPr>
        <w:t xml:space="preserve"> </w:t>
      </w:r>
      <w:r>
        <w:rPr>
          <w:rStyle w:val="FootnoteReference"/>
        </w:rPr>
        <w:footnoteReference w:id="21"/>
      </w:r>
      <w:r>
        <w:t xml:space="preserve"> Penyidikan diartikan serangkaian tindakan penyidik dalam hal dan menurut </w:t>
      </w:r>
      <w:proofErr w:type="gramStart"/>
      <w:r>
        <w:t>cara</w:t>
      </w:r>
      <w:proofErr w:type="gramEnd"/>
      <w:r>
        <w:t xml:space="preserve"> yang diatur dalam undang-undang untuk mencari serta mengumpulkan bukti yang dengan bukti itu membuat terang tentang tindak pidana yang terjadi dan guna menemukan tersangkanya.</w:t>
      </w:r>
      <w:r>
        <w:rPr>
          <w:rStyle w:val="FootnoteReference"/>
        </w:rPr>
        <w:footnoteReference w:id="22"/>
      </w:r>
      <w:r>
        <w:t xml:space="preserve"> Ketika diketahui ada tindak pidana terjadi, maka saat itulah penyidikan dapat dilakukan berdasarkan hasil penyelidikan. Pada tindakan penyelidikan, penekanannya diletakkan pada tindakan “mencari dan menemukan” suatu “peristiwa” yang dianggap atau diduga sebagai tindakan pidana. Sedangkan pada penyidikan titik berat penekanannya diletakkan pada tindakan “mencari serta mengumpulkan bukti”. Penyidikan bertujuan membuat terang tindak pidana yang ditemukan dan juga menentukan pelakunya.</w:t>
      </w:r>
    </w:p>
    <w:p w:rsidR="003728BA" w:rsidRDefault="003728BA" w:rsidP="003728BA">
      <w:pPr>
        <w:spacing w:line="480" w:lineRule="auto"/>
        <w:ind w:firstLine="720"/>
        <w:jc w:val="both"/>
      </w:pPr>
      <w:r>
        <w:t>Berdasarkan rumusan Pasal 1 butir 2 KUHAP, unsur-unsur yang terkandung dalam pengertian penyidikan adalah:</w:t>
      </w:r>
    </w:p>
    <w:p w:rsidR="003728BA" w:rsidRDefault="003728BA" w:rsidP="00D671C6">
      <w:pPr>
        <w:numPr>
          <w:ilvl w:val="2"/>
          <w:numId w:val="11"/>
        </w:numPr>
        <w:ind w:left="1080"/>
        <w:jc w:val="both"/>
      </w:pPr>
      <w:r>
        <w:lastRenderedPageBreak/>
        <w:t>Penyidikan merupakan serangkaian tindakan yang mengandung tindakan-tindakan yang antara satu dengan yang lain saling berhubungan;</w:t>
      </w:r>
    </w:p>
    <w:p w:rsidR="003728BA" w:rsidRDefault="003728BA" w:rsidP="00D671C6">
      <w:pPr>
        <w:numPr>
          <w:ilvl w:val="2"/>
          <w:numId w:val="11"/>
        </w:numPr>
        <w:ind w:left="1080"/>
        <w:jc w:val="both"/>
      </w:pPr>
      <w:r>
        <w:t>Penyidikan dilakukan oleh pejabat publik yang disebut penyidik;</w:t>
      </w:r>
    </w:p>
    <w:p w:rsidR="003728BA" w:rsidRDefault="003728BA" w:rsidP="00D671C6">
      <w:pPr>
        <w:numPr>
          <w:ilvl w:val="2"/>
          <w:numId w:val="11"/>
        </w:numPr>
        <w:ind w:left="1080"/>
        <w:jc w:val="both"/>
      </w:pPr>
      <w:r>
        <w:t xml:space="preserve">Penyidikan dilakukan dengan berdasarkan peraturan perundang-undangan; </w:t>
      </w:r>
    </w:p>
    <w:p w:rsidR="003728BA" w:rsidRDefault="003728BA" w:rsidP="00D671C6">
      <w:pPr>
        <w:numPr>
          <w:ilvl w:val="2"/>
          <w:numId w:val="11"/>
        </w:numPr>
        <w:ind w:left="1080"/>
        <w:jc w:val="both"/>
      </w:pPr>
      <w:r>
        <w:t xml:space="preserve">Tujuan penyidikan ialah mencari dan mengumpulkan bukti, yang dengan bukti itu membuat terang tindak pidana yang terjadi, dan menemukan tersangkanya. </w:t>
      </w:r>
    </w:p>
    <w:p w:rsidR="003728BA" w:rsidRDefault="003728BA" w:rsidP="003728BA">
      <w:pPr>
        <w:ind w:left="1080"/>
        <w:jc w:val="both"/>
      </w:pPr>
    </w:p>
    <w:p w:rsidR="003728BA" w:rsidRDefault="003728BA" w:rsidP="00D671C6">
      <w:pPr>
        <w:numPr>
          <w:ilvl w:val="1"/>
          <w:numId w:val="11"/>
        </w:numPr>
        <w:tabs>
          <w:tab w:val="num" w:pos="360"/>
        </w:tabs>
        <w:spacing w:line="504" w:lineRule="auto"/>
        <w:ind w:left="360"/>
        <w:jc w:val="both"/>
      </w:pPr>
      <w:bookmarkStart w:id="4" w:name="_Hlk105578614"/>
      <w:r>
        <w:rPr>
          <w:b/>
        </w:rPr>
        <w:t>Wewenang Penyidik</w:t>
      </w:r>
      <w:bookmarkEnd w:id="4"/>
    </w:p>
    <w:p w:rsidR="003728BA" w:rsidRDefault="003728BA" w:rsidP="003728BA">
      <w:pPr>
        <w:spacing w:line="480" w:lineRule="auto"/>
        <w:ind w:firstLine="720"/>
        <w:jc w:val="both"/>
      </w:pPr>
      <w:r>
        <w:t>Penyidik karena kewajibannya mempunyai wewenang untuk menerima laporan atau pengaduan dari seorang tentang adanya tindak pidana, melakukan tindakan pertama pada saat di tempat kejadian, menyuruh berhenti dan memeriksa tanda pengenal diri tersangka, melakukan penangkapan, penggeledahan dan penyitaan, melakukan pemeriksaan dan penyitaan surat, mengambil sidik jari dan memotret seorang, memanggil orang untuk diperiksa sebagai tersangka atau saksi, mendatangkan orang ahli yang diperlukan dalam hubungannya dengan perkara, menghentikan penyidikan dan tindakan lain menurut hukum.</w:t>
      </w:r>
      <w:r>
        <w:rPr>
          <w:rStyle w:val="FootnoteReference"/>
        </w:rPr>
        <w:footnoteReference w:id="23"/>
      </w:r>
    </w:p>
    <w:p w:rsidR="003728BA" w:rsidRDefault="003728BA" w:rsidP="003728BA">
      <w:pPr>
        <w:tabs>
          <w:tab w:val="left" w:pos="357"/>
        </w:tabs>
        <w:spacing w:line="480" w:lineRule="auto"/>
        <w:ind w:firstLine="360"/>
        <w:jc w:val="both"/>
      </w:pPr>
      <w:r>
        <w:tab/>
        <w:t xml:space="preserve">Kewenangan kepolisian dalam melakukan tindakan penyelidik dalam </w:t>
      </w:r>
      <w:proofErr w:type="gramStart"/>
      <w:r>
        <w:t>KUHAP  dapat</w:t>
      </w:r>
      <w:proofErr w:type="gramEnd"/>
      <w:r>
        <w:t xml:space="preserve"> berupa:</w:t>
      </w:r>
    </w:p>
    <w:p w:rsidR="003728BA" w:rsidRDefault="003728BA" w:rsidP="00D671C6">
      <w:pPr>
        <w:numPr>
          <w:ilvl w:val="1"/>
          <w:numId w:val="12"/>
        </w:numPr>
        <w:spacing w:line="480" w:lineRule="auto"/>
        <w:ind w:left="360"/>
        <w:jc w:val="both"/>
      </w:pPr>
      <w:r>
        <w:t xml:space="preserve">Karena kewajibannya mempunyai wewenang: </w:t>
      </w:r>
    </w:p>
    <w:p w:rsidR="003728BA" w:rsidRDefault="003728BA" w:rsidP="00D671C6">
      <w:pPr>
        <w:numPr>
          <w:ilvl w:val="3"/>
          <w:numId w:val="12"/>
        </w:numPr>
        <w:tabs>
          <w:tab w:val="left" w:pos="357"/>
        </w:tabs>
        <w:spacing w:line="480" w:lineRule="auto"/>
        <w:ind w:left="720"/>
        <w:jc w:val="both"/>
      </w:pPr>
      <w:r>
        <w:t xml:space="preserve">menerima laporan atau pengaduan dari seseorang tentang adanya tindak pidana </w:t>
      </w:r>
    </w:p>
    <w:p w:rsidR="003728BA" w:rsidRDefault="003728BA" w:rsidP="00D671C6">
      <w:pPr>
        <w:numPr>
          <w:ilvl w:val="3"/>
          <w:numId w:val="12"/>
        </w:numPr>
        <w:tabs>
          <w:tab w:val="num" w:pos="-2565"/>
          <w:tab w:val="left" w:pos="357"/>
        </w:tabs>
        <w:spacing w:line="480" w:lineRule="auto"/>
        <w:ind w:left="717"/>
        <w:jc w:val="both"/>
      </w:pPr>
      <w:r>
        <w:t>mencari keterangan dan barang bukti</w:t>
      </w:r>
    </w:p>
    <w:p w:rsidR="003728BA" w:rsidRDefault="003728BA" w:rsidP="00D671C6">
      <w:pPr>
        <w:numPr>
          <w:ilvl w:val="3"/>
          <w:numId w:val="12"/>
        </w:numPr>
        <w:tabs>
          <w:tab w:val="num" w:pos="-2565"/>
          <w:tab w:val="left" w:pos="357"/>
        </w:tabs>
        <w:spacing w:line="480" w:lineRule="auto"/>
        <w:ind w:left="717"/>
        <w:jc w:val="both"/>
      </w:pPr>
      <w:r>
        <w:t>menyuruh berhenti seorang yang dicurigai dan menyatakan serta memeriksa tanda pengenal diri</w:t>
      </w:r>
    </w:p>
    <w:p w:rsidR="003728BA" w:rsidRDefault="003728BA" w:rsidP="00D671C6">
      <w:pPr>
        <w:numPr>
          <w:ilvl w:val="3"/>
          <w:numId w:val="12"/>
        </w:numPr>
        <w:tabs>
          <w:tab w:val="num" w:pos="-2565"/>
          <w:tab w:val="left" w:pos="357"/>
        </w:tabs>
        <w:spacing w:line="480" w:lineRule="auto"/>
        <w:ind w:left="717"/>
        <w:jc w:val="both"/>
      </w:pPr>
      <w:proofErr w:type="gramStart"/>
      <w:r>
        <w:lastRenderedPageBreak/>
        <w:t>mengadakan  tindakan</w:t>
      </w:r>
      <w:proofErr w:type="gramEnd"/>
      <w:r>
        <w:t xml:space="preserve"> lain menurut hukum yang bertanggung jawab. </w:t>
      </w:r>
    </w:p>
    <w:p w:rsidR="003728BA" w:rsidRDefault="003728BA" w:rsidP="00D671C6">
      <w:pPr>
        <w:numPr>
          <w:ilvl w:val="1"/>
          <w:numId w:val="12"/>
        </w:numPr>
        <w:tabs>
          <w:tab w:val="num" w:pos="-2925"/>
        </w:tabs>
        <w:spacing w:line="480" w:lineRule="auto"/>
        <w:ind w:left="357"/>
        <w:jc w:val="both"/>
      </w:pPr>
      <w:r>
        <w:t xml:space="preserve">Atas perintah penyidik dapat dilakukan tindakan berupa: </w:t>
      </w:r>
    </w:p>
    <w:p w:rsidR="003728BA" w:rsidRDefault="003728BA" w:rsidP="00D671C6">
      <w:pPr>
        <w:numPr>
          <w:ilvl w:val="3"/>
          <w:numId w:val="12"/>
        </w:numPr>
        <w:tabs>
          <w:tab w:val="num" w:pos="-2565"/>
          <w:tab w:val="left" w:pos="357"/>
        </w:tabs>
        <w:spacing w:line="456" w:lineRule="auto"/>
        <w:ind w:left="717"/>
        <w:jc w:val="both"/>
      </w:pPr>
      <w:proofErr w:type="gramStart"/>
      <w:r>
        <w:t>penangkapan</w:t>
      </w:r>
      <w:proofErr w:type="gramEnd"/>
      <w:r>
        <w:t xml:space="preserve">, larangan meninggalkan tempat, penggeledahan dan penyitaan. </w:t>
      </w:r>
    </w:p>
    <w:p w:rsidR="003728BA" w:rsidRDefault="003728BA" w:rsidP="00D671C6">
      <w:pPr>
        <w:numPr>
          <w:ilvl w:val="3"/>
          <w:numId w:val="12"/>
        </w:numPr>
        <w:tabs>
          <w:tab w:val="num" w:pos="-2565"/>
          <w:tab w:val="left" w:pos="357"/>
        </w:tabs>
        <w:spacing w:line="456" w:lineRule="auto"/>
        <w:ind w:left="717"/>
        <w:jc w:val="both"/>
      </w:pPr>
      <w:r>
        <w:t xml:space="preserve">pemeriksaan dan penyitaan surat </w:t>
      </w:r>
    </w:p>
    <w:p w:rsidR="003728BA" w:rsidRDefault="003728BA" w:rsidP="00D671C6">
      <w:pPr>
        <w:numPr>
          <w:ilvl w:val="3"/>
          <w:numId w:val="12"/>
        </w:numPr>
        <w:tabs>
          <w:tab w:val="num" w:pos="-2565"/>
          <w:tab w:val="left" w:pos="357"/>
        </w:tabs>
        <w:spacing w:line="456" w:lineRule="auto"/>
        <w:ind w:left="717"/>
        <w:jc w:val="both"/>
      </w:pPr>
      <w:r>
        <w:t xml:space="preserve">mengambil sidik jari dan memotret seseorang </w:t>
      </w:r>
    </w:p>
    <w:p w:rsidR="003728BA" w:rsidRDefault="003728BA" w:rsidP="00D671C6">
      <w:pPr>
        <w:numPr>
          <w:ilvl w:val="3"/>
          <w:numId w:val="12"/>
        </w:numPr>
        <w:tabs>
          <w:tab w:val="num" w:pos="-2565"/>
          <w:tab w:val="left" w:pos="357"/>
        </w:tabs>
        <w:spacing w:line="456" w:lineRule="auto"/>
        <w:ind w:left="717"/>
        <w:jc w:val="both"/>
      </w:pPr>
      <w:proofErr w:type="gramStart"/>
      <w:r>
        <w:t>membawa</w:t>
      </w:r>
      <w:proofErr w:type="gramEnd"/>
      <w:r>
        <w:t xml:space="preserve"> dan menghadapkan seseorang kepada penyidik.</w:t>
      </w:r>
    </w:p>
    <w:p w:rsidR="003728BA" w:rsidRDefault="003728BA" w:rsidP="003728BA">
      <w:pPr>
        <w:tabs>
          <w:tab w:val="left" w:pos="357"/>
        </w:tabs>
        <w:spacing w:line="456" w:lineRule="auto"/>
        <w:jc w:val="both"/>
      </w:pPr>
      <w:r>
        <w:tab/>
      </w:r>
      <w:r>
        <w:tab/>
        <w:t xml:space="preserve">Pelaksanaan penyidikan ini dilakukan setelah adanya laporan ataupun pengaduan serta tertangkap tangan sedang melakukan suatu peristiwa pidana. Kemudian setelah diketahui suatu peristiwa yang diduga sebagai suatu tindak pidana, maka seorang penyelidik mulai melakukan penyelidikan untuk mencari dan mengumpulkan bukti-bukti dan keterangan-keterangan yang berhubungan dengan peristiwa itu guna menentukan apakah peristiwa itu benar merupakan suatu tindak pidana ataupun tidak. Menyidik berarti pemeriksaan permulaan oleh pejabat-pejabat yang untuk itu ditunjuk oleh undang-undang segera setelah mereka dengan jalan </w:t>
      </w:r>
      <w:proofErr w:type="gramStart"/>
      <w:r>
        <w:t>apa</w:t>
      </w:r>
      <w:proofErr w:type="gramEnd"/>
      <w:r>
        <w:t xml:space="preserve"> pun mendengar kabar yang sekedar beralasan, bahwa ada terjadi sesuatu pelanggaran hukum.</w:t>
      </w:r>
      <w:r>
        <w:rPr>
          <w:rStyle w:val="FootnoteReference"/>
        </w:rPr>
        <w:footnoteReference w:id="24"/>
      </w:r>
    </w:p>
    <w:p w:rsidR="003728BA" w:rsidRDefault="003728BA" w:rsidP="003728BA">
      <w:pPr>
        <w:tabs>
          <w:tab w:val="left" w:pos="357"/>
        </w:tabs>
        <w:spacing w:line="480" w:lineRule="auto"/>
        <w:jc w:val="both"/>
      </w:pPr>
      <w:r>
        <w:tab/>
      </w:r>
      <w:r>
        <w:tab/>
        <w:t xml:space="preserve">Seorang penyelidik dalam melakukan tugas penyelidikan haruslah </w:t>
      </w:r>
      <w:proofErr w:type="gramStart"/>
      <w:r>
        <w:t>mempunyai  kemampuan</w:t>
      </w:r>
      <w:proofErr w:type="gramEnd"/>
      <w:r>
        <w:t xml:space="preserve"> dan kecakapan dibidang hukum pidana dan hukum acara pidana di samping memiliki kecakapan teknis reserse dan segi-segi kriminalistik yang harus dikuasainya. Kemampuan dari penyelidik merupakan masalah yang terpenting untuk penyelidikan sebab penyelidikan itu adalah dasar bagi penyelidikan selanjutnya. Penyelidikan yang dilakukan oleh penyelidik adalah hal </w:t>
      </w:r>
      <w:r>
        <w:lastRenderedPageBreak/>
        <w:t>yang menentukan keberhasilan penyidikan. Dikatakan demikian dikarenakan penyelidikan merupakan tahap tindakan pertama permulaan penyidikan.</w:t>
      </w:r>
    </w:p>
    <w:p w:rsidR="003728BA" w:rsidRDefault="003728BA" w:rsidP="003728BA">
      <w:pPr>
        <w:spacing w:line="480" w:lineRule="auto"/>
        <w:jc w:val="both"/>
      </w:pPr>
      <w:r>
        <w:rPr>
          <w:b/>
        </w:rPr>
        <w:tab/>
      </w:r>
      <w:r>
        <w:t>Pedoman Pelaksana KUHAP (Lampiran Keputusan Menteri Kehakiman RI No. M. 14-P.W.07.03 Tahun 1983 tanggal 10 Desember 1983) pada butir 3 dijalankan sebagai berikut: Pasal 109 ayat (1) KUHAP menentukan bahwa dalam hal penyidik telah mulai melakukan penyidikan suatu peristiwa yang merupakan tindak pidana, penyidik memberitahukan hal itu kepada Penuntut Umum. Penyelidikan dan penyidikan adalah dua fase tindakan yang berwujud satu. Antara keduanya saling berkaitan dan isi mengisi guna dapat diselesaikannya pemeriksaan suatu peristiwa pidana.</w:t>
      </w:r>
    </w:p>
    <w:p w:rsidR="003728BA" w:rsidRDefault="003728BA" w:rsidP="003728BA">
      <w:pPr>
        <w:spacing w:line="504" w:lineRule="auto"/>
        <w:ind w:firstLine="720"/>
        <w:jc w:val="both"/>
      </w:pPr>
      <w:r>
        <w:t xml:space="preserve">Berdasarkan hal di atas dapat dijelaskan bahwa saat dimulainya penyidikan itu adalah sejak saat digunakannya upaya paksa dalam melaksanakan suatu penyidikan terhadap suatu tindak pidana. Penyidikan ini merupakan suatu rangkaian proses yang terdiri dari tindakan-tindakan yang dilakukan penyidik untuk membuat terang suatu perkara dan untuk menemukan pelakunya. </w:t>
      </w:r>
    </w:p>
    <w:p w:rsidR="003728BA" w:rsidRDefault="003728BA" w:rsidP="003728BA">
      <w:pPr>
        <w:spacing w:line="480" w:lineRule="auto"/>
        <w:ind w:firstLine="720"/>
        <w:jc w:val="both"/>
      </w:pPr>
      <w:r>
        <w:t xml:space="preserve">Berhasil tindaknya seorang penyidik mengungkap peristiwa yang telah terjadi atau dapat mengetahui siapa pelaku tindak pidana yang telah terjadi itu tergantung pada berhasil tidaknya penyidik menemukan, mengumpulkan dan mengamankan barang-barang bukti atau bekas yang telah ditinggalkan oleh pelakunya di tempat kejadian. Tugas yang dilakukan seorang penyidik dalam usahanya mengungkapkan peristiwa yang terjadi itu merupakan kunci dari keberhasilan atau kegagalannya untuk dapat dilakukan penentuan terhadap pelakunya. </w:t>
      </w:r>
    </w:p>
    <w:p w:rsidR="00CE7FEB" w:rsidRPr="003728BA" w:rsidRDefault="00CE7FEB" w:rsidP="003728BA"/>
    <w:sectPr w:rsidR="00CE7FEB" w:rsidRPr="003728BA"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C7B" w:rsidRDefault="00495C7B" w:rsidP="002D79FF">
      <w:r>
        <w:separator/>
      </w:r>
    </w:p>
  </w:endnote>
  <w:endnote w:type="continuationSeparator" w:id="0">
    <w:p w:rsidR="00495C7B" w:rsidRDefault="00495C7B"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495C7B">
    <w:pPr>
      <w:pStyle w:val="Footer"/>
      <w:jc w:val="center"/>
    </w:pPr>
  </w:p>
  <w:p w:rsidR="00630637" w:rsidRDefault="00495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C7B" w:rsidRDefault="00495C7B" w:rsidP="002D79FF">
      <w:r>
        <w:separator/>
      </w:r>
    </w:p>
  </w:footnote>
  <w:footnote w:type="continuationSeparator" w:id="0">
    <w:p w:rsidR="00495C7B" w:rsidRDefault="00495C7B" w:rsidP="002D79FF">
      <w:r>
        <w:continuationSeparator/>
      </w:r>
    </w:p>
  </w:footnote>
  <w:footnote w:id="1">
    <w:p w:rsidR="003728BA" w:rsidRDefault="003728BA" w:rsidP="003728BA">
      <w:pPr>
        <w:pStyle w:val="FootnoteText"/>
        <w:ind w:firstLine="709"/>
        <w:jc w:val="both"/>
      </w:pPr>
      <w:r>
        <w:rPr>
          <w:rStyle w:val="FootnoteReference"/>
        </w:rPr>
        <w:footnoteRef/>
      </w:r>
      <w:r>
        <w:t xml:space="preserve"> </w:t>
      </w:r>
      <w:bookmarkStart w:id="2" w:name="_Hlk97046263"/>
      <w:r>
        <w:t xml:space="preserve">Lijan Poltak Sinambela, </w:t>
      </w:r>
      <w:r>
        <w:rPr>
          <w:i/>
          <w:iCs/>
        </w:rPr>
        <w:t>Reformasi Pelayanan Publik: Teori, Kebijakan dan Implermentasi</w:t>
      </w:r>
      <w:r>
        <w:t>. Sinar Grafika Offset, Jakarta, 2016</w:t>
      </w:r>
      <w:bookmarkEnd w:id="2"/>
      <w:r>
        <w:t xml:space="preserve">, hlm.96.  </w:t>
      </w:r>
    </w:p>
  </w:footnote>
  <w:footnote w:id="2">
    <w:p w:rsidR="003728BA" w:rsidRDefault="003728BA" w:rsidP="003728BA">
      <w:pPr>
        <w:pStyle w:val="FootnoteText"/>
        <w:ind w:firstLine="709"/>
        <w:jc w:val="both"/>
      </w:pPr>
      <w:r>
        <w:rPr>
          <w:rStyle w:val="FootnoteReference"/>
        </w:rPr>
        <w:footnoteRef/>
      </w:r>
      <w:r>
        <w:t xml:space="preserve"> </w:t>
      </w:r>
      <w:r>
        <w:rPr>
          <w:i/>
        </w:rPr>
        <w:t>Ibid</w:t>
      </w:r>
      <w:r>
        <w:t>, hlm.97</w:t>
      </w:r>
    </w:p>
  </w:footnote>
  <w:footnote w:id="3">
    <w:p w:rsidR="003728BA" w:rsidRDefault="003728BA" w:rsidP="003728BA">
      <w:pPr>
        <w:pStyle w:val="FootnoteText"/>
        <w:ind w:firstLine="720"/>
        <w:jc w:val="both"/>
      </w:pPr>
      <w:r>
        <w:rPr>
          <w:rStyle w:val="FootnoteReference"/>
        </w:rPr>
        <w:t>9</w:t>
      </w:r>
      <w:r>
        <w:t xml:space="preserve">Wijayanto, </w:t>
      </w:r>
      <w:r>
        <w:rPr>
          <w:i/>
          <w:iCs/>
        </w:rPr>
        <w:t>Op.Cit</w:t>
      </w:r>
      <w:r>
        <w:t>, hlm. 62</w:t>
      </w:r>
    </w:p>
  </w:footnote>
  <w:footnote w:id="4">
    <w:p w:rsidR="003728BA" w:rsidRDefault="003728BA" w:rsidP="003728BA">
      <w:pPr>
        <w:pStyle w:val="FootnoteText"/>
        <w:ind w:firstLine="720"/>
        <w:jc w:val="both"/>
      </w:pPr>
      <w:r>
        <w:rPr>
          <w:rStyle w:val="FootnoteReference"/>
        </w:rPr>
        <w:t>10</w:t>
      </w:r>
      <w:r>
        <w:t xml:space="preserve"> </w:t>
      </w:r>
      <w:r>
        <w:rPr>
          <w:i/>
        </w:rPr>
        <w:t xml:space="preserve">Ibid, </w:t>
      </w:r>
      <w:r>
        <w:t xml:space="preserve"> hlm.63</w:t>
      </w:r>
    </w:p>
  </w:footnote>
  <w:footnote w:id="5">
    <w:p w:rsidR="003728BA" w:rsidRDefault="003728BA" w:rsidP="003728BA">
      <w:pPr>
        <w:pStyle w:val="FootnoteText"/>
        <w:ind w:firstLine="720"/>
        <w:jc w:val="both"/>
      </w:pPr>
      <w:r>
        <w:rPr>
          <w:rStyle w:val="FootnoteReference"/>
        </w:rPr>
        <w:t>11</w:t>
      </w:r>
      <w:r>
        <w:t xml:space="preserve"> </w:t>
      </w:r>
      <w:r>
        <w:rPr>
          <w:i/>
        </w:rPr>
        <w:t>Ibid</w:t>
      </w:r>
      <w:r>
        <w:t>, hlm. 64</w:t>
      </w:r>
    </w:p>
  </w:footnote>
  <w:footnote w:id="6">
    <w:p w:rsidR="003728BA" w:rsidRDefault="003728BA" w:rsidP="003728BA">
      <w:pPr>
        <w:pStyle w:val="FootnoteText"/>
        <w:ind w:firstLine="720"/>
        <w:jc w:val="both"/>
      </w:pPr>
      <w:r>
        <w:rPr>
          <w:rStyle w:val="FootnoteReference"/>
        </w:rPr>
        <w:t>12</w:t>
      </w:r>
      <w:r>
        <w:t xml:space="preserve"> </w:t>
      </w:r>
      <w:r>
        <w:rPr>
          <w:i/>
        </w:rPr>
        <w:t>Ibid</w:t>
      </w:r>
      <w:r>
        <w:t>, hlm.65</w:t>
      </w:r>
    </w:p>
  </w:footnote>
  <w:footnote w:id="7">
    <w:p w:rsidR="003728BA" w:rsidRDefault="003728BA" w:rsidP="003728BA">
      <w:pPr>
        <w:pStyle w:val="FootnoteText"/>
        <w:ind w:firstLine="720"/>
        <w:jc w:val="both"/>
      </w:pPr>
      <w:r>
        <w:rPr>
          <w:rStyle w:val="FootnoteReference"/>
        </w:rPr>
        <w:footnoteRef/>
      </w:r>
      <w:r>
        <w:t xml:space="preserve"> </w:t>
      </w:r>
      <w:r>
        <w:rPr>
          <w:lang w:val="id-ID"/>
        </w:rPr>
        <w:t xml:space="preserve">M. Hamdan, </w:t>
      </w:r>
      <w:r>
        <w:rPr>
          <w:i/>
          <w:iCs/>
        </w:rPr>
        <w:t>Tindak Pidana Suap dan Money Politics.</w:t>
      </w:r>
      <w:r>
        <w:t xml:space="preserve"> Pustaka Bangsa Press</w:t>
      </w:r>
      <w:r>
        <w:rPr>
          <w:i/>
          <w:color w:val="000000"/>
        </w:rPr>
        <w:t xml:space="preserve">, </w:t>
      </w:r>
      <w:r>
        <w:rPr>
          <w:color w:val="000000"/>
        </w:rPr>
        <w:t>Medan, 2015</w:t>
      </w:r>
      <w:r>
        <w:rPr>
          <w:i/>
          <w:lang w:val="id-ID"/>
        </w:rPr>
        <w:t>,</w:t>
      </w:r>
      <w:r>
        <w:rPr>
          <w:lang w:val="id-ID"/>
        </w:rPr>
        <w:t xml:space="preserve"> </w:t>
      </w:r>
      <w:r>
        <w:t>hlm.17</w:t>
      </w:r>
    </w:p>
  </w:footnote>
  <w:footnote w:id="8">
    <w:p w:rsidR="003728BA" w:rsidRDefault="003728BA" w:rsidP="003728BA">
      <w:pPr>
        <w:autoSpaceDE w:val="0"/>
        <w:autoSpaceDN w:val="0"/>
        <w:adjustRightInd w:val="0"/>
        <w:ind w:firstLine="720"/>
        <w:jc w:val="both"/>
        <w:rPr>
          <w:sz w:val="20"/>
          <w:szCs w:val="20"/>
          <w:lang w:val="id-ID"/>
        </w:rPr>
      </w:pPr>
      <w:r>
        <w:rPr>
          <w:rStyle w:val="FootnoteReference"/>
          <w:sz w:val="20"/>
          <w:szCs w:val="20"/>
        </w:rPr>
        <w:footnoteRef/>
      </w:r>
      <w:r>
        <w:rPr>
          <w:sz w:val="20"/>
          <w:szCs w:val="20"/>
        </w:rPr>
        <w:t xml:space="preserve"> </w:t>
      </w:r>
      <w:r>
        <w:rPr>
          <w:sz w:val="20"/>
          <w:szCs w:val="20"/>
          <w:lang w:val="id-ID" w:eastAsia="id-ID"/>
        </w:rPr>
        <w:t xml:space="preserve">Elwi Danil, </w:t>
      </w:r>
      <w:r>
        <w:rPr>
          <w:i/>
          <w:iCs/>
          <w:sz w:val="20"/>
          <w:szCs w:val="20"/>
          <w:lang w:val="id-ID" w:eastAsia="id-ID"/>
        </w:rPr>
        <w:t xml:space="preserve">Korupsi:Konsep, Tindak Pidana, dan Pemberantasannya, </w:t>
      </w:r>
      <w:r>
        <w:rPr>
          <w:sz w:val="20"/>
          <w:szCs w:val="20"/>
          <w:lang w:val="id-ID" w:eastAsia="id-ID"/>
        </w:rPr>
        <w:t>RajaGrafindo Persada, Jakarta, 2014, hlm.17</w:t>
      </w:r>
    </w:p>
  </w:footnote>
  <w:footnote w:id="9">
    <w:p w:rsidR="003728BA" w:rsidRDefault="003728BA" w:rsidP="003728BA">
      <w:pPr>
        <w:pStyle w:val="FootnoteText"/>
        <w:ind w:firstLine="720"/>
        <w:jc w:val="both"/>
      </w:pPr>
      <w:r>
        <w:rPr>
          <w:rStyle w:val="FootnoteReference"/>
        </w:rPr>
        <w:footnoteRef/>
      </w:r>
      <w:r>
        <w:t xml:space="preserve"> Wijayanto, </w:t>
      </w:r>
      <w:r>
        <w:rPr>
          <w:i/>
          <w:iCs/>
        </w:rPr>
        <w:t>Op.Cit</w:t>
      </w:r>
      <w:r>
        <w:t>, hlm. 62</w:t>
      </w:r>
    </w:p>
  </w:footnote>
  <w:footnote w:id="10">
    <w:p w:rsidR="003728BA" w:rsidRDefault="003728BA" w:rsidP="003728BA">
      <w:pPr>
        <w:pStyle w:val="FootnoteText"/>
        <w:ind w:firstLine="720"/>
        <w:jc w:val="both"/>
        <w:rPr>
          <w:lang w:val="id-ID"/>
        </w:rPr>
      </w:pPr>
      <w:r>
        <w:rPr>
          <w:rStyle w:val="FootnoteReference"/>
        </w:rPr>
        <w:footnoteRef/>
      </w:r>
      <w:r>
        <w:t xml:space="preserve"> </w:t>
      </w:r>
      <w:r>
        <w:rPr>
          <w:i/>
        </w:rPr>
        <w:t xml:space="preserve">Ibid, </w:t>
      </w:r>
      <w:r>
        <w:t>hlm.63</w:t>
      </w:r>
      <w:r>
        <w:rPr>
          <w:lang w:val="id-ID"/>
        </w:rPr>
        <w:t>.</w:t>
      </w:r>
    </w:p>
  </w:footnote>
  <w:footnote w:id="11">
    <w:p w:rsidR="003728BA" w:rsidRDefault="003728BA" w:rsidP="003728BA">
      <w:pPr>
        <w:pStyle w:val="FootnoteText"/>
        <w:ind w:firstLine="720"/>
        <w:jc w:val="both"/>
        <w:rPr>
          <w:lang w:val="id-ID"/>
        </w:rPr>
      </w:pPr>
      <w:r>
        <w:rPr>
          <w:rStyle w:val="FootnoteReference"/>
        </w:rPr>
        <w:footnoteRef/>
      </w:r>
      <w:r>
        <w:t xml:space="preserve"> </w:t>
      </w:r>
      <w:r>
        <w:rPr>
          <w:i/>
        </w:rPr>
        <w:t>Ibid</w:t>
      </w:r>
      <w:r>
        <w:t>, hlm.64</w:t>
      </w:r>
      <w:r>
        <w:rPr>
          <w:lang w:val="id-ID"/>
        </w:rPr>
        <w:t>.</w:t>
      </w:r>
    </w:p>
  </w:footnote>
  <w:footnote w:id="12">
    <w:p w:rsidR="003728BA" w:rsidRDefault="003728BA" w:rsidP="003728BA">
      <w:pPr>
        <w:pStyle w:val="FootnoteText"/>
        <w:ind w:firstLine="720"/>
        <w:jc w:val="both"/>
        <w:rPr>
          <w:lang w:val="id-ID"/>
        </w:rPr>
      </w:pPr>
      <w:r>
        <w:rPr>
          <w:rStyle w:val="FootnoteReference"/>
        </w:rPr>
        <w:footnoteRef/>
      </w:r>
      <w:r>
        <w:t xml:space="preserve"> </w:t>
      </w:r>
      <w:r>
        <w:rPr>
          <w:i/>
        </w:rPr>
        <w:t>Ibid</w:t>
      </w:r>
      <w:r>
        <w:t>, hlm.65</w:t>
      </w:r>
      <w:r>
        <w:rPr>
          <w:lang w:val="id-ID"/>
        </w:rPr>
        <w:t>.</w:t>
      </w:r>
    </w:p>
  </w:footnote>
  <w:footnote w:id="13">
    <w:p w:rsidR="003728BA" w:rsidRDefault="003728BA" w:rsidP="003728BA">
      <w:pPr>
        <w:autoSpaceDE w:val="0"/>
        <w:autoSpaceDN w:val="0"/>
        <w:adjustRightInd w:val="0"/>
        <w:ind w:firstLine="720"/>
        <w:jc w:val="both"/>
        <w:rPr>
          <w:sz w:val="20"/>
          <w:szCs w:val="20"/>
        </w:rPr>
      </w:pPr>
      <w:r>
        <w:rPr>
          <w:rStyle w:val="FootnoteReference"/>
          <w:sz w:val="20"/>
          <w:szCs w:val="20"/>
        </w:rPr>
        <w:footnoteRef/>
      </w:r>
      <w:r>
        <w:rPr>
          <w:sz w:val="20"/>
          <w:szCs w:val="20"/>
        </w:rPr>
        <w:t xml:space="preserve"> </w:t>
      </w:r>
      <w:r>
        <w:rPr>
          <w:sz w:val="20"/>
          <w:szCs w:val="20"/>
          <w:lang w:val="id-ID" w:eastAsia="id-ID"/>
        </w:rPr>
        <w:t xml:space="preserve">Ermansjah Djaja, </w:t>
      </w:r>
      <w:r>
        <w:rPr>
          <w:i/>
          <w:iCs/>
          <w:sz w:val="20"/>
          <w:szCs w:val="20"/>
          <w:lang w:val="id-ID" w:eastAsia="id-ID"/>
        </w:rPr>
        <w:t xml:space="preserve">Memberantas Korupsi Bersama KPK, </w:t>
      </w:r>
      <w:r>
        <w:rPr>
          <w:sz w:val="20"/>
          <w:szCs w:val="20"/>
          <w:lang w:val="id-ID" w:eastAsia="id-ID"/>
        </w:rPr>
        <w:t>Sinar Grafika, Jakarta,  2018, hlm. 388</w:t>
      </w:r>
    </w:p>
  </w:footnote>
  <w:footnote w:id="14">
    <w:p w:rsidR="003728BA" w:rsidRDefault="003728BA" w:rsidP="003728BA">
      <w:pPr>
        <w:pStyle w:val="FootnoteText"/>
        <w:ind w:firstLine="720"/>
        <w:rPr>
          <w:lang w:val="id-ID"/>
        </w:rPr>
      </w:pPr>
      <w:r>
        <w:rPr>
          <w:rStyle w:val="FootnoteReference"/>
        </w:rPr>
        <w:footnoteRef/>
      </w:r>
      <w:r>
        <w:t xml:space="preserve"> </w:t>
      </w:r>
      <w:r>
        <w:rPr>
          <w:lang w:val="id-ID"/>
        </w:rPr>
        <w:t>PAF. L</w:t>
      </w:r>
      <w:r>
        <w:rPr>
          <w:lang w:val="id-ID" w:eastAsia="id-ID"/>
        </w:rPr>
        <w:t>amintang,</w:t>
      </w:r>
      <w:r>
        <w:rPr>
          <w:i/>
          <w:iCs/>
          <w:lang w:val="id-ID" w:eastAsia="id-ID"/>
        </w:rPr>
        <w:t>Op.Cit</w:t>
      </w:r>
      <w:r>
        <w:rPr>
          <w:lang w:val="id-ID" w:eastAsia="id-ID"/>
        </w:rPr>
        <w:t>, hlm.391.</w:t>
      </w:r>
    </w:p>
  </w:footnote>
  <w:footnote w:id="15">
    <w:p w:rsidR="003728BA" w:rsidRDefault="003728BA" w:rsidP="003728BA">
      <w:pPr>
        <w:autoSpaceDE w:val="0"/>
        <w:autoSpaceDN w:val="0"/>
        <w:adjustRightInd w:val="0"/>
        <w:ind w:firstLine="720"/>
        <w:jc w:val="both"/>
        <w:rPr>
          <w:sz w:val="20"/>
          <w:szCs w:val="20"/>
          <w:lang w:val="id-ID"/>
        </w:rPr>
      </w:pPr>
      <w:r>
        <w:rPr>
          <w:rStyle w:val="FootnoteReference"/>
          <w:sz w:val="20"/>
          <w:szCs w:val="20"/>
        </w:rPr>
        <w:footnoteRef/>
      </w:r>
      <w:r>
        <w:rPr>
          <w:sz w:val="20"/>
          <w:szCs w:val="20"/>
        </w:rPr>
        <w:t xml:space="preserve"> </w:t>
      </w:r>
      <w:r>
        <w:rPr>
          <w:sz w:val="20"/>
          <w:szCs w:val="20"/>
          <w:lang w:val="id-ID" w:eastAsia="id-ID"/>
        </w:rPr>
        <w:t xml:space="preserve">Pidi, </w:t>
      </w:r>
      <w:r>
        <w:rPr>
          <w:i/>
          <w:iCs/>
          <w:sz w:val="20"/>
          <w:szCs w:val="20"/>
          <w:lang w:val="id-ID" w:eastAsia="id-ID"/>
        </w:rPr>
        <w:t xml:space="preserve">Tindakan/Kebijakan Yang Dianggap Korupsi, </w:t>
      </w:r>
      <w:r>
        <w:rPr>
          <w:sz w:val="20"/>
          <w:szCs w:val="20"/>
          <w:lang w:val="id-ID" w:eastAsia="id-ID"/>
        </w:rPr>
        <w:t>Pusat Info Data Indonesia, Jakarta, 2017, hlm.61</w:t>
      </w:r>
    </w:p>
  </w:footnote>
  <w:footnote w:id="16">
    <w:p w:rsidR="003728BA" w:rsidRDefault="003728BA" w:rsidP="003728BA">
      <w:pPr>
        <w:pStyle w:val="FootnoteText"/>
        <w:ind w:firstLine="720"/>
        <w:jc w:val="both"/>
      </w:pPr>
      <w:r>
        <w:rPr>
          <w:rStyle w:val="FootnoteReference"/>
        </w:rPr>
        <w:footnoteRef/>
      </w:r>
      <w:r>
        <w:t xml:space="preserve"> P.A.F. Lamintang, </w:t>
      </w:r>
      <w:r>
        <w:rPr>
          <w:i/>
          <w:iCs/>
        </w:rPr>
        <w:t>Op.Cit,</w:t>
      </w:r>
      <w:r>
        <w:t xml:space="preserve"> hlm. 318.  </w:t>
      </w:r>
    </w:p>
  </w:footnote>
  <w:footnote w:id="17">
    <w:p w:rsidR="003728BA" w:rsidRDefault="003728BA" w:rsidP="003728BA">
      <w:pPr>
        <w:pStyle w:val="FootnoteText"/>
        <w:ind w:firstLine="720"/>
        <w:jc w:val="both"/>
      </w:pPr>
      <w:r>
        <w:rPr>
          <w:rStyle w:val="FootnoteReference"/>
        </w:rPr>
        <w:footnoteRef/>
      </w:r>
      <w:r>
        <w:rPr>
          <w:i/>
        </w:rPr>
        <w:t>Ibid</w:t>
      </w:r>
      <w:r>
        <w:t xml:space="preserve">, hlm. 390.  </w:t>
      </w:r>
    </w:p>
  </w:footnote>
  <w:footnote w:id="18">
    <w:p w:rsidR="003728BA" w:rsidRDefault="003728BA" w:rsidP="003728BA">
      <w:pPr>
        <w:pStyle w:val="FootnoteText"/>
        <w:ind w:firstLine="720"/>
        <w:jc w:val="both"/>
      </w:pPr>
      <w:r>
        <w:rPr>
          <w:rStyle w:val="FootnoteReference"/>
        </w:rPr>
        <w:footnoteRef/>
      </w:r>
      <w:r>
        <w:t xml:space="preserve">  Andi Hamzah, </w:t>
      </w:r>
      <w:r>
        <w:rPr>
          <w:bCs/>
          <w:i/>
        </w:rPr>
        <w:t>Hukum Acara Pidana Indonesia</w:t>
      </w:r>
      <w:r>
        <w:rPr>
          <w:i/>
        </w:rPr>
        <w:t>,</w:t>
      </w:r>
      <w:r>
        <w:t xml:space="preserve"> Cipta Artha Jaya, Jakarta, 2018, hlm. 12</w:t>
      </w:r>
    </w:p>
  </w:footnote>
  <w:footnote w:id="19">
    <w:p w:rsidR="003728BA" w:rsidRDefault="003728BA" w:rsidP="003728BA">
      <w:pPr>
        <w:autoSpaceDE w:val="0"/>
        <w:autoSpaceDN w:val="0"/>
        <w:adjustRightInd w:val="0"/>
        <w:ind w:firstLine="720"/>
        <w:jc w:val="both"/>
        <w:rPr>
          <w:sz w:val="20"/>
          <w:szCs w:val="20"/>
        </w:rPr>
      </w:pPr>
      <w:r>
        <w:rPr>
          <w:rStyle w:val="FootnoteReference"/>
          <w:sz w:val="20"/>
          <w:szCs w:val="20"/>
        </w:rPr>
        <w:footnoteRef/>
      </w:r>
      <w:r>
        <w:rPr>
          <w:sz w:val="20"/>
          <w:szCs w:val="20"/>
        </w:rPr>
        <w:t xml:space="preserve"> Hartono, </w:t>
      </w:r>
      <w:r>
        <w:rPr>
          <w:i/>
          <w:iCs/>
          <w:sz w:val="20"/>
          <w:szCs w:val="20"/>
        </w:rPr>
        <w:t>Penyidikan dan Penegakan Hukum Pidana Melalui Pendekatan Hukum Progresif</w:t>
      </w:r>
      <w:r>
        <w:rPr>
          <w:sz w:val="20"/>
          <w:szCs w:val="20"/>
        </w:rPr>
        <w:t>, Sinar Grafika, Jakarta, 2010, hlm. 32</w:t>
      </w:r>
    </w:p>
  </w:footnote>
  <w:footnote w:id="20">
    <w:p w:rsidR="003728BA" w:rsidRDefault="003728BA" w:rsidP="003728BA">
      <w:pPr>
        <w:autoSpaceDE w:val="0"/>
        <w:autoSpaceDN w:val="0"/>
        <w:adjustRightInd w:val="0"/>
        <w:ind w:firstLine="720"/>
        <w:jc w:val="both"/>
        <w:rPr>
          <w:sz w:val="20"/>
          <w:szCs w:val="20"/>
        </w:rPr>
      </w:pPr>
      <w:r>
        <w:rPr>
          <w:rStyle w:val="FootnoteReference"/>
          <w:sz w:val="20"/>
          <w:szCs w:val="20"/>
        </w:rPr>
        <w:footnoteRef/>
      </w:r>
      <w:r>
        <w:rPr>
          <w:sz w:val="20"/>
          <w:szCs w:val="20"/>
        </w:rPr>
        <w:t xml:space="preserve"> M Yahya Harahap, </w:t>
      </w:r>
      <w:r>
        <w:rPr>
          <w:i/>
          <w:iCs/>
          <w:sz w:val="20"/>
          <w:szCs w:val="20"/>
        </w:rPr>
        <w:t>Op. Cit</w:t>
      </w:r>
      <w:r>
        <w:rPr>
          <w:sz w:val="20"/>
          <w:szCs w:val="20"/>
        </w:rPr>
        <w:t>, hlm. 210.</w:t>
      </w:r>
    </w:p>
  </w:footnote>
  <w:footnote w:id="21">
    <w:p w:rsidR="003728BA" w:rsidRDefault="003728BA" w:rsidP="003728BA">
      <w:pPr>
        <w:pStyle w:val="FootnoteText"/>
        <w:ind w:firstLine="720"/>
        <w:jc w:val="both"/>
        <w:rPr>
          <w:i/>
        </w:rPr>
      </w:pPr>
      <w:r>
        <w:rPr>
          <w:rStyle w:val="FootnoteReference"/>
        </w:rPr>
        <w:footnoteRef/>
      </w:r>
      <w:r>
        <w:t xml:space="preserve">Andi Hamzah. </w:t>
      </w:r>
      <w:proofErr w:type="gramStart"/>
      <w:r>
        <w:rPr>
          <w:i/>
        </w:rPr>
        <w:t>Op.Cit.</w:t>
      </w:r>
      <w:r>
        <w:t>,</w:t>
      </w:r>
      <w:proofErr w:type="gramEnd"/>
      <w:r>
        <w:t xml:space="preserve"> hlm. 121.</w:t>
      </w:r>
    </w:p>
  </w:footnote>
  <w:footnote w:id="22">
    <w:p w:rsidR="003728BA" w:rsidRDefault="003728BA" w:rsidP="003728BA">
      <w:pPr>
        <w:pStyle w:val="FootnoteText"/>
        <w:ind w:firstLine="720"/>
        <w:jc w:val="both"/>
        <w:rPr>
          <w:i/>
        </w:rPr>
      </w:pPr>
      <w:r>
        <w:rPr>
          <w:rStyle w:val="FootnoteReference"/>
        </w:rPr>
        <w:footnoteRef/>
      </w:r>
      <w:r>
        <w:t>Andi Hamzah</w:t>
      </w:r>
      <w:proofErr w:type="gramStart"/>
      <w:r>
        <w:t xml:space="preserve">,  </w:t>
      </w:r>
      <w:r>
        <w:rPr>
          <w:i/>
        </w:rPr>
        <w:t>Pengantar</w:t>
      </w:r>
      <w:proofErr w:type="gramEnd"/>
      <w:r>
        <w:rPr>
          <w:i/>
        </w:rPr>
        <w:t xml:space="preserve"> Hukum Acara Pidana</w:t>
      </w:r>
      <w:r>
        <w:t>. Ghalia Indonesia, Jakarta, 015</w:t>
      </w:r>
      <w:proofErr w:type="gramStart"/>
      <w:r>
        <w:t>,hlm</w:t>
      </w:r>
      <w:proofErr w:type="gramEnd"/>
      <w:r>
        <w:t>. 121.</w:t>
      </w:r>
    </w:p>
  </w:footnote>
  <w:footnote w:id="23">
    <w:p w:rsidR="003728BA" w:rsidRDefault="003728BA" w:rsidP="003728BA">
      <w:pPr>
        <w:pStyle w:val="FootnoteText"/>
        <w:ind w:firstLine="720"/>
        <w:jc w:val="both"/>
      </w:pPr>
      <w:r>
        <w:rPr>
          <w:rStyle w:val="FootnoteReference"/>
        </w:rPr>
        <w:footnoteRef/>
      </w:r>
      <w:r>
        <w:t>R. Atang Renoemihardja</w:t>
      </w:r>
      <w:proofErr w:type="gramStart"/>
      <w:r>
        <w:t xml:space="preserve">,  </w:t>
      </w:r>
      <w:r>
        <w:rPr>
          <w:i/>
          <w:iCs/>
        </w:rPr>
        <w:t>Hukum</w:t>
      </w:r>
      <w:proofErr w:type="gramEnd"/>
      <w:r>
        <w:rPr>
          <w:i/>
          <w:iCs/>
        </w:rPr>
        <w:t xml:space="preserve"> Acara Pidana, Studi Perbandingan Antara Hukum Acara Pidana Lama (HIR) dengan Hukum Acara Pidana Baru (KUHP).</w:t>
      </w:r>
      <w:r>
        <w:t xml:space="preserve"> Tarsito, Bandung, 2013, hlm. 18.</w:t>
      </w:r>
    </w:p>
  </w:footnote>
  <w:footnote w:id="24">
    <w:p w:rsidR="003728BA" w:rsidRDefault="003728BA" w:rsidP="003728BA">
      <w:pPr>
        <w:pStyle w:val="FootnoteText"/>
        <w:ind w:firstLine="720"/>
        <w:jc w:val="both"/>
      </w:pPr>
      <w:r>
        <w:rPr>
          <w:rStyle w:val="FootnoteReference"/>
        </w:rPr>
        <w:footnoteRef/>
      </w:r>
      <w:r>
        <w:t xml:space="preserve">Andi Hamzah. </w:t>
      </w:r>
      <w:proofErr w:type="gramStart"/>
      <w:r>
        <w:rPr>
          <w:i/>
        </w:rPr>
        <w:t>Op.Cit.,</w:t>
      </w:r>
      <w:proofErr w:type="gramEnd"/>
      <w:r>
        <w:t xml:space="preserve"> hlm. 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495C7B">
    <w:pPr>
      <w:pStyle w:val="Header"/>
      <w:jc w:val="right"/>
    </w:pPr>
  </w:p>
  <w:p w:rsidR="00630637" w:rsidRPr="007E1322" w:rsidRDefault="00D671C6"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495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98A155C"/>
    <w:multiLevelType w:val="multilevel"/>
    <w:tmpl w:val="4A9CB7F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F66F0"/>
    <w:multiLevelType w:val="hybridMultilevel"/>
    <w:tmpl w:val="4D68F930"/>
    <w:lvl w:ilvl="0" w:tplc="595C728A">
      <w:start w:val="1"/>
      <w:numFmt w:val="lowerLetter"/>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2C10248E"/>
    <w:multiLevelType w:val="singleLevel"/>
    <w:tmpl w:val="5C2C735E"/>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
    <w:nsid w:val="31553610"/>
    <w:multiLevelType w:val="hybridMultilevel"/>
    <w:tmpl w:val="A7D2B27A"/>
    <w:lvl w:ilvl="0" w:tplc="04090015">
      <w:start w:val="1"/>
      <w:numFmt w:val="upperLetter"/>
      <w:lvlText w:val="%1."/>
      <w:lvlJc w:val="left"/>
      <w:pPr>
        <w:tabs>
          <w:tab w:val="num" w:pos="720"/>
        </w:tabs>
        <w:ind w:left="720" w:hanging="360"/>
      </w:pPr>
    </w:lvl>
    <w:lvl w:ilvl="1" w:tplc="974E0BC4">
      <w:start w:val="1"/>
      <w:numFmt w:val="decimal"/>
      <w:lvlText w:val="%2."/>
      <w:lvlJc w:val="left"/>
      <w:pPr>
        <w:tabs>
          <w:tab w:val="num" w:pos="1440"/>
        </w:tabs>
        <w:ind w:left="1440" w:hanging="360"/>
      </w:pPr>
      <w:rPr>
        <w:b/>
      </w:rPr>
    </w:lvl>
    <w:lvl w:ilvl="2" w:tplc="93709A04">
      <w:start w:val="1"/>
      <w:numFmt w:val="lowerLetter"/>
      <w:lvlText w:val="%3."/>
      <w:lvlJc w:val="left"/>
      <w:pPr>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62407EA">
      <w:start w:val="1"/>
      <w:numFmt w:val="decimal"/>
      <w:lvlText w:val="(%5)"/>
      <w:lvlJc w:val="left"/>
      <w:pPr>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44A4002"/>
    <w:multiLevelType w:val="hybridMultilevel"/>
    <w:tmpl w:val="8648FFA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nsid w:val="40EF4D07"/>
    <w:multiLevelType w:val="hybridMultilevel"/>
    <w:tmpl w:val="375AD65E"/>
    <w:lvl w:ilvl="0" w:tplc="04090015">
      <w:start w:val="1"/>
      <w:numFmt w:val="upperLetter"/>
      <w:lvlText w:val="%1."/>
      <w:lvlJc w:val="left"/>
      <w:pPr>
        <w:tabs>
          <w:tab w:val="num" w:pos="720"/>
        </w:tabs>
        <w:ind w:left="720" w:hanging="360"/>
      </w:pPr>
    </w:lvl>
    <w:lvl w:ilvl="1" w:tplc="5352E074">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9">
    <w:nsid w:val="45161FEB"/>
    <w:multiLevelType w:val="hybridMultilevel"/>
    <w:tmpl w:val="39E0D85C"/>
    <w:lvl w:ilvl="0" w:tplc="822AE352">
      <w:start w:val="1"/>
      <w:numFmt w:val="upperLetter"/>
      <w:lvlText w:val="%1."/>
      <w:lvlJc w:val="left"/>
      <w:pPr>
        <w:tabs>
          <w:tab w:val="num" w:pos="720"/>
        </w:tabs>
        <w:ind w:left="720" w:hanging="360"/>
      </w:pPr>
      <w:rPr>
        <w:b/>
      </w:rPr>
    </w:lvl>
    <w:lvl w:ilvl="1" w:tplc="A4305916">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C8EC86B2">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2FE828AE">
      <w:start w:val="1"/>
      <w:numFmt w:val="lowerLetter"/>
      <w:lvlText w:val="%6."/>
      <w:lvlJc w:val="right"/>
      <w:pPr>
        <w:tabs>
          <w:tab w:val="num" w:pos="4320"/>
        </w:tabs>
        <w:ind w:left="4320" w:hanging="180"/>
      </w:pPr>
      <w:rPr>
        <w:rFonts w:ascii="Arial" w:eastAsia="Times New Roman" w:hAnsi="Arial" w:cs="Arial"/>
      </w:rPr>
    </w:lvl>
    <w:lvl w:ilvl="6" w:tplc="F5DEFE2C">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lvl>
    <w:lvl w:ilvl="8" w:tplc="775EDBDC">
      <w:start w:val="1"/>
      <w:numFmt w:val="decimal"/>
      <w:lvlText w:val="%9."/>
      <w:lvlJc w:val="right"/>
      <w:pPr>
        <w:tabs>
          <w:tab w:val="num" w:pos="6480"/>
        </w:tabs>
        <w:ind w:left="6480" w:hanging="180"/>
      </w:pPr>
      <w:rPr>
        <w:rFonts w:ascii="Arial" w:eastAsia="Times New Roman" w:hAnsi="Arial" w:cs="Arial"/>
      </w:rPr>
    </w:lvl>
  </w:abstractNum>
  <w:abstractNum w:abstractNumId="10">
    <w:nsid w:val="5D93187E"/>
    <w:multiLevelType w:val="hybridMultilevel"/>
    <w:tmpl w:val="A580C22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nsid w:val="77914F2D"/>
    <w:multiLevelType w:val="multilevel"/>
    <w:tmpl w:val="C3BA3C68"/>
    <w:lvl w:ilvl="0">
      <w:start w:val="1"/>
      <w:numFmt w:val="upperLetter"/>
      <w:lvlText w:val="%1."/>
      <w:lvlJc w:val="left"/>
      <w:pPr>
        <w:tabs>
          <w:tab w:val="num" w:pos="360"/>
        </w:tabs>
        <w:ind w:left="360" w:hanging="360"/>
      </w:pPr>
      <w:rPr>
        <w:rFonts w:cs="Times New Roman"/>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enforcement="1" w:cryptProviderType="rsaAES" w:cryptAlgorithmClass="hash" w:cryptAlgorithmType="typeAny" w:cryptAlgorithmSid="14" w:cryptSpinCount="100000" w:hash="/hVntmSFiOBDd8uzfiL/hia0apBsb2vVBAisSlEP7h6U+B2Xbq/cKPgKe8xoQuZnYCQoJBB1YSqNiSj1yLHIxQ==" w:salt="6BueBs9jGXX2FBdH2epv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194A3D"/>
    <w:rsid w:val="00245A5A"/>
    <w:rsid w:val="00295F16"/>
    <w:rsid w:val="002B61E2"/>
    <w:rsid w:val="002B7959"/>
    <w:rsid w:val="002D79FF"/>
    <w:rsid w:val="003728BA"/>
    <w:rsid w:val="00390270"/>
    <w:rsid w:val="003A4CAE"/>
    <w:rsid w:val="003A7275"/>
    <w:rsid w:val="004772E1"/>
    <w:rsid w:val="00490063"/>
    <w:rsid w:val="00495C7B"/>
    <w:rsid w:val="00497A5F"/>
    <w:rsid w:val="00567E71"/>
    <w:rsid w:val="00574EE8"/>
    <w:rsid w:val="006068DC"/>
    <w:rsid w:val="0066422A"/>
    <w:rsid w:val="00774478"/>
    <w:rsid w:val="007929DB"/>
    <w:rsid w:val="008374CB"/>
    <w:rsid w:val="008538D8"/>
    <w:rsid w:val="00856B55"/>
    <w:rsid w:val="00875E9E"/>
    <w:rsid w:val="00932E1A"/>
    <w:rsid w:val="00983722"/>
    <w:rsid w:val="00AD02E7"/>
    <w:rsid w:val="00B42BD8"/>
    <w:rsid w:val="00C52FF9"/>
    <w:rsid w:val="00C72C38"/>
    <w:rsid w:val="00C81419"/>
    <w:rsid w:val="00C949F5"/>
    <w:rsid w:val="00CB0398"/>
    <w:rsid w:val="00CE7FEB"/>
    <w:rsid w:val="00D175B9"/>
    <w:rsid w:val="00D23502"/>
    <w:rsid w:val="00D671C6"/>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82262-085A-4A30-BC0B-881A8499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4266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2026-06-22T07:14:00Z</dcterms:created>
  <dcterms:modified xsi:type="dcterms:W3CDTF">2026-06-22T07:14:00Z</dcterms:modified>
</cp:coreProperties>
</file>