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57" w:rsidRDefault="007A3857" w:rsidP="007A3857">
      <w:pPr>
        <w:pStyle w:val="NormalWeb"/>
        <w:spacing w:before="0" w:beforeAutospacing="0" w:after="0" w:afterAutospacing="0"/>
        <w:jc w:val="center"/>
        <w:rPr>
          <w:b/>
        </w:rPr>
      </w:pPr>
      <w:bookmarkStart w:id="0" w:name="_GoBack"/>
      <w:bookmarkEnd w:id="0"/>
      <w:r>
        <w:rPr>
          <w:b/>
        </w:rPr>
        <w:t>BAB II</w:t>
      </w:r>
    </w:p>
    <w:p w:rsidR="007A3857" w:rsidRDefault="007A3857" w:rsidP="007A3857">
      <w:pPr>
        <w:pStyle w:val="NormalWeb"/>
        <w:spacing w:before="0" w:beforeAutospacing="0" w:after="0" w:afterAutospacing="0"/>
        <w:jc w:val="center"/>
        <w:rPr>
          <w:b/>
        </w:rPr>
      </w:pPr>
    </w:p>
    <w:p w:rsidR="007A3857" w:rsidRDefault="007A3857" w:rsidP="007A3857">
      <w:pPr>
        <w:pStyle w:val="NormalWeb"/>
        <w:spacing w:before="0" w:beforeAutospacing="0" w:after="0" w:afterAutospacing="0"/>
        <w:jc w:val="center"/>
        <w:rPr>
          <w:b/>
        </w:rPr>
      </w:pPr>
      <w:r>
        <w:rPr>
          <w:b/>
        </w:rPr>
        <w:t>TINJAUAN PUSTAKA</w:t>
      </w:r>
    </w:p>
    <w:p w:rsidR="007A3857" w:rsidRDefault="007A3857" w:rsidP="007A3857">
      <w:pPr>
        <w:pStyle w:val="NormalWeb"/>
        <w:spacing w:before="0" w:beforeAutospacing="0" w:after="0" w:afterAutospacing="0"/>
        <w:jc w:val="center"/>
      </w:pPr>
    </w:p>
    <w:p w:rsidR="007A3857" w:rsidRDefault="007A3857" w:rsidP="007A3857">
      <w:pPr>
        <w:pStyle w:val="ListParagraph"/>
        <w:numPr>
          <w:ilvl w:val="2"/>
          <w:numId w:val="17"/>
        </w:numPr>
        <w:ind w:left="360"/>
        <w:rPr>
          <w:rFonts w:ascii="Times New Roman" w:hAnsi="Times New Roman"/>
          <w:b/>
          <w:sz w:val="24"/>
          <w:szCs w:val="24"/>
        </w:rPr>
      </w:pPr>
      <w:bookmarkStart w:id="1" w:name="_Hlk147867198"/>
      <w:r>
        <w:rPr>
          <w:rFonts w:ascii="Times New Roman" w:hAnsi="Times New Roman"/>
          <w:b/>
          <w:sz w:val="24"/>
          <w:szCs w:val="24"/>
        </w:rPr>
        <w:t>Pengertian Tindak Pidana</w:t>
      </w:r>
    </w:p>
    <w:p w:rsidR="007A3857" w:rsidRDefault="007A3857" w:rsidP="007A3857">
      <w:pPr>
        <w:pStyle w:val="BodyTextIndent"/>
        <w:rPr>
          <w:rFonts w:ascii="Times New Roman" w:hAnsi="Times New Roman"/>
          <w:szCs w:val="24"/>
        </w:rPr>
      </w:pPr>
      <w:r>
        <w:rPr>
          <w:rFonts w:ascii="Times New Roman" w:hAnsi="Times New Roman"/>
          <w:szCs w:val="24"/>
        </w:rPr>
        <w:t>Tindak pidana merupakan pengertian dasar dalam hukum pidana. Tindak pidana merupakan suatu pengertian yuridis, lain halnya dengan istilah perbuatan jahat atau kejahatan. Secara yuridis formal, tindak kejahatan merupakan bentuk tingkah laku yang melanggar undang-undang pidana.</w:t>
      </w:r>
      <w:r>
        <w:rPr>
          <w:rStyle w:val="FootnoteReference"/>
          <w:szCs w:val="24"/>
        </w:rPr>
        <w:t xml:space="preserve"> </w:t>
      </w:r>
      <w:r>
        <w:footnoteReference w:id="1"/>
      </w:r>
      <w:r>
        <w:rPr>
          <w:rFonts w:ascii="Times New Roman" w:hAnsi="Times New Roman"/>
          <w:szCs w:val="24"/>
        </w:rPr>
        <w:t xml:space="preserve"> Tindak pidana adalah suatu pelanggaran </w:t>
      </w:r>
      <w:proofErr w:type="gramStart"/>
      <w:r>
        <w:rPr>
          <w:rFonts w:ascii="Times New Roman" w:hAnsi="Times New Roman"/>
          <w:szCs w:val="24"/>
        </w:rPr>
        <w:t>norma</w:t>
      </w:r>
      <w:proofErr w:type="gramEnd"/>
      <w:r>
        <w:rPr>
          <w:rFonts w:ascii="Times New Roman" w:hAnsi="Times New Roman"/>
          <w:szCs w:val="24"/>
        </w:rPr>
        <w:t xml:space="preserve"> (gangguan terhadap tertib hukum) yang dengan sengaja ataupun tidak dengan sengaja telah dilakukan oleh seorang pelaku, dimana penjatuhan hukuman terhadap pelaku tersebut adalah perlu demi terpeliharanya tertib hukum dan terjaminnya kepentingan umum.</w:t>
      </w:r>
      <w:r>
        <w:rPr>
          <w:rStyle w:val="FootnoteReference"/>
          <w:szCs w:val="24"/>
        </w:rPr>
        <w:footnoteReference w:id="2"/>
      </w:r>
    </w:p>
    <w:p w:rsidR="007A3857" w:rsidRDefault="007A3857" w:rsidP="007A3857">
      <w:pPr>
        <w:spacing w:line="456" w:lineRule="auto"/>
        <w:ind w:firstLine="709"/>
        <w:jc w:val="both"/>
      </w:pPr>
      <w:r>
        <w:t xml:space="preserve">Tindak pidana adalah kelakuan manusia yang dirumuskan dalam undang-undang, melawan hukum, yang patut dipidana dan dilakukan dengan kesalahan. Orang yang melakukan perbuatan pidana </w:t>
      </w:r>
      <w:proofErr w:type="gramStart"/>
      <w:r>
        <w:t>akan</w:t>
      </w:r>
      <w:proofErr w:type="gramEnd"/>
      <w:r>
        <w:t xml:space="preserve"> mempertanggungjawabkan perbuatan dengan pidana apabila ia mempunyai kesalahan, seseorang mempunyai kesalahan apabila pada waktu melakukan perbuatan dilihat dari segi masyarakat menunjukan pandangan normatif mengenai kesalahan yang dilakukan.</w:t>
      </w:r>
      <w:r>
        <w:rPr>
          <w:rStyle w:val="FootnoteReference"/>
        </w:rPr>
        <w:t xml:space="preserve"> </w:t>
      </w:r>
      <w:r>
        <w:footnoteReference w:id="3"/>
      </w:r>
    </w:p>
    <w:p w:rsidR="007A3857" w:rsidRDefault="007A3857" w:rsidP="007A3857">
      <w:pPr>
        <w:autoSpaceDE w:val="0"/>
        <w:autoSpaceDN w:val="0"/>
        <w:adjustRightInd w:val="0"/>
        <w:spacing w:line="480" w:lineRule="auto"/>
        <w:ind w:firstLine="748"/>
        <w:jc w:val="both"/>
        <w:rPr>
          <w:color w:val="000000"/>
        </w:rPr>
      </w:pPr>
      <w:r>
        <w:rPr>
          <w:color w:val="000000"/>
          <w:lang w:val="id-ID" w:eastAsia="id-ID"/>
        </w:rPr>
        <w:t xml:space="preserve">Tindak pidana merupakan suatu hal yang sangat penting dan mendasar dalam hukum pidana. </w:t>
      </w:r>
      <w:r>
        <w:rPr>
          <w:color w:val="000000"/>
          <w:lang w:val="id-ID"/>
        </w:rPr>
        <w:t xml:space="preserve">Tindak pidana </w:t>
      </w:r>
      <w:r>
        <w:rPr>
          <w:i/>
          <w:color w:val="000000"/>
          <w:lang w:val="id-ID"/>
        </w:rPr>
        <w:t>(</w:t>
      </w:r>
      <w:r>
        <w:rPr>
          <w:i/>
          <w:iCs/>
          <w:color w:val="000000"/>
        </w:rPr>
        <w:t>het strafbaar feit</w:t>
      </w:r>
      <w:r>
        <w:rPr>
          <w:i/>
          <w:iCs/>
          <w:color w:val="000000"/>
          <w:lang w:val="id-ID"/>
        </w:rPr>
        <w:t>)</w:t>
      </w:r>
      <w:r>
        <w:rPr>
          <w:color w:val="000000"/>
        </w:rPr>
        <w:t xml:space="preserve"> telah diterjemahkan dalam bahasa Indonesia yang artinya antara lain sebagai berikut:</w:t>
      </w:r>
    </w:p>
    <w:p w:rsidR="007A3857" w:rsidRDefault="007A3857" w:rsidP="007A3857">
      <w:pPr>
        <w:numPr>
          <w:ilvl w:val="3"/>
          <w:numId w:val="18"/>
        </w:numPr>
        <w:ind w:left="1108"/>
        <w:jc w:val="both"/>
        <w:rPr>
          <w:color w:val="000000"/>
        </w:rPr>
      </w:pPr>
      <w:r>
        <w:rPr>
          <w:color w:val="000000"/>
        </w:rPr>
        <w:t>Perbuatan yang dapat/boleh dihukum;</w:t>
      </w:r>
    </w:p>
    <w:p w:rsidR="007A3857" w:rsidRDefault="007A3857" w:rsidP="007A3857">
      <w:pPr>
        <w:numPr>
          <w:ilvl w:val="3"/>
          <w:numId w:val="18"/>
        </w:numPr>
        <w:tabs>
          <w:tab w:val="num" w:pos="1097"/>
        </w:tabs>
        <w:ind w:left="1108"/>
        <w:jc w:val="both"/>
        <w:rPr>
          <w:color w:val="000000"/>
        </w:rPr>
      </w:pPr>
      <w:r>
        <w:rPr>
          <w:color w:val="000000"/>
        </w:rPr>
        <w:lastRenderedPageBreak/>
        <w:t>Peristiwa pidana;</w:t>
      </w:r>
    </w:p>
    <w:p w:rsidR="007A3857" w:rsidRDefault="007A3857" w:rsidP="007A3857">
      <w:pPr>
        <w:numPr>
          <w:ilvl w:val="3"/>
          <w:numId w:val="18"/>
        </w:numPr>
        <w:tabs>
          <w:tab w:val="num" w:pos="1097"/>
        </w:tabs>
        <w:ind w:left="1108"/>
        <w:jc w:val="both"/>
        <w:rPr>
          <w:color w:val="000000"/>
        </w:rPr>
      </w:pPr>
      <w:r>
        <w:rPr>
          <w:color w:val="000000"/>
        </w:rPr>
        <w:t>Perbuatan pidana;</w:t>
      </w:r>
    </w:p>
    <w:p w:rsidR="007A3857" w:rsidRDefault="007A3857" w:rsidP="007A3857">
      <w:pPr>
        <w:numPr>
          <w:ilvl w:val="3"/>
          <w:numId w:val="18"/>
        </w:numPr>
        <w:tabs>
          <w:tab w:val="num" w:pos="1097"/>
        </w:tabs>
        <w:ind w:left="1108"/>
        <w:jc w:val="both"/>
        <w:rPr>
          <w:color w:val="000000"/>
        </w:rPr>
      </w:pPr>
      <w:r>
        <w:rPr>
          <w:color w:val="000000"/>
        </w:rPr>
        <w:t>Tindak pidana; dan</w:t>
      </w:r>
    </w:p>
    <w:p w:rsidR="007A3857" w:rsidRDefault="007A3857" w:rsidP="007A3857">
      <w:pPr>
        <w:numPr>
          <w:ilvl w:val="3"/>
          <w:numId w:val="18"/>
        </w:numPr>
        <w:tabs>
          <w:tab w:val="num" w:pos="1097"/>
        </w:tabs>
        <w:ind w:left="1108"/>
        <w:jc w:val="both"/>
        <w:rPr>
          <w:rStyle w:val="FootnoteReference"/>
        </w:rPr>
      </w:pPr>
      <w:r>
        <w:rPr>
          <w:color w:val="000000"/>
        </w:rPr>
        <w:t>Delik.</w:t>
      </w:r>
      <w:r>
        <w:rPr>
          <w:rStyle w:val="FootnoteReference"/>
          <w:color w:val="000000"/>
        </w:rPr>
        <w:footnoteReference w:id="4"/>
      </w:r>
    </w:p>
    <w:p w:rsidR="007A3857" w:rsidRDefault="007A3857" w:rsidP="007A3857">
      <w:pPr>
        <w:ind w:left="1080"/>
        <w:jc w:val="both"/>
      </w:pPr>
    </w:p>
    <w:p w:rsidR="007A3857" w:rsidRDefault="007A3857" w:rsidP="007A3857">
      <w:pPr>
        <w:spacing w:line="504" w:lineRule="auto"/>
        <w:ind w:firstLine="709"/>
        <w:jc w:val="both"/>
      </w:pPr>
      <w:r>
        <w:t>Menurut Djoko Prakoso bahwa tindak pidana adalah perbuatan melakukan atau tidak melakukan sesuatu yang oleh peraturan perundang-undangan dinyatakan sebagai peruatan terlarang dan diancam pidana.</w:t>
      </w:r>
      <w:r>
        <w:rPr>
          <w:rStyle w:val="FootnoteReference"/>
        </w:rPr>
        <w:footnoteReference w:id="5"/>
      </w:r>
      <w:r>
        <w:t xml:space="preserve"> Tindak pidana merujuk kepada dilarangnya perbuatan. Perbuatan pidana hanya menunjuk kepada sifatnya perbuatan saja yaitu sifat dilarang dengan ancaman pidana kalau dilanggar. Sifat perbuatan yang dilarang mengandung pengertian bahwa tindak pidana didasarkan pada asas legalitas sebagai dasar utama yang menempatkan perbuatan dengan ancaman sanksi sebagai perbuatan yang bersifat melawan hukum. Namun demikian, tidak semua perbuatan yang melawan hukum adalah tindak pidana, karena perbuatan bersifat melawan hukum merupakan tindak pidana manakala peraturan perundang-undangan menentukan demikian.</w:t>
      </w:r>
      <w:r>
        <w:rPr>
          <w:rStyle w:val="FootnoteReference"/>
        </w:rPr>
        <w:footnoteReference w:id="6"/>
      </w:r>
    </w:p>
    <w:p w:rsidR="007A3857" w:rsidRDefault="007A3857" w:rsidP="007A3857">
      <w:pPr>
        <w:spacing w:line="504" w:lineRule="auto"/>
        <w:ind w:firstLine="709"/>
        <w:jc w:val="both"/>
      </w:pPr>
      <w:r>
        <w:t xml:space="preserve">Berdasarkan paparan di atas, maka pembentuk undang-undang sudah konsisten dalam pemakaian istilah tindak pidana. Akan tetapi, para sarjana hukum pidana mempertahankan istilah yang dipilihnya sendiri. Tentang </w:t>
      </w:r>
      <w:proofErr w:type="gramStart"/>
      <w:r>
        <w:t>apa</w:t>
      </w:r>
      <w:proofErr w:type="gramEnd"/>
      <w:r>
        <w:t xml:space="preserve"> yang diartikan dengan </w:t>
      </w:r>
      <w:r>
        <w:rPr>
          <w:i/>
          <w:iCs/>
        </w:rPr>
        <w:t>strafbaar feit</w:t>
      </w:r>
      <w:r>
        <w:t xml:space="preserve"> (tindak pidana) para sarjana memberikan pengertian yang berbeda-beda.</w:t>
      </w:r>
      <w:r>
        <w:rPr>
          <w:rStyle w:val="FootnoteReference"/>
        </w:rPr>
        <w:footnoteReference w:id="7"/>
      </w:r>
    </w:p>
    <w:p w:rsidR="007A3857" w:rsidRDefault="007A3857" w:rsidP="007A3857">
      <w:pPr>
        <w:spacing w:line="192" w:lineRule="auto"/>
        <w:ind w:firstLine="709"/>
        <w:jc w:val="both"/>
      </w:pPr>
      <w:r>
        <w:t xml:space="preserve">Menurut </w:t>
      </w:r>
      <w:proofErr w:type="gramStart"/>
      <w:r>
        <w:t>Simons</w:t>
      </w:r>
      <w:proofErr w:type="gramEnd"/>
      <w:r>
        <w:t xml:space="preserve"> dalam M. Hamdan merumuskan </w:t>
      </w:r>
      <w:r>
        <w:rPr>
          <w:i/>
          <w:iCs/>
        </w:rPr>
        <w:t>strafbaar feit</w:t>
      </w:r>
      <w:r>
        <w:t xml:space="preserve"> adalah:</w:t>
      </w:r>
    </w:p>
    <w:p w:rsidR="007A3857" w:rsidRDefault="007A3857" w:rsidP="007A3857">
      <w:pPr>
        <w:spacing w:line="192" w:lineRule="auto"/>
        <w:ind w:left="709"/>
        <w:jc w:val="both"/>
      </w:pPr>
      <w:r>
        <w:lastRenderedPageBreak/>
        <w:t xml:space="preserve">Suatu </w:t>
      </w:r>
      <w:r>
        <w:rPr>
          <w:i/>
          <w:iCs/>
        </w:rPr>
        <w:t>handeling</w:t>
      </w:r>
      <w:r>
        <w:t xml:space="preserve"> (tindakan atau perbuatan) yang diancam dengan pidana oleh Undang-Undang, bertentangan dengan hukum </w:t>
      </w:r>
      <w:r>
        <w:rPr>
          <w:i/>
          <w:iCs/>
        </w:rPr>
        <w:t>(onrechtmatig)</w:t>
      </w:r>
      <w:r>
        <w:t xml:space="preserve"> dilakukan dengan kesalahan </w:t>
      </w:r>
      <w:r>
        <w:rPr>
          <w:i/>
          <w:iCs/>
        </w:rPr>
        <w:t>schuld</w:t>
      </w:r>
      <w:r>
        <w:t xml:space="preserve"> oleh seseorang yang mampu bertanggung jawab. Kemudian beliau membaginya dalam dua golongan unsur yaitu:</w:t>
      </w:r>
    </w:p>
    <w:p w:rsidR="007A3857" w:rsidRDefault="007A3857" w:rsidP="007A3857">
      <w:pPr>
        <w:numPr>
          <w:ilvl w:val="1"/>
          <w:numId w:val="19"/>
        </w:numPr>
        <w:tabs>
          <w:tab w:val="left" w:pos="993"/>
          <w:tab w:val="num" w:pos="1290"/>
        </w:tabs>
        <w:ind w:left="1290"/>
        <w:jc w:val="both"/>
      </w:pPr>
      <w:r>
        <w:t>Unsur-unsur objektif yang berupa tindakan yang dilarang/diharuskan.</w:t>
      </w:r>
    </w:p>
    <w:p w:rsidR="007A3857" w:rsidRDefault="007A3857" w:rsidP="007A3857">
      <w:pPr>
        <w:numPr>
          <w:ilvl w:val="1"/>
          <w:numId w:val="19"/>
        </w:numPr>
        <w:tabs>
          <w:tab w:val="left" w:pos="993"/>
        </w:tabs>
        <w:ind w:left="993" w:hanging="273"/>
        <w:jc w:val="both"/>
      </w:pPr>
      <w:r>
        <w:t>Unsur subjektif yang berupa kesalahan dan kemampuan bertanggung jawab.</w:t>
      </w:r>
      <w:r>
        <w:rPr>
          <w:rStyle w:val="FootnoteReference"/>
        </w:rPr>
        <w:footnoteReference w:id="8"/>
      </w:r>
    </w:p>
    <w:p w:rsidR="007A3857" w:rsidRDefault="007A3857" w:rsidP="007A3857">
      <w:pPr>
        <w:tabs>
          <w:tab w:val="left" w:pos="993"/>
        </w:tabs>
        <w:ind w:left="993"/>
        <w:jc w:val="both"/>
      </w:pPr>
    </w:p>
    <w:p w:rsidR="007A3857" w:rsidRDefault="007A3857" w:rsidP="007A3857">
      <w:pPr>
        <w:spacing w:line="504" w:lineRule="auto"/>
        <w:ind w:firstLine="709"/>
        <w:jc w:val="both"/>
      </w:pPr>
      <w:r>
        <w:t xml:space="preserve">Van Hamel dalam M. Hamdan merumuskan </w:t>
      </w:r>
      <w:r>
        <w:rPr>
          <w:i/>
          <w:iCs/>
        </w:rPr>
        <w:t>strafbaar feit</w:t>
      </w:r>
      <w:r>
        <w:t xml:space="preserve"> (tindak pidana) itu </w:t>
      </w:r>
      <w:proofErr w:type="gramStart"/>
      <w:r>
        <w:t>sama</w:t>
      </w:r>
      <w:proofErr w:type="gramEnd"/>
      <w:r>
        <w:t xml:space="preserve"> dengan yang dirumuskan oleh Simons, hanya ditambahkannya dengan kalimat ‘tindakan mana bersifat dapat dipidana.</w:t>
      </w:r>
      <w:r>
        <w:rPr>
          <w:rStyle w:val="FootnoteReference"/>
        </w:rPr>
        <w:footnoteReference w:id="9"/>
      </w:r>
      <w:r>
        <w:t xml:space="preserve"> Menurut PAF. Lamintang</w:t>
      </w:r>
      <w:r>
        <w:rPr>
          <w:i/>
          <w:iCs/>
        </w:rPr>
        <w:t xml:space="preserve"> strafbaar feit</w:t>
      </w:r>
      <w:r>
        <w:rPr>
          <w:iCs/>
        </w:rPr>
        <w:t xml:space="preserve"> sebagai suatu pelanggaran </w:t>
      </w:r>
      <w:proofErr w:type="gramStart"/>
      <w:r>
        <w:rPr>
          <w:iCs/>
        </w:rPr>
        <w:t>norma</w:t>
      </w:r>
      <w:proofErr w:type="gramEnd"/>
      <w:r>
        <w:rPr>
          <w:iCs/>
        </w:rPr>
        <w:t xml:space="preserve"> (gangguan terhadap tata tertib hukum) yang dengan sengaja ataupun tidak dengan sengaja telah dilakukan oleh seseorang pelaku, dimana penjatuhan hukuman terhadap pelaku tersebut adalah perlu demi terpeliharanya tertib hukum dan terjaminnya kepentingan umum.</w:t>
      </w:r>
      <w:r>
        <w:rPr>
          <w:rStyle w:val="FootnoteReference"/>
          <w:iCs/>
        </w:rPr>
        <w:footnoteReference w:id="10"/>
      </w:r>
    </w:p>
    <w:p w:rsidR="007A3857" w:rsidRDefault="007A3857" w:rsidP="007A3857">
      <w:pPr>
        <w:spacing w:line="504" w:lineRule="auto"/>
        <w:ind w:firstLine="720"/>
        <w:jc w:val="both"/>
        <w:rPr>
          <w:color w:val="000000"/>
        </w:rPr>
      </w:pPr>
      <w:r>
        <w:rPr>
          <w:color w:val="000000"/>
        </w:rPr>
        <w:t>Frans Maramis menyebutkan bahwa Kitab Undang-Undang Hukum Pidana tidak diberikan definisi terhadap istilah tindak pidana. Secara sederhana dikatakan tindak pidana adalah perbuatan yang pelakunya seharunys dipidana.</w:t>
      </w:r>
      <w:r>
        <w:rPr>
          <w:rStyle w:val="FootnoteReference"/>
          <w:color w:val="000000"/>
        </w:rPr>
        <w:footnoteReference w:id="11"/>
      </w:r>
    </w:p>
    <w:p w:rsidR="007A3857" w:rsidRDefault="007A3857" w:rsidP="007A3857">
      <w:pPr>
        <w:spacing w:line="504" w:lineRule="auto"/>
        <w:ind w:firstLine="720"/>
        <w:jc w:val="both"/>
      </w:pPr>
      <w:r>
        <w:t xml:space="preserve">R. Tresna dalam M. Hamdan menyebutkan bahwa peristiwa pidana adalah sebagai berikut: Suatu perbuatan rangkaian perbuatan manusia yang bertentangan dengan Undang-Undang atau peraturan perundang-undangan lainnya terhadap perbuatan mana diadakan tindakan penghukuman. </w:t>
      </w:r>
      <w:proofErr w:type="gramStart"/>
      <w:r>
        <w:t>Ia</w:t>
      </w:r>
      <w:proofErr w:type="gramEnd"/>
      <w:r>
        <w:t xml:space="preserve"> juga menyatakan bahwa supaya suatu perbuatan dapat disebut peristiwa pidana, perbuatan itu harus memenuhi beberapa syarat yaitu:</w:t>
      </w:r>
    </w:p>
    <w:p w:rsidR="007A3857" w:rsidRDefault="007A3857" w:rsidP="007A3857">
      <w:pPr>
        <w:numPr>
          <w:ilvl w:val="1"/>
          <w:numId w:val="20"/>
        </w:numPr>
        <w:tabs>
          <w:tab w:val="num" w:pos="1080"/>
        </w:tabs>
        <w:ind w:left="1080"/>
        <w:jc w:val="both"/>
      </w:pPr>
      <w:r>
        <w:lastRenderedPageBreak/>
        <w:t>Harus ada suatu peruatan manusia;</w:t>
      </w:r>
    </w:p>
    <w:p w:rsidR="007A3857" w:rsidRDefault="007A3857" w:rsidP="007A3857">
      <w:pPr>
        <w:numPr>
          <w:ilvl w:val="1"/>
          <w:numId w:val="20"/>
        </w:numPr>
        <w:tabs>
          <w:tab w:val="num" w:pos="1080"/>
        </w:tabs>
        <w:ind w:left="1080"/>
        <w:jc w:val="both"/>
      </w:pPr>
      <w:r>
        <w:t>Perbuatan itu harus sesuai dengan apa yang dilukiskan dalam ketentuan umum;</w:t>
      </w:r>
    </w:p>
    <w:p w:rsidR="007A3857" w:rsidRDefault="007A3857" w:rsidP="007A3857">
      <w:pPr>
        <w:numPr>
          <w:ilvl w:val="1"/>
          <w:numId w:val="20"/>
        </w:numPr>
        <w:tabs>
          <w:tab w:val="num" w:pos="1080"/>
        </w:tabs>
        <w:ind w:left="1080"/>
        <w:jc w:val="both"/>
      </w:pPr>
      <w:r>
        <w:t>Harus terbukti adanya dosa pada orang yang berbuat yaitu orangnya harus dapat dipertanggung jawabkan;</w:t>
      </w:r>
    </w:p>
    <w:p w:rsidR="007A3857" w:rsidRDefault="007A3857" w:rsidP="007A3857">
      <w:pPr>
        <w:numPr>
          <w:ilvl w:val="1"/>
          <w:numId w:val="20"/>
        </w:numPr>
        <w:tabs>
          <w:tab w:val="num" w:pos="1080"/>
        </w:tabs>
        <w:ind w:left="1080"/>
        <w:jc w:val="both"/>
      </w:pPr>
      <w:r>
        <w:t>Perbuatan itu harus berlawanan dengan hukum;</w:t>
      </w:r>
    </w:p>
    <w:p w:rsidR="007A3857" w:rsidRDefault="007A3857" w:rsidP="007A3857">
      <w:pPr>
        <w:numPr>
          <w:ilvl w:val="1"/>
          <w:numId w:val="20"/>
        </w:numPr>
        <w:tabs>
          <w:tab w:val="num" w:pos="1080"/>
        </w:tabs>
        <w:ind w:left="1080"/>
        <w:jc w:val="both"/>
      </w:pPr>
      <w:r>
        <w:t xml:space="preserve">Terhadap </w:t>
      </w:r>
      <w:proofErr w:type="gramStart"/>
      <w:r>
        <w:t>perbuatan  itu</w:t>
      </w:r>
      <w:proofErr w:type="gramEnd"/>
      <w:r>
        <w:t xml:space="preserve"> harus tersedia ancaman hukuman di dalam undang-undang.</w:t>
      </w:r>
      <w:r>
        <w:rPr>
          <w:rStyle w:val="FootnoteReference"/>
        </w:rPr>
        <w:footnoteReference w:id="12"/>
      </w:r>
    </w:p>
    <w:p w:rsidR="007A3857" w:rsidRDefault="007A3857" w:rsidP="007A3857">
      <w:pPr>
        <w:spacing w:line="216" w:lineRule="auto"/>
        <w:ind w:left="1080"/>
        <w:jc w:val="both"/>
      </w:pPr>
    </w:p>
    <w:p w:rsidR="007A3857" w:rsidRDefault="007A3857" w:rsidP="007A3857">
      <w:pPr>
        <w:spacing w:line="444" w:lineRule="auto"/>
        <w:ind w:firstLine="709"/>
        <w:jc w:val="both"/>
      </w:pPr>
      <w:r>
        <w:t xml:space="preserve">Perbuatan </w:t>
      </w:r>
      <w:proofErr w:type="gramStart"/>
      <w:r>
        <w:t>akan</w:t>
      </w:r>
      <w:proofErr w:type="gramEnd"/>
      <w:r>
        <w:t xml:space="preserve"> menjadi suatu tindak pidana apabila perbuatan tersebut memenuhi unsur-unsur sebagai berikut:</w:t>
      </w:r>
    </w:p>
    <w:p w:rsidR="007A3857" w:rsidRDefault="007A3857" w:rsidP="007A3857">
      <w:pPr>
        <w:numPr>
          <w:ilvl w:val="4"/>
          <w:numId w:val="18"/>
        </w:numPr>
        <w:spacing w:line="444" w:lineRule="auto"/>
        <w:ind w:left="360"/>
        <w:jc w:val="both"/>
      </w:pPr>
      <w:r>
        <w:t>Melawan hukum;</w:t>
      </w:r>
    </w:p>
    <w:p w:rsidR="007A3857" w:rsidRDefault="007A3857" w:rsidP="007A3857">
      <w:pPr>
        <w:numPr>
          <w:ilvl w:val="4"/>
          <w:numId w:val="18"/>
        </w:numPr>
        <w:tabs>
          <w:tab w:val="num" w:pos="-785"/>
        </w:tabs>
        <w:spacing w:line="444" w:lineRule="auto"/>
        <w:ind w:left="360"/>
        <w:jc w:val="both"/>
      </w:pPr>
      <w:r>
        <w:t>Merugikan masyarakat;</w:t>
      </w:r>
    </w:p>
    <w:p w:rsidR="007A3857" w:rsidRDefault="007A3857" w:rsidP="007A3857">
      <w:pPr>
        <w:numPr>
          <w:ilvl w:val="4"/>
          <w:numId w:val="18"/>
        </w:numPr>
        <w:tabs>
          <w:tab w:val="num" w:pos="-785"/>
        </w:tabs>
        <w:spacing w:line="444" w:lineRule="auto"/>
        <w:ind w:left="360"/>
        <w:jc w:val="both"/>
      </w:pPr>
      <w:r>
        <w:t>Dilarang oleh aturan pidana; dan</w:t>
      </w:r>
    </w:p>
    <w:p w:rsidR="007A3857" w:rsidRDefault="007A3857" w:rsidP="007A3857">
      <w:pPr>
        <w:numPr>
          <w:ilvl w:val="4"/>
          <w:numId w:val="18"/>
        </w:numPr>
        <w:tabs>
          <w:tab w:val="num" w:pos="-785"/>
        </w:tabs>
        <w:spacing w:line="444" w:lineRule="auto"/>
        <w:ind w:left="360"/>
        <w:jc w:val="both"/>
      </w:pPr>
      <w:r>
        <w:t>Pelakunya diancam dengan hukuman pidana.</w:t>
      </w:r>
      <w:r>
        <w:rPr>
          <w:rStyle w:val="FootnoteReference"/>
        </w:rPr>
        <w:footnoteReference w:id="13"/>
      </w:r>
    </w:p>
    <w:p w:rsidR="007A3857" w:rsidRDefault="007A3857" w:rsidP="007A3857">
      <w:pPr>
        <w:spacing w:line="444" w:lineRule="auto"/>
        <w:ind w:firstLine="709"/>
        <w:jc w:val="both"/>
      </w:pPr>
      <w:r>
        <w:t>Van Hamel dalam M. Hamdan menyebutkan bahwa secara dogmatis masalah pokok yang berhubungan dengan hukum pidana adalah membicarakan tiga hal yaitu:</w:t>
      </w:r>
    </w:p>
    <w:p w:rsidR="007A3857" w:rsidRDefault="007A3857" w:rsidP="007A3857">
      <w:pPr>
        <w:numPr>
          <w:ilvl w:val="0"/>
          <w:numId w:val="21"/>
        </w:numPr>
        <w:spacing w:line="444" w:lineRule="auto"/>
        <w:ind w:left="360"/>
        <w:jc w:val="both"/>
      </w:pPr>
      <w:r>
        <w:t>Perbuatan yang dilarang;</w:t>
      </w:r>
    </w:p>
    <w:p w:rsidR="007A3857" w:rsidRDefault="007A3857" w:rsidP="007A3857">
      <w:pPr>
        <w:numPr>
          <w:ilvl w:val="0"/>
          <w:numId w:val="21"/>
        </w:numPr>
        <w:spacing w:line="444" w:lineRule="auto"/>
        <w:ind w:left="360"/>
        <w:jc w:val="both"/>
      </w:pPr>
      <w:r>
        <w:t>Orang yang melakukan perbuatan  yang dilarang itu; dan</w:t>
      </w:r>
    </w:p>
    <w:p w:rsidR="007A3857" w:rsidRDefault="007A3857" w:rsidP="007A3857">
      <w:pPr>
        <w:numPr>
          <w:ilvl w:val="0"/>
          <w:numId w:val="21"/>
        </w:numPr>
        <w:spacing w:line="444" w:lineRule="auto"/>
        <w:ind w:left="360"/>
        <w:jc w:val="both"/>
      </w:pPr>
      <w:r>
        <w:t>Pidana yang diancamkan terhadap pelanggar larangan itu.</w:t>
      </w:r>
      <w:r>
        <w:rPr>
          <w:rStyle w:val="FootnoteReference"/>
        </w:rPr>
        <w:footnoteReference w:id="14"/>
      </w:r>
    </w:p>
    <w:p w:rsidR="007A3857" w:rsidRDefault="007A3857" w:rsidP="007A3857">
      <w:pPr>
        <w:spacing w:line="480" w:lineRule="auto"/>
        <w:ind w:firstLine="720"/>
        <w:jc w:val="both"/>
      </w:pPr>
      <w:r>
        <w:t>Moeljatno menyebutkan bahwa:</w:t>
      </w:r>
    </w:p>
    <w:p w:rsidR="007A3857" w:rsidRDefault="007A3857" w:rsidP="007A3857">
      <w:pPr>
        <w:ind w:left="709"/>
        <w:jc w:val="both"/>
      </w:pPr>
      <w:r>
        <w:t>Perbuatan pidana adalah perbuatan yang dilarang oleh suatu aturan hukum, larangan mana disertai ancaman (sanksi) yang berupa pidana tertentu, bagi barang siapa melanggar larangan tersebut. Dapat juga dikatakan bahwa perbuatan pidana adalah perbuatan yang oleh suatu aturan hukum dilarang dan diancam pidana, asal saja dalam pada itu diingat bahwa larangan ditujukan kepada perbuatan (yaitu suatu keadaan atau kejadian yang ditimbulkan oleh kelakuan orang), sedangkan ancaman pidananya ditujukan kepada orang yang menimbulkannya kejadian itu.</w:t>
      </w:r>
      <w:r>
        <w:rPr>
          <w:rStyle w:val="FootnoteReference"/>
        </w:rPr>
        <w:footnoteReference w:id="15"/>
      </w:r>
    </w:p>
    <w:p w:rsidR="007A3857" w:rsidRDefault="007A3857" w:rsidP="007A3857">
      <w:pPr>
        <w:pStyle w:val="Default"/>
        <w:spacing w:line="456" w:lineRule="auto"/>
        <w:ind w:firstLine="720"/>
        <w:jc w:val="both"/>
        <w:rPr>
          <w:rFonts w:ascii="Times New Roman" w:hAnsi="Times New Roman" w:cs="Times New Roman"/>
        </w:rPr>
      </w:pPr>
      <w:r>
        <w:rPr>
          <w:rFonts w:ascii="Times New Roman" w:hAnsi="Times New Roman" w:cs="Times New Roman"/>
        </w:rPr>
        <w:lastRenderedPageBreak/>
        <w:t xml:space="preserve">Simon dalam Mahrus Ali </w:t>
      </w:r>
      <w:proofErr w:type="gramStart"/>
      <w:r>
        <w:rPr>
          <w:rFonts w:ascii="Times New Roman" w:hAnsi="Times New Roman" w:cs="Times New Roman"/>
        </w:rPr>
        <w:t xml:space="preserve">menyebutkan  </w:t>
      </w:r>
      <w:r>
        <w:rPr>
          <w:rFonts w:ascii="Times New Roman" w:hAnsi="Times New Roman" w:cs="Times New Roman"/>
          <w:i/>
          <w:iCs/>
        </w:rPr>
        <w:t>strafbaarfeit</w:t>
      </w:r>
      <w:proofErr w:type="gramEnd"/>
      <w:r>
        <w:rPr>
          <w:rFonts w:ascii="Times New Roman" w:hAnsi="Times New Roman" w:cs="Times New Roman"/>
        </w:rPr>
        <w:t xml:space="preserve"> adalah kelakuan yang diancam dengan pidana, bersifat melawan hukum, dan berhubung dengan kesalahan yang dilakukan oleh orang yang mampu bertanggungjawab.</w:t>
      </w:r>
      <w:r>
        <w:rPr>
          <w:rStyle w:val="FootnoteReference"/>
        </w:rPr>
        <w:footnoteReference w:id="16"/>
      </w:r>
      <w:r>
        <w:rPr>
          <w:rFonts w:ascii="Times New Roman" w:hAnsi="Times New Roman" w:cs="Times New Roman"/>
        </w:rPr>
        <w:t xml:space="preserve"> Tindak pidana adalah sesuatu perbuatan yang dilarang atau diwajibkan oleh Undang-Undang yang apabila dilakukan </w:t>
      </w:r>
      <w:proofErr w:type="gramStart"/>
      <w:r>
        <w:rPr>
          <w:rFonts w:ascii="Times New Roman" w:hAnsi="Times New Roman" w:cs="Times New Roman"/>
        </w:rPr>
        <w:t>atau  diabaikan</w:t>
      </w:r>
      <w:proofErr w:type="gramEnd"/>
      <w:r>
        <w:rPr>
          <w:rFonts w:ascii="Times New Roman" w:hAnsi="Times New Roman" w:cs="Times New Roman"/>
        </w:rPr>
        <w:t>, maka orang yang melakukan atau mengabaikan itu diancam dengan hukuman. Dalam hal ini tindak pidana itu juga terdiri dari dua unsur yaitu:</w:t>
      </w:r>
    </w:p>
    <w:p w:rsidR="007A3857" w:rsidRDefault="007A3857" w:rsidP="007A3857">
      <w:pPr>
        <w:numPr>
          <w:ilvl w:val="5"/>
          <w:numId w:val="18"/>
        </w:numPr>
        <w:spacing w:line="216" w:lineRule="auto"/>
        <w:ind w:left="1080" w:hanging="357"/>
        <w:jc w:val="both"/>
      </w:pPr>
      <w:r>
        <w:t>Unsur yang bersifat objektif yang meliputi:</w:t>
      </w:r>
    </w:p>
    <w:p w:rsidR="007A3857" w:rsidRDefault="007A3857" w:rsidP="007A3857">
      <w:pPr>
        <w:numPr>
          <w:ilvl w:val="0"/>
          <w:numId w:val="22"/>
        </w:numPr>
        <w:spacing w:line="216" w:lineRule="auto"/>
        <w:ind w:left="1418" w:hanging="357"/>
        <w:jc w:val="both"/>
      </w:pPr>
      <w:r>
        <w:t>Perbuatan manusia yaitu perbuatan yang positif atau suatu perbuatan yang negatif yang menyebabkan pidana;</w:t>
      </w:r>
    </w:p>
    <w:p w:rsidR="007A3857" w:rsidRDefault="007A3857" w:rsidP="007A3857">
      <w:pPr>
        <w:numPr>
          <w:ilvl w:val="0"/>
          <w:numId w:val="22"/>
        </w:numPr>
        <w:spacing w:line="216" w:lineRule="auto"/>
        <w:ind w:left="1418" w:hanging="357"/>
        <w:jc w:val="both"/>
      </w:pPr>
      <w:r>
        <w:t>Akibat perbuatan manusia yaitu akibat yang terdiri atas merusakkan atau membahayakan kepentingan-kepentingan hukum yang menurut norma hukum itu perlu ada supaya dapat dihukum;</w:t>
      </w:r>
    </w:p>
    <w:p w:rsidR="007A3857" w:rsidRDefault="007A3857" w:rsidP="007A3857">
      <w:pPr>
        <w:numPr>
          <w:ilvl w:val="0"/>
          <w:numId w:val="22"/>
        </w:numPr>
        <w:spacing w:line="216" w:lineRule="auto"/>
        <w:ind w:left="1418" w:hanging="357"/>
        <w:jc w:val="both"/>
      </w:pPr>
      <w:r>
        <w:t>Keadaan-keadaan sekitar perbuatan itu, keadaan-keadaan ini bisa jadi terdapat pada waktu melakukan perbuatan;</w:t>
      </w:r>
    </w:p>
    <w:p w:rsidR="007A3857" w:rsidRDefault="007A3857" w:rsidP="007A3857">
      <w:pPr>
        <w:numPr>
          <w:ilvl w:val="0"/>
          <w:numId w:val="22"/>
        </w:numPr>
        <w:spacing w:line="216" w:lineRule="auto"/>
        <w:ind w:left="1418" w:hanging="357"/>
        <w:jc w:val="both"/>
      </w:pPr>
      <w:r>
        <w:t>Sifat melawan hukum dan sifat dapat dipidanakan perbuatan itu melawan hukum, jika bertentangan dengan undang-undang.</w:t>
      </w:r>
    </w:p>
    <w:p w:rsidR="007A3857" w:rsidRDefault="007A3857" w:rsidP="007A3857">
      <w:pPr>
        <w:numPr>
          <w:ilvl w:val="5"/>
          <w:numId w:val="18"/>
        </w:numPr>
        <w:ind w:left="1080"/>
        <w:jc w:val="both"/>
      </w:pPr>
      <w:r>
        <w:t>Unsur yang bersifat subjektif yaitu unsur yang ada dalam diri si pelaku itu sendiri yaitu kesalahan dari orang yang melanggar aturan-aturan pidana, artinya pelanggaran itu harus dapat dipertanggungjawabkan kepada pelanggar.</w:t>
      </w:r>
      <w:r>
        <w:rPr>
          <w:rStyle w:val="FootnoteReference"/>
        </w:rPr>
        <w:t xml:space="preserve"> </w:t>
      </w:r>
      <w:r>
        <w:footnoteReference w:id="17"/>
      </w:r>
    </w:p>
    <w:p w:rsidR="007A3857" w:rsidRDefault="007A3857" w:rsidP="007A3857">
      <w:pPr>
        <w:pStyle w:val="ListParagraph"/>
        <w:spacing w:line="240" w:lineRule="auto"/>
        <w:ind w:left="360"/>
        <w:rPr>
          <w:rFonts w:ascii="Times New Roman" w:hAnsi="Times New Roman"/>
          <w:b/>
          <w:sz w:val="24"/>
          <w:szCs w:val="24"/>
        </w:rPr>
      </w:pPr>
    </w:p>
    <w:p w:rsidR="007A3857" w:rsidRDefault="007A3857" w:rsidP="007A3857">
      <w:pPr>
        <w:pStyle w:val="ListParagraph"/>
        <w:numPr>
          <w:ilvl w:val="2"/>
          <w:numId w:val="17"/>
        </w:numPr>
        <w:ind w:left="360"/>
        <w:rPr>
          <w:rFonts w:ascii="Times New Roman" w:hAnsi="Times New Roman"/>
          <w:b/>
          <w:sz w:val="24"/>
          <w:szCs w:val="24"/>
        </w:rPr>
      </w:pPr>
      <w:r>
        <w:rPr>
          <w:rFonts w:ascii="Times New Roman" w:hAnsi="Times New Roman"/>
          <w:b/>
          <w:sz w:val="24"/>
          <w:szCs w:val="24"/>
        </w:rPr>
        <w:t>Tindak Pidana Pungutan Liar</w:t>
      </w:r>
      <w:bookmarkEnd w:id="1"/>
    </w:p>
    <w:p w:rsidR="007A3857" w:rsidRDefault="007A3857" w:rsidP="007A3857">
      <w:pPr>
        <w:autoSpaceDE w:val="0"/>
        <w:autoSpaceDN w:val="0"/>
        <w:adjustRightInd w:val="0"/>
        <w:spacing w:line="480" w:lineRule="auto"/>
        <w:ind w:firstLine="720"/>
        <w:jc w:val="both"/>
      </w:pPr>
      <w:r>
        <w:t xml:space="preserve">Pungutan liar adalah perbuatan yang dilakukan oleh seseorang atau Pegawai Negeri atau Pejabat Negara dengan </w:t>
      </w:r>
      <w:proofErr w:type="gramStart"/>
      <w:r>
        <w:t>cara</w:t>
      </w:r>
      <w:proofErr w:type="gramEnd"/>
      <w:r>
        <w:t xml:space="preserve"> meminta pembayaran sejumlah uang yang tidak sesuai atau tidak berdasarkan peraturan yang berkaitan dengan pembayaran tersebut. “Hal ini sering disamakan dengan perbuatan pemerasan, penipuan atau korupsi”.</w:t>
      </w:r>
      <w:r>
        <w:rPr>
          <w:rStyle w:val="FootnoteReference"/>
        </w:rPr>
        <w:footnoteReference w:id="18"/>
      </w:r>
    </w:p>
    <w:p w:rsidR="007A3857" w:rsidRDefault="007A3857" w:rsidP="007A3857">
      <w:pPr>
        <w:autoSpaceDE w:val="0"/>
        <w:autoSpaceDN w:val="0"/>
        <w:adjustRightInd w:val="0"/>
        <w:spacing w:line="480" w:lineRule="auto"/>
        <w:ind w:firstLine="720"/>
        <w:jc w:val="both"/>
      </w:pPr>
      <w:r>
        <w:t xml:space="preserve">Tingginya tingkat ketidakpastian pelayanan sebagai akibat adanya prosedur pelayanan yang panjang dan melelahkan menjadi penyebab dari semakin </w:t>
      </w:r>
      <w:r>
        <w:lastRenderedPageBreak/>
        <w:t>banyaknya masyarakat yang menyerah ketika berhadapan dengan pelayanan publik yang korupsi. Hal ini merupakan salah satu faktor yang menyebabkan masyarakat cenderung semakin toleran terhadap praktik pungutan liar dalam penyelenggaraan pelayanan publik.</w:t>
      </w:r>
      <w:r>
        <w:rPr>
          <w:rStyle w:val="FootnoteReference"/>
        </w:rPr>
        <w:footnoteReference w:id="19"/>
      </w:r>
      <w:r>
        <w:t xml:space="preserve"> </w:t>
      </w:r>
    </w:p>
    <w:p w:rsidR="007A3857" w:rsidRDefault="007A3857" w:rsidP="007A3857">
      <w:pPr>
        <w:spacing w:line="480" w:lineRule="auto"/>
        <w:ind w:firstLine="720"/>
        <w:jc w:val="both"/>
      </w:pPr>
      <w:r>
        <w:t>Pungutan liar merupakan perbuatan-perbuatan yang disebut sebagai perbuatan pungli sebenarnya merupakan suatu gejala sosial yang telah ada di Indonesia, sejak Indonesia masih dalam masa penjajahan dan bahkan jauh sebelum itu. Namun penamaan perbuatan itu sebagai perbuatan pungli.</w:t>
      </w:r>
    </w:p>
    <w:p w:rsidR="007A3857" w:rsidRDefault="007A3857" w:rsidP="007A3857">
      <w:pPr>
        <w:spacing w:line="480" w:lineRule="auto"/>
        <w:ind w:firstLine="720"/>
        <w:jc w:val="both"/>
      </w:pPr>
      <w:r>
        <w:t>Pungutan liar termasuk dalam kategori kejahatan jabatan, di mana dalam konsep kejahatan jabatan di jabarkan bahwa pejabat demi menguntungkan diri sendiri atau orang lain, menyalahgunakan kekuasaannya untuk memaksa seseorang untuk memberikan sesuatu, untuk membayar atau menerima pembayaran dengan potongan, atau untuk mengerjakan sesuatu bagi dirinya sendiri.</w:t>
      </w:r>
    </w:p>
    <w:p w:rsidR="007A3857" w:rsidRDefault="007A3857" w:rsidP="007A3857">
      <w:pPr>
        <w:spacing w:line="480" w:lineRule="auto"/>
        <w:ind w:firstLine="720"/>
        <w:jc w:val="both"/>
      </w:pPr>
      <w:r>
        <w:t xml:space="preserve">Rumusan korupsi pada Pasal 12 huruf e Undang-Undang Nomor </w:t>
      </w:r>
      <w:r>
        <w:rPr>
          <w:bCs/>
        </w:rPr>
        <w:t>20 Tahun 2001 tentang Perubahan</w:t>
      </w:r>
      <w:r>
        <w:t xml:space="preserve"> Undang-Undang Nomor</w:t>
      </w:r>
      <w:r>
        <w:rPr>
          <w:bCs/>
        </w:rPr>
        <w:t xml:space="preserve"> 31 Tahun 1999</w:t>
      </w:r>
      <w:r>
        <w:t xml:space="preserve"> tentang Pemberantasan Korupsi berasal dari Pasal 423 KUHP yang dirujuk dalam Pasal 12 Undang-Undang Nomor </w:t>
      </w:r>
      <w:r>
        <w:rPr>
          <w:bCs/>
        </w:rPr>
        <w:t>20 Tahun 2001 tentang Perubahan</w:t>
      </w:r>
      <w:r>
        <w:t xml:space="preserve"> Undang-Undang Nomor</w:t>
      </w:r>
      <w:r>
        <w:rPr>
          <w:bCs/>
        </w:rPr>
        <w:t xml:space="preserve"> 31 Tahun 1999</w:t>
      </w:r>
      <w:r>
        <w:t xml:space="preserve"> tentang Pemberantasan Korupsi sebagai tindak pidana korupsi, yang kemudian dirumuskan ulang pada Undang-Undang Nomor </w:t>
      </w:r>
      <w:r>
        <w:rPr>
          <w:bCs/>
        </w:rPr>
        <w:t>20 Tahun 2001 tentang Perubahan</w:t>
      </w:r>
      <w:r>
        <w:t xml:space="preserve"> Undang-Undang Nomor</w:t>
      </w:r>
      <w:r>
        <w:rPr>
          <w:bCs/>
        </w:rPr>
        <w:t xml:space="preserve"> 31 Tahun 1999</w:t>
      </w:r>
      <w:r>
        <w:t xml:space="preserve"> tentang Pemberantasan Korupsi menjelaskan definisi pungutan liar adalah suatu perbuatan </w:t>
      </w:r>
      <w:r>
        <w:lastRenderedPageBreak/>
        <w:t>yang dilakukan pegawai negeri atau penyelenggara yang dengan maksud menguntungkan diri sendiri atau orang lain secara melawan hukum, atau dengan menyalahgunakan kekuasaannya memaksa seseorang memberikan sesuatu, membayar, atau menerima pembayaran dengan potongan, atau untuk mengerjakan sesuatu bagi dirinya sendiri.</w:t>
      </w:r>
    </w:p>
    <w:p w:rsidR="007A3857" w:rsidRDefault="007A3857" w:rsidP="007A3857">
      <w:pPr>
        <w:spacing w:line="480" w:lineRule="auto"/>
        <w:ind w:firstLine="720"/>
        <w:jc w:val="both"/>
      </w:pPr>
      <w:r>
        <w:t xml:space="preserve">Istilah lain yang dipergunakan oleh masyarakat mengenai pungutan liar atau pungli adalah uang sogokan, uang pelicin, </w:t>
      </w:r>
      <w:proofErr w:type="gramStart"/>
      <w:r>
        <w:t>salam</w:t>
      </w:r>
      <w:proofErr w:type="gramEnd"/>
      <w:r>
        <w:t xml:space="preserve"> tempel dan lain lain. “Pungutan liar pada hakekatnya adalah interaksi antara petugas dengan masyarakat yang didorong oleh berbagai kepentingan pribadi”.</w:t>
      </w:r>
      <w:r>
        <w:rPr>
          <w:rStyle w:val="FootnoteReference"/>
        </w:rPr>
        <w:footnoteReference w:id="20"/>
      </w:r>
    </w:p>
    <w:p w:rsidR="007A3857" w:rsidRDefault="007A3857" w:rsidP="007A3857">
      <w:pPr>
        <w:autoSpaceDE w:val="0"/>
        <w:autoSpaceDN w:val="0"/>
        <w:adjustRightInd w:val="0"/>
        <w:spacing w:line="480" w:lineRule="auto"/>
        <w:ind w:firstLine="720"/>
        <w:jc w:val="both"/>
      </w:pPr>
      <w:r>
        <w:t>“Pungli tidak dapat lepas dari budaya yang namanya upeti untuk pihak penguasa”.</w:t>
      </w:r>
      <w:r>
        <w:rPr>
          <w:rStyle w:val="FootnoteReference"/>
        </w:rPr>
        <w:footnoteReference w:id="21"/>
      </w:r>
      <w:r>
        <w:t xml:space="preserve"> Walaupun upeti ini bisa disamakan dengan pajak di zaman sekarang yang tentu sah karena aturan, </w:t>
      </w:r>
      <w:proofErr w:type="gramStart"/>
      <w:r>
        <w:t>akan</w:t>
      </w:r>
      <w:proofErr w:type="gramEnd"/>
      <w:r>
        <w:t xml:space="preserve"> tetapi, karena pemberian upeti tersebut lambat laun menjadi kebiasaan, maka terus dilakukan sampai sekarang. </w:t>
      </w:r>
    </w:p>
    <w:p w:rsidR="007A3857" w:rsidRDefault="007A3857" w:rsidP="007A3857">
      <w:pPr>
        <w:autoSpaceDE w:val="0"/>
        <w:autoSpaceDN w:val="0"/>
        <w:adjustRightInd w:val="0"/>
        <w:spacing w:line="480" w:lineRule="auto"/>
        <w:ind w:firstLine="720"/>
        <w:jc w:val="both"/>
      </w:pPr>
      <w:r>
        <w:t>Pungutan liar tidak harus merugikan keuangan negara atau perekonomian negara. Pungutan liar merupakan perbuatan tercela yang dilakukan untuk menguntungkan diri sendiri dengan penyalahgunaan kekuasaan, memaksa orang lain untuk memberikan keuntungan finansial, melanggar kepercayaan dan merusak mental.</w:t>
      </w:r>
    </w:p>
    <w:p w:rsidR="007A3857" w:rsidRDefault="007A3857" w:rsidP="007A3857">
      <w:pPr>
        <w:spacing w:line="480" w:lineRule="auto"/>
        <w:ind w:firstLine="720"/>
        <w:jc w:val="both"/>
      </w:pPr>
      <w:r>
        <w:t>Pungutan liar atau pungli adalah pengenaan biaya di tempat yang tidak seharusnya biaya dikenakan atau dipungut.</w:t>
      </w:r>
      <w:r>
        <w:rPr>
          <w:rStyle w:val="FootnoteReference"/>
        </w:rPr>
        <w:footnoteReference w:id="22"/>
      </w:r>
      <w:r>
        <w:t xml:space="preserve"> Kegiatan pungutan liar bukanlah hal </w:t>
      </w:r>
      <w:r>
        <w:lastRenderedPageBreak/>
        <w:t>baru. Pungli berasal dari frasa pungutan liar yang secara etimologis dapat diartikan sebagai suatu kegiatan yang memungut bayaran/meminta uang secara paksa. Jadi pungli merupakan praktek kejahatan.</w:t>
      </w:r>
    </w:p>
    <w:p w:rsidR="007A3857" w:rsidRDefault="007A3857" w:rsidP="007A3857">
      <w:pPr>
        <w:spacing w:line="480" w:lineRule="auto"/>
        <w:ind w:firstLine="720"/>
        <w:jc w:val="both"/>
      </w:pPr>
      <w:r>
        <w:t xml:space="preserve">Pungutan liar merupakan perbuatan yang dilakukan oleh seseorang atau Pegawai Negeri atau Pejabat Negara dengan </w:t>
      </w:r>
      <w:proofErr w:type="gramStart"/>
      <w:r>
        <w:t>cara</w:t>
      </w:r>
      <w:proofErr w:type="gramEnd"/>
      <w:r>
        <w:t xml:space="preserve"> meminta pembayaran sejumlah uang yang tidak sesuai atau tidak berdasarkan peraturan yang berkaitan dengan pembayaran tersebut. Hal ini sering disamakan dengan perbuatan pemerasan.</w:t>
      </w:r>
      <w:r>
        <w:rPr>
          <w:rStyle w:val="FootnoteReference"/>
        </w:rPr>
        <w:footnoteReference w:id="23"/>
      </w:r>
    </w:p>
    <w:p w:rsidR="007A3857" w:rsidRDefault="007A3857" w:rsidP="007A3857">
      <w:pPr>
        <w:spacing w:line="480" w:lineRule="auto"/>
        <w:ind w:firstLine="720"/>
        <w:jc w:val="both"/>
      </w:pPr>
      <w:r>
        <w:t>Berdasarkan catatan dari Dokumen Perserikatan Bangsa-Bangsa Tentang Upaya Pemberantasan Korupsi, pungutan liar merupakan pungutan tidak resmi, permintaan, penerimaan segala pembayaran, hadiah atau keuntungan lainnya, secara langsung atau tidak langsung, oleh pejabat publik atau wakil yang dipilih dari suatu negara dari perusahaan swasta atau publik termasuk perusahaan transnasional atau individu dari negara lain yang dikaitkan dengan maksud untuk melakukan atau tidak melakukan suatu tugas yang berkaitan dengan suatu transaksi komersial internasional.</w:t>
      </w:r>
      <w:r>
        <w:rPr>
          <w:rStyle w:val="FootnoteReference"/>
        </w:rPr>
        <w:footnoteReference w:id="24"/>
      </w:r>
    </w:p>
    <w:p w:rsidR="007A3857" w:rsidRDefault="007A3857" w:rsidP="007A3857">
      <w:pPr>
        <w:spacing w:line="480" w:lineRule="auto"/>
        <w:ind w:firstLine="720"/>
        <w:jc w:val="both"/>
      </w:pPr>
      <w:r>
        <w:t>Tingginya tingkat ketidakpastian pelayanan sebagai akibat adanya prosedur pelayanan yang panjang dan melelahkan menjadi penyebab dari semakin banyaknya masyarakat yang menyerah ketika berhadapan dengan pelayanan publik yang korupsi. Hal ini merupakan salah satu faktor yang menyebabkan masyarakat cenderung semakin toleran terhadap praktik pungutan liar dalam penyelenggaraan pelayanan publik.</w:t>
      </w:r>
    </w:p>
    <w:p w:rsidR="007A3857" w:rsidRDefault="007A3857" w:rsidP="007A3857">
      <w:pPr>
        <w:spacing w:line="480" w:lineRule="auto"/>
        <w:ind w:firstLine="720"/>
        <w:jc w:val="both"/>
      </w:pPr>
      <w:r>
        <w:lastRenderedPageBreak/>
        <w:t>Tindakan kolutif dari masyarakat awalnya lebih banyak karena keterpaksaan, yaitu sebagai bentuk respons mereka terhadap kerumitan, pemaksaan dan ketidak pastian pelayanan publik. Perkembangannya masyarakat pengguna layanan justru banyak yang merasa lega ketika melakukan hal itu, atau bahkan mengharapkannya karena beranggapan hal itu dapat mempercepat urusannya, dan tidak menganggapnya sebagai praktik negatif yang merugikan berarti masyarakat kita telah ikut melembagakan praktik pungutan liar.</w:t>
      </w:r>
    </w:p>
    <w:p w:rsidR="007A3857" w:rsidRDefault="007A3857" w:rsidP="007A3857">
      <w:pPr>
        <w:spacing w:line="480" w:lineRule="auto"/>
        <w:ind w:firstLine="720"/>
        <w:jc w:val="both"/>
      </w:pPr>
      <w:r>
        <w:t>Instruksi Presiden No. 9 tahun 1977 tentang Operasi Penertiban merupakan salah satu upaya memberantas pungutan liar dengan tugas membersihkan pungutan liar, penertiban uang siluman, penertiban aparat pemda dan departemen. Untuk memperlancar dan mengefektifkan pelaksanaan penertiban ini ditugaskan kepada Menteri Negara Penertiban Aparatur Negara, untuk mengkoordinir pelaksanaannya dan Pangkopkamtib untuk membantu Departemen/Lembaga pelaksanaanya secara operasional.</w:t>
      </w:r>
    </w:p>
    <w:p w:rsidR="007A3857" w:rsidRDefault="007A3857" w:rsidP="007A3857">
      <w:pPr>
        <w:spacing w:line="480" w:lineRule="auto"/>
        <w:ind w:firstLine="720"/>
        <w:jc w:val="both"/>
      </w:pPr>
      <w:r>
        <w:t xml:space="preserve">Pemberantasan pungutan liar yang dipimpin oleh Panglima Komando Operasi Keamanan dan Ketertiban (Pangkopkamtib) yaitu Laksamana Sudomo. Jabatan Pangkopkamtib pada masa orde-baru merupakan institusi </w:t>
      </w:r>
      <w:r>
        <w:rPr>
          <w:i/>
          <w:iCs/>
        </w:rPr>
        <w:t xml:space="preserve">super body </w:t>
      </w:r>
      <w:r>
        <w:t>bidang politik, hukum dan keamanan. Militer, dan seluruh institusi penegak hukum di bawah kendali Pangkopkamtib. Pungutan liar di jembatan timbang dijadikan simbol pemberantasan pungutan liar. Karena “kebiasaan” di jembatan timbang, telah terjadi puluhan tahun. Begitu pula dengan institusi perizinan juga dituding sebagai sarang pungutan liar.</w:t>
      </w:r>
      <w:r>
        <w:rPr>
          <w:rStyle w:val="FootnoteReference"/>
        </w:rPr>
        <w:footnoteReference w:id="25"/>
      </w:r>
    </w:p>
    <w:p w:rsidR="007A3857" w:rsidRDefault="007A3857" w:rsidP="007A3857">
      <w:pPr>
        <w:spacing w:line="456" w:lineRule="auto"/>
        <w:ind w:firstLine="720"/>
        <w:jc w:val="both"/>
      </w:pPr>
      <w:r>
        <w:lastRenderedPageBreak/>
        <w:t xml:space="preserve">Prioritas penindakan Operasi Tertib adalah "pungutan liar" dalam segala bentuknya. </w:t>
      </w:r>
      <w:proofErr w:type="gramStart"/>
      <w:r>
        <w:t>khususnya</w:t>
      </w:r>
      <w:proofErr w:type="gramEnd"/>
      <w:r>
        <w:t xml:space="preserve"> pungutan liar yang menyangkut kepentingan masyarakat luas, seperti pungutan liar di jembatan timbang, pungutan liar oleh penegak hukum di semua instansi (hakim, jaksa, polisi), per-caloan kreta api/pesawat/kapal laut, pungutan liar pada pengurusan Ijin Mendirikan Bangunan (IMB) dan lain sebagainya.</w:t>
      </w:r>
      <w:r>
        <w:rPr>
          <w:rStyle w:val="FootnoteReference"/>
        </w:rPr>
        <w:footnoteReference w:id="26"/>
      </w:r>
    </w:p>
    <w:p w:rsidR="007A3857" w:rsidRDefault="007A3857" w:rsidP="007A3857">
      <w:pPr>
        <w:pStyle w:val="Default"/>
        <w:spacing w:line="456" w:lineRule="auto"/>
        <w:ind w:firstLine="708"/>
        <w:jc w:val="both"/>
        <w:rPr>
          <w:rFonts w:ascii="Times New Roman" w:hAnsi="Times New Roman" w:cs="Times New Roman"/>
        </w:rPr>
      </w:pPr>
      <w:r>
        <w:rPr>
          <w:rFonts w:ascii="Times New Roman" w:hAnsi="Times New Roman" w:cs="Times New Roman"/>
        </w:rPr>
        <w:t xml:space="preserve">Berdasarkan Instruksi Presiden Republik Indonesia Nomor 9 Tahun 1977 Tentang Operasi Tertib bertujuan untuk menghilangkan praktek-praktek yang dilakukan oleh oknum-oknum dalam aparatur Pemerintah yang tidak berdasarkan peraturan seperti pungutan liar dalam berbagai bentuknya dan untuk memperbaiki serta meningkatkan dayaguna dan hasil-guna aparatur Pemerintah, diperlukan adanya langkah-langkah penertiban secara menyeluruh dan terus menerus di dalam tubuh aparatur Pemerintah. </w:t>
      </w:r>
    </w:p>
    <w:p w:rsidR="007A3857" w:rsidRDefault="007A3857" w:rsidP="007A3857">
      <w:pPr>
        <w:pStyle w:val="Default"/>
        <w:spacing w:line="480" w:lineRule="auto"/>
        <w:ind w:firstLine="709"/>
        <w:jc w:val="both"/>
        <w:rPr>
          <w:rFonts w:ascii="Times New Roman" w:hAnsi="Times New Roman" w:cs="Times New Roman"/>
        </w:rPr>
      </w:pPr>
      <w:r>
        <w:rPr>
          <w:rFonts w:ascii="Times New Roman" w:hAnsi="Times New Roman" w:cs="Times New Roman"/>
        </w:rPr>
        <w:t>Operasi Tertib dibentuk untuk pembersihan pungutan liar di jalan-jalan, penertiban uang siluman di pelabuhan, baik pungutan tidak resmi maupun resmi, tetapi tidak sah menurut hukum.</w:t>
      </w:r>
      <w:r>
        <w:rPr>
          <w:rStyle w:val="FootnoteReference"/>
        </w:rPr>
        <w:footnoteReference w:id="27"/>
      </w:r>
      <w:r>
        <w:rPr>
          <w:rFonts w:ascii="Times New Roman" w:hAnsi="Times New Roman" w:cs="Times New Roman"/>
        </w:rPr>
        <w:t xml:space="preserve"> Namun, pada tahun 1977 sasaran penertibannya diperluas, beralih dari jalan-jalan ke aparat departemen dan daerah. Terbentuknya Operasi Tertib adalah juga pengakuan bahwa masih banyak yang tidak tertib dalam administrasi pemerintahan sehingga menciptakan pungutan liar. Adanya Operasi Tertib di lain pihak juga menyajikan harapan kepada masyarakat yang tahu bahwa tidak bersihnya aparatur negara sudah pada titik yang menimbulkan putus asa.</w:t>
      </w:r>
    </w:p>
    <w:p w:rsidR="007A3857" w:rsidRDefault="007A3857" w:rsidP="007A3857">
      <w:pPr>
        <w:pStyle w:val="Default"/>
        <w:spacing w:line="480" w:lineRule="auto"/>
        <w:ind w:firstLine="709"/>
        <w:jc w:val="both"/>
        <w:rPr>
          <w:rFonts w:ascii="Times New Roman" w:hAnsi="Times New Roman" w:cs="Times New Roman"/>
        </w:rPr>
      </w:pPr>
      <w:r>
        <w:rPr>
          <w:rFonts w:ascii="Times New Roman" w:hAnsi="Times New Roman" w:cs="Times New Roman"/>
        </w:rPr>
        <w:lastRenderedPageBreak/>
        <w:t>Memangkas biaya pungutan liar juga bertujuan untuk meringankan beban pengusaha, dan mengalihkan biaya tersebut untuk kepentingan buruh.</w:t>
      </w:r>
      <w:r>
        <w:rPr>
          <w:rStyle w:val="FootnoteReference"/>
        </w:rPr>
        <w:footnoteReference w:id="28"/>
      </w:r>
      <w:r>
        <w:rPr>
          <w:rFonts w:ascii="Times New Roman" w:hAnsi="Times New Roman" w:cs="Times New Roman"/>
        </w:rPr>
        <w:t xml:space="preserve"> Pemerintah tak perlu menempuh kebijakan populis yang seolah membela tapi sebenarnya dalam jangka panjang merugikan buruh.Berhasil tidaknya Operasi Tertib ini juga tergantung dari aparatur negara. Ada kesan bahwa atasan itu cenderung melindungi bawahan. Satu dan lain hal disebabkan karena pungutan liar memang terjadi dari atas sampai ke bawah. Bahkan tidak mustahil merupakan jaringan kerjasama dari atas ke bawah.</w:t>
      </w:r>
    </w:p>
    <w:p w:rsidR="007A3857" w:rsidRDefault="007A3857" w:rsidP="007A3857">
      <w:pPr>
        <w:pStyle w:val="BodyText"/>
        <w:spacing w:line="480" w:lineRule="auto"/>
        <w:ind w:firstLine="720"/>
        <w:rPr>
          <w:rFonts w:ascii="Times New Roman" w:hAnsi="Times New Roman"/>
        </w:rPr>
      </w:pPr>
      <w:r>
        <w:t>Pungutan liar atau pungli adalah jenis pelanggaran hukum meski demikian, praktek pungutan liar sering terjadi di dalam birokrasi di Indonesia karena lemahnya pengawasan dan supervise dikalangan instansi pemerintahan. Meski sejumlah lembaga pengawasan internal dan eksternal telah di bentuk, budaya pungutan liar dikalangan birokrasi tidak kunjung berkurang apalagi dihilangkan. Pada umumnya, pungutan liar dilakukan petugas pelayanan publik. Motifnya adalah untuk menambah penghasilan akibat gaji resmi para birokrat rata-rata masih tergolong rendah. Bila birokrasi tingkat tinggi bisa melakukan korupsi untuk menambah penghasilannya, maka birokrasi tingkat rendah melalui pungutan liar. Adanya kesempatan, lemahnya pengawasan dan rendahnya etika birokrat menjadi faktor pendorong suburnya perilaku korup melalui pungutan liar.</w:t>
      </w:r>
    </w:p>
    <w:p w:rsidR="007A3857" w:rsidRDefault="007A3857" w:rsidP="007A3857">
      <w:pPr>
        <w:pStyle w:val="BodyText"/>
        <w:spacing w:line="480" w:lineRule="auto"/>
        <w:ind w:firstLine="720"/>
      </w:pPr>
      <w:r>
        <w:lastRenderedPageBreak/>
        <w:t xml:space="preserve">Posisi masyarakat dalam proses pelayanan publik sangat rentan menjadi korban pungutan liar karena daya tawar yang rendah. Masyarakat dipaksa menyerahkan sejumlah uang tambahan karena ketiadaan lembaga pengawasan yang efektif untuk memaksa birokrat yang kerap melakukan pungutan liar. </w:t>
      </w:r>
    </w:p>
    <w:p w:rsidR="007A3857" w:rsidRDefault="007A3857" w:rsidP="007A3857">
      <w:pPr>
        <w:pStyle w:val="BodyText"/>
        <w:spacing w:line="480" w:lineRule="auto"/>
        <w:ind w:firstLine="720"/>
      </w:pPr>
      <w:r>
        <w:t xml:space="preserve">Masyarakat juga menyumbang kontribusi terhadap tumbuh suburnya praktek pungutan liar dengan </w:t>
      </w:r>
      <w:proofErr w:type="gramStart"/>
      <w:r>
        <w:t>cara</w:t>
      </w:r>
      <w:proofErr w:type="gramEnd"/>
      <w:r>
        <w:t xml:space="preserve"> membiasakan diri member uang tanpa mampu bersikap kritis melakukan penolakan pembayaran di luar biaya resmi.</w:t>
      </w:r>
    </w:p>
    <w:p w:rsidR="007A3857" w:rsidRDefault="007A3857" w:rsidP="007A3857">
      <w:pPr>
        <w:pStyle w:val="ListParagraph"/>
        <w:numPr>
          <w:ilvl w:val="2"/>
          <w:numId w:val="17"/>
        </w:numPr>
        <w:spacing w:line="516" w:lineRule="auto"/>
        <w:ind w:left="360"/>
        <w:rPr>
          <w:rFonts w:ascii="Times New Roman" w:hAnsi="Times New Roman"/>
          <w:b/>
          <w:sz w:val="24"/>
          <w:szCs w:val="24"/>
        </w:rPr>
      </w:pPr>
      <w:bookmarkStart w:id="5" w:name="_Hlk147867258"/>
      <w:r>
        <w:rPr>
          <w:rFonts w:ascii="Times New Roman" w:hAnsi="Times New Roman"/>
          <w:b/>
          <w:sz w:val="24"/>
          <w:szCs w:val="24"/>
        </w:rPr>
        <w:t xml:space="preserve">Bentuk-Bentuk Pungutan Liar </w:t>
      </w:r>
      <w:bookmarkEnd w:id="5"/>
    </w:p>
    <w:p w:rsidR="007A3857" w:rsidRDefault="007A3857" w:rsidP="007A3857">
      <w:pPr>
        <w:pStyle w:val="NormalWeb"/>
        <w:spacing w:before="0" w:beforeAutospacing="0" w:after="0" w:afterAutospacing="0" w:line="516" w:lineRule="auto"/>
        <w:ind w:firstLine="720"/>
        <w:jc w:val="both"/>
        <w:rPr>
          <w:rFonts w:eastAsia="Calibri"/>
          <w:color w:val="000000"/>
        </w:rPr>
      </w:pPr>
      <w:r>
        <w:t>‎</w:t>
      </w:r>
      <w:r>
        <w:rPr>
          <w:rFonts w:eastAsia="Calibri"/>
          <w:color w:val="000000"/>
        </w:rPr>
        <w:t>Pungutan liar semakin merajarela seiring dengan perkembangan zaman ditambah dengan perekonomian yang semakin kompleks. Masalah pungutan liar adalah masalah yang klasik. Orang-orang yang memanfaatkan keadaan untuk mendapatkan suatu keuntungan tertentu.</w:t>
      </w:r>
    </w:p>
    <w:p w:rsidR="007A3857" w:rsidRDefault="007A3857" w:rsidP="007A3857">
      <w:pPr>
        <w:pStyle w:val="BodyText"/>
        <w:ind w:firstLine="708"/>
      </w:pPr>
      <w:r>
        <w:t>Secara umum terjadinya pungli disebabkan:</w:t>
      </w:r>
    </w:p>
    <w:p w:rsidR="007A3857" w:rsidRDefault="007A3857" w:rsidP="007A3857">
      <w:pPr>
        <w:pStyle w:val="BodyText"/>
        <w:ind w:firstLine="708"/>
      </w:pPr>
    </w:p>
    <w:p w:rsidR="007A3857" w:rsidRDefault="007A3857" w:rsidP="007A3857">
      <w:pPr>
        <w:numPr>
          <w:ilvl w:val="5"/>
          <w:numId w:val="17"/>
        </w:numPr>
        <w:autoSpaceDE w:val="0"/>
        <w:autoSpaceDN w:val="0"/>
        <w:adjustRightInd w:val="0"/>
        <w:ind w:left="993" w:hanging="283"/>
        <w:jc w:val="both"/>
      </w:pPr>
      <w:r>
        <w:t>Adanya ketidakpastian pelayanan sebagai akibat adanya prosedur pelayanan yang panjang dan melelahkan sehingga masyarakat menyerah ketika berhadapan dengan pelayanan publik yang korup.</w:t>
      </w:r>
    </w:p>
    <w:p w:rsidR="007A3857" w:rsidRDefault="007A3857" w:rsidP="007A3857">
      <w:pPr>
        <w:numPr>
          <w:ilvl w:val="5"/>
          <w:numId w:val="17"/>
        </w:numPr>
        <w:autoSpaceDE w:val="0"/>
        <w:autoSpaceDN w:val="0"/>
        <w:adjustRightInd w:val="0"/>
        <w:ind w:left="993" w:hanging="283"/>
        <w:jc w:val="both"/>
      </w:pPr>
      <w:r>
        <w:t>Penyalahgunaan wewenang, jabatan atau kewenangan yang melekat pada seseorang.</w:t>
      </w:r>
    </w:p>
    <w:p w:rsidR="007A3857" w:rsidRDefault="007A3857" w:rsidP="007A3857">
      <w:pPr>
        <w:numPr>
          <w:ilvl w:val="5"/>
          <w:numId w:val="17"/>
        </w:numPr>
        <w:autoSpaceDE w:val="0"/>
        <w:autoSpaceDN w:val="0"/>
        <w:adjustRightInd w:val="0"/>
        <w:ind w:left="993" w:hanging="283"/>
        <w:jc w:val="both"/>
      </w:pPr>
      <w:r>
        <w:t>Faktor ekonomi. Penghasilan yang tidak mencukupi kebutuhan hidup atau tidak sebanding dengan tugas atau jabatan yang diemban membuat seseorang terdorong untuk melakukan pungli.</w:t>
      </w:r>
    </w:p>
    <w:p w:rsidR="007A3857" w:rsidRDefault="007A3857" w:rsidP="007A3857">
      <w:pPr>
        <w:numPr>
          <w:ilvl w:val="5"/>
          <w:numId w:val="17"/>
        </w:numPr>
        <w:autoSpaceDE w:val="0"/>
        <w:autoSpaceDN w:val="0"/>
        <w:adjustRightInd w:val="0"/>
        <w:ind w:left="993" w:hanging="283"/>
        <w:jc w:val="both"/>
      </w:pPr>
      <w:r>
        <w:t>Faktor kultural dan budaya organisasi, yang terbentuk dan berjalan terus menerus di suatu lembaga agar pungutan liar dan penyuapan, dapat menyebabkan pungutan liar sebagai hal biasa.</w:t>
      </w:r>
    </w:p>
    <w:p w:rsidR="007A3857" w:rsidRDefault="007A3857" w:rsidP="007A3857">
      <w:pPr>
        <w:numPr>
          <w:ilvl w:val="5"/>
          <w:numId w:val="17"/>
        </w:numPr>
        <w:autoSpaceDE w:val="0"/>
        <w:autoSpaceDN w:val="0"/>
        <w:adjustRightInd w:val="0"/>
        <w:ind w:left="993" w:hanging="283"/>
        <w:jc w:val="both"/>
      </w:pPr>
      <w:r>
        <w:t>Terbatasnya sumber daya manusia.</w:t>
      </w:r>
    </w:p>
    <w:p w:rsidR="007A3857" w:rsidRDefault="007A3857" w:rsidP="007A3857">
      <w:pPr>
        <w:numPr>
          <w:ilvl w:val="5"/>
          <w:numId w:val="17"/>
        </w:numPr>
        <w:autoSpaceDE w:val="0"/>
        <w:autoSpaceDN w:val="0"/>
        <w:adjustRightInd w:val="0"/>
        <w:ind w:left="993" w:hanging="283"/>
        <w:jc w:val="both"/>
      </w:pPr>
      <w:r>
        <w:lastRenderedPageBreak/>
        <w:t>Lemahnya sistem kontrol dan pengawasan oleh atasan.</w:t>
      </w:r>
      <w:r>
        <w:rPr>
          <w:rStyle w:val="FootnoteReference"/>
        </w:rPr>
        <w:t xml:space="preserve"> </w:t>
      </w:r>
      <w:r>
        <w:rPr>
          <w:rStyle w:val="FootnoteReference"/>
        </w:rPr>
        <w:footnoteReference w:id="29"/>
      </w:r>
    </w:p>
    <w:p w:rsidR="007A3857" w:rsidRDefault="007A3857" w:rsidP="007A3857">
      <w:pPr>
        <w:autoSpaceDE w:val="0"/>
        <w:autoSpaceDN w:val="0"/>
        <w:adjustRightInd w:val="0"/>
        <w:jc w:val="both"/>
      </w:pPr>
    </w:p>
    <w:p w:rsidR="007A3857" w:rsidRDefault="007A3857" w:rsidP="007A3857">
      <w:pPr>
        <w:autoSpaceDE w:val="0"/>
        <w:autoSpaceDN w:val="0"/>
        <w:adjustRightInd w:val="0"/>
        <w:spacing w:line="480" w:lineRule="auto"/>
        <w:ind w:firstLine="709"/>
        <w:jc w:val="both"/>
      </w:pPr>
      <w:r>
        <w:t>Jauh sebelum mengenal istilah pungli KUHP telah mengidentifikasi transaksi haram ini ke dalam beberapa istilah, seperti: pemerasan (Pasal 368), gratifikasi/hadiah (Pasal 418), melawan hukum dan menyalahgunakan wewenang (Pasal 423). Tahun 1977, yaitu saat Kaskopkamtib yang bertindak selaku Kepala Operasi Tertib bersama Menpan dengan gencar melancarkan Operasi Tertib (OPSTIB), yang sasaran utamanya adalah pungutan liar, maka istilah pungli menjadi terkenal, dan penertiban pungli pun disertai penertiban Usil (uang siluman), yaitu merujuk kepada mobilisasi uang yang diparkir dalam jangka waktu tertentu untuk dana taktis kantor.</w:t>
      </w:r>
      <w:r>
        <w:rPr>
          <w:rStyle w:val="FootnoteReference"/>
        </w:rPr>
        <w:footnoteReference w:id="30"/>
      </w:r>
    </w:p>
    <w:p w:rsidR="007A3857" w:rsidRDefault="007A3857" w:rsidP="007A3857">
      <w:pPr>
        <w:pStyle w:val="BodyText"/>
        <w:spacing w:line="480" w:lineRule="auto"/>
        <w:ind w:left="11" w:firstLine="697"/>
        <w:rPr>
          <w:rFonts w:ascii="Times New Roman" w:hAnsi="Times New Roman"/>
          <w:szCs w:val="24"/>
        </w:rPr>
      </w:pPr>
      <w:r>
        <w:t xml:space="preserve">Kondisi pelayanan yang buruk dimanfaatkan oleh oknum untuk meminta uang tambahan. Oknum </w:t>
      </w:r>
      <w:r>
        <w:rPr>
          <w:iCs/>
        </w:rPr>
        <w:t xml:space="preserve">calo </w:t>
      </w:r>
      <w:r>
        <w:t xml:space="preserve">yang bekerja </w:t>
      </w:r>
      <w:proofErr w:type="gramStart"/>
      <w:r>
        <w:t>sama</w:t>
      </w:r>
      <w:proofErr w:type="gramEnd"/>
      <w:r>
        <w:t xml:space="preserve"> dengan </w:t>
      </w:r>
      <w:r>
        <w:rPr>
          <w:iCs/>
        </w:rPr>
        <w:t>orang dalam</w:t>
      </w:r>
      <w:r>
        <w:rPr>
          <w:i/>
          <w:iCs/>
        </w:rPr>
        <w:t xml:space="preserve"> </w:t>
      </w:r>
      <w:r>
        <w:t xml:space="preserve">atau orang dalam sendiri yang bertindak sebagai </w:t>
      </w:r>
      <w:r>
        <w:rPr>
          <w:i/>
          <w:iCs/>
        </w:rPr>
        <w:t xml:space="preserve">calo </w:t>
      </w:r>
      <w:r>
        <w:t xml:space="preserve">biasanya menawarkan bantuan kepada warga masyarakat pemohon layanan untuk membantu penyelesaian layanan secara cepat dengan imbalan berupa uang dalam jumlah tertentu. Seolah-olah tidak mau </w:t>
      </w:r>
      <w:proofErr w:type="gramStart"/>
      <w:r>
        <w:t>susah</w:t>
      </w:r>
      <w:proofErr w:type="gramEnd"/>
      <w:r>
        <w:rPr>
          <w:i/>
          <w:iCs/>
        </w:rPr>
        <w:t xml:space="preserve"> </w:t>
      </w:r>
      <w:r>
        <w:t xml:space="preserve">dengan kondisi yang ada, warga masyarakat seperti memaklumi tawaran sang oknum tersebut. Anehnya, masyarakat kemudian mulai terbiasa dengan pemberian uang pelicin karena merupakan satu-satunya </w:t>
      </w:r>
      <w:proofErr w:type="gramStart"/>
      <w:r>
        <w:t>cara</w:t>
      </w:r>
      <w:proofErr w:type="gramEnd"/>
      <w:r>
        <w:t xml:space="preserve"> mereka untuk mendapatkan layanan secara cepat. Bahkan, dalam </w:t>
      </w:r>
      <w:r>
        <w:lastRenderedPageBreak/>
        <w:t xml:space="preserve">kondisi pelayanan sudah prima sekalipun, masyarakat masih merasa </w:t>
      </w:r>
      <w:r>
        <w:rPr>
          <w:iCs/>
        </w:rPr>
        <w:t>tidak enak</w:t>
      </w:r>
      <w:r>
        <w:rPr>
          <w:i/>
          <w:iCs/>
        </w:rPr>
        <w:t xml:space="preserve"> </w:t>
      </w:r>
      <w:r>
        <w:t>jika tidak memberikan uang pelicin kepada pegawai instansi pemerintah pemberi pelayanan sebagai tanda terima kasih.</w:t>
      </w:r>
    </w:p>
    <w:p w:rsidR="007A3857" w:rsidRDefault="007A3857" w:rsidP="007A3857">
      <w:pPr>
        <w:pStyle w:val="BodyText"/>
        <w:spacing w:line="480" w:lineRule="auto"/>
        <w:ind w:left="11" w:firstLine="697"/>
      </w:pPr>
      <w:r>
        <w:t xml:space="preserve">Uang pelicin memang tidak menyebabkan kerugian negara secara langsung namun praktek tersebut dalam jangka panjang </w:t>
      </w:r>
      <w:proofErr w:type="gramStart"/>
      <w:r>
        <w:t>akan</w:t>
      </w:r>
      <w:proofErr w:type="gramEnd"/>
      <w:r>
        <w:t xml:space="preserve"> merusak integritas dan mentalitas para pegawai instansi pemerintah pemberi pelayanan. Bagi para pegawai instansi pemerintah tersebut, sudah menjadi kewajibannya untuk memberikan pelayanan prima kepada warga masyarakat, tanpa harus menerima uang tambahan dari pemohon layanan. Selain itu praktek uang pelicin melanggar hak-hak warga masyarakat lainnya untuk mendapatkan perlakuan yang adil atas pelayanan publik.</w:t>
      </w:r>
    </w:p>
    <w:p w:rsidR="007A3857" w:rsidRDefault="007A3857" w:rsidP="007A3857">
      <w:pPr>
        <w:pStyle w:val="BodyText"/>
        <w:spacing w:line="480" w:lineRule="auto"/>
        <w:ind w:left="11" w:firstLine="697"/>
      </w:pPr>
      <w:r>
        <w:t xml:space="preserve">Membereskan masalah uang pelicin yang sudah membudaya di masyarakat tidak mudah untuk dilakukan. Nominal transaksinya relatif kecil sehingga penindakan hukum terhadapnya dirasakan membebani keuangan negara. Meski nominal transaksinya relatif kecil, namun jika intensitas transaksinya sering terjadi, maka secara akumulatif jumlahnya </w:t>
      </w:r>
      <w:proofErr w:type="gramStart"/>
      <w:r>
        <w:t>akan</w:t>
      </w:r>
      <w:proofErr w:type="gramEnd"/>
      <w:r>
        <w:t xml:space="preserve"> menjadi besar.</w:t>
      </w:r>
    </w:p>
    <w:p w:rsidR="007A3857" w:rsidRDefault="007A3857" w:rsidP="007A3857">
      <w:pPr>
        <w:pStyle w:val="BodyText"/>
        <w:spacing w:line="480" w:lineRule="auto"/>
        <w:ind w:left="11" w:firstLine="697"/>
        <w:rPr>
          <w:color w:val="000000"/>
        </w:rPr>
      </w:pPr>
      <w:r>
        <w:t xml:space="preserve">Modus oknum polisi dalam menjalankan praktik pungutan liar salah satu sasarannya yakni pada pembuatan </w:t>
      </w:r>
      <w:proofErr w:type="gramStart"/>
      <w:r>
        <w:t>surat</w:t>
      </w:r>
      <w:proofErr w:type="gramEnd"/>
      <w:r>
        <w:t xml:space="preserve"> izin </w:t>
      </w:r>
      <w:r>
        <w:lastRenderedPageBreak/>
        <w:t xml:space="preserve">mengemudi. Oknum polisi biasanya mengoordinasi para calo untuk mendekati masyarakat yang hendak membuat SIM kemudian petugas yang melakukan ujian praktik itu mempersulit. Berulang-ulang tidak meloloskan uji praktik SIM. Hal itulah yang memicu masyarakat mencari jalan pintas dan akhirnya terjadi tawar-menawar diantara mereka dan dipungutlah sejumlah uang pelicin untuk membantu meloloskan pemohon SIM tersebut. Hal serupa terjadi saat polisi lalu lintas menilang seseorang di jalanan. Oknum polisi melakukan razia di luar jadwal operasi demi memeras pengguna jalan. Oknum polisi pura-pura </w:t>
      </w:r>
      <w:proofErr w:type="gramStart"/>
      <w:r>
        <w:t>akan</w:t>
      </w:r>
      <w:proofErr w:type="gramEnd"/>
      <w:r>
        <w:t xml:space="preserve"> menilang pelaku pelanggaran lalu lintas tetapi karena diberikan uang, maka oknum polisi tidak jadi memberikan surat tilang.</w:t>
      </w:r>
      <w:r>
        <w:rPr>
          <w:rStyle w:val="FootnoteReference"/>
          <w:color w:val="000000"/>
        </w:rPr>
        <w:t xml:space="preserve"> </w:t>
      </w:r>
    </w:p>
    <w:p w:rsidR="007A3857" w:rsidRDefault="007A3857" w:rsidP="007A3857">
      <w:pPr>
        <w:numPr>
          <w:ilvl w:val="2"/>
          <w:numId w:val="17"/>
        </w:numPr>
        <w:autoSpaceDE w:val="0"/>
        <w:autoSpaceDN w:val="0"/>
        <w:adjustRightInd w:val="0"/>
        <w:ind w:left="360"/>
        <w:jc w:val="both"/>
        <w:rPr>
          <w:color w:val="000000"/>
        </w:rPr>
      </w:pPr>
      <w:bookmarkStart w:id="8" w:name="_Hlk175237231"/>
      <w:r>
        <w:rPr>
          <w:b/>
          <w:bCs/>
          <w:color w:val="000000"/>
        </w:rPr>
        <w:t>Kode Etik Profesi Kepolisian Negara Republik Indonesia</w:t>
      </w:r>
      <w:bookmarkEnd w:id="8"/>
    </w:p>
    <w:p w:rsidR="007A3857" w:rsidRDefault="007A3857" w:rsidP="007A3857">
      <w:pPr>
        <w:autoSpaceDE w:val="0"/>
        <w:autoSpaceDN w:val="0"/>
        <w:adjustRightInd w:val="0"/>
        <w:jc w:val="both"/>
        <w:rPr>
          <w:color w:val="000000"/>
        </w:rPr>
      </w:pPr>
    </w:p>
    <w:p w:rsidR="007A3857" w:rsidRDefault="007A3857" w:rsidP="007A3857">
      <w:pPr>
        <w:autoSpaceDE w:val="0"/>
        <w:autoSpaceDN w:val="0"/>
        <w:adjustRightInd w:val="0"/>
        <w:spacing w:line="480" w:lineRule="auto"/>
        <w:ind w:firstLine="709"/>
        <w:jc w:val="both"/>
        <w:rPr>
          <w:color w:val="000000"/>
        </w:rPr>
      </w:pPr>
      <w:r>
        <w:rPr>
          <w:color w:val="000000"/>
        </w:rPr>
        <w:t xml:space="preserve">Kode etik profesi Kepolisian Negara Republi Indonesia menjadi pedoman bagi anggota Kepolisian Negara Republik Indonesia (polisi), sikap dan prilaku polisi terkait pada kode etik profesi Kepolisian Negara Republik Indonesia.5 Pada peraturan Peraturan Kepolisian Negara Republik Indonesia Nomor 7 Tahun 2022 Tentang Kode Etik Profesi dan Komisi Kode Etik Kepolisian Negara Republik Indonesia dalam Pasal 1 mengenai bahwa Kode Etik Profesi Polri (KEPP) adalah norma-norma atau aturan-aturan yang merupakan kesatuan landasan etik atau filosofis yang berkaitan dengan perilaku maupun ucapan mengenai hal-hal yang </w:t>
      </w:r>
      <w:r>
        <w:rPr>
          <w:color w:val="000000"/>
        </w:rPr>
        <w:lastRenderedPageBreak/>
        <w:t>diwajibkan, dilarang, patut atau tidak patut dilakukan oleh anggota Polri dalam melaksanakan tugas, wewenang dan tanggung jawab jabatan.</w:t>
      </w:r>
      <w:r>
        <w:rPr>
          <w:rStyle w:val="FootnoteReference"/>
          <w:color w:val="000000"/>
        </w:rPr>
        <w:footnoteReference w:id="31"/>
      </w:r>
    </w:p>
    <w:p w:rsidR="007A3857" w:rsidRDefault="007A3857" w:rsidP="007A3857">
      <w:pPr>
        <w:autoSpaceDE w:val="0"/>
        <w:autoSpaceDN w:val="0"/>
        <w:adjustRightInd w:val="0"/>
        <w:spacing w:line="480" w:lineRule="auto"/>
        <w:ind w:firstLine="709"/>
        <w:jc w:val="both"/>
        <w:rPr>
          <w:color w:val="000000"/>
        </w:rPr>
      </w:pPr>
      <w:r>
        <w:rPr>
          <w:color w:val="000000"/>
        </w:rPr>
        <w:t xml:space="preserve">Anggota Polri melanggar kode etik berarti </w:t>
      </w:r>
      <w:proofErr w:type="gramStart"/>
      <w:r>
        <w:rPr>
          <w:color w:val="000000"/>
        </w:rPr>
        <w:t>sama</w:t>
      </w:r>
      <w:proofErr w:type="gramEnd"/>
      <w:r>
        <w:rPr>
          <w:color w:val="000000"/>
        </w:rPr>
        <w:t xml:space="preserve"> halnya dengan melanggar hukum. Karena yang dilanggar tersebut seperti melanggar tugas, pelayan, pelindung dan pengayom masyarakat. Padahal amanat Undang-undang yang dirumuskan di dalam peraturan Kapolri ketika melanggar kode etik </w:t>
      </w:r>
      <w:proofErr w:type="gramStart"/>
      <w:r>
        <w:rPr>
          <w:color w:val="000000"/>
        </w:rPr>
        <w:t>sama</w:t>
      </w:r>
      <w:proofErr w:type="gramEnd"/>
      <w:r>
        <w:rPr>
          <w:color w:val="000000"/>
        </w:rPr>
        <w:t xml:space="preserve"> dengan melanggar hukum. Dar penjelasan di atas bisa disimpulkan apabila anggota Polri yang melanggar kode etik profesinya </w:t>
      </w:r>
      <w:proofErr w:type="gramStart"/>
      <w:r>
        <w:rPr>
          <w:color w:val="000000"/>
        </w:rPr>
        <w:t>sama</w:t>
      </w:r>
      <w:proofErr w:type="gramEnd"/>
      <w:r>
        <w:rPr>
          <w:color w:val="000000"/>
        </w:rPr>
        <w:t xml:space="preserve"> seperti anggota Polri melanggar hukum yang merupakan wewenang dan tugasnya sebagai anggota Polri dalam mengayomi dan melayani masyarakat.</w:t>
      </w:r>
      <w:r>
        <w:rPr>
          <w:rStyle w:val="FootnoteReference"/>
          <w:color w:val="000000"/>
        </w:rPr>
        <w:footnoteReference w:id="32"/>
      </w:r>
    </w:p>
    <w:p w:rsidR="007A3857" w:rsidRDefault="007A3857" w:rsidP="007A3857">
      <w:pPr>
        <w:autoSpaceDE w:val="0"/>
        <w:autoSpaceDN w:val="0"/>
        <w:adjustRightInd w:val="0"/>
        <w:spacing w:line="480" w:lineRule="auto"/>
        <w:ind w:firstLine="709"/>
        <w:jc w:val="both"/>
      </w:pPr>
      <w:r>
        <w:t xml:space="preserve">Kode etik profesi Polri diatur dengan </w:t>
      </w:r>
      <w:bookmarkStart w:id="12" w:name="_Hlk175182291"/>
      <w:r>
        <w:rPr>
          <w:color w:val="000000"/>
        </w:rPr>
        <w:t>Peraturan Kepolisian Negara Republik Indonesia Nomor 7 Tahun 2022 Tentang Kode Etik Profesi dan Komisi Kode Etik Kepolisian Negara Republik Indonesia</w:t>
      </w:r>
      <w:bookmarkEnd w:id="12"/>
      <w:r>
        <w:t xml:space="preserve">. Peningkatan pengaturan kode etik profesi Polri dalam bentuk peraturan Kapolri adalah untuk memenuhi ketentuan Undang-undang Nomor 10 Tahun 2004 Tentang pembentukan peraturan perundang-undangan. Menurut pasal 7 ayat (4) Undang-undang Nomor 10 Tahun 2004, peraturan perundang-undangan lain diakui keberadaannya dan mempunyai kekuatan hukum secara mengikat sepanjang diperintahkan oleh peraturan perundang-undangan yang lebih tinggi. Dalam penjelasan pasal tersebut dikatakan bahwa salah satu jenis peraturan perundang-undangan lain adalah peraturan yang dikeluarkan oleh Menteri. KAPOLRI adalah pejabat setingkat </w:t>
      </w:r>
      <w:r>
        <w:lastRenderedPageBreak/>
        <w:t xml:space="preserve">menteri, karena bertanggung jawab langsung kepada Presiden, sehingga peraturan yang dikeluarkan Kapolri mempunyai kekuatan mengikat dan peningkatan pengaturan Kode Etik Profesi tersebut tidak hanya mengikat anggota Polri tetapi juga mengikat pengemban fungsi kepolisian lainnya dan sekaligus menjadi pedoman perilaku dan sekaligus menjadi pedoman moral bagi anggota POLRI sebagai upaya pemuliaan terhadap profesi Kepolisian yang berfungsi sebagai pembimbing, pengabdian sekaligus menjadi pengawas hati nurani setiap anggota POLRI agar terhindar dari perbuatan tercela dan penyalahgunaan wewenang. </w:t>
      </w:r>
    </w:p>
    <w:p w:rsidR="007A3857" w:rsidRDefault="007A3857" w:rsidP="007A3857">
      <w:pPr>
        <w:autoSpaceDE w:val="0"/>
        <w:autoSpaceDN w:val="0"/>
        <w:adjustRightInd w:val="0"/>
        <w:spacing w:line="480" w:lineRule="auto"/>
        <w:ind w:firstLine="709"/>
        <w:jc w:val="both"/>
      </w:pPr>
      <w:r>
        <w:t xml:space="preserve">Pasal 1 ayat (5) </w:t>
      </w:r>
      <w:r>
        <w:rPr>
          <w:color w:val="000000"/>
        </w:rPr>
        <w:t>Peraturan Kepolisian Negara Republik Indonesia Nomor 7 Tahun 2022 Tentang Kode Etik Profesi dan Komisi Kode Etik Kepolisian Negara Republik Indonesia</w:t>
      </w:r>
      <w:r>
        <w:t xml:space="preserve"> disebutkan bahwa Kode Etik Profesi Kepolisian Negara Republik Indonesia yang selanjutnya disingkat KEPP adalah norma atau aturan moral baik tertulis maupun tidak tertulis yang menjadi pedoman sikap, perilaku dan perbuatan pejabat Kepolisian Negara Republik Indonesia dalam melaksanakan tugas, wewenang, tanggung jawab serta kehidupan sehari-hari.</w:t>
      </w:r>
    </w:p>
    <w:p w:rsidR="007A3857" w:rsidRDefault="007A3857" w:rsidP="007A3857">
      <w:pPr>
        <w:autoSpaceDE w:val="0"/>
        <w:autoSpaceDN w:val="0"/>
        <w:adjustRightInd w:val="0"/>
        <w:spacing w:line="480" w:lineRule="auto"/>
        <w:ind w:firstLine="709"/>
        <w:jc w:val="both"/>
      </w:pPr>
      <w:r>
        <w:rPr>
          <w:color w:val="000000"/>
        </w:rPr>
        <w:t xml:space="preserve">Berdasarkan hal tersebut, maka dapat </w:t>
      </w:r>
      <w:r>
        <w:t>diambil kesimpulan bahwa kode etik profesi polri memiliki sebuah fungsi yang dikhususkan sebagai pembimbing sikap POLRI ketika sedang menjalakan tugas sebagai mestinya dan diharapkan anggota kepolisian tidak melanggar nilai-nilai etika sehingga tidak menyalahgunakan wewenang dan kewajibannya dalam menjalankan tugas.</w:t>
      </w:r>
    </w:p>
    <w:p w:rsidR="007A3857" w:rsidRDefault="007A3857" w:rsidP="007A3857">
      <w:pPr>
        <w:autoSpaceDE w:val="0"/>
        <w:autoSpaceDN w:val="0"/>
        <w:adjustRightInd w:val="0"/>
        <w:spacing w:line="480" w:lineRule="auto"/>
        <w:ind w:firstLine="709"/>
        <w:jc w:val="both"/>
      </w:pPr>
      <w:r>
        <w:t xml:space="preserve">Agar lebih mengetahui tentang pokok kode etik profesi polri yang ada di dalam </w:t>
      </w:r>
      <w:r>
        <w:rPr>
          <w:color w:val="000000"/>
        </w:rPr>
        <w:t xml:space="preserve">Peraturan Kepolisian Negara Republik Indonesia Nomor 7 Tahun 2022 Tentang Kode Etik Profesi dan Komisi Kode Etik Kepolisian Negara Republik </w:t>
      </w:r>
      <w:r>
        <w:rPr>
          <w:color w:val="000000"/>
        </w:rPr>
        <w:lastRenderedPageBreak/>
        <w:t>Indonesia</w:t>
      </w:r>
      <w:r>
        <w:t xml:space="preserve"> yang mempunyai isi kandungan berupa moral bagi anggora polri, yang berhubungan dengan etika kepribadian, kemasyarakatan, kelembagaan, dan kenegaraan. Dari empat moral tersebut memiliki definisi sebagai </w:t>
      </w:r>
      <w:proofErr w:type="gramStart"/>
      <w:r>
        <w:t>berikut :</w:t>
      </w:r>
      <w:proofErr w:type="gramEnd"/>
    </w:p>
    <w:p w:rsidR="007A3857" w:rsidRDefault="007A3857" w:rsidP="007A3857">
      <w:pPr>
        <w:numPr>
          <w:ilvl w:val="3"/>
          <w:numId w:val="23"/>
        </w:numPr>
        <w:tabs>
          <w:tab w:val="left" w:pos="426"/>
        </w:tabs>
        <w:autoSpaceDE w:val="0"/>
        <w:autoSpaceDN w:val="0"/>
        <w:adjustRightInd w:val="0"/>
        <w:spacing w:line="480" w:lineRule="auto"/>
        <w:ind w:left="425" w:hanging="425"/>
        <w:jc w:val="both"/>
      </w:pPr>
      <w:r>
        <w:t>Etika Kenegaraan adalah norma-norma dalam KEPP yang memuat pedoman bersikap dan berperilaku setiap Pejabat Polri terhadap Negara Kesatuan Republik Indonesia, Pancasila, Undang-Undang Dasar Negara Republik Indonesia Tahun 1945, dan kebhinekatunggalikaan.</w:t>
      </w:r>
      <w:r>
        <w:rPr>
          <w:rStyle w:val="FootnoteReference"/>
        </w:rPr>
        <w:t xml:space="preserve"> </w:t>
      </w:r>
      <w:r>
        <w:rPr>
          <w:rStyle w:val="FootnoteReference"/>
        </w:rPr>
        <w:footnoteReference w:id="33"/>
      </w:r>
    </w:p>
    <w:p w:rsidR="007A3857" w:rsidRDefault="007A3857" w:rsidP="007A3857">
      <w:pPr>
        <w:autoSpaceDE w:val="0"/>
        <w:autoSpaceDN w:val="0"/>
        <w:adjustRightInd w:val="0"/>
        <w:spacing w:line="480" w:lineRule="auto"/>
        <w:ind w:firstLine="709"/>
        <w:jc w:val="both"/>
      </w:pPr>
      <w:r>
        <w:t xml:space="preserve">Etika kelembagaan mengacu pada tindakan moral petugas polisi dalam institusinya. Usaha ini dilakukan sebagai bentuk pelayanan dan harus dijaga dalam hubungan fisik melalui pembentukan kepolisian serta penghormatan terhadap harkat dan martabat. Maka, juga perlu menerapkan ajaran yang terkandung dalam Tribhata dan Chatur Prasetya. Kemudian, harus menjaga dan meningkatkan citra, solidaritas, wibawa, reputasi dan kehormatan polisi. Etika kelembagaan memberikan pedoman bagi tindakan petugas </w:t>
      </w:r>
      <w:proofErr w:type="gramStart"/>
      <w:r>
        <w:t>polisi :</w:t>
      </w:r>
      <w:proofErr w:type="gramEnd"/>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 xml:space="preserve">Tegaknya NKRI </w:t>
      </w:r>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 xml:space="preserve">Pancasila </w:t>
      </w:r>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 xml:space="preserve">UUD RI Tahun 1945 </w:t>
      </w:r>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Kebhinekaan.</w:t>
      </w:r>
      <w:r>
        <w:rPr>
          <w:rStyle w:val="FootnoteReference"/>
          <w:color w:val="000000"/>
        </w:rPr>
        <w:t xml:space="preserve"> </w:t>
      </w:r>
      <w:r>
        <w:rPr>
          <w:rStyle w:val="FootnoteReference"/>
          <w:color w:val="000000"/>
        </w:rPr>
        <w:footnoteReference w:id="34"/>
      </w:r>
    </w:p>
    <w:p w:rsidR="007A3857" w:rsidRDefault="007A3857" w:rsidP="007A3857">
      <w:pPr>
        <w:autoSpaceDE w:val="0"/>
        <w:autoSpaceDN w:val="0"/>
        <w:adjustRightInd w:val="0"/>
        <w:spacing w:line="480" w:lineRule="auto"/>
        <w:ind w:firstLine="709"/>
        <w:rPr>
          <w:color w:val="000000"/>
        </w:rPr>
      </w:pPr>
      <w:r>
        <w:rPr>
          <w:color w:val="000000"/>
        </w:rPr>
        <w:t xml:space="preserve">Dari sudut pandang etika pemerintahan, setiap anggota Polri dilarang: </w:t>
      </w:r>
    </w:p>
    <w:p w:rsidR="007A3857" w:rsidRDefault="007A3857" w:rsidP="007A3857">
      <w:pPr>
        <w:numPr>
          <w:ilvl w:val="0"/>
          <w:numId w:val="24"/>
        </w:numPr>
        <w:autoSpaceDE w:val="0"/>
        <w:autoSpaceDN w:val="0"/>
        <w:adjustRightInd w:val="0"/>
        <w:spacing w:line="480" w:lineRule="auto"/>
        <w:ind w:left="360"/>
        <w:jc w:val="both"/>
        <w:rPr>
          <w:color w:val="000000"/>
        </w:rPr>
      </w:pPr>
      <w:r>
        <w:rPr>
          <w:color w:val="000000"/>
        </w:rPr>
        <w:t>Berpartisipasi dalam gerakan yang secara eksplisit berupaya menggantikan atau menentang Pancasila dan UUD 1945.</w:t>
      </w:r>
    </w:p>
    <w:p w:rsidR="007A3857" w:rsidRDefault="007A3857" w:rsidP="007A3857">
      <w:pPr>
        <w:numPr>
          <w:ilvl w:val="0"/>
          <w:numId w:val="24"/>
        </w:numPr>
        <w:autoSpaceDE w:val="0"/>
        <w:autoSpaceDN w:val="0"/>
        <w:adjustRightInd w:val="0"/>
        <w:spacing w:line="480" w:lineRule="auto"/>
        <w:ind w:left="360"/>
        <w:jc w:val="both"/>
        <w:rPr>
          <w:color w:val="000000"/>
        </w:rPr>
      </w:pPr>
      <w:r>
        <w:rPr>
          <w:color w:val="000000"/>
        </w:rPr>
        <w:t>Ikut serta dalam gerakan melawan pemerintah yang sah.</w:t>
      </w:r>
    </w:p>
    <w:p w:rsidR="007A3857" w:rsidRDefault="007A3857" w:rsidP="007A3857">
      <w:pPr>
        <w:numPr>
          <w:ilvl w:val="0"/>
          <w:numId w:val="24"/>
        </w:numPr>
        <w:autoSpaceDE w:val="0"/>
        <w:autoSpaceDN w:val="0"/>
        <w:adjustRightInd w:val="0"/>
        <w:spacing w:line="480" w:lineRule="auto"/>
        <w:ind w:left="360"/>
        <w:jc w:val="both"/>
        <w:rPr>
          <w:color w:val="000000"/>
        </w:rPr>
      </w:pPr>
      <w:r>
        <w:rPr>
          <w:color w:val="000000"/>
        </w:rPr>
        <w:lastRenderedPageBreak/>
        <w:t>Menjadi anggota atau pengurus partai politik.</w:t>
      </w:r>
    </w:p>
    <w:p w:rsidR="007A3857" w:rsidRDefault="007A3857" w:rsidP="007A3857">
      <w:pPr>
        <w:numPr>
          <w:ilvl w:val="0"/>
          <w:numId w:val="24"/>
        </w:numPr>
        <w:autoSpaceDE w:val="0"/>
        <w:autoSpaceDN w:val="0"/>
        <w:adjustRightInd w:val="0"/>
        <w:spacing w:line="480" w:lineRule="auto"/>
        <w:ind w:left="360"/>
        <w:jc w:val="both"/>
        <w:rPr>
          <w:color w:val="000000"/>
        </w:rPr>
      </w:pPr>
      <w:r>
        <w:rPr>
          <w:color w:val="000000"/>
        </w:rPr>
        <w:t xml:space="preserve">Menggunakan hak untuk memilih dan dipilih; dan/atau berpartisipasi dalam kegiatan politik praktis. </w:t>
      </w:r>
    </w:p>
    <w:p w:rsidR="007A3857" w:rsidRDefault="007A3857" w:rsidP="007A3857">
      <w:pPr>
        <w:numPr>
          <w:ilvl w:val="3"/>
          <w:numId w:val="23"/>
        </w:numPr>
        <w:tabs>
          <w:tab w:val="left" w:pos="426"/>
        </w:tabs>
        <w:autoSpaceDE w:val="0"/>
        <w:autoSpaceDN w:val="0"/>
        <w:adjustRightInd w:val="0"/>
        <w:spacing w:line="480" w:lineRule="auto"/>
        <w:ind w:left="425" w:hanging="425"/>
        <w:jc w:val="both"/>
      </w:pPr>
      <w:r>
        <w:t>Etika Kelembagaan adalah norma-norma dalam KEPP yang memuat pedoman bersikap dan berperilaku setiap Pejabat Polri dalam hubungannya dengan pelaksanaan tugas, wewenang, dan tanggung jawab kewajiban hukum dan penggunaan kewenangan profesi Polri sesuai dengan bidang tugas, wewenang, dan tanggung jawab pada masing-masing fungsi kepolisian.</w:t>
      </w:r>
      <w:r>
        <w:rPr>
          <w:rStyle w:val="FootnoteReference"/>
        </w:rPr>
        <w:t xml:space="preserve"> </w:t>
      </w:r>
      <w:r>
        <w:rPr>
          <w:rStyle w:val="FootnoteReference"/>
        </w:rPr>
        <w:footnoteReference w:id="35"/>
      </w:r>
    </w:p>
    <w:p w:rsidR="007A3857" w:rsidRDefault="007A3857" w:rsidP="007A3857">
      <w:pPr>
        <w:autoSpaceDE w:val="0"/>
        <w:autoSpaceDN w:val="0"/>
        <w:adjustRightInd w:val="0"/>
        <w:spacing w:line="480" w:lineRule="auto"/>
        <w:ind w:firstLine="709"/>
        <w:jc w:val="both"/>
      </w:pPr>
      <w:r>
        <w:t xml:space="preserve">Etika kelembagaan mengacu pada tindakan moral petugas polisi dalam institusinya. Usaha ini dilakukan sebagai bentuk pelayanan dan harus dijaga dalam hubungan fisik melalui pembentukan kepolisian serta penghormatan terhadap harkat dan martabat. Maka, juga perlu menerapkan ajaran yang terkandung dalam Tribhata dan Chatur Prasetya. Kemudian, harus menjaga dan meningkatkan citra, solidaritas, wibawa, reputasi dan kehormatan polisi. Etika kelembagaan memberikan pedoman bagi tindakan petugas </w:t>
      </w:r>
      <w:proofErr w:type="gramStart"/>
      <w:r>
        <w:t>polisi :</w:t>
      </w:r>
      <w:proofErr w:type="gramEnd"/>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Tribrata - panduan hidup</w:t>
      </w:r>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 xml:space="preserve">Chatur Prasetya - manajer kerja </w:t>
      </w:r>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 xml:space="preserve">Sumpah/Janji Polri </w:t>
      </w:r>
    </w:p>
    <w:p w:rsidR="007A3857" w:rsidRDefault="007A3857" w:rsidP="007A3857">
      <w:pPr>
        <w:numPr>
          <w:ilvl w:val="4"/>
          <w:numId w:val="23"/>
        </w:numPr>
        <w:tabs>
          <w:tab w:val="num" w:pos="360"/>
        </w:tabs>
        <w:autoSpaceDE w:val="0"/>
        <w:autoSpaceDN w:val="0"/>
        <w:adjustRightInd w:val="0"/>
        <w:spacing w:line="480" w:lineRule="auto"/>
        <w:ind w:left="360"/>
        <w:rPr>
          <w:color w:val="000000"/>
        </w:rPr>
      </w:pPr>
      <w:r>
        <w:rPr>
          <w:color w:val="000000"/>
        </w:rPr>
        <w:t xml:space="preserve">Sumpah/sumpah pada saat menjabat. </w:t>
      </w:r>
    </w:p>
    <w:p w:rsidR="007A3857" w:rsidRDefault="007A3857" w:rsidP="007A3857">
      <w:pPr>
        <w:autoSpaceDE w:val="0"/>
        <w:autoSpaceDN w:val="0"/>
        <w:adjustRightInd w:val="0"/>
        <w:spacing w:line="480" w:lineRule="auto"/>
        <w:ind w:firstLine="709"/>
        <w:jc w:val="both"/>
        <w:rPr>
          <w:color w:val="000000"/>
        </w:rPr>
      </w:pPr>
      <w:r>
        <w:rPr>
          <w:color w:val="000000"/>
        </w:rPr>
        <w:t xml:space="preserve">Etika kelembagaan, polisi dilarang unutk melakukan: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t xml:space="preserve">Melakukan, memerintahkan untuk melakukan, atau terlibat dalam korupsi, kolusi, nepotisme, atau gratifikasi;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lastRenderedPageBreak/>
        <w:t xml:space="preserve">Mengambil keputusan yang bertentangan dengan ketentuan peraturan perundang-undangan karena pengaruh keluarga, rekan di Polri, atau pihak ketiga;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t xml:space="preserve">Pengalihan dan penyebarluasan informasi yang tidak dapat diverifikasi mengenai institusi Polri atau individu anggota Polri kepada pihak lain;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t xml:space="preserve">Penghindaran atau penolakan untuk mematuhi perintah resmi sebagai bagian dari tinjauan internal layanan pengawasan komunikasi/ pengaduan publik;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t xml:space="preserve">Penyalahgunaan kekuasaan dalam pelaksanaan tugas resmi;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t xml:space="preserve">Pembebasan tahanan tanpa perintah tertulis dari penyidik, kepala penyidik, penuntut umum, atau hakim yang diberi kuasa olehnya; </w:t>
      </w:r>
    </w:p>
    <w:p w:rsidR="007A3857" w:rsidRDefault="007A3857" w:rsidP="007A3857">
      <w:pPr>
        <w:numPr>
          <w:ilvl w:val="0"/>
          <w:numId w:val="25"/>
        </w:numPr>
        <w:autoSpaceDE w:val="0"/>
        <w:autoSpaceDN w:val="0"/>
        <w:adjustRightInd w:val="0"/>
        <w:spacing w:line="480" w:lineRule="auto"/>
        <w:ind w:left="360"/>
        <w:jc w:val="both"/>
        <w:rPr>
          <w:color w:val="000000"/>
        </w:rPr>
      </w:pPr>
      <w:r>
        <w:rPr>
          <w:color w:val="000000"/>
        </w:rPr>
        <w:t xml:space="preserve">Pelaksanaan tugas tanpa perintah resmi dari pejabat yang berwenang, kecuali ditentukan lain oleh peraturan. </w:t>
      </w:r>
    </w:p>
    <w:p w:rsidR="007A3857" w:rsidRDefault="007A3857" w:rsidP="007A3857">
      <w:pPr>
        <w:numPr>
          <w:ilvl w:val="3"/>
          <w:numId w:val="23"/>
        </w:numPr>
        <w:tabs>
          <w:tab w:val="left" w:pos="426"/>
        </w:tabs>
        <w:autoSpaceDE w:val="0"/>
        <w:autoSpaceDN w:val="0"/>
        <w:adjustRightInd w:val="0"/>
        <w:spacing w:line="480" w:lineRule="auto"/>
        <w:ind w:left="425" w:hanging="425"/>
        <w:jc w:val="both"/>
      </w:pPr>
      <w:r>
        <w:t>Etika Kemasyarakatan adalah norma-norma dalam KEPP yang memuat pedoman bersikap dan berperilaku setiap Pejabat Polri dalam hubungannya dengan pelaksanaan tugas, wewenang, dan tanggung jawab kewajiban hukum dan penggunaan kewenangan profesi Polri, yang berhubungan dengan masyarakat.</w:t>
      </w:r>
      <w:r>
        <w:rPr>
          <w:rStyle w:val="FootnoteReference"/>
        </w:rPr>
        <w:t xml:space="preserve"> </w:t>
      </w:r>
      <w:r>
        <w:rPr>
          <w:rStyle w:val="FootnoteReference"/>
        </w:rPr>
        <w:footnoteReference w:id="36"/>
      </w:r>
    </w:p>
    <w:p w:rsidR="007A3857" w:rsidRDefault="007A3857" w:rsidP="007A3857">
      <w:pPr>
        <w:autoSpaceDE w:val="0"/>
        <w:autoSpaceDN w:val="0"/>
        <w:adjustRightInd w:val="0"/>
        <w:spacing w:line="480" w:lineRule="auto"/>
        <w:ind w:firstLine="709"/>
        <w:jc w:val="both"/>
      </w:pPr>
      <w:r>
        <w:t>Etika kemasyarakatan hal tersebut merupakan tindakan moral aparat kepolisian yang kerap menjaga keamanan dan ketentraman masyarakat, menegakkan hukum dan memberikan perlindungan, pembinaan dan pelayanan kepada masyarakat, serta mendengarkan kearifan budaya lokal Indonesia. Salah satu tanggung jawab etika sosial adalah memberikan pelayanan yang sebaik-</w:t>
      </w:r>
      <w:r>
        <w:lastRenderedPageBreak/>
        <w:t xml:space="preserve">baiknya kepada masyarakat, termasuk saat bertugas dan di luar tugas. Sehingga saat menjalankan tugas, Setiap petugas polisi harus membela kebenaran dan keadilan. Etika publik memberikan pedoman bagi tindakan petugas </w:t>
      </w:r>
      <w:proofErr w:type="gramStart"/>
      <w:r>
        <w:t>polisi :</w:t>
      </w:r>
      <w:proofErr w:type="gramEnd"/>
    </w:p>
    <w:p w:rsidR="007A3857" w:rsidRDefault="007A3857" w:rsidP="007A3857">
      <w:pPr>
        <w:numPr>
          <w:ilvl w:val="0"/>
          <w:numId w:val="26"/>
        </w:numPr>
        <w:autoSpaceDE w:val="0"/>
        <w:autoSpaceDN w:val="0"/>
        <w:adjustRightInd w:val="0"/>
        <w:spacing w:line="480" w:lineRule="auto"/>
        <w:ind w:left="360"/>
        <w:jc w:val="both"/>
      </w:pPr>
      <w:r>
        <w:rPr>
          <w:color w:val="000000"/>
        </w:rPr>
        <w:t xml:space="preserve">Memelihara jaminan sosial </w:t>
      </w:r>
    </w:p>
    <w:p w:rsidR="007A3857" w:rsidRDefault="007A3857" w:rsidP="007A3857">
      <w:pPr>
        <w:numPr>
          <w:ilvl w:val="0"/>
          <w:numId w:val="26"/>
        </w:numPr>
        <w:autoSpaceDE w:val="0"/>
        <w:autoSpaceDN w:val="0"/>
        <w:adjustRightInd w:val="0"/>
        <w:spacing w:line="480" w:lineRule="auto"/>
        <w:ind w:left="360"/>
        <w:jc w:val="both"/>
      </w:pPr>
      <w:r>
        <w:rPr>
          <w:color w:val="000000"/>
        </w:rPr>
        <w:t xml:space="preserve">Menegakkan hukum </w:t>
      </w:r>
    </w:p>
    <w:p w:rsidR="007A3857" w:rsidRDefault="007A3857" w:rsidP="007A3857">
      <w:pPr>
        <w:numPr>
          <w:ilvl w:val="0"/>
          <w:numId w:val="26"/>
        </w:numPr>
        <w:autoSpaceDE w:val="0"/>
        <w:autoSpaceDN w:val="0"/>
        <w:adjustRightInd w:val="0"/>
        <w:spacing w:line="480" w:lineRule="auto"/>
        <w:ind w:left="360"/>
        <w:jc w:val="both"/>
      </w:pPr>
      <w:r>
        <w:rPr>
          <w:color w:val="000000"/>
        </w:rPr>
        <w:t xml:space="preserve">Melindungi, mengayomi, dan melayani masyarakat </w:t>
      </w:r>
    </w:p>
    <w:p w:rsidR="007A3857" w:rsidRDefault="007A3857" w:rsidP="007A3857">
      <w:pPr>
        <w:numPr>
          <w:ilvl w:val="0"/>
          <w:numId w:val="26"/>
        </w:numPr>
        <w:autoSpaceDE w:val="0"/>
        <w:autoSpaceDN w:val="0"/>
        <w:adjustRightInd w:val="0"/>
        <w:spacing w:line="480" w:lineRule="auto"/>
        <w:ind w:left="360"/>
        <w:jc w:val="both"/>
      </w:pPr>
      <w:r>
        <w:rPr>
          <w:color w:val="000000"/>
        </w:rPr>
        <w:t xml:space="preserve">Kearifan lokal meliputi kerjasama </w:t>
      </w:r>
      <w:proofErr w:type="gramStart"/>
      <w:r>
        <w:rPr>
          <w:color w:val="000000"/>
        </w:rPr>
        <w:t>tim</w:t>
      </w:r>
      <w:proofErr w:type="gramEnd"/>
      <w:r>
        <w:rPr>
          <w:color w:val="000000"/>
        </w:rPr>
        <w:t>, sahabat sejati dan toleransi.</w:t>
      </w:r>
      <w:r>
        <w:rPr>
          <w:rStyle w:val="FootnoteReference"/>
        </w:rPr>
        <w:footnoteReference w:id="37"/>
      </w:r>
    </w:p>
    <w:p w:rsidR="007A3857" w:rsidRDefault="007A3857" w:rsidP="007A3857">
      <w:pPr>
        <w:autoSpaceDE w:val="0"/>
        <w:autoSpaceDN w:val="0"/>
        <w:adjustRightInd w:val="0"/>
        <w:spacing w:line="480" w:lineRule="auto"/>
        <w:ind w:firstLine="709"/>
        <w:jc w:val="both"/>
        <w:rPr>
          <w:color w:val="000000"/>
        </w:rPr>
      </w:pPr>
      <w:r>
        <w:rPr>
          <w:color w:val="000000"/>
        </w:rPr>
        <w:t xml:space="preserve">Sedangkan dari segi etika sosial, pegawai Polri dilarang: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t xml:space="preserve">Menolak atau mengabaikan permintaan bantuan, bantuan atau komunikasi, serta pengaduan masyarakat yang termasuk dalam lingkup tugas, fungsi, dan kewenangannya;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t xml:space="preserve">Mencari kesalahan rakyat yang bertentangan dengan ketentuan peraturan perundang-undangan;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t xml:space="preserve">Menyebarkan berita bohong atau memberitakan berita tidak patut yang dapat meresahkan masyarakat;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t xml:space="preserve">Mengucapkan perkataan, gerak tubuh, dan/atau tindakan dengan tujuan memperoleh imbalan atau manfaat pribadi dalam pemberian pelayanan publik;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t xml:space="preserve">Berperilaku, berbicara dan bertindak sewenang-wenang; membuat kehidupan orang-orang yang membutuhkan perlindungan, perlindungan dan pelayanan menjadi lebih sulit;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t xml:space="preserve">Melakukan tindakan dalam operasi kepolisian yang dapat merendahkan kehormatan seorang perempuan; </w:t>
      </w:r>
    </w:p>
    <w:p w:rsidR="007A3857" w:rsidRDefault="007A3857" w:rsidP="007A3857">
      <w:pPr>
        <w:numPr>
          <w:ilvl w:val="0"/>
          <w:numId w:val="27"/>
        </w:numPr>
        <w:autoSpaceDE w:val="0"/>
        <w:autoSpaceDN w:val="0"/>
        <w:adjustRightInd w:val="0"/>
        <w:spacing w:line="480" w:lineRule="auto"/>
        <w:ind w:left="360"/>
        <w:jc w:val="both"/>
        <w:rPr>
          <w:color w:val="000000"/>
        </w:rPr>
      </w:pPr>
      <w:r>
        <w:rPr>
          <w:color w:val="000000"/>
        </w:rPr>
        <w:lastRenderedPageBreak/>
        <w:t xml:space="preserve">Membebankan biaya tambahan untuk menyediakan layanan yang melebihi yang diwajibkan oleh hukum. </w:t>
      </w:r>
    </w:p>
    <w:p w:rsidR="007A3857" w:rsidRDefault="007A3857" w:rsidP="007A3857">
      <w:pPr>
        <w:numPr>
          <w:ilvl w:val="3"/>
          <w:numId w:val="23"/>
        </w:numPr>
        <w:tabs>
          <w:tab w:val="left" w:pos="426"/>
        </w:tabs>
        <w:autoSpaceDE w:val="0"/>
        <w:autoSpaceDN w:val="0"/>
        <w:adjustRightInd w:val="0"/>
        <w:spacing w:line="480" w:lineRule="auto"/>
        <w:ind w:left="425" w:hanging="425"/>
        <w:jc w:val="both"/>
      </w:pPr>
      <w:r>
        <w:t>Etika Kepribadian adalah norma-norma dalam KEPP yang memuat pedoman bersikap dan berperilaku setiap Pejabat Polri dalam kapasitasnya sebagai pribadi yang terikat dengan moralitas etika pribadinya, baik di dalam maupun di luar pelaksanakan tugas, wewenang, dan tanggung jawab dan penggunaan kewenangan profesinya dalam kehidupan sehari-hari.</w:t>
      </w:r>
      <w:r>
        <w:rPr>
          <w:rStyle w:val="FootnoteReference"/>
        </w:rPr>
        <w:footnoteReference w:id="38"/>
      </w:r>
    </w:p>
    <w:p w:rsidR="007A3857" w:rsidRDefault="007A3857" w:rsidP="007A3857">
      <w:pPr>
        <w:autoSpaceDE w:val="0"/>
        <w:autoSpaceDN w:val="0"/>
        <w:adjustRightInd w:val="0"/>
        <w:spacing w:line="480" w:lineRule="auto"/>
        <w:ind w:firstLine="709"/>
        <w:jc w:val="both"/>
      </w:pPr>
      <w:r>
        <w:t xml:space="preserve">Etika ini erat kaitannya dengan kehidupan beragama, ketaatan dan budi pekerti dalam kehidupan berkeluarga, bermasyarakat, berbangsa dan bernegara di lingkungan kepolisian. Tanggung jawab terhadap etika ini pertama-tama memerlukan rasa takut </w:t>
      </w:r>
      <w:proofErr w:type="gramStart"/>
      <w:r>
        <w:t>akan</w:t>
      </w:r>
      <w:proofErr w:type="gramEnd"/>
      <w:r>
        <w:t xml:space="preserve"> Tuhan Yang Maha Esa. Oleh karena itu, harus menaati dan menghormati </w:t>
      </w:r>
      <w:proofErr w:type="gramStart"/>
      <w:r>
        <w:t>norma</w:t>
      </w:r>
      <w:proofErr w:type="gramEnd"/>
      <w:r>
        <w:t xml:space="preserve"> moral, agama, ajaran kearifan adat, dan norma hukum. Etika kepribadian berisi petunjuk bagi petugas polisi tentang cara </w:t>
      </w:r>
      <w:proofErr w:type="gramStart"/>
      <w:r>
        <w:t>bertindak :</w:t>
      </w:r>
      <w:proofErr w:type="gramEnd"/>
    </w:p>
    <w:p w:rsidR="007A3857" w:rsidRDefault="007A3857" w:rsidP="007A3857">
      <w:pPr>
        <w:numPr>
          <w:ilvl w:val="0"/>
          <w:numId w:val="28"/>
        </w:numPr>
        <w:autoSpaceDE w:val="0"/>
        <w:autoSpaceDN w:val="0"/>
        <w:adjustRightInd w:val="0"/>
        <w:spacing w:line="480" w:lineRule="auto"/>
        <w:ind w:left="360"/>
        <w:jc w:val="both"/>
      </w:pPr>
      <w:r>
        <w:rPr>
          <w:color w:val="000000"/>
        </w:rPr>
        <w:t xml:space="preserve">Kehidupan beragama </w:t>
      </w:r>
    </w:p>
    <w:p w:rsidR="007A3857" w:rsidRDefault="007A3857" w:rsidP="007A3857">
      <w:pPr>
        <w:numPr>
          <w:ilvl w:val="0"/>
          <w:numId w:val="28"/>
        </w:numPr>
        <w:autoSpaceDE w:val="0"/>
        <w:autoSpaceDN w:val="0"/>
        <w:adjustRightInd w:val="0"/>
        <w:spacing w:line="480" w:lineRule="auto"/>
        <w:ind w:left="360"/>
        <w:jc w:val="both"/>
      </w:pPr>
      <w:r>
        <w:rPr>
          <w:color w:val="000000"/>
        </w:rPr>
        <w:t xml:space="preserve">Mematuhi hukum </w:t>
      </w:r>
    </w:p>
    <w:p w:rsidR="007A3857" w:rsidRDefault="007A3857" w:rsidP="007A3857">
      <w:pPr>
        <w:numPr>
          <w:ilvl w:val="0"/>
          <w:numId w:val="28"/>
        </w:numPr>
        <w:autoSpaceDE w:val="0"/>
        <w:autoSpaceDN w:val="0"/>
        <w:adjustRightInd w:val="0"/>
        <w:spacing w:line="480" w:lineRule="auto"/>
        <w:ind w:left="360"/>
        <w:jc w:val="both"/>
      </w:pPr>
      <w:r>
        <w:rPr>
          <w:color w:val="000000"/>
        </w:rPr>
        <w:t xml:space="preserve">Kesopanan dalam kehidupan berkeluarga, bermasyarakat, berbangsa dan bernegara. </w:t>
      </w:r>
      <w:r>
        <w:rPr>
          <w:rStyle w:val="FootnoteReference"/>
          <w:color w:val="000000"/>
        </w:rPr>
        <w:footnoteReference w:id="39"/>
      </w:r>
    </w:p>
    <w:p w:rsidR="007A3857" w:rsidRDefault="007A3857" w:rsidP="007A3857">
      <w:pPr>
        <w:autoSpaceDE w:val="0"/>
        <w:autoSpaceDN w:val="0"/>
        <w:adjustRightInd w:val="0"/>
        <w:spacing w:line="480" w:lineRule="auto"/>
        <w:ind w:firstLine="709"/>
        <w:jc w:val="both"/>
        <w:rPr>
          <w:color w:val="000000"/>
        </w:rPr>
      </w:pPr>
      <w:r>
        <w:rPr>
          <w:color w:val="000000"/>
        </w:rPr>
        <w:t xml:space="preserve">Dari segi etika pribadi, hal-hal yang dilarang bagi setiap anggota </w:t>
      </w:r>
      <w:proofErr w:type="gramStart"/>
      <w:r>
        <w:rPr>
          <w:color w:val="000000"/>
        </w:rPr>
        <w:t>Polri.:</w:t>
      </w:r>
      <w:proofErr w:type="gramEnd"/>
      <w:r>
        <w:rPr>
          <w:color w:val="000000"/>
        </w:rPr>
        <w:t xml:space="preserve"> </w:t>
      </w:r>
    </w:p>
    <w:p w:rsidR="007A3857" w:rsidRDefault="007A3857" w:rsidP="007A3857">
      <w:pPr>
        <w:numPr>
          <w:ilvl w:val="0"/>
          <w:numId w:val="29"/>
        </w:numPr>
        <w:autoSpaceDE w:val="0"/>
        <w:autoSpaceDN w:val="0"/>
        <w:adjustRightInd w:val="0"/>
        <w:spacing w:line="480" w:lineRule="auto"/>
        <w:ind w:left="360"/>
        <w:jc w:val="both"/>
        <w:rPr>
          <w:color w:val="000000"/>
        </w:rPr>
      </w:pPr>
      <w:r>
        <w:rPr>
          <w:color w:val="000000"/>
        </w:rPr>
        <w:t xml:space="preserve">Menganut dan menyebarkan agama dan kepercayaan yang dilarang oleh pemerintah; </w:t>
      </w:r>
    </w:p>
    <w:p w:rsidR="007A3857" w:rsidRDefault="007A3857" w:rsidP="007A3857">
      <w:pPr>
        <w:numPr>
          <w:ilvl w:val="0"/>
          <w:numId w:val="29"/>
        </w:numPr>
        <w:autoSpaceDE w:val="0"/>
        <w:autoSpaceDN w:val="0"/>
        <w:adjustRightInd w:val="0"/>
        <w:spacing w:line="480" w:lineRule="auto"/>
        <w:ind w:left="360"/>
        <w:jc w:val="both"/>
        <w:rPr>
          <w:color w:val="000000"/>
        </w:rPr>
      </w:pPr>
      <w:r>
        <w:rPr>
          <w:color w:val="000000"/>
        </w:rPr>
        <w:lastRenderedPageBreak/>
        <w:t xml:space="preserve">Mempengaruhi atau memaksa rekan-rekan Polry untuk menganut agama di luar keyakinannya; </w:t>
      </w:r>
    </w:p>
    <w:p w:rsidR="007A3857" w:rsidRDefault="007A3857" w:rsidP="007A3857">
      <w:pPr>
        <w:numPr>
          <w:ilvl w:val="0"/>
          <w:numId w:val="29"/>
        </w:numPr>
        <w:autoSpaceDE w:val="0"/>
        <w:autoSpaceDN w:val="0"/>
        <w:adjustRightInd w:val="0"/>
        <w:spacing w:line="480" w:lineRule="auto"/>
        <w:ind w:left="360"/>
        <w:jc w:val="both"/>
        <w:rPr>
          <w:color w:val="000000"/>
        </w:rPr>
      </w:pPr>
      <w:r>
        <w:rPr>
          <w:color w:val="000000"/>
        </w:rPr>
        <w:t xml:space="preserve">Menampilkan pandangan dan perilaku yang menista agama, serta menghina satuan Polri, atasan, dan/atau rekan kerja; </w:t>
      </w:r>
    </w:p>
    <w:p w:rsidR="007A3857" w:rsidRDefault="007A3857" w:rsidP="007A3857">
      <w:pPr>
        <w:numPr>
          <w:ilvl w:val="0"/>
          <w:numId w:val="29"/>
        </w:numPr>
        <w:autoSpaceDE w:val="0"/>
        <w:autoSpaceDN w:val="0"/>
        <w:adjustRightInd w:val="0"/>
        <w:spacing w:line="480" w:lineRule="auto"/>
        <w:ind w:left="360"/>
        <w:jc w:val="both"/>
        <w:rPr>
          <w:color w:val="000000"/>
        </w:rPr>
      </w:pPr>
      <w:r>
        <w:rPr>
          <w:color w:val="000000"/>
        </w:rPr>
        <w:t xml:space="preserve">Menjadi pengurus atau anggota lembaga swadaya masyarakat dan organisasi masyarakat tanpa persetujuan pimpinan Polri. </w:t>
      </w:r>
    </w:p>
    <w:p w:rsidR="007A3857" w:rsidRDefault="007A3857" w:rsidP="007A3857">
      <w:pPr>
        <w:autoSpaceDE w:val="0"/>
        <w:autoSpaceDN w:val="0"/>
        <w:adjustRightInd w:val="0"/>
        <w:spacing w:line="480" w:lineRule="auto"/>
        <w:ind w:firstLine="709"/>
        <w:jc w:val="both"/>
      </w:pPr>
      <w:r>
        <w:t xml:space="preserve">Profesionalisme bagi polri merupakan ciri khas yang dimiliki untuk terlihat berkualitas dan profesional. Dalam mengukur profesionalisme menurut Sullivan ada 3 ukuran dalam menggapai profesionalisme adalah motivasi, pendidikan, dan penghasilan. Pertama, motivasi dapat dilihat bahwa untuk menggapai profesionalisme polisi harus mengabdikan dirinya kepada masyarakat dalam rangka untuk menegakkan hukum. Kedua, pendidikan dalam menggapai profesionalisme polisi seharunya mempunya pendidikan yang berstandar agar tidak diremehkan dimasyarakat. Dalam proses pendidikan yang dilakukan oleh polisi tidak harus memiliki pendidikan yang berstandar tinggi tetapi mental polisi tersebut lemah, maka dari itu yang harus dilakukan polisi adalah menyusun kurikulum yang berjenjang sesuai pola pendidikan polri. Ketiga, penghasilan atau gaji harus mendapat perhatian dari pimpinan polri sesuai tingkatan tugasnya. Karena gaji menopang kinerja polisi dalam melaksanakan wewenang dan tugasnya dimasyarakat, jika kinerja tidak sesuai dengan gaji maka bisa </w:t>
      </w:r>
      <w:r>
        <w:lastRenderedPageBreak/>
        <w:t>menjadikan ketidakseimbangan dalam melaksanakan wewenang dan tanggung jawabnya.</w:t>
      </w:r>
      <w:r>
        <w:rPr>
          <w:rStyle w:val="FootnoteReference"/>
        </w:rPr>
        <w:footnoteReference w:id="40"/>
      </w:r>
    </w:p>
    <w:p w:rsidR="007A3857" w:rsidRDefault="007A3857" w:rsidP="007A3857">
      <w:pPr>
        <w:autoSpaceDE w:val="0"/>
        <w:autoSpaceDN w:val="0"/>
        <w:adjustRightInd w:val="0"/>
        <w:spacing w:line="480" w:lineRule="auto"/>
        <w:ind w:firstLine="709"/>
        <w:jc w:val="both"/>
        <w:rPr>
          <w:color w:val="000000"/>
        </w:rPr>
      </w:pPr>
      <w:r>
        <w:t xml:space="preserve">Polisi adalah institusi masyarakat sipil yang menjaga ketertiban dan hukum. Kepolisian nasional di Indonesia disebut Kepolisian Negara Republik Indonesia atau Polri. Polri bertanggung jawab secara langsung di bawah Presiden. Polri menjalankan </w:t>
      </w:r>
      <w:r>
        <w:rPr>
          <w:color w:val="000000"/>
        </w:rPr>
        <w:t xml:space="preserve">tugas kepolisian di seluruh Indonesia. Tugas Polri adalah mengayomi, mengayomi dan melayani masyarakat, yang seharusnya menjadi contoh kedisiplinan bagi masyarakat. Namun anggota Polri masih merupakan orang biasa, masih banyak anggota Polri yang melakukan pelanggaran disiplin. Berikut beberapa pelanggaran disiplin yang dilakukan oleh anggota Polri: </w:t>
      </w:r>
    </w:p>
    <w:p w:rsidR="007A3857" w:rsidRDefault="007A3857" w:rsidP="007A3857">
      <w:pPr>
        <w:numPr>
          <w:ilvl w:val="0"/>
          <w:numId w:val="30"/>
        </w:numPr>
        <w:autoSpaceDE w:val="0"/>
        <w:autoSpaceDN w:val="0"/>
        <w:adjustRightInd w:val="0"/>
        <w:spacing w:line="480" w:lineRule="auto"/>
        <w:ind w:left="360"/>
        <w:jc w:val="both"/>
        <w:rPr>
          <w:color w:val="000000"/>
        </w:rPr>
      </w:pPr>
      <w:r>
        <w:rPr>
          <w:color w:val="000000"/>
        </w:rPr>
        <w:t xml:space="preserve">Pelanggaran disiplin ringan </w:t>
      </w:r>
    </w:p>
    <w:p w:rsidR="007A3857" w:rsidRDefault="007A3857" w:rsidP="007A3857">
      <w:pPr>
        <w:autoSpaceDE w:val="0"/>
        <w:autoSpaceDN w:val="0"/>
        <w:adjustRightInd w:val="0"/>
        <w:spacing w:line="456" w:lineRule="auto"/>
        <w:ind w:left="357"/>
        <w:jc w:val="both"/>
        <w:rPr>
          <w:color w:val="000000"/>
        </w:rPr>
      </w:pPr>
      <w:r>
        <w:rPr>
          <w:color w:val="000000"/>
        </w:rPr>
        <w:t xml:space="preserve">Tidak membawa data pribadi yang lengkap; melakukan pelanggaran; pelanggaran terhadap tertib penggunaan seragam, atribut, dan perlengkapan Polri; pelanggaran kinerja; pelanggaran kelengkapan kendaraan bermotor; pelanggaran penggunaan inventaris </w:t>
      </w:r>
      <w:proofErr w:type="gramStart"/>
      <w:r>
        <w:rPr>
          <w:color w:val="000000"/>
        </w:rPr>
        <w:t>dinas</w:t>
      </w:r>
      <w:proofErr w:type="gramEnd"/>
      <w:r>
        <w:rPr>
          <w:color w:val="000000"/>
        </w:rPr>
        <w:t xml:space="preserve">; lupa membawa izin senjata api atau inventaris dinas yang dipinjam atau digunakan; meninggalkan kantor pada jam kerja tanpa izin dari atasan. </w:t>
      </w:r>
    </w:p>
    <w:p w:rsidR="007A3857" w:rsidRDefault="007A3857" w:rsidP="007A3857">
      <w:pPr>
        <w:numPr>
          <w:ilvl w:val="0"/>
          <w:numId w:val="30"/>
        </w:numPr>
        <w:autoSpaceDE w:val="0"/>
        <w:autoSpaceDN w:val="0"/>
        <w:adjustRightInd w:val="0"/>
        <w:spacing w:line="456" w:lineRule="auto"/>
        <w:ind w:left="357"/>
        <w:jc w:val="both"/>
        <w:rPr>
          <w:color w:val="000000"/>
        </w:rPr>
      </w:pPr>
      <w:r>
        <w:rPr>
          <w:color w:val="000000"/>
        </w:rPr>
        <w:t xml:space="preserve">Pelanggaran disiplin berat </w:t>
      </w:r>
    </w:p>
    <w:p w:rsidR="007A3857" w:rsidRDefault="007A3857" w:rsidP="007A3857">
      <w:pPr>
        <w:autoSpaceDE w:val="0"/>
        <w:autoSpaceDN w:val="0"/>
        <w:adjustRightInd w:val="0"/>
        <w:spacing w:line="480" w:lineRule="auto"/>
        <w:ind w:left="357"/>
        <w:jc w:val="both"/>
        <w:rPr>
          <w:color w:val="000000"/>
        </w:rPr>
      </w:pPr>
      <w:r>
        <w:rPr>
          <w:color w:val="000000"/>
        </w:rPr>
        <w:t xml:space="preserve">Absen atau tidak menjalankan tugas atasan (disertasi); melakukan tindak pidana dengan pidana lebih dari tiga bulan; asusila; terlibat dalam dan/atau mendukung kejahatan. </w:t>
      </w:r>
      <w:proofErr w:type="gramStart"/>
      <w:r>
        <w:rPr>
          <w:color w:val="000000"/>
        </w:rPr>
        <w:t>terorganisir</w:t>
      </w:r>
      <w:proofErr w:type="gramEnd"/>
      <w:r>
        <w:rPr>
          <w:color w:val="000000"/>
        </w:rPr>
        <w:t xml:space="preserve">; penyalahgunaan wewenang dan/atau jabatan. Sanksi yang dikenakan untuk pelanggaran disiplin ringan berupa </w:t>
      </w:r>
      <w:r>
        <w:rPr>
          <w:color w:val="000000"/>
        </w:rPr>
        <w:lastRenderedPageBreak/>
        <w:t>tindakan disiplin, sedangkan untuk pelanggaran disiplin yang berat berupa hukuman disiplin. Etika Polri merupakan sarana untuk menciptakan rasa percaya diri dan kebanggaan sebagai anggota Polri yang selanjutnya dapat menjadi kebanggaan masyarakat; mencapai keberhasilan tugas; membina kebersamaan, dan kemitraan sebagai dasar pembentukan partisipasi masyarakat; mewujudkan kepolisian yang profesional, efektif, efisien dan modern, bersih dan berwibawa, dihormati dan dicintai masyarakat.</w:t>
      </w:r>
      <w:r>
        <w:rPr>
          <w:rStyle w:val="FootnoteReference"/>
          <w:color w:val="000000"/>
        </w:rPr>
        <w:footnoteReference w:id="41"/>
      </w:r>
    </w:p>
    <w:p w:rsidR="007A3857" w:rsidRDefault="007A3857" w:rsidP="007A3857">
      <w:pPr>
        <w:autoSpaceDE w:val="0"/>
        <w:autoSpaceDN w:val="0"/>
        <w:adjustRightInd w:val="0"/>
        <w:spacing w:line="480" w:lineRule="auto"/>
        <w:ind w:firstLine="709"/>
        <w:jc w:val="both"/>
        <w:rPr>
          <w:color w:val="000000"/>
        </w:rPr>
      </w:pPr>
      <w:r>
        <w:rPr>
          <w:color w:val="000000"/>
        </w:rPr>
        <w:t xml:space="preserve">Pelanggaran etika kepolisian sering terjadi, biasanya bentuk-bentuk pelanggaran yang kerap dilanggar meliputi etika kepribadian, etika kenegaraan, etika kelembagaan, serta etika hubungan dengan masyarakat. </w:t>
      </w:r>
      <w:proofErr w:type="gramStart"/>
      <w:r>
        <w:rPr>
          <w:color w:val="000000"/>
        </w:rPr>
        <w:t>dalam</w:t>
      </w:r>
      <w:proofErr w:type="gramEnd"/>
      <w:r>
        <w:rPr>
          <w:color w:val="000000"/>
        </w:rPr>
        <w:t xml:space="preserve"> kasus pelanggaran yang dilakukan oleh anggota polri melalui proses persidangan pelanggaran disiplin yang mempunyai beberapa tahap, pertama persiapan sidang, kedua pelaksanaan sidang, terakhir pelaksanaan putusan sidang. </w:t>
      </w:r>
    </w:p>
    <w:p w:rsidR="007A3857" w:rsidRDefault="007A3857" w:rsidP="007A3857">
      <w:pPr>
        <w:autoSpaceDE w:val="0"/>
        <w:autoSpaceDN w:val="0"/>
        <w:adjustRightInd w:val="0"/>
        <w:spacing w:line="480" w:lineRule="auto"/>
        <w:ind w:firstLine="709"/>
        <w:jc w:val="both"/>
      </w:pPr>
      <w:r>
        <w:rPr>
          <w:color w:val="000000"/>
        </w:rPr>
        <w:t xml:space="preserve">Pengaturan kode etik profesi menjadi tolak ukur perbuatan yang dilakukan oleh anggota polri untuk menghidari perbuatan yang melanggar hukum dan mencegah profesi tersebut agar djalani dengan seharusnya sesuai ketentuan-ketenutan standart aktivitas anggota profesi sekaligus sebagai pedoman dalam melaskanakan tugas. Dalam </w:t>
      </w:r>
      <w:r>
        <w:t xml:space="preserve">pelanggaran yang dilakukan oleh anggota kepolisian yang melanggar kode etik profesi polri sehingga dalam proses hukumnya diberhentikan secara tidak hormat melalu sidang Komisi Kode Etik Profesi Polri (KKEP). Kasus ini sekaligus menjadi hikmah dan pelajaran agar para anggota </w:t>
      </w:r>
      <w:r>
        <w:lastRenderedPageBreak/>
        <w:t>polri tidak menggunakan tugas dan wewenangnya untuk melakukan pelanggaran hukum yang seharusnya profesi tersebut bertujuan untuk mengamankan dan mengayomi masyarakat.</w:t>
      </w:r>
      <w:r>
        <w:rPr>
          <w:rStyle w:val="FootnoteReference"/>
        </w:rPr>
        <w:footnoteReference w:id="42"/>
      </w:r>
    </w:p>
    <w:p w:rsidR="00CE7FEB" w:rsidRPr="007A3857" w:rsidRDefault="00CE7FEB" w:rsidP="007A3857"/>
    <w:sectPr w:rsidR="00CE7FEB" w:rsidRPr="007A3857"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1BB" w:rsidRDefault="005B11BB" w:rsidP="002D79FF">
      <w:r>
        <w:separator/>
      </w:r>
    </w:p>
  </w:endnote>
  <w:endnote w:type="continuationSeparator" w:id="0">
    <w:p w:rsidR="005B11BB" w:rsidRDefault="005B11BB"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5B11BB">
    <w:pPr>
      <w:pStyle w:val="Footer"/>
      <w:jc w:val="center"/>
    </w:pPr>
  </w:p>
  <w:p w:rsidR="00630637" w:rsidRDefault="005B1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1BB" w:rsidRDefault="005B11BB" w:rsidP="002D79FF">
      <w:r>
        <w:separator/>
      </w:r>
    </w:p>
  </w:footnote>
  <w:footnote w:type="continuationSeparator" w:id="0">
    <w:p w:rsidR="005B11BB" w:rsidRDefault="005B11BB" w:rsidP="002D79FF">
      <w:r>
        <w:continuationSeparator/>
      </w:r>
    </w:p>
  </w:footnote>
  <w:footnote w:id="1">
    <w:p w:rsidR="007A3857" w:rsidRDefault="007A3857" w:rsidP="007A3857">
      <w:pPr>
        <w:pStyle w:val="FootnoteText"/>
        <w:ind w:firstLine="709"/>
        <w:jc w:val="both"/>
      </w:pPr>
      <w:r>
        <w:rPr>
          <w:rStyle w:val="FootnoteReference"/>
        </w:rPr>
        <w:footnoteRef/>
      </w:r>
      <w:r>
        <w:t xml:space="preserve"> </w:t>
      </w:r>
      <w:bookmarkStart w:id="2" w:name="_Hlk172151398"/>
      <w:r>
        <w:t xml:space="preserve">P.A.F. Lamintang, </w:t>
      </w:r>
      <w:r>
        <w:rPr>
          <w:i/>
          <w:iCs/>
        </w:rPr>
        <w:t>Dasar-Dasar Hukum Pidana Indonesia</w:t>
      </w:r>
      <w:r>
        <w:t>. Citra Adityta Bakti, Bandung, 2016</w:t>
      </w:r>
      <w:bookmarkEnd w:id="2"/>
      <w:r>
        <w:t>, hlm. 180.</w:t>
      </w:r>
    </w:p>
  </w:footnote>
  <w:footnote w:id="2">
    <w:p w:rsidR="007A3857" w:rsidRDefault="007A3857" w:rsidP="007A3857">
      <w:pPr>
        <w:pStyle w:val="FootnoteText"/>
        <w:ind w:firstLine="709"/>
        <w:jc w:val="both"/>
      </w:pPr>
      <w:r>
        <w:rPr>
          <w:rStyle w:val="FootnoteReference"/>
        </w:rPr>
        <w:footnoteRef/>
      </w:r>
      <w:r>
        <w:t xml:space="preserve"> </w:t>
      </w:r>
      <w:proofErr w:type="gramStart"/>
      <w:r>
        <w:rPr>
          <w:i/>
        </w:rPr>
        <w:t>Ibid.</w:t>
      </w:r>
      <w:r>
        <w:t>,</w:t>
      </w:r>
      <w:proofErr w:type="gramEnd"/>
      <w:r>
        <w:t xml:space="preserve"> hlm. 182.</w:t>
      </w:r>
    </w:p>
  </w:footnote>
  <w:footnote w:id="3">
    <w:p w:rsidR="007A3857" w:rsidRDefault="007A3857" w:rsidP="007A3857">
      <w:pPr>
        <w:pStyle w:val="FootnoteText"/>
        <w:ind w:firstLine="709"/>
        <w:jc w:val="both"/>
      </w:pPr>
      <w:r>
        <w:rPr>
          <w:rStyle w:val="FootnoteReference"/>
        </w:rPr>
        <w:footnoteRef/>
      </w:r>
      <w:r>
        <w:t xml:space="preserve"> </w:t>
      </w:r>
      <w:bookmarkStart w:id="3" w:name="_Hlk172151388"/>
      <w:r>
        <w:t xml:space="preserve">Muhammad Ainul Syamsu. </w:t>
      </w:r>
      <w:r>
        <w:rPr>
          <w:i/>
        </w:rPr>
        <w:t>Pergeseeran Turut Serta Melakukan dalam Ajaran Penyertaan, Telaah Kritis Berdasarkan Teori Pemisahan Tindak Pidana dan Pertanggungjawaban Pidana.</w:t>
      </w:r>
      <w:r>
        <w:t xml:space="preserve"> Kencana Prenadamedia Group, Jakarta, 2014</w:t>
      </w:r>
      <w:bookmarkEnd w:id="3"/>
      <w:r>
        <w:t>, hlm. 17.</w:t>
      </w:r>
    </w:p>
  </w:footnote>
  <w:footnote w:id="4">
    <w:p w:rsidR="007A3857" w:rsidRDefault="007A3857" w:rsidP="007A3857">
      <w:pPr>
        <w:pStyle w:val="FootnoteText"/>
        <w:ind w:firstLine="709"/>
        <w:jc w:val="both"/>
      </w:pPr>
      <w:r>
        <w:rPr>
          <w:rStyle w:val="FootnoteReference"/>
        </w:rPr>
        <w:footnoteRef/>
      </w:r>
      <w:r>
        <w:t xml:space="preserve"> </w:t>
      </w:r>
      <w:r>
        <w:rPr>
          <w:color w:val="000000"/>
        </w:rPr>
        <w:t>SR. Sianturi</w:t>
      </w:r>
      <w:proofErr w:type="gramStart"/>
      <w:r>
        <w:rPr>
          <w:color w:val="000000"/>
        </w:rPr>
        <w:t xml:space="preserve">,  </w:t>
      </w:r>
      <w:r>
        <w:rPr>
          <w:i/>
          <w:iCs/>
          <w:color w:val="000000"/>
        </w:rPr>
        <w:t>Asas</w:t>
      </w:r>
      <w:proofErr w:type="gramEnd"/>
      <w:r>
        <w:rPr>
          <w:i/>
          <w:iCs/>
          <w:color w:val="000000"/>
        </w:rPr>
        <w:t>-Asas Hukum Pidana Di Indonesia dan Penerapannya.</w:t>
      </w:r>
      <w:r>
        <w:rPr>
          <w:color w:val="000000"/>
        </w:rPr>
        <w:t xml:space="preserve"> Storia Grafika,</w:t>
      </w:r>
      <w:r>
        <w:rPr>
          <w:color w:val="000000"/>
          <w:lang w:val="fi-FI"/>
        </w:rPr>
        <w:t xml:space="preserve"> </w:t>
      </w:r>
      <w:r>
        <w:rPr>
          <w:color w:val="000000"/>
        </w:rPr>
        <w:t xml:space="preserve">Jakarta, 2016, </w:t>
      </w:r>
      <w:r>
        <w:rPr>
          <w:color w:val="000000"/>
          <w:lang w:val="fi-FI"/>
        </w:rPr>
        <w:t>hlm. 200.</w:t>
      </w:r>
    </w:p>
  </w:footnote>
  <w:footnote w:id="5">
    <w:p w:rsidR="007A3857" w:rsidRDefault="007A3857" w:rsidP="007A3857">
      <w:pPr>
        <w:pStyle w:val="FootnoteText"/>
        <w:ind w:firstLine="709"/>
        <w:jc w:val="both"/>
      </w:pPr>
      <w:r>
        <w:rPr>
          <w:rStyle w:val="FootnoteReference"/>
        </w:rPr>
        <w:footnoteRef/>
      </w:r>
      <w:r>
        <w:t xml:space="preserve"> Djoko Prakoso</w:t>
      </w:r>
      <w:proofErr w:type="gramStart"/>
      <w:r>
        <w:t xml:space="preserve">,  </w:t>
      </w:r>
      <w:r>
        <w:rPr>
          <w:i/>
        </w:rPr>
        <w:t>Pembaharuan</w:t>
      </w:r>
      <w:proofErr w:type="gramEnd"/>
      <w:r>
        <w:rPr>
          <w:i/>
        </w:rPr>
        <w:t xml:space="preserve"> Hukum Pidana di Indonesia. </w:t>
      </w:r>
      <w:r>
        <w:t xml:space="preserve"> Liberty, Yogyakarta, 2015, hlm. 66.</w:t>
      </w:r>
    </w:p>
  </w:footnote>
  <w:footnote w:id="6">
    <w:p w:rsidR="007A3857" w:rsidRDefault="007A3857" w:rsidP="007A3857">
      <w:pPr>
        <w:pStyle w:val="FootnoteText"/>
        <w:ind w:firstLine="709"/>
        <w:jc w:val="both"/>
      </w:pPr>
      <w:r>
        <w:rPr>
          <w:rStyle w:val="FootnoteReference"/>
        </w:rPr>
        <w:footnoteRef/>
      </w:r>
      <w:r>
        <w:t xml:space="preserve"> Muhammad Ainul Syamsu. </w:t>
      </w:r>
      <w:r>
        <w:rPr>
          <w:i/>
        </w:rPr>
        <w:t>Op. Cit.</w:t>
      </w:r>
      <w:r>
        <w:t>, hlm. 18.</w:t>
      </w:r>
    </w:p>
  </w:footnote>
  <w:footnote w:id="7">
    <w:p w:rsidR="007A3857" w:rsidRDefault="007A3857" w:rsidP="007A3857">
      <w:pPr>
        <w:pStyle w:val="FootnoteText"/>
        <w:ind w:firstLine="709"/>
        <w:jc w:val="both"/>
      </w:pPr>
      <w:r>
        <w:rPr>
          <w:rStyle w:val="FootnoteReference"/>
        </w:rPr>
        <w:footnoteRef/>
      </w:r>
      <w:r>
        <w:t xml:space="preserve"> </w:t>
      </w:r>
      <w:proofErr w:type="gramStart"/>
      <w:r>
        <w:rPr>
          <w:i/>
        </w:rPr>
        <w:t>Ibid.,</w:t>
      </w:r>
      <w:proofErr w:type="gramEnd"/>
      <w:r>
        <w:rPr>
          <w:i/>
        </w:rPr>
        <w:t xml:space="preserve"> </w:t>
      </w:r>
      <w:r>
        <w:t>hlm. 22.</w:t>
      </w:r>
    </w:p>
  </w:footnote>
  <w:footnote w:id="8">
    <w:p w:rsidR="007A3857" w:rsidRDefault="007A3857" w:rsidP="007A3857">
      <w:pPr>
        <w:pStyle w:val="FootnoteText"/>
        <w:ind w:firstLine="709"/>
        <w:jc w:val="both"/>
      </w:pPr>
      <w:r>
        <w:rPr>
          <w:rStyle w:val="FootnoteReference"/>
        </w:rPr>
        <w:footnoteRef/>
      </w:r>
      <w:r>
        <w:t>M. Hamdan</w:t>
      </w:r>
      <w:proofErr w:type="gramStart"/>
      <w:r>
        <w:t xml:space="preserve">,  </w:t>
      </w:r>
      <w:r>
        <w:rPr>
          <w:i/>
          <w:iCs/>
        </w:rPr>
        <w:t>Tindak</w:t>
      </w:r>
      <w:proofErr w:type="gramEnd"/>
      <w:r>
        <w:rPr>
          <w:i/>
          <w:iCs/>
        </w:rPr>
        <w:t xml:space="preserve"> Pidana Suap dan Money Politics</w:t>
      </w:r>
      <w:r>
        <w:t>, Pustaka Bangsa Press</w:t>
      </w:r>
      <w:r>
        <w:rPr>
          <w:i/>
          <w:color w:val="000000"/>
        </w:rPr>
        <w:t>,</w:t>
      </w:r>
      <w:r>
        <w:t xml:space="preserve"> Medan, 2015, </w:t>
      </w:r>
      <w:r>
        <w:rPr>
          <w:i/>
          <w:color w:val="000000"/>
        </w:rPr>
        <w:t xml:space="preserve"> </w:t>
      </w:r>
      <w:r>
        <w:rPr>
          <w:color w:val="000000"/>
        </w:rPr>
        <w:t>hlm. 9.</w:t>
      </w:r>
    </w:p>
  </w:footnote>
  <w:footnote w:id="9">
    <w:p w:rsidR="007A3857" w:rsidRDefault="007A3857" w:rsidP="007A3857">
      <w:pPr>
        <w:pStyle w:val="FootnoteText"/>
        <w:ind w:firstLine="709"/>
        <w:jc w:val="both"/>
      </w:pPr>
      <w:r>
        <w:rPr>
          <w:rStyle w:val="FootnoteReference"/>
        </w:rPr>
        <w:footnoteRef/>
      </w:r>
      <w:r>
        <w:t xml:space="preserve"> </w:t>
      </w:r>
      <w:r>
        <w:rPr>
          <w:i/>
          <w:color w:val="000000"/>
        </w:rPr>
        <w:t>Ibid.</w:t>
      </w:r>
    </w:p>
  </w:footnote>
  <w:footnote w:id="10">
    <w:p w:rsidR="007A3857" w:rsidRDefault="007A3857" w:rsidP="007A3857">
      <w:pPr>
        <w:pStyle w:val="FootnoteText"/>
        <w:ind w:firstLine="709"/>
        <w:jc w:val="both"/>
      </w:pPr>
      <w:r>
        <w:rPr>
          <w:rStyle w:val="FootnoteReference"/>
        </w:rPr>
        <w:footnoteRef/>
      </w:r>
      <w:r>
        <w:t xml:space="preserve"> PAF. Lamintang. </w:t>
      </w:r>
      <w:r>
        <w:rPr>
          <w:i/>
        </w:rPr>
        <w:t>Op. Cit</w:t>
      </w:r>
      <w:proofErr w:type="gramStart"/>
      <w:r>
        <w:t>,  hlm</w:t>
      </w:r>
      <w:proofErr w:type="gramEnd"/>
      <w:r>
        <w:t>. 182.</w:t>
      </w:r>
    </w:p>
  </w:footnote>
  <w:footnote w:id="11">
    <w:p w:rsidR="007A3857" w:rsidRDefault="007A3857" w:rsidP="007A3857">
      <w:pPr>
        <w:pStyle w:val="FootnoteText"/>
        <w:ind w:firstLine="709"/>
        <w:jc w:val="both"/>
      </w:pPr>
      <w:r>
        <w:rPr>
          <w:rStyle w:val="FootnoteReference"/>
        </w:rPr>
        <w:footnoteRef/>
      </w:r>
      <w:r>
        <w:t xml:space="preserve"> </w:t>
      </w:r>
      <w:bookmarkStart w:id="4" w:name="_Hlk172151415"/>
      <w:r>
        <w:rPr>
          <w:color w:val="000000"/>
        </w:rPr>
        <w:t xml:space="preserve">Frans Maramis, </w:t>
      </w:r>
      <w:r>
        <w:rPr>
          <w:i/>
          <w:color w:val="000000"/>
        </w:rPr>
        <w:t>Hukum Pidana Umum dan Tertulis di Indonesia</w:t>
      </w:r>
      <w:proofErr w:type="gramStart"/>
      <w:r>
        <w:rPr>
          <w:i/>
          <w:color w:val="000000"/>
        </w:rPr>
        <w:t xml:space="preserve">, </w:t>
      </w:r>
      <w:r>
        <w:rPr>
          <w:color w:val="000000"/>
        </w:rPr>
        <w:t xml:space="preserve"> Raja</w:t>
      </w:r>
      <w:proofErr w:type="gramEnd"/>
      <w:r>
        <w:rPr>
          <w:color w:val="000000"/>
        </w:rPr>
        <w:t xml:space="preserve"> Grafindo Persada, Jakarta, 2015</w:t>
      </w:r>
      <w:bookmarkEnd w:id="4"/>
      <w:r>
        <w:rPr>
          <w:color w:val="000000"/>
        </w:rPr>
        <w:t>,  hlm. 57.</w:t>
      </w:r>
    </w:p>
  </w:footnote>
  <w:footnote w:id="12">
    <w:p w:rsidR="007A3857" w:rsidRDefault="007A3857" w:rsidP="007A3857">
      <w:pPr>
        <w:pStyle w:val="FootnoteText"/>
        <w:ind w:firstLine="709"/>
        <w:jc w:val="both"/>
      </w:pPr>
      <w:r>
        <w:rPr>
          <w:rStyle w:val="FootnoteReference"/>
        </w:rPr>
        <w:footnoteRef/>
      </w:r>
      <w:r>
        <w:t xml:space="preserve"> </w:t>
      </w:r>
      <w:r>
        <w:rPr>
          <w:color w:val="000000"/>
        </w:rPr>
        <w:t xml:space="preserve">M. Hamdan, </w:t>
      </w:r>
      <w:r>
        <w:rPr>
          <w:i/>
          <w:color w:val="000000"/>
        </w:rPr>
        <w:t>Op. Cit.</w:t>
      </w:r>
      <w:proofErr w:type="gramStart"/>
      <w:r>
        <w:rPr>
          <w:i/>
          <w:color w:val="000000"/>
        </w:rPr>
        <w:t xml:space="preserve">, </w:t>
      </w:r>
      <w:r>
        <w:rPr>
          <w:color w:val="000000"/>
        </w:rPr>
        <w:t xml:space="preserve"> hlm</w:t>
      </w:r>
      <w:proofErr w:type="gramEnd"/>
      <w:r>
        <w:rPr>
          <w:color w:val="000000"/>
        </w:rPr>
        <w:t>. 9.</w:t>
      </w:r>
    </w:p>
  </w:footnote>
  <w:footnote w:id="13">
    <w:p w:rsidR="007A3857" w:rsidRDefault="007A3857" w:rsidP="007A3857">
      <w:pPr>
        <w:pStyle w:val="FootnoteText"/>
        <w:ind w:firstLine="709"/>
        <w:jc w:val="both"/>
      </w:pPr>
      <w:r>
        <w:rPr>
          <w:rStyle w:val="FootnoteReference"/>
        </w:rPr>
        <w:footnoteRef/>
      </w:r>
      <w:r>
        <w:t xml:space="preserve"> </w:t>
      </w:r>
      <w:proofErr w:type="gramStart"/>
      <w:r>
        <w:rPr>
          <w:i/>
        </w:rPr>
        <w:t>Ibid</w:t>
      </w:r>
      <w:r>
        <w:t>.,</w:t>
      </w:r>
      <w:proofErr w:type="gramEnd"/>
      <w:r>
        <w:t xml:space="preserve"> hlm. 7.</w:t>
      </w:r>
    </w:p>
  </w:footnote>
  <w:footnote w:id="14">
    <w:p w:rsidR="007A3857" w:rsidRDefault="007A3857" w:rsidP="007A3857">
      <w:pPr>
        <w:pStyle w:val="FootnoteText"/>
        <w:ind w:firstLine="709"/>
        <w:jc w:val="both"/>
      </w:pPr>
      <w:r>
        <w:rPr>
          <w:rStyle w:val="FootnoteReference"/>
        </w:rPr>
        <w:footnoteRef/>
      </w:r>
      <w:r>
        <w:t xml:space="preserve"> </w:t>
      </w:r>
      <w:proofErr w:type="gramStart"/>
      <w:r>
        <w:rPr>
          <w:i/>
        </w:rPr>
        <w:t>Ibid</w:t>
      </w:r>
      <w:r>
        <w:t>.,</w:t>
      </w:r>
      <w:proofErr w:type="gramEnd"/>
      <w:r>
        <w:t xml:space="preserve"> hlm. 8.</w:t>
      </w:r>
    </w:p>
  </w:footnote>
  <w:footnote w:id="15">
    <w:p w:rsidR="007A3857" w:rsidRDefault="007A3857" w:rsidP="007A3857">
      <w:pPr>
        <w:pStyle w:val="FootnoteText"/>
        <w:ind w:firstLine="709"/>
        <w:jc w:val="both"/>
      </w:pPr>
      <w:r>
        <w:rPr>
          <w:rStyle w:val="FootnoteReference"/>
        </w:rPr>
        <w:footnoteRef/>
      </w:r>
      <w:r>
        <w:t xml:space="preserve">Moeljatno, </w:t>
      </w:r>
      <w:r>
        <w:rPr>
          <w:i/>
        </w:rPr>
        <w:t xml:space="preserve">Asas-Asas Hukum Pidana, </w:t>
      </w:r>
      <w:r>
        <w:t>Rineka Cipta. Jakarta, 2016, hlm. 54.</w:t>
      </w:r>
    </w:p>
  </w:footnote>
  <w:footnote w:id="16">
    <w:p w:rsidR="007A3857" w:rsidRDefault="007A3857" w:rsidP="007A3857">
      <w:pPr>
        <w:pStyle w:val="FootnoteText"/>
        <w:ind w:firstLine="709"/>
        <w:jc w:val="both"/>
      </w:pPr>
      <w:r>
        <w:rPr>
          <w:rStyle w:val="FootnoteReference"/>
        </w:rPr>
        <w:footnoteRef/>
      </w:r>
      <w:r>
        <w:t xml:space="preserve"> Mahrus Ali</w:t>
      </w:r>
      <w:proofErr w:type="gramStart"/>
      <w:r>
        <w:t xml:space="preserve">, </w:t>
      </w:r>
      <w:r>
        <w:rPr>
          <w:i/>
        </w:rPr>
        <w:t xml:space="preserve"> Dasar</w:t>
      </w:r>
      <w:proofErr w:type="gramEnd"/>
      <w:r>
        <w:rPr>
          <w:i/>
        </w:rPr>
        <w:t>-Dasar Hukum Pidana</w:t>
      </w:r>
      <w:r>
        <w:t>,  Sinar Grafika, Jakarta, 2015, hlm. 98</w:t>
      </w:r>
    </w:p>
  </w:footnote>
  <w:footnote w:id="17">
    <w:p w:rsidR="007A3857" w:rsidRDefault="007A3857" w:rsidP="007A3857">
      <w:pPr>
        <w:pStyle w:val="FootnoteText"/>
        <w:ind w:firstLine="709"/>
        <w:jc w:val="both"/>
      </w:pPr>
      <w:r>
        <w:rPr>
          <w:rStyle w:val="FootnoteReference"/>
        </w:rPr>
        <w:footnoteRef/>
      </w:r>
      <w:r>
        <w:t xml:space="preserve"> </w:t>
      </w:r>
      <w:proofErr w:type="gramStart"/>
      <w:r>
        <w:rPr>
          <w:i/>
        </w:rPr>
        <w:t>Ibid</w:t>
      </w:r>
      <w:r>
        <w:t>.,</w:t>
      </w:r>
      <w:proofErr w:type="gramEnd"/>
      <w:r>
        <w:t xml:space="preserve"> hlm.  99.</w:t>
      </w:r>
    </w:p>
  </w:footnote>
  <w:footnote w:id="18">
    <w:p w:rsidR="007A3857" w:rsidRDefault="007A3857" w:rsidP="007A3857">
      <w:pPr>
        <w:pStyle w:val="FootnoteText"/>
        <w:ind w:firstLine="720"/>
        <w:jc w:val="both"/>
      </w:pPr>
      <w:r>
        <w:rPr>
          <w:rStyle w:val="FootnoteReference"/>
        </w:rPr>
        <w:footnoteRef/>
      </w:r>
      <w:r>
        <w:t xml:space="preserve">Wijayanto, </w:t>
      </w:r>
      <w:r>
        <w:rPr>
          <w:bCs/>
          <w:i/>
          <w:iCs/>
        </w:rPr>
        <w:t>Korupsi Mengorupsi Indonesia: Sebab, Akibat, dan Prospek Pemberantasan</w:t>
      </w:r>
      <w:r>
        <w:t>. Gramedia Pustaka Utama, Jakarta, 2010, h. 18</w:t>
      </w:r>
    </w:p>
  </w:footnote>
  <w:footnote w:id="19">
    <w:p w:rsidR="007A3857" w:rsidRDefault="007A3857" w:rsidP="007A3857">
      <w:pPr>
        <w:pStyle w:val="FootnoteText"/>
        <w:ind w:firstLine="720"/>
        <w:jc w:val="both"/>
      </w:pPr>
      <w:r>
        <w:rPr>
          <w:rStyle w:val="FootnoteReference"/>
        </w:rPr>
        <w:footnoteRef/>
      </w:r>
      <w:r>
        <w:t xml:space="preserve">BPKP, </w:t>
      </w:r>
      <w:r>
        <w:rPr>
          <w:bCs/>
          <w:i/>
          <w:iCs/>
        </w:rPr>
        <w:t>Upaya Pencegahan dan Penanggulangan Korupsi pada Pengelolaan Pelayanan Masyarakat</w:t>
      </w:r>
      <w:r>
        <w:t>. Tim Pengkajian SPKN RI, Jakarta, 2012, h. 6</w:t>
      </w:r>
    </w:p>
  </w:footnote>
  <w:footnote w:id="20">
    <w:p w:rsidR="007A3857" w:rsidRDefault="007A3857" w:rsidP="007A3857">
      <w:pPr>
        <w:pStyle w:val="FootnoteText"/>
        <w:ind w:firstLine="720"/>
        <w:jc w:val="both"/>
      </w:pPr>
      <w:r>
        <w:rPr>
          <w:rStyle w:val="FootnoteReference"/>
        </w:rPr>
        <w:footnoteRef/>
      </w:r>
      <w:r>
        <w:t xml:space="preserve"> Dirdjosisworo Soedjono, </w:t>
      </w:r>
      <w:r>
        <w:rPr>
          <w:bCs/>
          <w:i/>
          <w:iCs/>
        </w:rPr>
        <w:t xml:space="preserve">Pungli: Analisa Hukum &amp; Kriminologi, </w:t>
      </w:r>
      <w:r>
        <w:t>Sinar Baru, Bandung, 2013, h.15</w:t>
      </w:r>
    </w:p>
  </w:footnote>
  <w:footnote w:id="21">
    <w:p w:rsidR="007A3857" w:rsidRDefault="007A3857" w:rsidP="007A3857">
      <w:pPr>
        <w:pStyle w:val="FootnoteText"/>
        <w:ind w:firstLine="720"/>
        <w:jc w:val="both"/>
      </w:pPr>
      <w:r>
        <w:rPr>
          <w:rStyle w:val="FootnoteReference"/>
        </w:rPr>
        <w:footnoteRef/>
      </w:r>
      <w:r>
        <w:t xml:space="preserve"> PAF. Lamintang, </w:t>
      </w:r>
      <w:r>
        <w:rPr>
          <w:i/>
        </w:rPr>
        <w:t>Delik-delik Khusus Kejahatan Jabatan Tertentu sebagai Tindak Pidana Korupsi</w:t>
      </w:r>
      <w:r>
        <w:t>. Sinar Grafika, Jakarta, 2019, h.18</w:t>
      </w:r>
    </w:p>
  </w:footnote>
  <w:footnote w:id="22">
    <w:p w:rsidR="007A3857" w:rsidRDefault="007A3857" w:rsidP="007A3857">
      <w:pPr>
        <w:pStyle w:val="FootnoteText"/>
        <w:ind w:firstLine="720"/>
        <w:jc w:val="both"/>
      </w:pPr>
      <w:r>
        <w:rPr>
          <w:rStyle w:val="FootnoteReference"/>
        </w:rPr>
        <w:footnoteRef/>
      </w:r>
      <w:r>
        <w:t xml:space="preserve"> http://id.wikipedia.org/wiki/Pungutan liar, diakses Senin, 10 Maret 2025 Pukul 20.</w:t>
      </w:r>
      <w:r>
        <w:rPr>
          <w:vertAlign w:val="superscript"/>
        </w:rPr>
        <w:t>00</w:t>
      </w:r>
      <w:r>
        <w:t xml:space="preserve"> Wib</w:t>
      </w:r>
    </w:p>
  </w:footnote>
  <w:footnote w:id="23">
    <w:p w:rsidR="007A3857" w:rsidRDefault="007A3857" w:rsidP="007A3857">
      <w:pPr>
        <w:pStyle w:val="FootnoteText"/>
        <w:ind w:firstLine="720"/>
        <w:jc w:val="both"/>
      </w:pPr>
      <w:r>
        <w:rPr>
          <w:rStyle w:val="FootnoteReference"/>
        </w:rPr>
        <w:footnoteRef/>
      </w:r>
      <w:r>
        <w:t xml:space="preserve"> Lijan Poltak Sinambela, </w:t>
      </w:r>
      <w:r>
        <w:rPr>
          <w:i/>
          <w:iCs/>
        </w:rPr>
        <w:t>Reformasi Pelayanan Publik: Teori, Kebijakan dan Implermentasi</w:t>
      </w:r>
      <w:r>
        <w:t xml:space="preserve">. Sinar Grafika Offset, Jakarta, 2016, h.96.  </w:t>
      </w:r>
    </w:p>
  </w:footnote>
  <w:footnote w:id="24">
    <w:p w:rsidR="007A3857" w:rsidRDefault="007A3857" w:rsidP="007A3857">
      <w:pPr>
        <w:pStyle w:val="FootnoteText"/>
        <w:ind w:firstLine="720"/>
        <w:jc w:val="both"/>
      </w:pPr>
      <w:r>
        <w:rPr>
          <w:rStyle w:val="FootnoteReference"/>
        </w:rPr>
        <w:footnoteRef/>
      </w:r>
      <w:r>
        <w:t xml:space="preserve"> </w:t>
      </w:r>
      <w:r>
        <w:rPr>
          <w:i/>
        </w:rPr>
        <w:t>Ibid</w:t>
      </w:r>
      <w:r>
        <w:t>, h.97</w:t>
      </w:r>
    </w:p>
  </w:footnote>
  <w:footnote w:id="25">
    <w:p w:rsidR="007A3857" w:rsidRDefault="007A3857" w:rsidP="007A3857">
      <w:pPr>
        <w:pStyle w:val="FootnoteText"/>
        <w:ind w:firstLine="720"/>
        <w:jc w:val="both"/>
      </w:pPr>
      <w:r>
        <w:rPr>
          <w:rStyle w:val="FootnoteReference"/>
        </w:rPr>
        <w:footnoteRef/>
      </w:r>
      <w:r>
        <w:t xml:space="preserve"> Wijayanto, </w:t>
      </w:r>
      <w:r>
        <w:rPr>
          <w:i/>
          <w:iCs/>
        </w:rPr>
        <w:t>Op.Cit</w:t>
      </w:r>
      <w:r>
        <w:t>, h. 62</w:t>
      </w:r>
    </w:p>
  </w:footnote>
  <w:footnote w:id="26">
    <w:p w:rsidR="007A3857" w:rsidRDefault="007A3857" w:rsidP="007A3857">
      <w:pPr>
        <w:pStyle w:val="FootnoteText"/>
        <w:ind w:firstLine="720"/>
        <w:jc w:val="both"/>
      </w:pPr>
      <w:r>
        <w:rPr>
          <w:rStyle w:val="FootnoteReference"/>
        </w:rPr>
        <w:footnoteRef/>
      </w:r>
      <w:r>
        <w:t xml:space="preserve"> </w:t>
      </w:r>
      <w:r>
        <w:rPr>
          <w:i/>
        </w:rPr>
        <w:t xml:space="preserve">Ibid, </w:t>
      </w:r>
      <w:r>
        <w:t xml:space="preserve"> h.63</w:t>
      </w:r>
    </w:p>
  </w:footnote>
  <w:footnote w:id="27">
    <w:p w:rsidR="007A3857" w:rsidRDefault="007A3857" w:rsidP="007A3857">
      <w:pPr>
        <w:pStyle w:val="FootnoteText"/>
        <w:ind w:firstLine="720"/>
        <w:jc w:val="both"/>
      </w:pPr>
      <w:r>
        <w:rPr>
          <w:rStyle w:val="FootnoteReference"/>
        </w:rPr>
        <w:footnoteRef/>
      </w:r>
      <w:r>
        <w:t xml:space="preserve"> </w:t>
      </w:r>
      <w:r>
        <w:rPr>
          <w:i/>
        </w:rPr>
        <w:t>Ibid</w:t>
      </w:r>
      <w:r>
        <w:t>, h. 64</w:t>
      </w:r>
    </w:p>
  </w:footnote>
  <w:footnote w:id="28">
    <w:p w:rsidR="007A3857" w:rsidRDefault="007A3857" w:rsidP="007A3857">
      <w:pPr>
        <w:pStyle w:val="FootnoteText"/>
        <w:ind w:firstLine="720"/>
        <w:jc w:val="both"/>
      </w:pPr>
      <w:r>
        <w:rPr>
          <w:rStyle w:val="FootnoteReference"/>
        </w:rPr>
        <w:footnoteRef/>
      </w:r>
      <w:r>
        <w:t xml:space="preserve"> </w:t>
      </w:r>
      <w:r>
        <w:rPr>
          <w:i/>
        </w:rPr>
        <w:t>Ibid</w:t>
      </w:r>
      <w:r>
        <w:t>, h.65</w:t>
      </w:r>
    </w:p>
  </w:footnote>
  <w:footnote w:id="29">
    <w:p w:rsidR="007A3857" w:rsidRDefault="007A3857" w:rsidP="007A3857">
      <w:pPr>
        <w:pStyle w:val="Default"/>
        <w:ind w:firstLine="720"/>
        <w:jc w:val="both"/>
        <w:rPr>
          <w:rFonts w:ascii="Times New Roman" w:hAnsi="Times New Roman" w:cs="Times New Roman"/>
          <w:sz w:val="20"/>
          <w:szCs w:val="20"/>
        </w:rPr>
      </w:pPr>
      <w:r>
        <w:rPr>
          <w:rStyle w:val="FootnoteReference"/>
          <w:sz w:val="20"/>
        </w:rPr>
        <w:footnoteRef/>
      </w:r>
      <w:bookmarkStart w:id="6" w:name="_Hlk192877361"/>
      <w:r>
        <w:rPr>
          <w:rFonts w:ascii="Times New Roman" w:hAnsi="Times New Roman" w:cs="Times New Roman"/>
          <w:sz w:val="20"/>
          <w:szCs w:val="20"/>
        </w:rPr>
        <w:t>Ambaranie Nadia Kemala Movanita, “</w:t>
      </w:r>
      <w:r>
        <w:rPr>
          <w:rFonts w:ascii="Times New Roman" w:hAnsi="Times New Roman" w:cs="Times New Roman"/>
          <w:iCs/>
          <w:sz w:val="20"/>
          <w:szCs w:val="20"/>
        </w:rPr>
        <w:t>Polri Mendapat Predikat Tertinggi Sebagai  Lembaga Sarang  Pungli dan Praktik Suap”</w:t>
      </w:r>
      <w:r>
        <w:rPr>
          <w:rFonts w:ascii="Times New Roman" w:hAnsi="Times New Roman" w:cs="Times New Roman"/>
          <w:i/>
          <w:iCs/>
          <w:sz w:val="20"/>
          <w:szCs w:val="20"/>
        </w:rPr>
        <w:t xml:space="preserve">, melalui </w:t>
      </w:r>
      <w:r>
        <w:rPr>
          <w:rFonts w:ascii="Times New Roman" w:hAnsi="Times New Roman" w:cs="Times New Roman"/>
          <w:i/>
          <w:sz w:val="20"/>
          <w:szCs w:val="20"/>
        </w:rPr>
        <w:t>http://trito.id</w:t>
      </w:r>
      <w:r>
        <w:rPr>
          <w:rFonts w:ascii="Times New Roman" w:hAnsi="Times New Roman" w:cs="Times New Roman"/>
          <w:i/>
          <w:iCs/>
          <w:sz w:val="20"/>
          <w:szCs w:val="20"/>
        </w:rPr>
        <w:t xml:space="preserve">, </w:t>
      </w:r>
      <w:r>
        <w:rPr>
          <w:rFonts w:ascii="Times New Roman" w:hAnsi="Times New Roman" w:cs="Times New Roman"/>
          <w:sz w:val="20"/>
          <w:szCs w:val="20"/>
        </w:rPr>
        <w:t>Senin, 10 Maret 2025 Pukul 20.00 wib.</w:t>
      </w:r>
      <w:bookmarkEnd w:id="6"/>
    </w:p>
  </w:footnote>
  <w:footnote w:id="30">
    <w:p w:rsidR="007A3857" w:rsidRDefault="007A3857" w:rsidP="007A3857">
      <w:pPr>
        <w:pStyle w:val="FootnoteText"/>
        <w:ind w:firstLine="720"/>
        <w:jc w:val="both"/>
      </w:pPr>
      <w:r>
        <w:rPr>
          <w:rStyle w:val="FootnoteReference"/>
        </w:rPr>
        <w:footnoteRef/>
      </w:r>
      <w:bookmarkStart w:id="7" w:name="_Hlk192877387"/>
      <w:r>
        <w:t xml:space="preserve">Supriadi, “Pungutan Liar”, melalui </w:t>
      </w:r>
      <w:r>
        <w:rPr>
          <w:i/>
        </w:rPr>
        <w:t>https://www.tempo.co</w:t>
      </w:r>
      <w:r>
        <w:t>, diakses Senin, 10 Maret 2025 Pukul 20.00 wib</w:t>
      </w:r>
      <w:bookmarkEnd w:id="7"/>
      <w:r>
        <w:t>.</w:t>
      </w:r>
    </w:p>
  </w:footnote>
  <w:footnote w:id="31">
    <w:p w:rsidR="007A3857" w:rsidRDefault="007A3857" w:rsidP="007A3857">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9" w:name="_Hlk175181018"/>
      <w:bookmarkStart w:id="10" w:name="_Hlk175236478"/>
      <w:r>
        <w:rPr>
          <w:rFonts w:ascii="Times New Roman" w:hAnsi="Times New Roman" w:cs="Times New Roman"/>
          <w:sz w:val="20"/>
          <w:szCs w:val="20"/>
        </w:rPr>
        <w:t xml:space="preserve">Supardi, </w:t>
      </w:r>
      <w:r>
        <w:rPr>
          <w:rFonts w:ascii="Times New Roman" w:hAnsi="Times New Roman" w:cs="Times New Roman"/>
          <w:i/>
          <w:iCs/>
          <w:sz w:val="20"/>
          <w:szCs w:val="20"/>
        </w:rPr>
        <w:t xml:space="preserve">Etika &amp; Tanggung Jawab Profesi Hukum di Indonesia </w:t>
      </w:r>
      <w:r>
        <w:rPr>
          <w:rFonts w:ascii="Times New Roman" w:hAnsi="Times New Roman" w:cs="Times New Roman"/>
          <w:sz w:val="20"/>
          <w:szCs w:val="20"/>
        </w:rPr>
        <w:t>Sinar Grafika, Jakarta, 2018</w:t>
      </w:r>
      <w:bookmarkEnd w:id="9"/>
      <w:r>
        <w:rPr>
          <w:rFonts w:ascii="Times New Roman" w:hAnsi="Times New Roman" w:cs="Times New Roman"/>
          <w:sz w:val="20"/>
          <w:szCs w:val="20"/>
        </w:rPr>
        <w:t xml:space="preserve">, </w:t>
      </w:r>
      <w:bookmarkEnd w:id="10"/>
      <w:r>
        <w:rPr>
          <w:rFonts w:ascii="Times New Roman" w:hAnsi="Times New Roman" w:cs="Times New Roman"/>
          <w:sz w:val="20"/>
          <w:szCs w:val="20"/>
        </w:rPr>
        <w:t>h. 14.</w:t>
      </w:r>
    </w:p>
  </w:footnote>
  <w:footnote w:id="32">
    <w:p w:rsidR="007A3857" w:rsidRDefault="007A3857" w:rsidP="007A3857">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bookmarkStart w:id="11" w:name="_Hlk175181143"/>
      <w:r>
        <w:rPr>
          <w:rFonts w:ascii="Times New Roman" w:hAnsi="Times New Roman" w:cs="Times New Roman"/>
          <w:sz w:val="20"/>
          <w:szCs w:val="20"/>
        </w:rPr>
        <w:t xml:space="preserve">Viswandro, Maria Matilda, dan Bayu Saputra, </w:t>
      </w:r>
      <w:r>
        <w:rPr>
          <w:rFonts w:ascii="Times New Roman" w:hAnsi="Times New Roman" w:cs="Times New Roman"/>
          <w:i/>
          <w:iCs/>
          <w:sz w:val="20"/>
          <w:szCs w:val="20"/>
        </w:rPr>
        <w:t xml:space="preserve">Mengenal Profesi Penegak Hukum, </w:t>
      </w:r>
      <w:r>
        <w:rPr>
          <w:rFonts w:ascii="Times New Roman" w:hAnsi="Times New Roman" w:cs="Times New Roman"/>
          <w:sz w:val="20"/>
          <w:szCs w:val="20"/>
        </w:rPr>
        <w:t>Medpress Digital, Yogyakarta, 2015</w:t>
      </w:r>
      <w:bookmarkEnd w:id="11"/>
      <w:r>
        <w:rPr>
          <w:rFonts w:ascii="Times New Roman" w:hAnsi="Times New Roman" w:cs="Times New Roman"/>
          <w:sz w:val="20"/>
          <w:szCs w:val="20"/>
        </w:rPr>
        <w:t>, h. 19.</w:t>
      </w:r>
    </w:p>
  </w:footnote>
  <w:footnote w:id="33">
    <w:p w:rsidR="007A3857" w:rsidRDefault="007A3857" w:rsidP="007A3857">
      <w:pPr>
        <w:pStyle w:val="FootnoteText"/>
        <w:ind w:firstLine="709"/>
        <w:jc w:val="both"/>
        <w:rPr>
          <w:color w:val="000000"/>
        </w:rPr>
      </w:pPr>
      <w:r>
        <w:rPr>
          <w:rStyle w:val="FootnoteReference"/>
          <w:color w:val="000000"/>
        </w:rPr>
        <w:footnoteRef/>
      </w:r>
      <w:r>
        <w:rPr>
          <w:color w:val="000000"/>
        </w:rPr>
        <w:t xml:space="preserve"> Pasal 1 angka 9 Peraturan Kepolisian Negara Republik Indonesia Nomor 7 Tahun 2022 Tentang Kode Etik Profesi dan Komisi Kode Etik Kepolisian Negara Republik Indonesia</w:t>
      </w:r>
    </w:p>
  </w:footnote>
  <w:footnote w:id="34">
    <w:p w:rsidR="007A3857" w:rsidRDefault="007A3857" w:rsidP="007A3857">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w:t>
      </w:r>
      <w:bookmarkStart w:id="13" w:name="_Hlk175238693"/>
      <w:r>
        <w:rPr>
          <w:rFonts w:ascii="Times New Roman" w:hAnsi="Times New Roman" w:cs="Times New Roman"/>
          <w:sz w:val="20"/>
          <w:szCs w:val="20"/>
        </w:rPr>
        <w:t xml:space="preserve">Edi Abdullah, </w:t>
      </w:r>
      <w:r>
        <w:rPr>
          <w:rFonts w:ascii="Times New Roman" w:hAnsi="Times New Roman" w:cs="Times New Roman"/>
          <w:i/>
          <w:iCs/>
          <w:sz w:val="20"/>
          <w:szCs w:val="20"/>
        </w:rPr>
        <w:t>Hukum Kepolisian Presisi</w:t>
      </w:r>
      <w:r>
        <w:rPr>
          <w:rFonts w:ascii="Times New Roman" w:hAnsi="Times New Roman" w:cs="Times New Roman"/>
          <w:sz w:val="20"/>
          <w:szCs w:val="20"/>
        </w:rPr>
        <w:t>. Deepublish, Jakarta, 2023</w:t>
      </w:r>
      <w:bookmarkEnd w:id="13"/>
      <w:r>
        <w:rPr>
          <w:rFonts w:ascii="Times New Roman" w:hAnsi="Times New Roman" w:cs="Times New Roman"/>
          <w:sz w:val="20"/>
          <w:szCs w:val="20"/>
        </w:rPr>
        <w:t>, h.73</w:t>
      </w:r>
    </w:p>
  </w:footnote>
  <w:footnote w:id="35">
    <w:p w:rsidR="007A3857" w:rsidRDefault="007A3857" w:rsidP="007A3857">
      <w:pPr>
        <w:pStyle w:val="FootnoteText"/>
        <w:ind w:firstLine="709"/>
        <w:jc w:val="both"/>
        <w:rPr>
          <w:color w:val="000000"/>
        </w:rPr>
      </w:pPr>
      <w:r>
        <w:rPr>
          <w:rStyle w:val="FootnoteReference"/>
          <w:color w:val="000000"/>
        </w:rPr>
        <w:footnoteRef/>
      </w:r>
      <w:r>
        <w:rPr>
          <w:color w:val="000000"/>
        </w:rPr>
        <w:t xml:space="preserve"> Pasal 1 angka 10 Peraturan Kepolisian Negara Republik Indonesia Nomor 7 Tahun 2022 Tentang Kode Etik Profesi dan Komisi Kode Etik Kepolisian Negara Republik Indonesia</w:t>
      </w:r>
    </w:p>
  </w:footnote>
  <w:footnote w:id="36">
    <w:p w:rsidR="007A3857" w:rsidRDefault="007A3857" w:rsidP="007A3857">
      <w:pPr>
        <w:pStyle w:val="FootnoteText"/>
        <w:ind w:firstLine="709"/>
        <w:jc w:val="both"/>
        <w:rPr>
          <w:color w:val="000000"/>
        </w:rPr>
      </w:pPr>
      <w:r>
        <w:rPr>
          <w:rStyle w:val="FootnoteReference"/>
          <w:color w:val="000000"/>
        </w:rPr>
        <w:footnoteRef/>
      </w:r>
      <w:r>
        <w:rPr>
          <w:color w:val="000000"/>
        </w:rPr>
        <w:t xml:space="preserve"> Pasal 1 angka 11, 12 Peraturan Kepolisian Negara Republik Indonesia Nomor 7 Tahun 2022 Tentang Kode Etik Profesi dan Komisi Kode Etik Kepolisian Negara Republik Indonesia</w:t>
      </w:r>
    </w:p>
  </w:footnote>
  <w:footnote w:id="37">
    <w:p w:rsidR="007A3857" w:rsidRDefault="007A3857" w:rsidP="007A3857">
      <w:pPr>
        <w:pStyle w:val="Default"/>
        <w:jc w:val="both"/>
        <w:rPr>
          <w:rFonts w:ascii="Times New Roman" w:hAnsi="Times New Roman" w:cs="Times New Roman"/>
          <w:sz w:val="20"/>
          <w:szCs w:val="20"/>
        </w:rPr>
      </w:pPr>
      <w:r>
        <w:rPr>
          <w:rFonts w:ascii="Times New Roman" w:hAnsi="Times New Roman" w:cs="Times New Roman"/>
          <w:sz w:val="20"/>
          <w:szCs w:val="20"/>
        </w:rPr>
        <w:tab/>
      </w:r>
      <w:r>
        <w:rPr>
          <w:rStyle w:val="FootnoteReference"/>
          <w:sz w:val="20"/>
        </w:rPr>
        <w:footnoteRef/>
      </w:r>
      <w:r>
        <w:rPr>
          <w:rFonts w:ascii="Times New Roman" w:hAnsi="Times New Roman" w:cs="Times New Roman"/>
          <w:sz w:val="20"/>
          <w:szCs w:val="20"/>
        </w:rPr>
        <w:t xml:space="preserve"> Edi Abdullah, </w:t>
      </w:r>
      <w:r>
        <w:rPr>
          <w:rFonts w:ascii="Times New Roman" w:hAnsi="Times New Roman" w:cs="Times New Roman"/>
          <w:i/>
          <w:sz w:val="20"/>
          <w:szCs w:val="20"/>
        </w:rPr>
        <w:t xml:space="preserve">Op.Cit, </w:t>
      </w:r>
      <w:r>
        <w:rPr>
          <w:rFonts w:ascii="Times New Roman" w:hAnsi="Times New Roman" w:cs="Times New Roman"/>
          <w:sz w:val="20"/>
          <w:szCs w:val="20"/>
        </w:rPr>
        <w:t xml:space="preserve"> h.75</w:t>
      </w:r>
    </w:p>
  </w:footnote>
  <w:footnote w:id="38">
    <w:p w:rsidR="007A3857" w:rsidRDefault="007A3857" w:rsidP="007A3857">
      <w:pPr>
        <w:pStyle w:val="FootnoteText"/>
        <w:ind w:firstLine="709"/>
        <w:jc w:val="both"/>
        <w:rPr>
          <w:color w:val="000000"/>
        </w:rPr>
      </w:pPr>
      <w:r>
        <w:rPr>
          <w:rStyle w:val="FootnoteReference"/>
          <w:color w:val="000000"/>
        </w:rPr>
        <w:footnoteRef/>
      </w:r>
      <w:r>
        <w:rPr>
          <w:color w:val="000000"/>
        </w:rPr>
        <w:t xml:space="preserve"> Pasal 1 angka 12 Peraturan Kepolisian Negara Republik Indonesia Nomor 7 Tahun 2022 Tentang Kode Etik Profesi dan Komisi Kode Etik Kepolisian Negara Republik Indonesia</w:t>
      </w:r>
    </w:p>
  </w:footnote>
  <w:footnote w:id="39">
    <w:p w:rsidR="007A3857" w:rsidRDefault="007A3857" w:rsidP="007A3857">
      <w:pPr>
        <w:pStyle w:val="FootnoteText"/>
        <w:jc w:val="both"/>
        <w:rPr>
          <w:color w:val="000000"/>
        </w:rPr>
      </w:pPr>
      <w:r>
        <w:rPr>
          <w:color w:val="000000"/>
        </w:rPr>
        <w:tab/>
      </w:r>
      <w:r>
        <w:rPr>
          <w:rStyle w:val="FootnoteReference"/>
          <w:color w:val="000000"/>
        </w:rPr>
        <w:footnoteRef/>
      </w:r>
      <w:r>
        <w:rPr>
          <w:color w:val="000000"/>
        </w:rPr>
        <w:t xml:space="preserve"> Edi Abdullah, </w:t>
      </w:r>
      <w:r>
        <w:rPr>
          <w:i/>
          <w:color w:val="000000"/>
        </w:rPr>
        <w:t xml:space="preserve">Op.Cit, </w:t>
      </w:r>
      <w:r>
        <w:rPr>
          <w:color w:val="000000"/>
        </w:rPr>
        <w:t xml:space="preserve"> h.76</w:t>
      </w:r>
    </w:p>
  </w:footnote>
  <w:footnote w:id="40">
    <w:p w:rsidR="007A3857" w:rsidRDefault="007A3857" w:rsidP="007A3857">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14" w:name="_Hlk175236792"/>
      <w:r>
        <w:rPr>
          <w:color w:val="000000"/>
          <w:sz w:val="20"/>
          <w:szCs w:val="20"/>
        </w:rPr>
        <w:t xml:space="preserve">ADD. Nurianto,  ” Penegakan Pasal 34 Undang-Undang Nomor 2 Tahun 2002 tentang Kepolisian Negara Republik Indonesia Dikaitkan dengan Kode Etik Kepolisian Negara Republik Indonesia. </w:t>
      </w:r>
      <w:r>
        <w:rPr>
          <w:i/>
          <w:iCs/>
          <w:color w:val="000000"/>
          <w:sz w:val="20"/>
          <w:szCs w:val="20"/>
        </w:rPr>
        <w:t>NOVUM: Jurnal Hukum</w:t>
      </w:r>
      <w:r>
        <w:rPr>
          <w:color w:val="000000"/>
          <w:sz w:val="20"/>
          <w:szCs w:val="20"/>
        </w:rPr>
        <w:t xml:space="preserve">, Vol. </w:t>
      </w:r>
      <w:r>
        <w:rPr>
          <w:iCs/>
          <w:color w:val="000000"/>
          <w:sz w:val="20"/>
          <w:szCs w:val="20"/>
        </w:rPr>
        <w:t>4</w:t>
      </w:r>
      <w:r>
        <w:rPr>
          <w:color w:val="000000"/>
          <w:sz w:val="20"/>
          <w:szCs w:val="20"/>
        </w:rPr>
        <w:t xml:space="preserve"> No.2 (2019), </w:t>
      </w:r>
      <w:bookmarkEnd w:id="14"/>
      <w:r>
        <w:rPr>
          <w:color w:val="000000"/>
          <w:sz w:val="20"/>
          <w:szCs w:val="20"/>
        </w:rPr>
        <w:t>h.11.</w:t>
      </w:r>
    </w:p>
  </w:footnote>
  <w:footnote w:id="41">
    <w:p w:rsidR="007A3857" w:rsidRDefault="007A3857" w:rsidP="007A3857">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15" w:name="_Hlk175236939"/>
      <w:r>
        <w:rPr>
          <w:color w:val="000000"/>
          <w:sz w:val="20"/>
          <w:szCs w:val="20"/>
        </w:rPr>
        <w:t xml:space="preserve">Budiarta, G., Lemes, I. N., &amp; Mandala, S. “Pelaksanaan Kode Etik Profesi Terhadap Anggota Kepolisian Republik Indonesia Berdasarkan Undang-Undang Nomor 2 Tahun 2002 Tentang Kepolisian Negara Republik Indonesia Dalam Mencegah Penyalahgunaan Wewenang Dalam Penegakan Hukum “, </w:t>
      </w:r>
      <w:r>
        <w:rPr>
          <w:i/>
          <w:color w:val="000000"/>
          <w:sz w:val="20"/>
          <w:szCs w:val="20"/>
        </w:rPr>
        <w:t>Jurnal</w:t>
      </w:r>
      <w:r>
        <w:rPr>
          <w:i/>
          <w:iCs/>
          <w:color w:val="000000"/>
          <w:sz w:val="20"/>
          <w:szCs w:val="20"/>
        </w:rPr>
        <w:t>Kertha Widya</w:t>
      </w:r>
      <w:r>
        <w:rPr>
          <w:color w:val="000000"/>
          <w:sz w:val="20"/>
          <w:szCs w:val="20"/>
        </w:rPr>
        <w:t xml:space="preserve">, Vol. </w:t>
      </w:r>
      <w:r>
        <w:rPr>
          <w:iCs/>
          <w:color w:val="000000"/>
          <w:sz w:val="20"/>
          <w:szCs w:val="20"/>
        </w:rPr>
        <w:t xml:space="preserve">9 No. </w:t>
      </w:r>
      <w:r>
        <w:rPr>
          <w:color w:val="000000"/>
          <w:sz w:val="20"/>
          <w:szCs w:val="20"/>
        </w:rPr>
        <w:t>1,  (2021),</w:t>
      </w:r>
      <w:bookmarkEnd w:id="15"/>
      <w:r>
        <w:rPr>
          <w:color w:val="000000"/>
          <w:sz w:val="20"/>
          <w:szCs w:val="20"/>
        </w:rPr>
        <w:t xml:space="preserve"> h. 77.</w:t>
      </w:r>
    </w:p>
  </w:footnote>
  <w:footnote w:id="42">
    <w:p w:rsidR="007A3857" w:rsidRDefault="007A3857" w:rsidP="007A3857">
      <w:pPr>
        <w:autoSpaceDE w:val="0"/>
        <w:autoSpaceDN w:val="0"/>
        <w:adjustRightInd w:val="0"/>
        <w:jc w:val="both"/>
        <w:rPr>
          <w:color w:val="000000"/>
          <w:sz w:val="20"/>
          <w:szCs w:val="20"/>
        </w:rPr>
      </w:pPr>
      <w:r>
        <w:rPr>
          <w:color w:val="000000"/>
          <w:sz w:val="20"/>
          <w:szCs w:val="20"/>
        </w:rPr>
        <w:tab/>
      </w:r>
      <w:r>
        <w:rPr>
          <w:rStyle w:val="FootnoteReference"/>
          <w:color w:val="000000"/>
          <w:sz w:val="20"/>
        </w:rPr>
        <w:footnoteRef/>
      </w:r>
      <w:r>
        <w:rPr>
          <w:color w:val="000000"/>
          <w:sz w:val="20"/>
          <w:szCs w:val="20"/>
        </w:rPr>
        <w:t xml:space="preserve"> </w:t>
      </w:r>
      <w:bookmarkStart w:id="16" w:name="_Hlk192877649"/>
      <w:bookmarkStart w:id="17" w:name="_Hlk175237144"/>
      <w:r>
        <w:rPr>
          <w:color w:val="000000"/>
          <w:sz w:val="20"/>
          <w:szCs w:val="20"/>
        </w:rPr>
        <w:t xml:space="preserve">Dewa, M. J., Sensu, L., Haris, O. K., Tatawu, G., Sinapoy, M. S., &amp; Nugroho, P. T. “Penegakan Sanksi Kode Etik Profesi Kepolisian terhadap Anggota Polri Melakukan Pungutan Liar. </w:t>
      </w:r>
      <w:r>
        <w:rPr>
          <w:i/>
          <w:iCs/>
          <w:color w:val="000000"/>
          <w:sz w:val="20"/>
          <w:szCs w:val="20"/>
        </w:rPr>
        <w:t>Halu Oleo Legal Research</w:t>
      </w:r>
      <w:r>
        <w:rPr>
          <w:color w:val="000000"/>
          <w:sz w:val="20"/>
          <w:szCs w:val="20"/>
        </w:rPr>
        <w:t xml:space="preserve">, Vol. </w:t>
      </w:r>
      <w:r>
        <w:rPr>
          <w:iCs/>
          <w:color w:val="000000"/>
          <w:sz w:val="20"/>
          <w:szCs w:val="20"/>
        </w:rPr>
        <w:t xml:space="preserve">5 No. </w:t>
      </w:r>
      <w:r>
        <w:rPr>
          <w:color w:val="000000"/>
          <w:sz w:val="20"/>
          <w:szCs w:val="20"/>
        </w:rPr>
        <w:t>1 (2023</w:t>
      </w:r>
      <w:bookmarkEnd w:id="16"/>
      <w:r>
        <w:rPr>
          <w:color w:val="000000"/>
          <w:sz w:val="20"/>
          <w:szCs w:val="20"/>
        </w:rPr>
        <w:t xml:space="preserve">), </w:t>
      </w:r>
      <w:bookmarkEnd w:id="17"/>
      <w:r>
        <w:rPr>
          <w:color w:val="000000"/>
          <w:sz w:val="20"/>
          <w:szCs w:val="20"/>
        </w:rPr>
        <w:t>h. 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5B11BB">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B11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891FD9"/>
    <w:multiLevelType w:val="hybridMultilevel"/>
    <w:tmpl w:val="A96C18DE"/>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4A3669A6">
      <w:start w:val="1"/>
      <w:numFmt w:val="upperLetter"/>
      <w:lvlText w:val="%7."/>
      <w:lvlJc w:val="left"/>
      <w:pPr>
        <w:ind w:left="6120" w:hanging="360"/>
      </w:pPr>
      <w:rPr>
        <w:b/>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8">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3">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4">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F460730"/>
    <w:multiLevelType w:val="hybridMultilevel"/>
    <w:tmpl w:val="F6ACF138"/>
    <w:lvl w:ilvl="0" w:tplc="0409000F">
      <w:start w:val="1"/>
      <w:numFmt w:val="decimal"/>
      <w:lvlText w:val="%1."/>
      <w:lvlJc w:val="left"/>
      <w:pPr>
        <w:tabs>
          <w:tab w:val="num" w:pos="720"/>
        </w:tabs>
        <w:ind w:left="720" w:hanging="360"/>
      </w:pPr>
    </w:lvl>
    <w:lvl w:ilvl="1" w:tplc="95C296E2">
      <w:start w:val="1"/>
      <w:numFmt w:val="decimal"/>
      <w:lvlText w:val="%2."/>
      <w:lvlJc w:val="left"/>
      <w:pPr>
        <w:tabs>
          <w:tab w:val="num" w:pos="1440"/>
        </w:tabs>
        <w:ind w:left="1440" w:hanging="360"/>
      </w:pPr>
      <w:rPr>
        <w:rFonts w:ascii="Times New Roman" w:eastAsia="Times New Roman" w:hAnsi="Times New Roman" w:cs="Times New Roman"/>
      </w:rPr>
    </w:lvl>
    <w:lvl w:ilvl="2" w:tplc="CBD2C282">
      <w:start w:val="1"/>
      <w:numFmt w:val="decimal"/>
      <w:lvlText w:val="(%3)"/>
      <w:lvlJc w:val="left"/>
      <w:pPr>
        <w:tabs>
          <w:tab w:val="num" w:pos="2355"/>
        </w:tabs>
        <w:ind w:left="2355" w:hanging="375"/>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E74BE42">
      <w:start w:val="1"/>
      <w:numFmt w:val="upperLetter"/>
      <w:lvlText w:val="%5."/>
      <w:lvlJc w:val="left"/>
      <w:pPr>
        <w:ind w:left="3600" w:hanging="360"/>
      </w:pPr>
      <w:rPr>
        <w:b/>
      </w:rPr>
    </w:lvl>
    <w:lvl w:ilvl="5" w:tplc="CC72E9CE">
      <w:start w:val="1"/>
      <w:numFmt w:val="lowerLetter"/>
      <w:lvlText w:val="%6."/>
      <w:lvlJc w:val="left"/>
      <w:pPr>
        <w:ind w:left="4500" w:hanging="360"/>
      </w:pPr>
      <w:rPr>
        <w:rFonts w:ascii="Times New Roman" w:eastAsia="Times New Roman" w:hAnsi="Times New Roman" w:cs="Times New Roman"/>
      </w:rPr>
    </w:lvl>
    <w:lvl w:ilvl="6" w:tplc="5B5E7B6A">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8">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63B56A52"/>
    <w:multiLevelType w:val="multilevel"/>
    <w:tmpl w:val="0B8EA328"/>
    <w:lvl w:ilvl="0">
      <w:start w:val="1"/>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2">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5">
    <w:nsid w:val="7E1B1BDB"/>
    <w:multiLevelType w:val="hybridMultilevel"/>
    <w:tmpl w:val="02AA8B86"/>
    <w:lvl w:ilvl="0" w:tplc="FF6A2C3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2"/>
  </w:num>
  <w:num w:numId="2">
    <w:abstractNumId w:val="0"/>
  </w:num>
  <w:num w:numId="3">
    <w:abstractNumId w:val="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enforcement="1" w:cryptProviderType="rsaAES" w:cryptAlgorithmClass="hash" w:cryptAlgorithmType="typeAny" w:cryptAlgorithmSid="14" w:cryptSpinCount="100000" w:hash="fIj6x6TR2ZG7kRYzgWeReksMDtiU7MGT+bQpnU/HYhIU9hhmS/r6BiWKhr7VUbt51TAw6+PDtq/Gjog1eRHLSw==" w:salt="wM/7PEGW/WrQ0GKmn9gE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4772E1"/>
    <w:rsid w:val="00490063"/>
    <w:rsid w:val="00497A5F"/>
    <w:rsid w:val="0054651A"/>
    <w:rsid w:val="00567E71"/>
    <w:rsid w:val="00574EE8"/>
    <w:rsid w:val="005B11BB"/>
    <w:rsid w:val="006068DC"/>
    <w:rsid w:val="0066422A"/>
    <w:rsid w:val="006C4D00"/>
    <w:rsid w:val="00774478"/>
    <w:rsid w:val="007929DB"/>
    <w:rsid w:val="007A3857"/>
    <w:rsid w:val="008374CB"/>
    <w:rsid w:val="008538D8"/>
    <w:rsid w:val="00856B55"/>
    <w:rsid w:val="00875E9E"/>
    <w:rsid w:val="008A25B7"/>
    <w:rsid w:val="00932E1A"/>
    <w:rsid w:val="009725A3"/>
    <w:rsid w:val="00983722"/>
    <w:rsid w:val="00A92261"/>
    <w:rsid w:val="00AA3A59"/>
    <w:rsid w:val="00AD02E7"/>
    <w:rsid w:val="00AE04B0"/>
    <w:rsid w:val="00AF2729"/>
    <w:rsid w:val="00C52FF9"/>
    <w:rsid w:val="00C72C38"/>
    <w:rsid w:val="00C81419"/>
    <w:rsid w:val="00C949F5"/>
    <w:rsid w:val="00CB0398"/>
    <w:rsid w:val="00CE7FEB"/>
    <w:rsid w:val="00D175B9"/>
    <w:rsid w:val="00D23502"/>
    <w:rsid w:val="00D43E1D"/>
    <w:rsid w:val="00E33D2C"/>
    <w:rsid w:val="00EE2573"/>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7C5A3-156A-4B9E-B475-6387489B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5245</Words>
  <Characters>29901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2026-06-22T08:02:00Z</dcterms:created>
  <dcterms:modified xsi:type="dcterms:W3CDTF">2026-06-22T08:02:00Z</dcterms:modified>
</cp:coreProperties>
</file>