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E71" w:rsidRDefault="00567E71" w:rsidP="00567E71">
      <w:pPr>
        <w:pStyle w:val="BodyTextIndent"/>
        <w:tabs>
          <w:tab w:val="num" w:pos="0"/>
        </w:tabs>
        <w:autoSpaceDE w:val="0"/>
        <w:autoSpaceDN w:val="0"/>
        <w:adjustRightInd w:val="0"/>
        <w:jc w:val="center"/>
        <w:rPr>
          <w:b/>
          <w:color w:val="000000"/>
          <w:szCs w:val="24"/>
        </w:rPr>
      </w:pPr>
      <w:bookmarkStart w:id="0" w:name="_GoBack"/>
      <w:bookmarkEnd w:id="0"/>
      <w:r>
        <w:rPr>
          <w:b/>
          <w:color w:val="000000"/>
          <w:szCs w:val="24"/>
        </w:rPr>
        <w:t>BAB II</w:t>
      </w:r>
    </w:p>
    <w:p w:rsidR="00567E71" w:rsidRDefault="00567E71" w:rsidP="00567E71">
      <w:pPr>
        <w:pStyle w:val="BodyTextIndent"/>
        <w:tabs>
          <w:tab w:val="num" w:pos="0"/>
        </w:tabs>
        <w:autoSpaceDE w:val="0"/>
        <w:autoSpaceDN w:val="0"/>
        <w:adjustRightInd w:val="0"/>
        <w:jc w:val="center"/>
        <w:rPr>
          <w:b/>
          <w:color w:val="000000"/>
          <w:szCs w:val="24"/>
        </w:rPr>
      </w:pPr>
      <w:r>
        <w:rPr>
          <w:b/>
          <w:color w:val="000000"/>
          <w:szCs w:val="24"/>
        </w:rPr>
        <w:t>TINJAUAN PUSTAKA</w:t>
      </w:r>
    </w:p>
    <w:p w:rsidR="00567E71" w:rsidRDefault="00567E71" w:rsidP="00737539">
      <w:pPr>
        <w:pStyle w:val="BodyText2"/>
        <w:numPr>
          <w:ilvl w:val="0"/>
          <w:numId w:val="6"/>
        </w:numPr>
        <w:tabs>
          <w:tab w:val="num" w:pos="-349"/>
        </w:tabs>
        <w:spacing w:after="0"/>
        <w:ind w:left="360"/>
        <w:jc w:val="both"/>
        <w:rPr>
          <w:b/>
          <w:color w:val="000000"/>
        </w:rPr>
      </w:pPr>
      <w:bookmarkStart w:id="1" w:name="_Hlk178702414"/>
      <w:r>
        <w:rPr>
          <w:rFonts w:eastAsia="MS Mincho"/>
          <w:b/>
          <w:color w:val="000000"/>
          <w:kern w:val="2"/>
        </w:rPr>
        <w:t>Tinjauan Tentang Tindak Pidana Penggelapan</w:t>
      </w:r>
      <w:bookmarkEnd w:id="1"/>
      <w:r>
        <w:rPr>
          <w:rFonts w:eastAsia="MS Mincho"/>
          <w:b/>
          <w:color w:val="000000"/>
          <w:kern w:val="2"/>
        </w:rPr>
        <w:t xml:space="preserve"> </w:t>
      </w:r>
    </w:p>
    <w:p w:rsidR="00567E71" w:rsidRDefault="00567E71" w:rsidP="00737539">
      <w:pPr>
        <w:numPr>
          <w:ilvl w:val="3"/>
          <w:numId w:val="7"/>
        </w:numPr>
        <w:tabs>
          <w:tab w:val="num" w:pos="11"/>
        </w:tabs>
        <w:spacing w:line="456" w:lineRule="auto"/>
        <w:ind w:left="720"/>
        <w:jc w:val="both"/>
        <w:rPr>
          <w:rFonts w:eastAsia="MS Mincho"/>
          <w:b/>
          <w:bCs/>
          <w:color w:val="000000"/>
          <w:kern w:val="2"/>
        </w:rPr>
      </w:pPr>
      <w:r>
        <w:rPr>
          <w:b/>
          <w:bCs/>
          <w:color w:val="000000"/>
        </w:rPr>
        <w:t xml:space="preserve">Pengertian </w:t>
      </w:r>
      <w:r>
        <w:rPr>
          <w:rFonts w:eastAsia="MS Mincho"/>
          <w:b/>
          <w:bCs/>
          <w:color w:val="000000"/>
          <w:kern w:val="2"/>
        </w:rPr>
        <w:t>Tindak Pidana Penggelapan</w:t>
      </w:r>
    </w:p>
    <w:p w:rsidR="00567E71" w:rsidRDefault="00567E71" w:rsidP="00567E71">
      <w:pPr>
        <w:spacing w:line="480" w:lineRule="auto"/>
        <w:ind w:firstLine="709"/>
        <w:jc w:val="both"/>
        <w:rPr>
          <w:color w:val="000000"/>
        </w:rPr>
      </w:pPr>
      <w:r>
        <w:rPr>
          <w:color w:val="000000"/>
        </w:rPr>
        <w:t xml:space="preserve">Pengertian tindak pidana dalam Kitab Undang-Undang Hukum Pidana (KUHP) dikenal dengan istilah </w:t>
      </w:r>
      <w:r>
        <w:rPr>
          <w:i/>
          <w:color w:val="000000"/>
        </w:rPr>
        <w:t>strafbaarfeit</w:t>
      </w:r>
      <w:r>
        <w:rPr>
          <w:color w:val="000000"/>
        </w:rPr>
        <w:t xml:space="preserve"> dan dalam kepustakaan tentang hukum pidana sering mempergunakan delik, sedangkan pembuat undang-undang merumuskan suatu undang-undang mempergunakan istilah peristiwa pidana atau pebuatan pidana atau tindakan pidana.</w:t>
      </w:r>
      <w:r>
        <w:rPr>
          <w:rStyle w:val="FootnoteReference"/>
          <w:color w:val="000000"/>
        </w:rPr>
        <w:footnoteReference w:id="1"/>
      </w:r>
    </w:p>
    <w:p w:rsidR="00567E71" w:rsidRDefault="00567E71" w:rsidP="00567E71">
      <w:pPr>
        <w:spacing w:line="480" w:lineRule="auto"/>
        <w:ind w:firstLine="709"/>
        <w:jc w:val="both"/>
        <w:rPr>
          <w:color w:val="000000"/>
        </w:rPr>
      </w:pPr>
      <w:r>
        <w:rPr>
          <w:color w:val="000000"/>
        </w:rPr>
        <w:t xml:space="preserve">Istilah tindak pidana berasal dari istilah yang dikenal dalam hukum pidana Belanda yaitu </w:t>
      </w:r>
      <w:r>
        <w:rPr>
          <w:i/>
          <w:iCs/>
          <w:color w:val="000000"/>
        </w:rPr>
        <w:t>strafbaarfeit</w:t>
      </w:r>
      <w:r>
        <w:rPr>
          <w:color w:val="000000"/>
        </w:rPr>
        <w:t xml:space="preserve">.  Istilah tindak pidana (delik) berasal dari istilah yangdikenal dalam hukum pidana Belanda yaitu </w:t>
      </w:r>
      <w:r>
        <w:rPr>
          <w:i/>
          <w:iCs/>
          <w:color w:val="000000"/>
        </w:rPr>
        <w:t>strafbaar feit</w:t>
      </w:r>
      <w:r>
        <w:rPr>
          <w:color w:val="000000"/>
        </w:rPr>
        <w:t xml:space="preserve">. Walaupun istilah ini terdapat dalam </w:t>
      </w:r>
      <w:r>
        <w:rPr>
          <w:i/>
          <w:iCs/>
          <w:color w:val="000000"/>
        </w:rPr>
        <w:t xml:space="preserve">Wetboek van Strafrecht </w:t>
      </w:r>
      <w:r>
        <w:rPr>
          <w:color w:val="000000"/>
        </w:rPr>
        <w:t>(</w:t>
      </w:r>
      <w:proofErr w:type="gramStart"/>
      <w:r>
        <w:rPr>
          <w:color w:val="000000"/>
        </w:rPr>
        <w:t>WvS</w:t>
      </w:r>
      <w:proofErr w:type="gramEnd"/>
      <w:r>
        <w:rPr>
          <w:color w:val="000000"/>
        </w:rPr>
        <w:t xml:space="preserve">) Belanda, tetapi tidak ada penjelasan resmi tentang yang dimaksud dengan </w:t>
      </w:r>
      <w:r>
        <w:rPr>
          <w:i/>
          <w:iCs/>
          <w:color w:val="000000"/>
        </w:rPr>
        <w:t xml:space="preserve">strafbaar feit </w:t>
      </w:r>
      <w:r>
        <w:rPr>
          <w:color w:val="000000"/>
        </w:rPr>
        <w:t xml:space="preserve">itu. Para ahli hukum berusaha untuk memberikan arti dan isi dari istilah itu. Sayangnya sampai kini belum ada keseragaaman pendapat tentang rumusan ilmiah </w:t>
      </w:r>
      <w:r>
        <w:rPr>
          <w:i/>
          <w:iCs/>
          <w:color w:val="000000"/>
        </w:rPr>
        <w:t xml:space="preserve">strafbaar feit </w:t>
      </w:r>
      <w:r>
        <w:rPr>
          <w:color w:val="000000"/>
        </w:rPr>
        <w:t xml:space="preserve">itu sendiri. Pembentuk undang-undang telah menterjemahkan perkataan </w:t>
      </w:r>
      <w:r>
        <w:rPr>
          <w:i/>
          <w:iCs/>
          <w:color w:val="000000"/>
        </w:rPr>
        <w:t xml:space="preserve">strafbaar feit </w:t>
      </w:r>
      <w:r>
        <w:rPr>
          <w:color w:val="000000"/>
        </w:rPr>
        <w:t xml:space="preserve">sebagai tindak pidana di dalam Kitab Undang-Undang Hukum Pidana tanpa memberikan sesuatu penjelasan mengenai yang dimaksud dengan perkataan </w:t>
      </w:r>
      <w:r>
        <w:rPr>
          <w:i/>
          <w:iCs/>
          <w:color w:val="000000"/>
        </w:rPr>
        <w:t xml:space="preserve">strafbaar feit </w:t>
      </w:r>
      <w:r>
        <w:rPr>
          <w:color w:val="000000"/>
        </w:rPr>
        <w:t>tersebut.</w:t>
      </w:r>
      <w:r>
        <w:rPr>
          <w:rStyle w:val="FootnoteReference"/>
          <w:color w:val="000000"/>
        </w:rPr>
        <w:footnoteReference w:id="2"/>
      </w:r>
    </w:p>
    <w:p w:rsidR="00567E71" w:rsidRDefault="00567E71" w:rsidP="00567E71">
      <w:pPr>
        <w:spacing w:line="480" w:lineRule="auto"/>
        <w:ind w:firstLine="709"/>
        <w:jc w:val="both"/>
        <w:rPr>
          <w:color w:val="000000"/>
        </w:rPr>
      </w:pPr>
      <w:r>
        <w:rPr>
          <w:color w:val="000000"/>
        </w:rPr>
        <w:lastRenderedPageBreak/>
        <w:t xml:space="preserve">Ada beberapa pendapat darri pakar-pakar hukum pidana tentang pengertian tindak pidana </w:t>
      </w:r>
      <w:proofErr w:type="gramStart"/>
      <w:r>
        <w:rPr>
          <w:color w:val="000000"/>
        </w:rPr>
        <w:t>yaitu :</w:t>
      </w:r>
      <w:proofErr w:type="gramEnd"/>
    </w:p>
    <w:p w:rsidR="00567E71" w:rsidRDefault="00567E71" w:rsidP="00737539">
      <w:pPr>
        <w:pStyle w:val="Default"/>
        <w:numPr>
          <w:ilvl w:val="0"/>
          <w:numId w:val="4"/>
        </w:numPr>
        <w:ind w:left="1066" w:hanging="357"/>
        <w:jc w:val="both"/>
        <w:rPr>
          <w:rFonts w:ascii="Times New Roman" w:hAnsi="Times New Roman" w:cs="Times New Roman"/>
        </w:rPr>
      </w:pPr>
      <w:r>
        <w:rPr>
          <w:rFonts w:ascii="Times New Roman" w:hAnsi="Times New Roman" w:cs="Times New Roman"/>
        </w:rPr>
        <w:t>Simons, menyatakan tindak pidana ialah suatu tindakan atau perbuatan yang diancam dengan pidana oleh Undang-undang Hukum Pidana, bertentangan dengan hukum pidana dan dilakukan dengan kesalahan oleh seseorang yang mampu bertanggung jawab.</w:t>
      </w:r>
    </w:p>
    <w:p w:rsidR="00567E71" w:rsidRDefault="00567E71" w:rsidP="00737539">
      <w:pPr>
        <w:pStyle w:val="Default"/>
        <w:numPr>
          <w:ilvl w:val="0"/>
          <w:numId w:val="4"/>
        </w:numPr>
        <w:ind w:left="1066" w:hanging="357"/>
        <w:jc w:val="both"/>
        <w:rPr>
          <w:rFonts w:ascii="Times New Roman" w:hAnsi="Times New Roman" w:cs="Times New Roman"/>
        </w:rPr>
      </w:pPr>
      <w:r>
        <w:rPr>
          <w:rFonts w:ascii="Times New Roman" w:hAnsi="Times New Roman" w:cs="Times New Roman"/>
        </w:rPr>
        <w:t xml:space="preserve">E. Utrecht menyatakan tindak pidana ialah dengan istilah peristiwa pidana yang sering juga ia sebut delik, karena peristiwa itu merupakan suatu perbuatan atau sesuatu yang melalaikan maupun </w:t>
      </w:r>
      <w:proofErr w:type="gramStart"/>
      <w:r>
        <w:rPr>
          <w:rFonts w:ascii="Times New Roman" w:hAnsi="Times New Roman" w:cs="Times New Roman"/>
        </w:rPr>
        <w:t>akibatnya(</w:t>
      </w:r>
      <w:proofErr w:type="gramEnd"/>
      <w:r>
        <w:rPr>
          <w:rFonts w:ascii="Times New Roman" w:hAnsi="Times New Roman" w:cs="Times New Roman"/>
        </w:rPr>
        <w:t>keadaan yang ditimbulkan karena perbuatan melalaikan itu).</w:t>
      </w:r>
      <w:r>
        <w:rPr>
          <w:rStyle w:val="FootnoteReference"/>
          <w:rFonts w:ascii="Times New Roman" w:hAnsi="Times New Roman" w:cs="Times New Roman"/>
        </w:rPr>
        <w:footnoteReference w:id="3"/>
      </w:r>
      <w:r>
        <w:rPr>
          <w:rFonts w:ascii="Times New Roman" w:hAnsi="Times New Roman" w:cs="Times New Roman"/>
          <w:position w:val="8"/>
          <w:vertAlign w:val="superscript"/>
        </w:rPr>
        <w:t xml:space="preserve"> </w:t>
      </w:r>
    </w:p>
    <w:p w:rsidR="00567E71" w:rsidRDefault="00567E71" w:rsidP="00567E71">
      <w:pPr>
        <w:ind w:left="709"/>
        <w:jc w:val="both"/>
        <w:rPr>
          <w:color w:val="000000"/>
        </w:rPr>
      </w:pPr>
    </w:p>
    <w:p w:rsidR="00567E71" w:rsidRDefault="00567E71" w:rsidP="00567E71">
      <w:pPr>
        <w:pStyle w:val="Default"/>
        <w:spacing w:line="480" w:lineRule="auto"/>
        <w:ind w:firstLine="709"/>
        <w:jc w:val="both"/>
        <w:rPr>
          <w:rFonts w:ascii="Times New Roman" w:hAnsi="Times New Roman" w:cs="Times New Roman"/>
        </w:rPr>
      </w:pPr>
      <w:r>
        <w:rPr>
          <w:rFonts w:ascii="Times New Roman" w:hAnsi="Times New Roman" w:cs="Times New Roman"/>
        </w:rPr>
        <w:t>Moeljatno menyebutkan bahwa perbuatan tindak pidana ialah perbuatan yang dilarang dan diancam dengan pidana, terhadap siapa saja yang melanggar larangan tersebut. Perbuatan tersebut harus juga dirasakan oleh masyarakat sebagai suatu hambatan tata pergaulan yang dicita-citakan oleh masyarakat.</w:t>
      </w:r>
      <w:r>
        <w:rPr>
          <w:rStyle w:val="FootnoteReference"/>
          <w:rFonts w:ascii="Times New Roman" w:hAnsi="Times New Roman" w:cs="Times New Roman"/>
        </w:rPr>
        <w:footnoteReference w:id="4"/>
      </w:r>
    </w:p>
    <w:p w:rsidR="00567E71" w:rsidRDefault="00567E71" w:rsidP="00567E71">
      <w:pPr>
        <w:spacing w:line="456" w:lineRule="auto"/>
        <w:ind w:firstLine="748"/>
        <w:jc w:val="both"/>
        <w:rPr>
          <w:color w:val="000000"/>
        </w:rPr>
      </w:pPr>
      <w:r>
        <w:rPr>
          <w:color w:val="000000"/>
        </w:rPr>
        <w:t xml:space="preserve">Pengertian yuridis mengenai tindak pidana penggelapan diatur pada Bab XXIV (buku II) KUHP, terdiri dari 5 Pasal (372 s/d 376). Salah satunya yakni Pasal 372 KUHP yang merupakan tindak pidana penggelapan dalam bentuk pokok yang rumusannya berbunyi: "Barang siapa dengan sengaja menguasai secara melawan hukum sesuatu benda yang seharusnya atau sebagian merupakan kepunyaan orang lain yang berada padanya bukan karena kejahatan, karena bersalah melakukan penggelapan, dipidana dengan pidana penjara selama-lamanya 4 (empat) tahun atau dengan pidana denda setinggi-tingginya 900 (sembilan ratus) rupiah. Kejahatan ini dinamakan penggelapan biasa dalam kejahatan penggelapan, barang yang diambil untuk dimiliki itu sudah berada ditangan sipelaku dengan jalan kejahatan atau sudah dipercayakan kepadanya. </w:t>
      </w:r>
    </w:p>
    <w:p w:rsidR="00567E71" w:rsidRDefault="00567E71" w:rsidP="00567E71">
      <w:pPr>
        <w:spacing w:line="480" w:lineRule="auto"/>
        <w:ind w:firstLine="748"/>
        <w:jc w:val="both"/>
        <w:rPr>
          <w:color w:val="000000"/>
        </w:rPr>
      </w:pPr>
      <w:r>
        <w:rPr>
          <w:color w:val="000000"/>
        </w:rPr>
        <w:lastRenderedPageBreak/>
        <w:t>Tindak pidana penggelapan biasa seseorang dititipi sebuah sepeda oleh temannya, karena memerlukan uang, sepeda itu dijualnya dan uang hasil penjualannya dihabiskan. Mendekati pengertian bahwa tindak tesebut menyalahgunakan haknya sebagai yang menguasai benda, hak mana tidak boleh melampaui dari haknya sebagai seorang yang diberi kepercayaan untuk menguasai atau memegang sepeda tersebut.</w:t>
      </w:r>
    </w:p>
    <w:p w:rsidR="00567E71" w:rsidRDefault="00567E71" w:rsidP="00567E71">
      <w:pPr>
        <w:spacing w:line="480" w:lineRule="auto"/>
        <w:ind w:firstLine="748"/>
        <w:jc w:val="both"/>
        <w:rPr>
          <w:color w:val="000000"/>
        </w:rPr>
      </w:pPr>
      <w:r>
        <w:rPr>
          <w:color w:val="000000"/>
        </w:rPr>
        <w:t>Tindak pidana penggelapan berdasarkan Pasal 372 dan Pasal 374 KUHPidana, antara lain:</w:t>
      </w:r>
    </w:p>
    <w:p w:rsidR="00567E71" w:rsidRDefault="00567E71" w:rsidP="00737539">
      <w:pPr>
        <w:numPr>
          <w:ilvl w:val="3"/>
          <w:numId w:val="4"/>
        </w:numPr>
        <w:tabs>
          <w:tab w:val="clear" w:pos="2880"/>
          <w:tab w:val="num" w:pos="360"/>
          <w:tab w:val="num" w:pos="5040"/>
        </w:tabs>
        <w:spacing w:line="480" w:lineRule="auto"/>
        <w:ind w:left="360"/>
        <w:jc w:val="both"/>
        <w:rPr>
          <w:color w:val="000000"/>
        </w:rPr>
      </w:pPr>
      <w:r>
        <w:rPr>
          <w:color w:val="000000"/>
        </w:rPr>
        <w:t xml:space="preserve">Tindak pidana </w:t>
      </w:r>
      <w:r>
        <w:rPr>
          <w:iCs/>
          <w:color w:val="000000"/>
        </w:rPr>
        <w:t>penggelapan</w:t>
      </w:r>
      <w:r>
        <w:rPr>
          <w:i/>
          <w:iCs/>
          <w:color w:val="000000"/>
        </w:rPr>
        <w:t xml:space="preserve"> </w:t>
      </w:r>
      <w:r>
        <w:rPr>
          <w:color w:val="000000"/>
        </w:rPr>
        <w:t xml:space="preserve">yang diatur dalam Pasal 321 </w:t>
      </w:r>
      <w:r>
        <w:rPr>
          <w:i/>
          <w:iCs/>
          <w:color w:val="000000"/>
        </w:rPr>
        <w:t xml:space="preserve">Wetboek van Strafrecht </w:t>
      </w:r>
      <w:r>
        <w:rPr>
          <w:color w:val="000000"/>
        </w:rPr>
        <w:t>yang rumusannya ternyata sama dengan rumusan tindak pidana penggelapan yang diatur dalam Pasal 372 KUHPidana merupakan tindak pidana penggelapan dalam bentuk pokok yang rumusan aslinya dalam bahasa Belanda yang telah diterjemahkan dalam bahasa Indonesia berbunyi sebagai berikut: “Barang siapa dengan sengaja menguasai secara melawan hukum suatu benda yang seluruhnya atau sebagian merupakan kepunyaan orang lain yang berada padanya bukan karena kejahatan, karena bersalah melakukan penggelapan, dipidana dengan pidana penjara selama-lamanya empat tahun atau dengan pidana denda setinggi-tingginya sembilan ratus rupiah”.</w:t>
      </w:r>
    </w:p>
    <w:p w:rsidR="00567E71" w:rsidRDefault="00567E71" w:rsidP="00567E71">
      <w:pPr>
        <w:spacing w:line="480" w:lineRule="auto"/>
        <w:ind w:firstLine="720"/>
        <w:jc w:val="both"/>
        <w:rPr>
          <w:color w:val="000000"/>
        </w:rPr>
      </w:pPr>
      <w:r>
        <w:rPr>
          <w:color w:val="000000"/>
        </w:rPr>
        <w:t>Kejahatan ini dinamakan “penggelapan biasa”. Tindak pidana penggelapan</w:t>
      </w:r>
      <w:r>
        <w:rPr>
          <w:i/>
          <w:iCs/>
          <w:color w:val="000000"/>
        </w:rPr>
        <w:t xml:space="preserve"> </w:t>
      </w:r>
      <w:r>
        <w:rPr>
          <w:color w:val="000000"/>
        </w:rPr>
        <w:t>dalam bentuk pokok diatur dalam Pasal 372 KUHPidana mempunyai unsur-unsur sebagai berikut:</w:t>
      </w:r>
    </w:p>
    <w:p w:rsidR="00567E71" w:rsidRDefault="00567E71" w:rsidP="00737539">
      <w:pPr>
        <w:numPr>
          <w:ilvl w:val="0"/>
          <w:numId w:val="8"/>
        </w:numPr>
        <w:tabs>
          <w:tab w:val="left" w:pos="1134"/>
        </w:tabs>
        <w:ind w:left="1134"/>
        <w:jc w:val="both"/>
        <w:rPr>
          <w:color w:val="000000"/>
        </w:rPr>
      </w:pPr>
      <w:r>
        <w:rPr>
          <w:color w:val="000000"/>
        </w:rPr>
        <w:t>Unsur subjektif: dengan sengaja.</w:t>
      </w:r>
    </w:p>
    <w:p w:rsidR="00567E71" w:rsidRDefault="00567E71" w:rsidP="00737539">
      <w:pPr>
        <w:numPr>
          <w:ilvl w:val="0"/>
          <w:numId w:val="8"/>
        </w:numPr>
        <w:tabs>
          <w:tab w:val="left" w:pos="1134"/>
        </w:tabs>
        <w:ind w:left="1134"/>
        <w:jc w:val="both"/>
        <w:rPr>
          <w:color w:val="000000"/>
        </w:rPr>
      </w:pPr>
      <w:r>
        <w:rPr>
          <w:color w:val="000000"/>
        </w:rPr>
        <w:t xml:space="preserve">Unsur objektif: </w:t>
      </w:r>
    </w:p>
    <w:p w:rsidR="00567E71" w:rsidRDefault="00567E71" w:rsidP="00737539">
      <w:pPr>
        <w:numPr>
          <w:ilvl w:val="0"/>
          <w:numId w:val="9"/>
        </w:numPr>
        <w:jc w:val="both"/>
        <w:rPr>
          <w:color w:val="000000"/>
        </w:rPr>
      </w:pPr>
      <w:r>
        <w:rPr>
          <w:color w:val="000000"/>
        </w:rPr>
        <w:t xml:space="preserve">Barang siapa </w:t>
      </w:r>
    </w:p>
    <w:p w:rsidR="00567E71" w:rsidRDefault="00567E71" w:rsidP="00737539">
      <w:pPr>
        <w:numPr>
          <w:ilvl w:val="0"/>
          <w:numId w:val="9"/>
        </w:numPr>
        <w:jc w:val="both"/>
        <w:rPr>
          <w:color w:val="000000"/>
        </w:rPr>
      </w:pPr>
      <w:r>
        <w:rPr>
          <w:color w:val="000000"/>
        </w:rPr>
        <w:t xml:space="preserve">Menguasai secara melawan hukum </w:t>
      </w:r>
    </w:p>
    <w:p w:rsidR="00567E71" w:rsidRDefault="00567E71" w:rsidP="00737539">
      <w:pPr>
        <w:numPr>
          <w:ilvl w:val="0"/>
          <w:numId w:val="9"/>
        </w:numPr>
        <w:jc w:val="both"/>
        <w:rPr>
          <w:color w:val="000000"/>
        </w:rPr>
      </w:pPr>
      <w:r>
        <w:rPr>
          <w:color w:val="000000"/>
        </w:rPr>
        <w:lastRenderedPageBreak/>
        <w:t xml:space="preserve">Suatu benda </w:t>
      </w:r>
    </w:p>
    <w:p w:rsidR="00567E71" w:rsidRDefault="00567E71" w:rsidP="00737539">
      <w:pPr>
        <w:numPr>
          <w:ilvl w:val="0"/>
          <w:numId w:val="9"/>
        </w:numPr>
        <w:jc w:val="both"/>
        <w:rPr>
          <w:color w:val="000000"/>
        </w:rPr>
      </w:pPr>
      <w:r>
        <w:rPr>
          <w:color w:val="000000"/>
        </w:rPr>
        <w:t xml:space="preserve">Sebagian atau seluruh </w:t>
      </w:r>
    </w:p>
    <w:p w:rsidR="00567E71" w:rsidRDefault="00567E71" w:rsidP="00737539">
      <w:pPr>
        <w:numPr>
          <w:ilvl w:val="0"/>
          <w:numId w:val="9"/>
        </w:numPr>
        <w:jc w:val="both"/>
        <w:rPr>
          <w:color w:val="000000"/>
        </w:rPr>
      </w:pPr>
      <w:r>
        <w:rPr>
          <w:color w:val="000000"/>
        </w:rPr>
        <w:t>Berada padanya bukan karena kejahatan.</w:t>
      </w:r>
      <w:r>
        <w:rPr>
          <w:rStyle w:val="FootnoteReference"/>
          <w:color w:val="000000"/>
        </w:rPr>
        <w:t xml:space="preserve"> </w:t>
      </w:r>
      <w:r>
        <w:rPr>
          <w:rStyle w:val="FootnoteReference"/>
          <w:color w:val="000000"/>
        </w:rPr>
        <w:footnoteReference w:id="5"/>
      </w:r>
    </w:p>
    <w:p w:rsidR="00567E71" w:rsidRDefault="00567E71" w:rsidP="00567E71">
      <w:pPr>
        <w:jc w:val="both"/>
        <w:rPr>
          <w:color w:val="000000"/>
        </w:rPr>
      </w:pPr>
    </w:p>
    <w:p w:rsidR="00567E71" w:rsidRDefault="00567E71" w:rsidP="00567E71">
      <w:pPr>
        <w:spacing w:line="504" w:lineRule="auto"/>
        <w:ind w:firstLine="709"/>
        <w:jc w:val="both"/>
        <w:rPr>
          <w:color w:val="000000"/>
        </w:rPr>
      </w:pPr>
      <w:r>
        <w:rPr>
          <w:color w:val="000000"/>
        </w:rPr>
        <w:t xml:space="preserve">Unsur </w:t>
      </w:r>
      <w:r>
        <w:rPr>
          <w:i/>
          <w:iCs/>
          <w:color w:val="000000"/>
        </w:rPr>
        <w:t xml:space="preserve">opzettelijke </w:t>
      </w:r>
      <w:r>
        <w:rPr>
          <w:color w:val="000000"/>
        </w:rPr>
        <w:t xml:space="preserve">atau dengan sengaja merupakan satu-satunya unsur subjektif dalam tindak pidana penggelapan yakni unsur yang melekat pada subjek tindak pidana ataupun yang melekat pada diri pelakunya oleh sebab itu unsur </w:t>
      </w:r>
      <w:r>
        <w:rPr>
          <w:i/>
          <w:iCs/>
          <w:color w:val="000000"/>
        </w:rPr>
        <w:t xml:space="preserve">opzettelijke </w:t>
      </w:r>
      <w:r>
        <w:rPr>
          <w:color w:val="000000"/>
        </w:rPr>
        <w:t>atau dengan sengaja merupakan unsur dari tindak pidana penggelapan yang dengan sendirinya unsur tersebut harus didakwakan terhadap seorang terdakwa yang juga harus dibuktikan di sidang pengadilan yang memeriksa perkara terdakwa.</w:t>
      </w:r>
      <w:r>
        <w:rPr>
          <w:rStyle w:val="FootnoteReference"/>
          <w:color w:val="000000"/>
        </w:rPr>
        <w:t xml:space="preserve"> </w:t>
      </w:r>
    </w:p>
    <w:p w:rsidR="00567E71" w:rsidRDefault="00567E71" w:rsidP="00737539">
      <w:pPr>
        <w:pStyle w:val="Default"/>
        <w:numPr>
          <w:ilvl w:val="3"/>
          <w:numId w:val="4"/>
        </w:numPr>
        <w:tabs>
          <w:tab w:val="clear" w:pos="2880"/>
          <w:tab w:val="num" w:pos="360"/>
          <w:tab w:val="num" w:pos="5040"/>
        </w:tabs>
        <w:spacing w:line="504" w:lineRule="auto"/>
        <w:ind w:left="360"/>
        <w:rPr>
          <w:rFonts w:ascii="Times New Roman" w:hAnsi="Times New Roman" w:cs="Times New Roman"/>
        </w:rPr>
      </w:pPr>
      <w:r>
        <w:rPr>
          <w:rFonts w:ascii="Times New Roman" w:hAnsi="Times New Roman" w:cs="Times New Roman"/>
        </w:rPr>
        <w:t>Tindak pidana penggelapan berat.</w:t>
      </w:r>
    </w:p>
    <w:p w:rsidR="00567E71" w:rsidRDefault="00567E71" w:rsidP="00567E71">
      <w:pPr>
        <w:pStyle w:val="Default"/>
        <w:spacing w:line="504" w:lineRule="auto"/>
        <w:ind w:firstLine="720"/>
        <w:jc w:val="both"/>
        <w:rPr>
          <w:rFonts w:ascii="Times New Roman" w:hAnsi="Times New Roman" w:cs="Times New Roman"/>
        </w:rPr>
      </w:pPr>
      <w:r>
        <w:rPr>
          <w:rFonts w:ascii="Times New Roman" w:hAnsi="Times New Roman" w:cs="Times New Roman"/>
        </w:rPr>
        <w:t xml:space="preserve">Tindak pidana penggelapan yang diatur dalam Pasal 374 KUHPidana, yang rumusan aslinya dalam bahasa Belanda jika diterjemahkan dalam </w:t>
      </w:r>
      <w:proofErr w:type="gramStart"/>
      <w:r>
        <w:rPr>
          <w:rFonts w:ascii="Times New Roman" w:hAnsi="Times New Roman" w:cs="Times New Roman"/>
        </w:rPr>
        <w:t>bahasa</w:t>
      </w:r>
      <w:proofErr w:type="gramEnd"/>
      <w:r>
        <w:rPr>
          <w:rFonts w:ascii="Times New Roman" w:hAnsi="Times New Roman" w:cs="Times New Roman"/>
        </w:rPr>
        <w:t xml:space="preserve"> Indonesia yakni:  “Penggelapan yang dilakukan oleh orang atas benda yang berada padanya karena hubungan kerja pribadinya atau karena pekerjaannya atau karena mendapat imbalan uang, dipidana dengan pidana penjara selama-lamanya lima tahun”.</w:t>
      </w:r>
    </w:p>
    <w:p w:rsidR="00567E71" w:rsidRDefault="00567E71" w:rsidP="00567E71">
      <w:pPr>
        <w:pStyle w:val="Default"/>
        <w:spacing w:line="504" w:lineRule="auto"/>
        <w:ind w:firstLine="720"/>
        <w:jc w:val="both"/>
        <w:rPr>
          <w:rFonts w:ascii="Times New Roman" w:hAnsi="Times New Roman" w:cs="Times New Roman"/>
        </w:rPr>
      </w:pPr>
      <w:r>
        <w:rPr>
          <w:rFonts w:ascii="Times New Roman" w:hAnsi="Times New Roman" w:cs="Times New Roman"/>
        </w:rPr>
        <w:t>Tindak pidana penggelapan yang diatur dalam Pasal 374 KUHPidana di dalam doktrin juga disebut sebagai suatu penggelapan dengan kualifikasi tindak pidana dengan unsur-unsur yang memberatkan. Unsur yang memberatkan sebagaimana dimaksud ialah karena tindak pidana penggelapan telah dilakukan atas benda yang berada pada pelaku:</w:t>
      </w:r>
    </w:p>
    <w:p w:rsidR="00567E71" w:rsidRDefault="00567E71" w:rsidP="00737539">
      <w:pPr>
        <w:pStyle w:val="Default"/>
        <w:numPr>
          <w:ilvl w:val="0"/>
          <w:numId w:val="10"/>
        </w:numPr>
        <w:spacing w:line="516" w:lineRule="auto"/>
        <w:ind w:left="360"/>
        <w:jc w:val="both"/>
        <w:rPr>
          <w:rFonts w:ascii="Times New Roman" w:hAnsi="Times New Roman" w:cs="Times New Roman"/>
        </w:rPr>
      </w:pPr>
      <w:r>
        <w:rPr>
          <w:rFonts w:ascii="Times New Roman" w:hAnsi="Times New Roman" w:cs="Times New Roman"/>
        </w:rPr>
        <w:lastRenderedPageBreak/>
        <w:t>Hubungan buruh-majikan;</w:t>
      </w:r>
    </w:p>
    <w:p w:rsidR="00567E71" w:rsidRDefault="00567E71" w:rsidP="00737539">
      <w:pPr>
        <w:pStyle w:val="Default"/>
        <w:numPr>
          <w:ilvl w:val="0"/>
          <w:numId w:val="10"/>
        </w:numPr>
        <w:spacing w:line="516" w:lineRule="auto"/>
        <w:ind w:left="360"/>
        <w:jc w:val="both"/>
        <w:rPr>
          <w:rFonts w:ascii="Times New Roman" w:hAnsi="Times New Roman" w:cs="Times New Roman"/>
        </w:rPr>
      </w:pPr>
      <w:r>
        <w:rPr>
          <w:rFonts w:ascii="Times New Roman" w:hAnsi="Times New Roman" w:cs="Times New Roman"/>
        </w:rPr>
        <w:t>Hubungan berdasar pekerjaan si pelaku si hari-hari; dan</w:t>
      </w:r>
    </w:p>
    <w:p w:rsidR="00567E71" w:rsidRDefault="00567E71" w:rsidP="00737539">
      <w:pPr>
        <w:pStyle w:val="Default"/>
        <w:numPr>
          <w:ilvl w:val="0"/>
          <w:numId w:val="10"/>
        </w:numPr>
        <w:spacing w:line="516" w:lineRule="auto"/>
        <w:ind w:left="360"/>
        <w:jc w:val="both"/>
        <w:rPr>
          <w:rFonts w:ascii="Times New Roman" w:hAnsi="Times New Roman" w:cs="Times New Roman"/>
        </w:rPr>
      </w:pPr>
      <w:r>
        <w:rPr>
          <w:rFonts w:ascii="Times New Roman" w:hAnsi="Times New Roman" w:cs="Times New Roman"/>
        </w:rPr>
        <w:t>Hubungan dimana pelaku mendapat upah untuk menyimpan barang.</w:t>
      </w:r>
      <w:r>
        <w:rPr>
          <w:rStyle w:val="FootnoteReference"/>
          <w:rFonts w:ascii="Times New Roman" w:hAnsi="Times New Roman" w:cs="Times New Roman"/>
        </w:rPr>
        <w:footnoteReference w:id="6"/>
      </w:r>
    </w:p>
    <w:p w:rsidR="00567E71" w:rsidRDefault="00567E71" w:rsidP="00567E71">
      <w:pPr>
        <w:pStyle w:val="Default"/>
        <w:spacing w:line="516" w:lineRule="auto"/>
        <w:ind w:firstLine="720"/>
        <w:jc w:val="both"/>
        <w:rPr>
          <w:rFonts w:ascii="Times New Roman" w:hAnsi="Times New Roman" w:cs="Times New Roman"/>
        </w:rPr>
      </w:pPr>
      <w:r>
        <w:rPr>
          <w:rFonts w:ascii="Times New Roman" w:hAnsi="Times New Roman" w:cs="Times New Roman"/>
        </w:rPr>
        <w:t xml:space="preserve">Perlu diketahui bahwa kata-kata </w:t>
      </w:r>
      <w:r>
        <w:rPr>
          <w:rFonts w:ascii="Times New Roman" w:hAnsi="Times New Roman" w:cs="Times New Roman"/>
          <w:i/>
          <w:iCs/>
        </w:rPr>
        <w:t xml:space="preserve">personlijke dienstbetrekking </w:t>
      </w:r>
      <w:r>
        <w:rPr>
          <w:rFonts w:ascii="Times New Roman" w:hAnsi="Times New Roman" w:cs="Times New Roman"/>
        </w:rPr>
        <w:t xml:space="preserve">ataupun telah diterjemahkan dalam kata-kata hubungan kerja pribadi dan yang secara material artinya hubungan kerja yang timbul karena perjanjian kerja itu oleh para penerjemah </w:t>
      </w:r>
      <w:r>
        <w:rPr>
          <w:rFonts w:ascii="Times New Roman" w:hAnsi="Times New Roman" w:cs="Times New Roman"/>
          <w:i/>
          <w:iCs/>
        </w:rPr>
        <w:t xml:space="preserve">Wetboek van Strafrecht </w:t>
      </w:r>
      <w:r>
        <w:rPr>
          <w:rFonts w:ascii="Times New Roman" w:hAnsi="Times New Roman" w:cs="Times New Roman"/>
        </w:rPr>
        <w:t>dan telah diartikan secara berbeda-beda, yakni ada yang mengartikan sebagai jabatannya atau berhubungan dengan pekerjaannya.</w:t>
      </w:r>
    </w:p>
    <w:p w:rsidR="00567E71" w:rsidRDefault="00567E71" w:rsidP="00567E71">
      <w:pPr>
        <w:spacing w:line="480" w:lineRule="auto"/>
        <w:ind w:firstLine="720"/>
        <w:jc w:val="both"/>
        <w:rPr>
          <w:color w:val="000000"/>
          <w:lang w:val="id-ID"/>
        </w:rPr>
      </w:pPr>
      <w:r>
        <w:rPr>
          <w:color w:val="000000"/>
          <w:lang w:val="id-ID"/>
        </w:rPr>
        <w:t xml:space="preserve">Kata-kata </w:t>
      </w:r>
      <w:r>
        <w:rPr>
          <w:i/>
          <w:iCs/>
          <w:color w:val="000000"/>
          <w:lang w:val="id-ID"/>
        </w:rPr>
        <w:t xml:space="preserve">personlijke dienstbetrekking </w:t>
      </w:r>
      <w:r>
        <w:rPr>
          <w:iCs/>
          <w:color w:val="000000"/>
          <w:lang w:val="id-ID"/>
        </w:rPr>
        <w:t xml:space="preserve">jika </w:t>
      </w:r>
      <w:r>
        <w:rPr>
          <w:color w:val="000000"/>
          <w:lang w:val="id-ID"/>
        </w:rPr>
        <w:t>harus diartikan sebagai hubungan kerja pada umumnya, sudah barang tentu pemberian arti seperti itu tidaklah benar karena hubungan kerja dapat saja timbul karena adanya ikatan dinas, dimana seseorang dapat diangkat secara sepihak oleh kekuasaan umum untuk menduduki suatu jabatan tertentu, sedangkan kata-kata hubungan kerja pribadi menujukkan bahwa penunjukan tentang jenis pekerjaan yang perlu dilakukan atau penentuan tentang besarnya imbalan yang akan diterima oleh pihak yang satu itu tidak ditentukan secara sepihak oleh pihak lain, melainkan diperjanjikan didalam suatu perjanjian kerja.</w:t>
      </w:r>
    </w:p>
    <w:p w:rsidR="00567E71" w:rsidRDefault="00567E71" w:rsidP="00567E71">
      <w:pPr>
        <w:spacing w:line="480" w:lineRule="auto"/>
        <w:ind w:firstLine="720"/>
        <w:jc w:val="both"/>
        <w:rPr>
          <w:color w:val="000000"/>
          <w:lang w:val="id-ID"/>
        </w:rPr>
      </w:pPr>
      <w:r>
        <w:rPr>
          <w:color w:val="000000"/>
          <w:lang w:val="id-ID"/>
        </w:rPr>
        <w:t>Pasal 374 KUHPidana jelas bahwa yang diatur bukan masalah tindak pidana penggelapan yang dilakukan dalam jabatan seperti yang dimaksudkan di atas, melainkan hanya tindak pidana penggelapan yang dilakukan oleh perilaku dalam fungsi-fungsi tertentu.</w:t>
      </w:r>
    </w:p>
    <w:p w:rsidR="00567E71" w:rsidRDefault="00567E71" w:rsidP="00567E71">
      <w:pPr>
        <w:spacing w:line="480" w:lineRule="auto"/>
        <w:ind w:firstLine="720"/>
        <w:jc w:val="both"/>
        <w:rPr>
          <w:iCs/>
          <w:color w:val="000000"/>
          <w:lang w:val="id-ID"/>
        </w:rPr>
      </w:pPr>
      <w:r>
        <w:rPr>
          <w:color w:val="000000"/>
          <w:lang w:val="id-ID"/>
        </w:rPr>
        <w:lastRenderedPageBreak/>
        <w:t xml:space="preserve">Berdasarkan rumusan penggelapan tesebut di atas, jika dirinci terdiri dari unsur-unsur objektif meliputi perbuatan memiliki, sesuatu benda </w:t>
      </w:r>
      <w:r>
        <w:rPr>
          <w:i/>
          <w:iCs/>
          <w:color w:val="000000"/>
          <w:lang w:val="id-ID"/>
        </w:rPr>
        <w:t>(eenig goed)</w:t>
      </w:r>
      <w:r>
        <w:rPr>
          <w:color w:val="000000"/>
          <w:lang w:val="id-ID"/>
        </w:rPr>
        <w:t xml:space="preserve">, yang sebagian atau seluruhnya milik orang lain, yang berada dalam kekuasaannya bukan karena kejahatan, dan unsur-unsur subjektif meliputi penggelapan dengan sengaja </w:t>
      </w:r>
      <w:r>
        <w:rPr>
          <w:i/>
          <w:iCs/>
          <w:color w:val="000000"/>
          <w:lang w:val="id-ID"/>
        </w:rPr>
        <w:t xml:space="preserve">(opzettelijk), </w:t>
      </w:r>
      <w:r>
        <w:rPr>
          <w:color w:val="000000"/>
          <w:lang w:val="id-ID"/>
        </w:rPr>
        <w:t xml:space="preserve">dan penggelapan melawan hukum </w:t>
      </w:r>
      <w:r>
        <w:rPr>
          <w:i/>
          <w:iCs/>
          <w:color w:val="000000"/>
          <w:lang w:val="id-ID"/>
        </w:rPr>
        <w:t>(wederechtelijk)</w:t>
      </w:r>
      <w:r>
        <w:rPr>
          <w:iCs/>
          <w:color w:val="000000"/>
          <w:lang w:val="id-ID"/>
        </w:rPr>
        <w:t>.</w:t>
      </w:r>
      <w:r>
        <w:rPr>
          <w:rStyle w:val="FootnoteReference"/>
          <w:iCs/>
          <w:color w:val="000000"/>
        </w:rPr>
        <w:footnoteReference w:id="7"/>
      </w:r>
    </w:p>
    <w:p w:rsidR="00567E71" w:rsidRDefault="00567E71" w:rsidP="00567E71">
      <w:pPr>
        <w:ind w:firstLine="720"/>
        <w:jc w:val="both"/>
        <w:rPr>
          <w:iCs/>
          <w:color w:val="000000"/>
          <w:lang w:val="id-ID"/>
        </w:rPr>
      </w:pPr>
    </w:p>
    <w:p w:rsidR="00567E71" w:rsidRDefault="00567E71" w:rsidP="00737539">
      <w:pPr>
        <w:numPr>
          <w:ilvl w:val="3"/>
          <w:numId w:val="7"/>
        </w:numPr>
        <w:tabs>
          <w:tab w:val="num" w:pos="360"/>
        </w:tabs>
        <w:spacing w:line="456" w:lineRule="auto"/>
        <w:ind w:left="360"/>
        <w:jc w:val="both"/>
        <w:rPr>
          <w:b/>
          <w:iCs/>
          <w:color w:val="000000"/>
        </w:rPr>
      </w:pPr>
      <w:bookmarkStart w:id="5" w:name="_Hlk178702454"/>
      <w:r>
        <w:rPr>
          <w:b/>
          <w:bCs/>
          <w:color w:val="000000"/>
        </w:rPr>
        <w:t>Unsur-Unsur Tindak Pidana Penggelapan</w:t>
      </w:r>
      <w:bookmarkEnd w:id="5"/>
    </w:p>
    <w:p w:rsidR="00567E71" w:rsidRDefault="00567E71" w:rsidP="00567E71">
      <w:pPr>
        <w:spacing w:line="516" w:lineRule="auto"/>
        <w:ind w:firstLine="720"/>
        <w:jc w:val="both"/>
        <w:rPr>
          <w:bCs/>
          <w:color w:val="000000"/>
        </w:rPr>
      </w:pPr>
      <w:r>
        <w:rPr>
          <w:bCs/>
          <w:color w:val="000000"/>
        </w:rPr>
        <w:t>Unsur-unsur tindak pidana penggelapan adalah:</w:t>
      </w:r>
    </w:p>
    <w:p w:rsidR="00567E71" w:rsidRDefault="00567E71" w:rsidP="00737539">
      <w:pPr>
        <w:numPr>
          <w:ilvl w:val="0"/>
          <w:numId w:val="11"/>
        </w:numPr>
        <w:spacing w:line="516" w:lineRule="auto"/>
        <w:ind w:left="360"/>
        <w:jc w:val="both"/>
        <w:rPr>
          <w:color w:val="000000"/>
        </w:rPr>
      </w:pPr>
      <w:r>
        <w:rPr>
          <w:color w:val="000000"/>
        </w:rPr>
        <w:t xml:space="preserve">Unsur Objektif </w:t>
      </w:r>
    </w:p>
    <w:p w:rsidR="00567E71" w:rsidRDefault="00567E71" w:rsidP="00737539">
      <w:pPr>
        <w:numPr>
          <w:ilvl w:val="0"/>
          <w:numId w:val="12"/>
        </w:numPr>
        <w:spacing w:line="516" w:lineRule="auto"/>
        <w:jc w:val="both"/>
        <w:rPr>
          <w:color w:val="000000"/>
        </w:rPr>
      </w:pPr>
      <w:r>
        <w:rPr>
          <w:color w:val="000000"/>
        </w:rPr>
        <w:t xml:space="preserve">Perbuatan memiliki </w:t>
      </w:r>
    </w:p>
    <w:p w:rsidR="00567E71" w:rsidRDefault="00567E71" w:rsidP="00567E71">
      <w:pPr>
        <w:spacing w:line="480" w:lineRule="auto"/>
        <w:ind w:firstLine="720"/>
        <w:jc w:val="both"/>
        <w:rPr>
          <w:color w:val="000000"/>
        </w:rPr>
      </w:pPr>
      <w:r>
        <w:rPr>
          <w:i/>
          <w:iCs/>
          <w:color w:val="000000"/>
        </w:rPr>
        <w:t xml:space="preserve">(Zicht toe igenen) </w:t>
      </w:r>
      <w:r>
        <w:rPr>
          <w:color w:val="000000"/>
        </w:rPr>
        <w:t xml:space="preserve">diterjemahkan dengan perkataan memiliki, menganggap sebagai milik, atau ada kalanya menguasai secara melawan hak, atau mengaku sebagai milik. Mahkamah Agung dalam Putusannya tanggal 25-2-1958 Nomor 308 K/Kr/1957 menyatakan bahwa perkataan </w:t>
      </w:r>
      <w:r>
        <w:rPr>
          <w:i/>
          <w:iCs/>
          <w:color w:val="000000"/>
        </w:rPr>
        <w:t xml:space="preserve">zicht toe igenen </w:t>
      </w:r>
      <w:r>
        <w:rPr>
          <w:color w:val="000000"/>
        </w:rPr>
        <w:t xml:space="preserve">dalam </w:t>
      </w:r>
      <w:proofErr w:type="gramStart"/>
      <w:r>
        <w:rPr>
          <w:color w:val="000000"/>
        </w:rPr>
        <w:t>bahasa</w:t>
      </w:r>
      <w:proofErr w:type="gramEnd"/>
      <w:r>
        <w:rPr>
          <w:color w:val="000000"/>
        </w:rPr>
        <w:t xml:space="preserve"> Indonesia belum ada terjemahan resmi sehingga kata itu dapat diterjemahkan dengan perkataan mengambil atau memiliki. Waktu membicarakan tentang pencurian ini, telah dibicarakan tentang unsur memiliki pada kejahatan itu. </w:t>
      </w:r>
    </w:p>
    <w:p w:rsidR="00567E71" w:rsidRDefault="00567E71" w:rsidP="00567E71">
      <w:pPr>
        <w:spacing w:line="480" w:lineRule="auto"/>
        <w:ind w:firstLine="720"/>
        <w:jc w:val="both"/>
        <w:rPr>
          <w:color w:val="000000"/>
        </w:rPr>
      </w:pPr>
      <w:r>
        <w:rPr>
          <w:color w:val="000000"/>
        </w:rPr>
        <w:t xml:space="preserve">Pengertian memiliki pada penggelapan ini ada bedanya dengan memiliki pada pencurian. Perbedaan ini adalah dalam hal memiliki pada pencurian adalah berupa unsur subjektif sebagai maksud untuk memiliki (benda objek kejahatan itu). Tetapi pada penggelapan memiliki unsur objektif yakni unsur tingkah laku atau perbuatan yang dilarang dalam penggelapan. Pencurian yang tidak disyaratkan benar-benar ada wujud dari unsur memiliki itu, karena sekedar dituju </w:t>
      </w:r>
      <w:r>
        <w:rPr>
          <w:color w:val="000000"/>
        </w:rPr>
        <w:lastRenderedPageBreak/>
        <w:t>oleh unsur kesengajaan sebagai maksud saja. Tetapi memiliki pada penggelapan, karena merupakan unsur tingkah laku berupa unsur objektif maka memiliki itu harus ada bentuk/wujudnya, bentuk mana harus sudah selesai dilaksanakan sebagai syarat untuk menjadi selesainya penggelapan. “Bentuk-bentuk perbuatan memiliki misalnya menjual, menukar, menghibahkan, menggadaikan, dan sebagainya”.</w:t>
      </w:r>
      <w:r>
        <w:rPr>
          <w:rStyle w:val="FootnoteReference"/>
          <w:color w:val="000000"/>
        </w:rPr>
        <w:footnoteReference w:id="8"/>
      </w:r>
    </w:p>
    <w:p w:rsidR="00567E71" w:rsidRDefault="00567E71" w:rsidP="00737539">
      <w:pPr>
        <w:numPr>
          <w:ilvl w:val="0"/>
          <w:numId w:val="12"/>
        </w:numPr>
        <w:spacing w:line="480" w:lineRule="auto"/>
        <w:ind w:left="360"/>
        <w:jc w:val="both"/>
        <w:rPr>
          <w:color w:val="000000"/>
        </w:rPr>
      </w:pPr>
      <w:r>
        <w:rPr>
          <w:color w:val="000000"/>
        </w:rPr>
        <w:t xml:space="preserve">Unsur objek kejahatan (sebuah benda) </w:t>
      </w:r>
    </w:p>
    <w:p w:rsidR="00567E71" w:rsidRDefault="00567E71" w:rsidP="00567E71">
      <w:pPr>
        <w:spacing w:line="480" w:lineRule="auto"/>
        <w:ind w:firstLine="720"/>
        <w:jc w:val="both"/>
        <w:rPr>
          <w:color w:val="000000"/>
        </w:rPr>
      </w:pPr>
      <w:r>
        <w:rPr>
          <w:color w:val="000000"/>
        </w:rPr>
        <w:t xml:space="preserve">Benda yang menjadi objek penggelapan tidak dapat ditafsirkan lain dari sebagai benda yang bergerak dan berwujud saja. Perbuatan memiliki terhadap benda yang ada dalam kekuasaannya sebagaimana yang telah diterangkan di atas tidak mungkin dapat dilakukan pada benda-benda yang tidak berwujud. </w:t>
      </w:r>
    </w:p>
    <w:p w:rsidR="00567E71" w:rsidRDefault="00567E71" w:rsidP="00567E71">
      <w:pPr>
        <w:spacing w:line="480" w:lineRule="auto"/>
        <w:ind w:firstLine="720"/>
        <w:jc w:val="both"/>
        <w:rPr>
          <w:color w:val="000000"/>
        </w:rPr>
      </w:pPr>
      <w:r>
        <w:rPr>
          <w:color w:val="000000"/>
        </w:rPr>
        <w:t xml:space="preserve">Pengertian benda yang berada dalam kekuasaannya sebagai adanya suatu hubungan langsung dan sangat erat dengan benda itu yang sebagai indikatornya ialah apabila </w:t>
      </w:r>
      <w:proofErr w:type="gramStart"/>
      <w:r>
        <w:rPr>
          <w:color w:val="000000"/>
        </w:rPr>
        <w:t>ia</w:t>
      </w:r>
      <w:proofErr w:type="gramEnd"/>
      <w:r>
        <w:rPr>
          <w:color w:val="000000"/>
        </w:rPr>
        <w:t xml:space="preserve"> hendak melakukan perbuatan terhadap benda itu, dapat melakukannya secara langsung tanpa harus melakukan perbuatan lain terlebih dahulu, hanya terdapat benda-benda berwujud dan bergerak saja dan tidak mungkin terjadi pada benda-benda yang tidak berwujud dan benda-benda tetap. </w:t>
      </w:r>
    </w:p>
    <w:p w:rsidR="00567E71" w:rsidRDefault="00567E71" w:rsidP="00737539">
      <w:pPr>
        <w:numPr>
          <w:ilvl w:val="0"/>
          <w:numId w:val="12"/>
        </w:numPr>
        <w:spacing w:line="480" w:lineRule="auto"/>
        <w:ind w:left="360"/>
        <w:jc w:val="both"/>
        <w:rPr>
          <w:color w:val="000000"/>
        </w:rPr>
      </w:pPr>
      <w:r>
        <w:rPr>
          <w:color w:val="000000"/>
        </w:rPr>
        <w:t xml:space="preserve">Sebagian atau seluruhnya milik orang lain </w:t>
      </w:r>
    </w:p>
    <w:p w:rsidR="00567E71" w:rsidRDefault="00567E71" w:rsidP="00567E71">
      <w:pPr>
        <w:spacing w:line="480" w:lineRule="auto"/>
        <w:ind w:firstLine="720"/>
        <w:jc w:val="both"/>
        <w:rPr>
          <w:color w:val="000000"/>
        </w:rPr>
      </w:pPr>
      <w:r>
        <w:rPr>
          <w:color w:val="000000"/>
        </w:rPr>
        <w:t xml:space="preserve">Benda yang tidak ada pemiliknya, baik sejak semula maupun telah dilepaskan hak miliknya tidak dapat menjadi objek penggelapan. Benda milik suatu badan hukum seperti milik negara adalah berupa benda yang tidak/bukan milik petindak dan oleh karena itu dapat menjadi objek penggelapan maupun </w:t>
      </w:r>
      <w:r>
        <w:rPr>
          <w:color w:val="000000"/>
        </w:rPr>
        <w:lastRenderedPageBreak/>
        <w:t xml:space="preserve">pencurian. Orang lain yang dimaksud sebagai pemilik benda yang menjadi objek penggelapan, tidak menjadi syarat sebagai orang itu adalah korban atau orang tertentu melainkan siapa saja asalkan bukan petindak sendiri. </w:t>
      </w:r>
    </w:p>
    <w:p w:rsidR="00567E71" w:rsidRDefault="00567E71" w:rsidP="00737539">
      <w:pPr>
        <w:numPr>
          <w:ilvl w:val="0"/>
          <w:numId w:val="12"/>
        </w:numPr>
        <w:spacing w:line="480" w:lineRule="auto"/>
        <w:ind w:left="360"/>
        <w:jc w:val="both"/>
        <w:rPr>
          <w:color w:val="000000"/>
        </w:rPr>
      </w:pPr>
      <w:r>
        <w:rPr>
          <w:color w:val="000000"/>
        </w:rPr>
        <w:t xml:space="preserve">Benda berada dalam kekuasaannya bukan karena kejahatan </w:t>
      </w:r>
    </w:p>
    <w:p w:rsidR="00567E71" w:rsidRDefault="00567E71" w:rsidP="00567E71">
      <w:pPr>
        <w:spacing w:line="480" w:lineRule="auto"/>
        <w:ind w:firstLine="720"/>
        <w:jc w:val="both"/>
        <w:rPr>
          <w:color w:val="000000"/>
        </w:rPr>
      </w:pPr>
      <w:r>
        <w:rPr>
          <w:color w:val="000000"/>
        </w:rPr>
        <w:t xml:space="preserve">Ada dua unsur yakni berada dalam kekuasaannya dan bukan karena kejahatan. Perihal unsur berada dalam kekuasaaanya seperti yang telah disinggung di atas, suatu benda berada dalam kekuasaan seseorang apabila antara orang itu dengan benda terdapat hubungan sedemikian eratnya sehingga apabila </w:t>
      </w:r>
      <w:proofErr w:type="gramStart"/>
      <w:r>
        <w:rPr>
          <w:color w:val="000000"/>
        </w:rPr>
        <w:t>ia</w:t>
      </w:r>
      <w:proofErr w:type="gramEnd"/>
      <w:r>
        <w:rPr>
          <w:color w:val="000000"/>
        </w:rPr>
        <w:t xml:space="preserve"> akan melakukan segala macam perbuatan terhadap benda itu ia dapat segera melakukannya secara langsung tanpa terlebih dahulu harus melakukan perbuatan yang lain.  </w:t>
      </w:r>
    </w:p>
    <w:p w:rsidR="00567E71" w:rsidRDefault="00567E71" w:rsidP="00737539">
      <w:pPr>
        <w:numPr>
          <w:ilvl w:val="0"/>
          <w:numId w:val="11"/>
        </w:numPr>
        <w:spacing w:line="516" w:lineRule="auto"/>
        <w:ind w:left="360"/>
        <w:jc w:val="both"/>
        <w:rPr>
          <w:color w:val="000000"/>
        </w:rPr>
      </w:pPr>
      <w:r>
        <w:rPr>
          <w:color w:val="000000"/>
        </w:rPr>
        <w:t xml:space="preserve">Unsur Subjektif </w:t>
      </w:r>
    </w:p>
    <w:p w:rsidR="00567E71" w:rsidRDefault="00567E71" w:rsidP="00737539">
      <w:pPr>
        <w:numPr>
          <w:ilvl w:val="0"/>
          <w:numId w:val="13"/>
        </w:numPr>
        <w:spacing w:line="516" w:lineRule="auto"/>
        <w:jc w:val="both"/>
        <w:rPr>
          <w:color w:val="000000"/>
        </w:rPr>
      </w:pPr>
      <w:r>
        <w:rPr>
          <w:color w:val="000000"/>
        </w:rPr>
        <w:t xml:space="preserve">Unsur kesengajaan </w:t>
      </w:r>
    </w:p>
    <w:p w:rsidR="00567E71" w:rsidRDefault="00567E71" w:rsidP="00567E71">
      <w:pPr>
        <w:spacing w:line="516" w:lineRule="auto"/>
        <w:ind w:firstLine="720"/>
        <w:jc w:val="both"/>
        <w:rPr>
          <w:color w:val="000000"/>
        </w:rPr>
      </w:pPr>
      <w:r>
        <w:rPr>
          <w:iCs/>
          <w:color w:val="000000"/>
        </w:rPr>
        <w:t>Seseorang yang berbuat dengan sengaja itu harus dikehendaki apa yang diperbuat dan harus diketahui juga atas apa yang diperbuat</w:t>
      </w:r>
      <w:r>
        <w:rPr>
          <w:color w:val="000000"/>
        </w:rPr>
        <w:t>”.</w:t>
      </w:r>
      <w:r>
        <w:rPr>
          <w:rStyle w:val="FootnoteReference"/>
          <w:color w:val="000000"/>
        </w:rPr>
        <w:footnoteReference w:id="9"/>
      </w:r>
      <w:r>
        <w:rPr>
          <w:color w:val="000000"/>
        </w:rPr>
        <w:t xml:space="preserve"> “Rumusan sengaja pada umumnya dicantumkan dalam suatu </w:t>
      </w:r>
      <w:proofErr w:type="gramStart"/>
      <w:r>
        <w:rPr>
          <w:color w:val="000000"/>
        </w:rPr>
        <w:t>norma</w:t>
      </w:r>
      <w:proofErr w:type="gramEnd"/>
      <w:r>
        <w:rPr>
          <w:color w:val="000000"/>
        </w:rPr>
        <w:t xml:space="preserve"> pidana akan tetapi adakalanya rumusan sengaja telah dengan sendirinya tercakup dalam suatu perkataan, misalnya perkataan memaksa”.</w:t>
      </w:r>
      <w:r>
        <w:rPr>
          <w:rStyle w:val="FootnoteReference"/>
          <w:color w:val="000000"/>
        </w:rPr>
        <w:footnoteReference w:id="10"/>
      </w:r>
      <w:r>
        <w:rPr>
          <w:color w:val="000000"/>
        </w:rPr>
        <w:t xml:space="preserve"> </w:t>
      </w:r>
    </w:p>
    <w:p w:rsidR="00567E71" w:rsidRDefault="00567E71" w:rsidP="00737539">
      <w:pPr>
        <w:numPr>
          <w:ilvl w:val="0"/>
          <w:numId w:val="13"/>
        </w:numPr>
        <w:spacing w:line="456" w:lineRule="auto"/>
        <w:ind w:left="360"/>
        <w:jc w:val="both"/>
        <w:rPr>
          <w:color w:val="000000"/>
        </w:rPr>
      </w:pPr>
      <w:r>
        <w:rPr>
          <w:color w:val="000000"/>
        </w:rPr>
        <w:t xml:space="preserve">Unsur kealpaan, sebagaimana yang disebut dalam Pasal 359 KUHP. </w:t>
      </w:r>
    </w:p>
    <w:p w:rsidR="00567E71" w:rsidRDefault="00567E71" w:rsidP="00567E71">
      <w:pPr>
        <w:spacing w:line="456" w:lineRule="auto"/>
        <w:ind w:firstLine="720"/>
        <w:jc w:val="both"/>
        <w:rPr>
          <w:color w:val="000000"/>
        </w:rPr>
      </w:pPr>
      <w:proofErr w:type="gramStart"/>
      <w:r>
        <w:rPr>
          <w:color w:val="000000"/>
        </w:rPr>
        <w:t>Simons</w:t>
      </w:r>
      <w:proofErr w:type="gramEnd"/>
      <w:r>
        <w:rPr>
          <w:color w:val="000000"/>
        </w:rPr>
        <w:t xml:space="preserve"> menerangkan kealpaan bahwa pada umumnya kealpaan itu terdiri atas dua bagian, yaitu tidak berhati-hati melakukan suatu perbuatan, disamping </w:t>
      </w:r>
      <w:r>
        <w:rPr>
          <w:color w:val="000000"/>
        </w:rPr>
        <w:lastRenderedPageBreak/>
        <w:t xml:space="preserve">dapat menduga akibat perbuatan itu. Namun, meskipun suatu perbuatan dilakukan dengan hati-hati masih mungkin juga terjadi kealpaan jika yang berbuat itu telah mengetahui bahwa dari perbuatan itu mungkin </w:t>
      </w:r>
      <w:proofErr w:type="gramStart"/>
      <w:r>
        <w:rPr>
          <w:color w:val="000000"/>
        </w:rPr>
        <w:t>akan</w:t>
      </w:r>
      <w:proofErr w:type="gramEnd"/>
      <w:r>
        <w:rPr>
          <w:color w:val="000000"/>
        </w:rPr>
        <w:t xml:space="preserve"> timbul suatu akibat yang dilarang undang-undang.</w:t>
      </w:r>
      <w:r>
        <w:rPr>
          <w:rStyle w:val="FootnoteReference"/>
          <w:color w:val="000000"/>
        </w:rPr>
        <w:footnoteReference w:id="11"/>
      </w:r>
    </w:p>
    <w:p w:rsidR="00567E71" w:rsidRDefault="00567E71" w:rsidP="00737539">
      <w:pPr>
        <w:pStyle w:val="Default"/>
        <w:numPr>
          <w:ilvl w:val="0"/>
          <w:numId w:val="13"/>
        </w:numPr>
        <w:spacing w:line="432" w:lineRule="auto"/>
        <w:ind w:left="360"/>
        <w:rPr>
          <w:rFonts w:ascii="Times New Roman" w:hAnsi="Times New Roman" w:cs="Times New Roman"/>
        </w:rPr>
      </w:pPr>
      <w:r>
        <w:rPr>
          <w:rFonts w:ascii="Times New Roman" w:hAnsi="Times New Roman" w:cs="Times New Roman"/>
        </w:rPr>
        <w:t xml:space="preserve">Unsur melawan hukum </w:t>
      </w:r>
    </w:p>
    <w:p w:rsidR="00567E71" w:rsidRDefault="00567E71" w:rsidP="00567E71">
      <w:pPr>
        <w:spacing w:line="432" w:lineRule="auto"/>
        <w:ind w:firstLine="720"/>
        <w:jc w:val="both"/>
        <w:rPr>
          <w:color w:val="000000"/>
        </w:rPr>
      </w:pPr>
      <w:r>
        <w:rPr>
          <w:color w:val="000000"/>
        </w:rPr>
        <w:t xml:space="preserve">Melawan hukum dalam bahasa Belanda, adalah </w:t>
      </w:r>
      <w:r>
        <w:rPr>
          <w:i/>
          <w:color w:val="000000"/>
        </w:rPr>
        <w:t>wederrechtelijk</w:t>
      </w:r>
      <w:r>
        <w:rPr>
          <w:color w:val="000000"/>
        </w:rPr>
        <w:t xml:space="preserve"> berasal dari kata </w:t>
      </w:r>
      <w:r>
        <w:rPr>
          <w:i/>
          <w:color w:val="000000"/>
        </w:rPr>
        <w:t>weder</w:t>
      </w:r>
      <w:r>
        <w:rPr>
          <w:color w:val="000000"/>
        </w:rPr>
        <w:t xml:space="preserve"> = bertentangan dengan atau melawan,</w:t>
      </w:r>
      <w:r>
        <w:rPr>
          <w:i/>
          <w:color w:val="000000"/>
        </w:rPr>
        <w:t xml:space="preserve"> recht</w:t>
      </w:r>
      <w:r>
        <w:rPr>
          <w:color w:val="000000"/>
        </w:rPr>
        <w:t xml:space="preserve"> = hukum jadi </w:t>
      </w:r>
      <w:r>
        <w:rPr>
          <w:i/>
          <w:iCs/>
          <w:color w:val="000000"/>
        </w:rPr>
        <w:t xml:space="preserve">wederrechtelijk </w:t>
      </w:r>
      <w:r>
        <w:rPr>
          <w:color w:val="000000"/>
        </w:rPr>
        <w:t>adalah bertentangan dengan hukum atau melawan hukum.</w:t>
      </w:r>
      <w:r>
        <w:rPr>
          <w:rStyle w:val="FootnoteReference"/>
          <w:color w:val="000000"/>
        </w:rPr>
        <w:footnoteReference w:id="12"/>
      </w:r>
      <w:r>
        <w:rPr>
          <w:color w:val="000000"/>
        </w:rPr>
        <w:t xml:space="preserve">  Menjatuhkan suatu pidana, unsur-unsur tindak pidana pada suatu pasal harus dipenuhi. Salah satu unsur yang harus dipenuhi adalah sifat melawan hukum baik secara eksplisit maupun secara implist diatur dalam suatu pasal. Pengertian sifat melawan hukum yang demikian </w:t>
      </w:r>
      <w:proofErr w:type="gramStart"/>
      <w:r>
        <w:rPr>
          <w:color w:val="000000"/>
        </w:rPr>
        <w:t>disebut  dengan</w:t>
      </w:r>
      <w:proofErr w:type="gramEnd"/>
      <w:r>
        <w:rPr>
          <w:color w:val="000000"/>
        </w:rPr>
        <w:t xml:space="preserve"> melawan hukum formil. Ajaran melawan hukum dalam hukum pidana berdasarkan doktrin dibedakan menjadi dua yaitu ajaran sifat melawan hukum formil dan sifat melawan hukum materiil.</w:t>
      </w:r>
      <w:r>
        <w:rPr>
          <w:rStyle w:val="FootnoteReference"/>
          <w:color w:val="000000"/>
        </w:rPr>
        <w:t xml:space="preserve"> </w:t>
      </w:r>
      <w:r>
        <w:rPr>
          <w:rStyle w:val="FootnoteReference"/>
          <w:color w:val="000000"/>
        </w:rPr>
        <w:footnoteReference w:id="13"/>
      </w:r>
    </w:p>
    <w:p w:rsidR="00567E71" w:rsidRDefault="00567E71" w:rsidP="00567E71">
      <w:pPr>
        <w:ind w:firstLine="720"/>
        <w:jc w:val="both"/>
        <w:rPr>
          <w:color w:val="000000"/>
        </w:rPr>
      </w:pPr>
    </w:p>
    <w:p w:rsidR="00567E71" w:rsidRDefault="00567E71" w:rsidP="00737539">
      <w:pPr>
        <w:numPr>
          <w:ilvl w:val="3"/>
          <w:numId w:val="7"/>
        </w:numPr>
        <w:spacing w:line="480" w:lineRule="auto"/>
        <w:ind w:left="360"/>
        <w:jc w:val="both"/>
        <w:rPr>
          <w:b/>
          <w:bCs/>
          <w:color w:val="000000"/>
        </w:rPr>
      </w:pPr>
      <w:bookmarkStart w:id="9" w:name="_Hlk178702476"/>
      <w:r>
        <w:rPr>
          <w:b/>
          <w:bCs/>
          <w:color w:val="000000"/>
        </w:rPr>
        <w:t>Jenis-jenis Tindak Pidana Penggelapan</w:t>
      </w:r>
      <w:bookmarkEnd w:id="9"/>
    </w:p>
    <w:p w:rsidR="00567E71" w:rsidRDefault="00567E71" w:rsidP="00567E71">
      <w:pPr>
        <w:spacing w:line="480" w:lineRule="auto"/>
        <w:ind w:firstLine="709"/>
        <w:jc w:val="both"/>
        <w:rPr>
          <w:color w:val="000000"/>
        </w:rPr>
      </w:pPr>
      <w:r>
        <w:rPr>
          <w:color w:val="000000"/>
        </w:rPr>
        <w:t xml:space="preserve">Tindak pidana penggelapan dibagi atas beberapa jenis, </w:t>
      </w:r>
      <w:proofErr w:type="gramStart"/>
      <w:r>
        <w:rPr>
          <w:color w:val="000000"/>
        </w:rPr>
        <w:t>yaitu :</w:t>
      </w:r>
      <w:proofErr w:type="gramEnd"/>
    </w:p>
    <w:p w:rsidR="00567E71" w:rsidRDefault="00567E71" w:rsidP="00737539">
      <w:pPr>
        <w:numPr>
          <w:ilvl w:val="5"/>
          <w:numId w:val="4"/>
        </w:numPr>
        <w:tabs>
          <w:tab w:val="num" w:pos="360"/>
        </w:tabs>
        <w:spacing w:line="480" w:lineRule="auto"/>
        <w:ind w:left="360"/>
        <w:jc w:val="both"/>
        <w:rPr>
          <w:b/>
          <w:bCs/>
          <w:color w:val="000000"/>
        </w:rPr>
      </w:pPr>
      <w:r>
        <w:rPr>
          <w:color w:val="000000"/>
        </w:rPr>
        <w:t>Penggelapan biasa</w:t>
      </w:r>
    </w:p>
    <w:p w:rsidR="00567E71" w:rsidRDefault="00567E71" w:rsidP="00567E71">
      <w:pPr>
        <w:spacing w:line="480" w:lineRule="auto"/>
        <w:ind w:firstLine="720"/>
        <w:jc w:val="both"/>
        <w:rPr>
          <w:color w:val="000000"/>
        </w:rPr>
      </w:pPr>
      <w:r>
        <w:rPr>
          <w:color w:val="000000"/>
        </w:rPr>
        <w:t xml:space="preserve">Penggelapan biasa atau penggelapan pada pokoknya yaitu, penggelapan yang ketentuannya diatur pada Pasal 372 KUHPidana yang berbunyi : Barang siapa dengan sengaja melawan hukum memiliki barang sesuatu atau seluruhnya atau sebagian adalah kepunyaan orang lain, tetapi yang ada dalam kekuasannya </w:t>
      </w:r>
      <w:r>
        <w:rPr>
          <w:color w:val="000000"/>
        </w:rPr>
        <w:lastRenderedPageBreak/>
        <w:t>bukan karena kejahatan diancam karena penggelapan, dengan pidana paling lama empat tahun atau pidana denda paling banyak Sembilan ratus ribu rupiah.</w:t>
      </w:r>
    </w:p>
    <w:p w:rsidR="00567E71" w:rsidRDefault="00567E71" w:rsidP="00737539">
      <w:pPr>
        <w:numPr>
          <w:ilvl w:val="5"/>
          <w:numId w:val="4"/>
        </w:numPr>
        <w:tabs>
          <w:tab w:val="num" w:pos="360"/>
        </w:tabs>
        <w:spacing w:line="480" w:lineRule="auto"/>
        <w:ind w:left="360"/>
        <w:jc w:val="both"/>
        <w:rPr>
          <w:color w:val="000000"/>
        </w:rPr>
      </w:pPr>
      <w:r>
        <w:rPr>
          <w:bCs/>
          <w:color w:val="000000"/>
        </w:rPr>
        <w:t>Penggelapan ringan (</w:t>
      </w:r>
      <w:r>
        <w:rPr>
          <w:bCs/>
          <w:i/>
          <w:iCs/>
          <w:color w:val="000000"/>
        </w:rPr>
        <w:t>geeprivilingeerde verduistering</w:t>
      </w:r>
      <w:r>
        <w:rPr>
          <w:bCs/>
          <w:color w:val="000000"/>
        </w:rPr>
        <w:t>)</w:t>
      </w:r>
    </w:p>
    <w:p w:rsidR="00567E71" w:rsidRDefault="00567E71" w:rsidP="00567E71">
      <w:pPr>
        <w:spacing w:line="480" w:lineRule="auto"/>
        <w:ind w:firstLine="720"/>
        <w:jc w:val="both"/>
        <w:rPr>
          <w:color w:val="000000"/>
        </w:rPr>
      </w:pPr>
      <w:r>
        <w:rPr>
          <w:color w:val="000000"/>
        </w:rPr>
        <w:t>Ketentuan tentang penggelapan ringan diatur dalam Pasal 373 KUHPidana yang berbunyi : Perbuatan yang dirumuskan dalam Pasal 373 KUHPidana, apabila yang digelapkan bukan ternak dan harganya tidak lebih dari dua puluh lima ribu rupiah, diancam sebagai penggelapan ringan dengan pidana penjara paling lama tiga bulan penjara atau pidana denda paling banyak dua ratus lima puluh ribu rupiah.</w:t>
      </w:r>
    </w:p>
    <w:p w:rsidR="00567E71" w:rsidRDefault="00567E71" w:rsidP="00737539">
      <w:pPr>
        <w:numPr>
          <w:ilvl w:val="0"/>
          <w:numId w:val="4"/>
        </w:numPr>
        <w:tabs>
          <w:tab w:val="num" w:pos="360"/>
        </w:tabs>
        <w:spacing w:line="456" w:lineRule="auto"/>
        <w:ind w:left="360"/>
        <w:jc w:val="both"/>
        <w:rPr>
          <w:color w:val="000000"/>
        </w:rPr>
      </w:pPr>
      <w:r>
        <w:rPr>
          <w:bCs/>
          <w:color w:val="000000"/>
        </w:rPr>
        <w:t>Penggelapan dengan pemberatan (</w:t>
      </w:r>
      <w:r>
        <w:rPr>
          <w:bCs/>
          <w:i/>
          <w:iCs/>
          <w:color w:val="000000"/>
        </w:rPr>
        <w:t>geequalificeerde verduistering</w:t>
      </w:r>
      <w:r>
        <w:rPr>
          <w:bCs/>
          <w:color w:val="000000"/>
        </w:rPr>
        <w:t>)</w:t>
      </w:r>
    </w:p>
    <w:p w:rsidR="00567E71" w:rsidRDefault="00567E71" w:rsidP="00567E71">
      <w:pPr>
        <w:tabs>
          <w:tab w:val="num" w:pos="360"/>
        </w:tabs>
        <w:spacing w:line="456" w:lineRule="auto"/>
        <w:ind w:firstLine="720"/>
        <w:jc w:val="both"/>
        <w:rPr>
          <w:color w:val="000000"/>
        </w:rPr>
      </w:pPr>
      <w:r>
        <w:rPr>
          <w:color w:val="000000"/>
        </w:rPr>
        <w:t xml:space="preserve">Penggelapan dengan pemberatan diatur dalam Pasal 374 KUHPidana dan Pasal 375 KUHPidana sebagaimana dengan tindak pidana yang lain, tindak pidana penggelapan dengan pemberatan ini adalah tindak pidana penggelapan dengan bentuknya yang pokok oleh karena ada unsur-unsur yang lain yang memberatkan ancaman pidananya menjadi diperberat. Istilah yang dipakai dalam bahasa hukum adalah penggelapan yang dikualifikasi. </w:t>
      </w:r>
    </w:p>
    <w:p w:rsidR="00567E71" w:rsidRDefault="00567E71" w:rsidP="00567E71">
      <w:pPr>
        <w:tabs>
          <w:tab w:val="num" w:pos="360"/>
        </w:tabs>
        <w:spacing w:line="456" w:lineRule="auto"/>
        <w:ind w:firstLine="720"/>
        <w:jc w:val="both"/>
        <w:rPr>
          <w:color w:val="000000"/>
        </w:rPr>
      </w:pPr>
      <w:r>
        <w:rPr>
          <w:bCs/>
          <w:color w:val="000000"/>
        </w:rPr>
        <w:t>Penggelapan dengan pemberatan Pasal 375 KUHPidana yang menyatakan :</w:t>
      </w:r>
      <w:r>
        <w:rPr>
          <w:color w:val="000000"/>
        </w:rPr>
        <w:t xml:space="preserve"> penggelapan yang dilakukan oleh orang karena dipaksa diberi barang untuk disimpan, atau yang dilakukan oleh wali, pengurus atau pelaksana surat wasiat, pengurus lembaga sosial atau yayasan, terhadap barang sesuatu yang dikuasainya selaku demikian, diancam dengan pidana penjara paling lama enam tahun.</w:t>
      </w:r>
    </w:p>
    <w:p w:rsidR="00567E71" w:rsidRDefault="00567E71" w:rsidP="00567E71">
      <w:pPr>
        <w:spacing w:line="516" w:lineRule="auto"/>
        <w:ind w:firstLine="720"/>
        <w:jc w:val="both"/>
        <w:rPr>
          <w:color w:val="000000"/>
        </w:rPr>
      </w:pPr>
      <w:r>
        <w:rPr>
          <w:color w:val="000000"/>
        </w:rPr>
        <w:t xml:space="preserve">Penggelapan yang diatur dalam ketentuan Pasal 375 KUHPidana ini adalah penggelapan yang dilakukan oleh orang-orang tertentu yang karena </w:t>
      </w:r>
      <w:r>
        <w:rPr>
          <w:color w:val="000000"/>
        </w:rPr>
        <w:lastRenderedPageBreak/>
        <w:t>kewajibannya sebagai akibat dari hubungan orang itu dengan barang-barang yang harus diurusnya.</w:t>
      </w:r>
    </w:p>
    <w:p w:rsidR="00567E71" w:rsidRDefault="00567E71" w:rsidP="00737539">
      <w:pPr>
        <w:numPr>
          <w:ilvl w:val="0"/>
          <w:numId w:val="4"/>
        </w:numPr>
        <w:tabs>
          <w:tab w:val="num" w:pos="360"/>
        </w:tabs>
        <w:spacing w:line="516" w:lineRule="auto"/>
        <w:ind w:left="360"/>
        <w:jc w:val="both"/>
        <w:rPr>
          <w:color w:val="000000"/>
        </w:rPr>
      </w:pPr>
      <w:r>
        <w:rPr>
          <w:bCs/>
          <w:color w:val="000000"/>
        </w:rPr>
        <w:t>Penggelapan dalam keluarga.</w:t>
      </w:r>
    </w:p>
    <w:p w:rsidR="00567E71" w:rsidRDefault="00567E71" w:rsidP="00567E71">
      <w:pPr>
        <w:spacing w:line="516" w:lineRule="auto"/>
        <w:ind w:firstLine="720"/>
        <w:jc w:val="both"/>
        <w:rPr>
          <w:color w:val="000000"/>
        </w:rPr>
      </w:pPr>
      <w:r>
        <w:rPr>
          <w:color w:val="000000"/>
        </w:rPr>
        <w:t xml:space="preserve">Kejahatan terhadap harta benda, pencurian, pengancaman, pemerasan, penggelapan, penipuan apabila dilakukan dalam kalangan keluarga maka dapat </w:t>
      </w:r>
      <w:proofErr w:type="gramStart"/>
      <w:r>
        <w:rPr>
          <w:color w:val="000000"/>
        </w:rPr>
        <w:t>menjadi :</w:t>
      </w:r>
      <w:proofErr w:type="gramEnd"/>
      <w:r>
        <w:rPr>
          <w:color w:val="000000"/>
        </w:rPr>
        <w:t xml:space="preserve"> </w:t>
      </w:r>
    </w:p>
    <w:p w:rsidR="00567E71" w:rsidRDefault="00567E71" w:rsidP="00737539">
      <w:pPr>
        <w:numPr>
          <w:ilvl w:val="4"/>
          <w:numId w:val="4"/>
        </w:numPr>
        <w:spacing w:line="516" w:lineRule="auto"/>
        <w:ind w:left="284" w:hanging="284"/>
        <w:jc w:val="both"/>
        <w:rPr>
          <w:color w:val="000000"/>
        </w:rPr>
      </w:pPr>
      <w:r>
        <w:rPr>
          <w:color w:val="000000"/>
        </w:rPr>
        <w:t xml:space="preserve">Tidak dapat dilakukan penuntutan baik terhadap petindaknya maupun terhadap pelaku pembantunya (Pasal 367 ayat (1) KUHPidana) </w:t>
      </w:r>
    </w:p>
    <w:p w:rsidR="00567E71" w:rsidRDefault="00567E71" w:rsidP="00737539">
      <w:pPr>
        <w:numPr>
          <w:ilvl w:val="4"/>
          <w:numId w:val="4"/>
        </w:numPr>
        <w:spacing w:line="516" w:lineRule="auto"/>
        <w:ind w:left="284" w:hanging="284"/>
        <w:jc w:val="both"/>
        <w:rPr>
          <w:color w:val="000000"/>
        </w:rPr>
      </w:pPr>
      <w:r>
        <w:rPr>
          <w:color w:val="000000"/>
        </w:rPr>
        <w:t xml:space="preserve">Tindak pidana aduan, tanpa ada pengaduan baik terhadap petindaknya maupun pelaku pembantunya tidak dapat dilakukan penuntutan (Pasal 367 ayat (2) KUHPidana). </w:t>
      </w:r>
    </w:p>
    <w:p w:rsidR="00567E71" w:rsidRDefault="00567E71" w:rsidP="00567E71">
      <w:pPr>
        <w:spacing w:line="480" w:lineRule="auto"/>
        <w:ind w:firstLine="720"/>
        <w:jc w:val="both"/>
        <w:rPr>
          <w:color w:val="000000"/>
        </w:rPr>
      </w:pPr>
      <w:r>
        <w:rPr>
          <w:color w:val="000000"/>
        </w:rPr>
        <w:t>Penggelapan dalam keluarga merupakan delik aduan atau hanya dapat dilakukan penuntutan apabila yang menjadi korban penggelapan mengajukan laporannya kepada pihak kepolisian.</w:t>
      </w:r>
    </w:p>
    <w:p w:rsidR="00567E71" w:rsidRDefault="00567E71" w:rsidP="00737539">
      <w:pPr>
        <w:numPr>
          <w:ilvl w:val="0"/>
          <w:numId w:val="14"/>
        </w:numPr>
        <w:autoSpaceDE w:val="0"/>
        <w:autoSpaceDN w:val="0"/>
        <w:adjustRightInd w:val="0"/>
        <w:spacing w:line="480" w:lineRule="auto"/>
        <w:jc w:val="both"/>
        <w:rPr>
          <w:rStyle w:val="markedcontent"/>
          <w:b/>
        </w:rPr>
      </w:pPr>
      <w:bookmarkStart w:id="10" w:name="_Hlk178702513"/>
      <w:bookmarkStart w:id="11" w:name="_Hlk147431052"/>
      <w:r>
        <w:rPr>
          <w:rStyle w:val="markedcontent"/>
          <w:b/>
          <w:color w:val="000000"/>
        </w:rPr>
        <w:t xml:space="preserve">Tinjauan </w:t>
      </w:r>
      <w:bookmarkEnd w:id="10"/>
      <w:bookmarkEnd w:id="11"/>
      <w:r>
        <w:rPr>
          <w:rStyle w:val="markedcontent"/>
          <w:b/>
          <w:color w:val="000000"/>
        </w:rPr>
        <w:t xml:space="preserve">Umum Tentang Keadilan </w:t>
      </w:r>
      <w:r>
        <w:rPr>
          <w:rStyle w:val="markedcontent"/>
          <w:b/>
          <w:i/>
          <w:color w:val="000000"/>
        </w:rPr>
        <w:t>Restoratif</w:t>
      </w:r>
    </w:p>
    <w:p w:rsidR="00567E71" w:rsidRDefault="00567E71" w:rsidP="00737539">
      <w:pPr>
        <w:numPr>
          <w:ilvl w:val="3"/>
          <w:numId w:val="14"/>
        </w:numPr>
        <w:tabs>
          <w:tab w:val="num" w:pos="720"/>
        </w:tabs>
        <w:autoSpaceDE w:val="0"/>
        <w:autoSpaceDN w:val="0"/>
        <w:adjustRightInd w:val="0"/>
        <w:spacing w:line="480" w:lineRule="auto"/>
        <w:ind w:left="720"/>
        <w:jc w:val="both"/>
      </w:pPr>
      <w:r>
        <w:rPr>
          <w:rStyle w:val="markedcontent"/>
          <w:b/>
          <w:color w:val="000000"/>
        </w:rPr>
        <w:t>Pengertian</w:t>
      </w:r>
      <w:r>
        <w:rPr>
          <w:color w:val="000000"/>
        </w:rPr>
        <w:t xml:space="preserve"> </w:t>
      </w:r>
      <w:r>
        <w:rPr>
          <w:rStyle w:val="markedcontent"/>
          <w:color w:val="000000"/>
        </w:rPr>
        <w:t xml:space="preserve"> </w:t>
      </w:r>
      <w:r>
        <w:rPr>
          <w:rStyle w:val="markedcontent"/>
          <w:b/>
          <w:color w:val="000000"/>
        </w:rPr>
        <w:t xml:space="preserve">dan Dasar Hukum Keadilan </w:t>
      </w:r>
      <w:r>
        <w:rPr>
          <w:rStyle w:val="markedcontent"/>
          <w:b/>
          <w:i/>
          <w:color w:val="000000"/>
        </w:rPr>
        <w:t>Restoratif</w:t>
      </w:r>
    </w:p>
    <w:p w:rsidR="00567E71" w:rsidRDefault="00567E71" w:rsidP="00567E71">
      <w:pPr>
        <w:pStyle w:val="BodyTextIndent"/>
        <w:spacing w:line="504" w:lineRule="auto"/>
        <w:ind w:firstLine="748"/>
        <w:rPr>
          <w:color w:val="000000"/>
          <w:szCs w:val="24"/>
        </w:rPr>
      </w:pPr>
      <w:r>
        <w:rPr>
          <w:i/>
          <w:color w:val="000000"/>
          <w:szCs w:val="24"/>
        </w:rPr>
        <w:t>Restoratif justice</w:t>
      </w:r>
      <w:r>
        <w:rPr>
          <w:color w:val="000000"/>
          <w:szCs w:val="24"/>
        </w:rPr>
        <w:t xml:space="preserve"> adalah pergeseran pemidanaan dalam sistem peradilan pidana yang lebih mengutamakan keadilan bagi korban dan pelaku tindak pidana selain bisa juga dengan alternatif hukuman seperti kerja sosial dan lainnya. Bagir Manan mengemukakan bahwa substansi </w:t>
      </w:r>
      <w:r>
        <w:rPr>
          <w:i/>
          <w:color w:val="000000"/>
          <w:szCs w:val="24"/>
        </w:rPr>
        <w:t>Restoratif justice</w:t>
      </w:r>
      <w:r>
        <w:rPr>
          <w:color w:val="000000"/>
          <w:szCs w:val="24"/>
        </w:rPr>
        <w:t xml:space="preserve"> yang berisi prinsip-prinsip antara lain: membangun partisipasi bersama </w:t>
      </w:r>
      <w:r>
        <w:rPr>
          <w:color w:val="000000"/>
          <w:szCs w:val="24"/>
        </w:rPr>
        <w:lastRenderedPageBreak/>
        <w:t xml:space="preserve">antara pelaku, korban, dan kelompok masyarakat menyelesaikan suatu peristiwa atau tindak pidana, menempatkan pelaku, korban, dan masyarakat sebagai </w:t>
      </w:r>
      <w:r>
        <w:rPr>
          <w:i/>
          <w:color w:val="000000"/>
          <w:szCs w:val="24"/>
        </w:rPr>
        <w:t>stakeholders</w:t>
      </w:r>
      <w:r>
        <w:rPr>
          <w:color w:val="000000"/>
          <w:szCs w:val="24"/>
        </w:rPr>
        <w:t xml:space="preserve"> yang bekerja bersama dan langsung berusaha menemukan penyelesaian yang dipandang adil bagi semua pihak </w:t>
      </w:r>
      <w:r>
        <w:rPr>
          <w:i/>
          <w:color w:val="000000"/>
          <w:szCs w:val="24"/>
        </w:rPr>
        <w:t>(win-win solutions</w:t>
      </w:r>
      <w:r>
        <w:rPr>
          <w:color w:val="000000"/>
          <w:szCs w:val="24"/>
        </w:rPr>
        <w:t>).</w:t>
      </w:r>
      <w:r>
        <w:rPr>
          <w:rStyle w:val="FootnoteReference"/>
          <w:color w:val="000000"/>
          <w:szCs w:val="24"/>
        </w:rPr>
        <w:footnoteReference w:id="14"/>
      </w:r>
    </w:p>
    <w:p w:rsidR="00567E71" w:rsidRDefault="00567E71" w:rsidP="00567E71">
      <w:pPr>
        <w:pStyle w:val="BodyTextIndent"/>
        <w:ind w:firstLine="748"/>
        <w:rPr>
          <w:color w:val="000000"/>
          <w:szCs w:val="24"/>
        </w:rPr>
      </w:pPr>
      <w:r>
        <w:rPr>
          <w:color w:val="000000"/>
          <w:szCs w:val="24"/>
        </w:rPr>
        <w:t xml:space="preserve">Rufinus Hutauruk mengemukakan bahwa </w:t>
      </w:r>
      <w:r>
        <w:rPr>
          <w:i/>
          <w:color w:val="000000"/>
          <w:szCs w:val="24"/>
        </w:rPr>
        <w:t>restoratif justice</w:t>
      </w:r>
      <w:r>
        <w:rPr>
          <w:color w:val="000000"/>
          <w:szCs w:val="24"/>
        </w:rPr>
        <w:t xml:space="preserve"> menitik beratkan pada proses pertanggungjawaban pidana secara langsung dari pelaku kepada korban dan masyarakat. Jika pelaku dan korban serta masyarakat yang dilanggar hak-haknya merasa telah tercapainya suatu keadilan melalui usaha musyawarah bersama, maka harapannya penyelenggaraan pemidanaan dapat dihindari. Hal ini menunjukan bahwa pelaku bukanlah objek utama dari pendekatan </w:t>
      </w:r>
      <w:r>
        <w:rPr>
          <w:i/>
          <w:color w:val="000000"/>
          <w:szCs w:val="24"/>
        </w:rPr>
        <w:t>Restoratif justice,</w:t>
      </w:r>
      <w:r>
        <w:rPr>
          <w:color w:val="000000"/>
          <w:szCs w:val="24"/>
        </w:rPr>
        <w:t xml:space="preserve"> melainkan rasa keadilan serta pemulihan konflik itu sendirilah yang menjadi objek utamanya.</w:t>
      </w:r>
      <w:r>
        <w:rPr>
          <w:rStyle w:val="FootnoteReference"/>
          <w:color w:val="000000"/>
          <w:szCs w:val="24"/>
        </w:rPr>
        <w:footnoteReference w:id="15"/>
      </w:r>
    </w:p>
    <w:p w:rsidR="00567E71" w:rsidRDefault="00567E71" w:rsidP="00567E71">
      <w:pPr>
        <w:spacing w:line="480" w:lineRule="auto"/>
        <w:ind w:firstLine="709"/>
        <w:jc w:val="both"/>
        <w:rPr>
          <w:color w:val="000000"/>
        </w:rPr>
      </w:pPr>
      <w:r>
        <w:rPr>
          <w:color w:val="000000"/>
        </w:rPr>
        <w:t xml:space="preserve">Pendekatan keadilan </w:t>
      </w:r>
      <w:r>
        <w:rPr>
          <w:i/>
          <w:color w:val="000000"/>
        </w:rPr>
        <w:t>restoratif</w:t>
      </w:r>
      <w:r>
        <w:rPr>
          <w:color w:val="000000"/>
        </w:rPr>
        <w:t xml:space="preserve"> diasumsikan sebagai pergeseran paling mutakhir dari berbagai model dan mekanisme yang bekerja dalam sistem peradilan pidana dalam menangani perkara-perkara pidana pada saat ini. </w:t>
      </w:r>
    </w:p>
    <w:p w:rsidR="00567E71" w:rsidRDefault="00567E71" w:rsidP="00567E71">
      <w:pPr>
        <w:spacing w:line="480" w:lineRule="auto"/>
        <w:ind w:firstLine="709"/>
        <w:jc w:val="both"/>
        <w:rPr>
          <w:color w:val="000000"/>
        </w:rPr>
      </w:pPr>
      <w:r>
        <w:rPr>
          <w:color w:val="000000"/>
        </w:rPr>
        <w:t xml:space="preserve">Keadilan </w:t>
      </w:r>
      <w:r>
        <w:rPr>
          <w:i/>
          <w:color w:val="000000"/>
        </w:rPr>
        <w:t>restoratif</w:t>
      </w:r>
      <w:r>
        <w:rPr>
          <w:color w:val="000000"/>
        </w:rPr>
        <w:t xml:space="preserve"> adalah sebuah konsep pemikiran yang merespon pengembangan sistem peradilan pidana dengan menitikberatkan pada kebutuhan pelibatan masyarakat dan korban yang dirasa tersisihkan dengan mekanisme yang </w:t>
      </w:r>
      <w:r>
        <w:rPr>
          <w:color w:val="000000"/>
        </w:rPr>
        <w:lastRenderedPageBreak/>
        <w:t>bekerja pada sistem peradilan pidana yang ada pada saat ini.</w:t>
      </w:r>
      <w:r>
        <w:rPr>
          <w:rStyle w:val="FootnoteReference"/>
          <w:color w:val="000000"/>
        </w:rPr>
        <w:footnoteReference w:id="16"/>
      </w:r>
      <w:r>
        <w:rPr>
          <w:color w:val="000000"/>
        </w:rPr>
        <w:t xml:space="preserve"> Dipihak lain, keadilan </w:t>
      </w:r>
      <w:r>
        <w:rPr>
          <w:i/>
          <w:color w:val="000000"/>
        </w:rPr>
        <w:t>restoratif</w:t>
      </w:r>
      <w:r>
        <w:rPr>
          <w:color w:val="000000"/>
        </w:rPr>
        <w:t xml:space="preserve"> juga merupakan suatu kerangka berfikir yang baru yang dapat digunakan dalam merespon suatu tindak pidana bagi penegak dan pekerja hukum. </w:t>
      </w:r>
    </w:p>
    <w:p w:rsidR="00567E71" w:rsidRDefault="00567E71" w:rsidP="00567E71">
      <w:pPr>
        <w:spacing w:line="480" w:lineRule="auto"/>
        <w:ind w:firstLine="709"/>
        <w:jc w:val="both"/>
        <w:rPr>
          <w:color w:val="000000"/>
        </w:rPr>
      </w:pPr>
      <w:r>
        <w:rPr>
          <w:color w:val="000000"/>
        </w:rPr>
        <w:t xml:space="preserve">Dasar hukum </w:t>
      </w:r>
      <w:r>
        <w:rPr>
          <w:i/>
          <w:color w:val="000000"/>
        </w:rPr>
        <w:t>restoratif justice</w:t>
      </w:r>
      <w:r>
        <w:rPr>
          <w:color w:val="000000"/>
        </w:rPr>
        <w:t xml:space="preserve"> pada perkara tindak pidana ringan termuat dalam beberapa peraturan </w:t>
      </w:r>
      <w:proofErr w:type="gramStart"/>
      <w:r>
        <w:rPr>
          <w:color w:val="000000"/>
        </w:rPr>
        <w:t>yaitu :</w:t>
      </w:r>
      <w:proofErr w:type="gramEnd"/>
    </w:p>
    <w:p w:rsidR="00567E71" w:rsidRDefault="00567E71" w:rsidP="00737539">
      <w:pPr>
        <w:numPr>
          <w:ilvl w:val="4"/>
          <w:numId w:val="14"/>
        </w:numPr>
        <w:tabs>
          <w:tab w:val="num" w:pos="1069"/>
        </w:tabs>
        <w:ind w:left="1069"/>
        <w:jc w:val="both"/>
        <w:rPr>
          <w:color w:val="000000"/>
        </w:rPr>
      </w:pPr>
      <w:r>
        <w:rPr>
          <w:color w:val="000000"/>
        </w:rPr>
        <w:t>Pasal 310 Kitab Undang-Undang Hukum Pidana (KUHP)</w:t>
      </w:r>
    </w:p>
    <w:p w:rsidR="00567E71" w:rsidRDefault="00567E71" w:rsidP="00737539">
      <w:pPr>
        <w:numPr>
          <w:ilvl w:val="4"/>
          <w:numId w:val="14"/>
        </w:numPr>
        <w:tabs>
          <w:tab w:val="num" w:pos="1069"/>
        </w:tabs>
        <w:ind w:left="1069"/>
        <w:jc w:val="both"/>
        <w:rPr>
          <w:color w:val="000000"/>
        </w:rPr>
      </w:pPr>
      <w:r>
        <w:rPr>
          <w:color w:val="000000"/>
        </w:rPr>
        <w:t>Pasal 205 Kitab Undang-Undang Hukum Acara Pidana (KUHP)</w:t>
      </w:r>
    </w:p>
    <w:p w:rsidR="00567E71" w:rsidRDefault="00567E71" w:rsidP="00737539">
      <w:pPr>
        <w:numPr>
          <w:ilvl w:val="4"/>
          <w:numId w:val="14"/>
        </w:numPr>
        <w:tabs>
          <w:tab w:val="num" w:pos="1069"/>
        </w:tabs>
        <w:ind w:left="1069"/>
        <w:jc w:val="both"/>
        <w:rPr>
          <w:color w:val="000000"/>
        </w:rPr>
      </w:pPr>
      <w:r>
        <w:rPr>
          <w:color w:val="000000"/>
        </w:rPr>
        <w:t xml:space="preserve">Peraturan Mahkamah Agung Republik Indonesia Nomor 1 Tahun 2024 Tentang Pedoman Engadili Perkara Pidana Berdasarkan Keadilan </w:t>
      </w:r>
      <w:r>
        <w:rPr>
          <w:i/>
          <w:color w:val="000000"/>
        </w:rPr>
        <w:t>Restoratif</w:t>
      </w:r>
      <w:r>
        <w:rPr>
          <w:color w:val="000000"/>
        </w:rPr>
        <w:t>.</w:t>
      </w:r>
    </w:p>
    <w:p w:rsidR="00567E71" w:rsidRDefault="00567E71" w:rsidP="00737539">
      <w:pPr>
        <w:numPr>
          <w:ilvl w:val="4"/>
          <w:numId w:val="14"/>
        </w:numPr>
        <w:tabs>
          <w:tab w:val="num" w:pos="1069"/>
        </w:tabs>
        <w:ind w:left="1069"/>
        <w:jc w:val="both"/>
        <w:rPr>
          <w:color w:val="000000"/>
        </w:rPr>
      </w:pPr>
      <w:r>
        <w:rPr>
          <w:color w:val="000000"/>
        </w:rPr>
        <w:t>Peraturan Mahkamah Agung Republik Indonesia Nomor 2 Tahun 2012 tentang Penyesuaian Batasan Tindak Pidana Ringan dan Jumlah Denda dalam KUHP.</w:t>
      </w:r>
    </w:p>
    <w:p w:rsidR="00567E71" w:rsidRDefault="00567E71" w:rsidP="00737539">
      <w:pPr>
        <w:numPr>
          <w:ilvl w:val="4"/>
          <w:numId w:val="14"/>
        </w:numPr>
        <w:tabs>
          <w:tab w:val="num" w:pos="1069"/>
        </w:tabs>
        <w:ind w:left="1069"/>
        <w:jc w:val="both"/>
        <w:rPr>
          <w:color w:val="000000"/>
        </w:rPr>
      </w:pPr>
      <w:r>
        <w:rPr>
          <w:color w:val="000000"/>
        </w:rPr>
        <w:t xml:space="preserve">Nota Kesepakatan Bersama Ketua Mahkamah Agung, Menteri Hukum dan Hak Asasi Manusia, Jaksa Agung, Kepala Kepolisian Negara Republik Indonesia Nomor 131/KMA/SKB/X/ 2012, Nomor M.HH-07.HM.03.02 Tahun 2012, Nomor KEP-06/E/EJP/10/2012, Nomor B/39/X/2012 tentang Pelaksanaan Penerapan Penyesuaian Batasan Tindak Pidana Ringan dan Jumlah Denda, Acara Pemeriksaan Cepat Serta Penerapan </w:t>
      </w:r>
      <w:r>
        <w:rPr>
          <w:i/>
          <w:color w:val="000000"/>
        </w:rPr>
        <w:t>Restoratif justice</w:t>
      </w:r>
      <w:r>
        <w:rPr>
          <w:color w:val="000000"/>
        </w:rPr>
        <w:t>.</w:t>
      </w:r>
    </w:p>
    <w:p w:rsidR="00567E71" w:rsidRDefault="00567E71" w:rsidP="00737539">
      <w:pPr>
        <w:numPr>
          <w:ilvl w:val="4"/>
          <w:numId w:val="14"/>
        </w:numPr>
        <w:tabs>
          <w:tab w:val="num" w:pos="1069"/>
        </w:tabs>
        <w:ind w:left="1069"/>
        <w:jc w:val="both"/>
        <w:rPr>
          <w:color w:val="000000"/>
        </w:rPr>
      </w:pPr>
      <w:r>
        <w:rPr>
          <w:color w:val="000000"/>
        </w:rPr>
        <w:t xml:space="preserve">Peraturan Polri Nomor 8 Tahun 2021 Tentang Penanganan Tindak Pidana berdasarkan Keadilan </w:t>
      </w:r>
      <w:r>
        <w:rPr>
          <w:i/>
          <w:color w:val="000000"/>
        </w:rPr>
        <w:t>Restoratif</w:t>
      </w:r>
      <w:r>
        <w:rPr>
          <w:color w:val="000000"/>
        </w:rPr>
        <w:br/>
        <w:t xml:space="preserve">Peraturan Jaksa Agung Nomor 15 Tahun 2020 tentang Penghentian Penuntutan Berdasarkan Keadilan </w:t>
      </w:r>
      <w:r>
        <w:rPr>
          <w:i/>
          <w:color w:val="000000"/>
        </w:rPr>
        <w:t>Restoratif</w:t>
      </w:r>
      <w:r>
        <w:rPr>
          <w:color w:val="000000"/>
        </w:rPr>
        <w:t>.</w:t>
      </w:r>
      <w:r>
        <w:rPr>
          <w:rStyle w:val="FootnoteReference"/>
          <w:color w:val="000000"/>
        </w:rPr>
        <w:footnoteReference w:id="17"/>
      </w:r>
    </w:p>
    <w:p w:rsidR="00567E71" w:rsidRDefault="00567E71" w:rsidP="00567E71">
      <w:pPr>
        <w:ind w:left="1069"/>
        <w:jc w:val="both"/>
        <w:rPr>
          <w:color w:val="000000"/>
        </w:rPr>
      </w:pPr>
    </w:p>
    <w:p w:rsidR="00567E71" w:rsidRDefault="00567E71" w:rsidP="00567E71">
      <w:pPr>
        <w:spacing w:line="480" w:lineRule="auto"/>
        <w:ind w:firstLine="709"/>
        <w:jc w:val="both"/>
        <w:rPr>
          <w:color w:val="000000"/>
        </w:rPr>
      </w:pPr>
      <w:r>
        <w:rPr>
          <w:color w:val="000000"/>
        </w:rPr>
        <w:t xml:space="preserve">Perkara pidana yang dapat diselesaikan dengan </w:t>
      </w:r>
      <w:r>
        <w:rPr>
          <w:i/>
          <w:color w:val="000000"/>
        </w:rPr>
        <w:t>restoratif justice</w:t>
      </w:r>
      <w:r>
        <w:rPr>
          <w:color w:val="000000"/>
        </w:rPr>
        <w:t xml:space="preserve"> adalah pada perkara tindak pidana ringan sebagaimana diatur dalam Pasal 364, 373, 379, 384, 407 dan 483 KUHP. Dalam hal ini hukum yang diberikan adalah pidana penjara paling lama 3 bulan atau denda Rp 2</w:t>
      </w:r>
      <w:proofErr w:type="gramStart"/>
      <w:r>
        <w:rPr>
          <w:color w:val="000000"/>
        </w:rPr>
        <w:t>,5</w:t>
      </w:r>
      <w:proofErr w:type="gramEnd"/>
      <w:r>
        <w:rPr>
          <w:color w:val="000000"/>
        </w:rPr>
        <w:t xml:space="preserve"> juta.</w:t>
      </w:r>
    </w:p>
    <w:p w:rsidR="00567E71" w:rsidRDefault="00567E71" w:rsidP="00567E71">
      <w:pPr>
        <w:ind w:firstLine="709"/>
        <w:jc w:val="both"/>
        <w:rPr>
          <w:color w:val="000000"/>
        </w:rPr>
      </w:pPr>
    </w:p>
    <w:p w:rsidR="00567E71" w:rsidRDefault="00567E71" w:rsidP="00737539">
      <w:pPr>
        <w:numPr>
          <w:ilvl w:val="0"/>
          <w:numId w:val="15"/>
        </w:numPr>
        <w:spacing w:line="480" w:lineRule="auto"/>
        <w:ind w:left="360"/>
        <w:jc w:val="both"/>
        <w:rPr>
          <w:b/>
          <w:color w:val="000000"/>
        </w:rPr>
      </w:pPr>
      <w:bookmarkStart w:id="14" w:name="_Hlk178702591"/>
      <w:r>
        <w:rPr>
          <w:b/>
          <w:color w:val="000000"/>
        </w:rPr>
        <w:t xml:space="preserve">Asas dan Prinsip </w:t>
      </w:r>
      <w:r>
        <w:rPr>
          <w:rStyle w:val="markedcontent"/>
          <w:b/>
          <w:color w:val="000000"/>
        </w:rPr>
        <w:t xml:space="preserve">Keadilan </w:t>
      </w:r>
      <w:r>
        <w:rPr>
          <w:b/>
          <w:i/>
          <w:color w:val="000000"/>
        </w:rPr>
        <w:t>Restoratif</w:t>
      </w:r>
      <w:r>
        <w:rPr>
          <w:b/>
          <w:color w:val="000000"/>
        </w:rPr>
        <w:t xml:space="preserve"> </w:t>
      </w:r>
      <w:bookmarkEnd w:id="14"/>
    </w:p>
    <w:p w:rsidR="00567E71" w:rsidRDefault="00567E71" w:rsidP="00567E71">
      <w:pPr>
        <w:pStyle w:val="NormalWeb"/>
        <w:spacing w:before="0" w:beforeAutospacing="0" w:after="0" w:afterAutospacing="0" w:line="456" w:lineRule="auto"/>
        <w:ind w:firstLine="720"/>
        <w:jc w:val="both"/>
        <w:rPr>
          <w:color w:val="000000"/>
        </w:rPr>
      </w:pPr>
      <w:r>
        <w:rPr>
          <w:color w:val="000000"/>
        </w:rPr>
        <w:lastRenderedPageBreak/>
        <w:t xml:space="preserve">Menurut Pasal 2 ayat (1) Peraturan Mahkamah Agung Republik Indonesia Nomor 1 Tahun 2024 Tentang Pedoman Mengadili Perkara Pidana Berdasarkan Keadilan </w:t>
      </w:r>
      <w:r>
        <w:rPr>
          <w:i/>
          <w:color w:val="000000"/>
        </w:rPr>
        <w:t>Restoratif</w:t>
      </w:r>
      <w:r>
        <w:rPr>
          <w:color w:val="000000"/>
        </w:rPr>
        <w:t xml:space="preserve"> bahwa hakim mengadili perkara pidana dengan Keadilan </w:t>
      </w:r>
      <w:r>
        <w:rPr>
          <w:i/>
          <w:color w:val="000000"/>
        </w:rPr>
        <w:t>Restoratif</w:t>
      </w:r>
      <w:r>
        <w:rPr>
          <w:color w:val="000000"/>
        </w:rPr>
        <w:t xml:space="preserve"> dilaksanakan berdasarkan asas: </w:t>
      </w:r>
    </w:p>
    <w:p w:rsidR="00567E71" w:rsidRDefault="00567E71" w:rsidP="00737539">
      <w:pPr>
        <w:pStyle w:val="Default"/>
        <w:numPr>
          <w:ilvl w:val="6"/>
          <w:numId w:val="14"/>
        </w:numPr>
        <w:tabs>
          <w:tab w:val="num" w:pos="360"/>
        </w:tabs>
        <w:spacing w:after="28" w:line="456" w:lineRule="auto"/>
        <w:ind w:left="360"/>
        <w:rPr>
          <w:rFonts w:ascii="Times New Roman" w:hAnsi="Times New Roman" w:cs="Times New Roman"/>
        </w:rPr>
      </w:pPr>
      <w:r>
        <w:rPr>
          <w:rFonts w:ascii="Times New Roman" w:hAnsi="Times New Roman" w:cs="Times New Roman"/>
        </w:rPr>
        <w:t xml:space="preserve">Pemulihan keadaan; </w:t>
      </w:r>
    </w:p>
    <w:p w:rsidR="00567E71" w:rsidRDefault="00567E71" w:rsidP="00737539">
      <w:pPr>
        <w:pStyle w:val="Default"/>
        <w:numPr>
          <w:ilvl w:val="6"/>
          <w:numId w:val="14"/>
        </w:numPr>
        <w:tabs>
          <w:tab w:val="num" w:pos="360"/>
        </w:tabs>
        <w:spacing w:after="28" w:line="456" w:lineRule="auto"/>
        <w:ind w:left="360"/>
        <w:rPr>
          <w:rFonts w:ascii="Times New Roman" w:hAnsi="Times New Roman" w:cs="Times New Roman"/>
        </w:rPr>
      </w:pPr>
      <w:r>
        <w:rPr>
          <w:rFonts w:ascii="Times New Roman" w:hAnsi="Times New Roman" w:cs="Times New Roman"/>
        </w:rPr>
        <w:t xml:space="preserve">Penguatan hak, kebutuhan dan kepentingan Korban; </w:t>
      </w:r>
    </w:p>
    <w:p w:rsidR="00567E71" w:rsidRDefault="00567E71" w:rsidP="00737539">
      <w:pPr>
        <w:pStyle w:val="Default"/>
        <w:numPr>
          <w:ilvl w:val="6"/>
          <w:numId w:val="14"/>
        </w:numPr>
        <w:tabs>
          <w:tab w:val="num" w:pos="360"/>
        </w:tabs>
        <w:spacing w:after="28" w:line="456" w:lineRule="auto"/>
        <w:ind w:left="360"/>
        <w:rPr>
          <w:rFonts w:ascii="Times New Roman" w:hAnsi="Times New Roman" w:cs="Times New Roman"/>
        </w:rPr>
      </w:pPr>
      <w:r>
        <w:rPr>
          <w:rFonts w:ascii="Times New Roman" w:hAnsi="Times New Roman" w:cs="Times New Roman"/>
        </w:rPr>
        <w:t xml:space="preserve">Tanggung jawab Terdakwa; </w:t>
      </w:r>
    </w:p>
    <w:p w:rsidR="00567E71" w:rsidRDefault="00567E71" w:rsidP="00737539">
      <w:pPr>
        <w:pStyle w:val="Default"/>
        <w:numPr>
          <w:ilvl w:val="6"/>
          <w:numId w:val="14"/>
        </w:numPr>
        <w:tabs>
          <w:tab w:val="num" w:pos="360"/>
        </w:tabs>
        <w:spacing w:after="28" w:line="456" w:lineRule="auto"/>
        <w:ind w:left="360"/>
        <w:rPr>
          <w:rFonts w:ascii="Times New Roman" w:hAnsi="Times New Roman" w:cs="Times New Roman"/>
        </w:rPr>
      </w:pPr>
      <w:r>
        <w:rPr>
          <w:rFonts w:ascii="Times New Roman" w:hAnsi="Times New Roman" w:cs="Times New Roman"/>
        </w:rPr>
        <w:t xml:space="preserve">Pidana sebagai upaya terakhir; </w:t>
      </w:r>
    </w:p>
    <w:p w:rsidR="00567E71" w:rsidRDefault="00567E71" w:rsidP="00737539">
      <w:pPr>
        <w:pStyle w:val="Default"/>
        <w:numPr>
          <w:ilvl w:val="6"/>
          <w:numId w:val="14"/>
        </w:numPr>
        <w:tabs>
          <w:tab w:val="num" w:pos="360"/>
        </w:tabs>
        <w:spacing w:after="28" w:line="456" w:lineRule="auto"/>
        <w:ind w:left="360"/>
        <w:rPr>
          <w:rFonts w:ascii="Times New Roman" w:hAnsi="Times New Roman" w:cs="Times New Roman"/>
        </w:rPr>
      </w:pPr>
      <w:r>
        <w:rPr>
          <w:rFonts w:ascii="Times New Roman" w:hAnsi="Times New Roman" w:cs="Times New Roman"/>
        </w:rPr>
        <w:t xml:space="preserve">Konsensualitas; </w:t>
      </w:r>
    </w:p>
    <w:p w:rsidR="00567E71" w:rsidRDefault="00567E71" w:rsidP="00737539">
      <w:pPr>
        <w:pStyle w:val="Default"/>
        <w:numPr>
          <w:ilvl w:val="6"/>
          <w:numId w:val="14"/>
        </w:numPr>
        <w:tabs>
          <w:tab w:val="num" w:pos="360"/>
        </w:tabs>
        <w:spacing w:after="28" w:line="456" w:lineRule="auto"/>
        <w:ind w:left="360"/>
        <w:rPr>
          <w:rFonts w:ascii="Times New Roman" w:hAnsi="Times New Roman" w:cs="Times New Roman"/>
        </w:rPr>
      </w:pPr>
      <w:r>
        <w:rPr>
          <w:rFonts w:ascii="Times New Roman" w:hAnsi="Times New Roman" w:cs="Times New Roman"/>
        </w:rPr>
        <w:t xml:space="preserve">Transparansi dan akuntabilitas. </w:t>
      </w:r>
    </w:p>
    <w:p w:rsidR="00567E71" w:rsidRDefault="00567E71" w:rsidP="00567E71">
      <w:pPr>
        <w:pStyle w:val="NormalWeb"/>
        <w:spacing w:before="0" w:beforeAutospacing="0" w:after="0" w:afterAutospacing="0" w:line="456" w:lineRule="auto"/>
        <w:ind w:firstLine="720"/>
        <w:jc w:val="both"/>
        <w:rPr>
          <w:color w:val="000000"/>
        </w:rPr>
      </w:pPr>
      <w:r>
        <w:rPr>
          <w:color w:val="000000"/>
        </w:rPr>
        <w:t xml:space="preserve">Konsep </w:t>
      </w:r>
      <w:r>
        <w:rPr>
          <w:i/>
          <w:color w:val="000000"/>
        </w:rPr>
        <w:t>Restoratif justice</w:t>
      </w:r>
      <w:r>
        <w:rPr>
          <w:color w:val="000000"/>
        </w:rPr>
        <w:t xml:space="preserve"> telah muncul lebih dari dua puluh tahun yang lalu sebagai alternatif penyelesaian perkara pidana. Kelompok Kerja Peradilan Anak Perserikatan Bangsa-Bangsa (PBB) mendefinisikan </w:t>
      </w:r>
      <w:r>
        <w:rPr>
          <w:i/>
          <w:color w:val="000000"/>
        </w:rPr>
        <w:t>Restoratif justice</w:t>
      </w:r>
      <w:r>
        <w:rPr>
          <w:color w:val="000000"/>
        </w:rPr>
        <w:t xml:space="preserve"> sebagai suatu proses semua pihak yang berhubungan dengan tindak pidana tertentu duduk bersama-sama untuk memecahkan masalah dan memikirkan bagaimana mengatasi akibat pada masa yang </w:t>
      </w:r>
      <w:proofErr w:type="gramStart"/>
      <w:r>
        <w:rPr>
          <w:color w:val="000000"/>
        </w:rPr>
        <w:t>akan</w:t>
      </w:r>
      <w:proofErr w:type="gramEnd"/>
      <w:r>
        <w:rPr>
          <w:color w:val="000000"/>
        </w:rPr>
        <w:t xml:space="preserve"> datang.</w:t>
      </w:r>
      <w:r>
        <w:rPr>
          <w:rStyle w:val="FootnoteReference"/>
          <w:color w:val="000000"/>
        </w:rPr>
        <w:footnoteReference w:id="18"/>
      </w:r>
      <w:r>
        <w:rPr>
          <w:color w:val="000000"/>
        </w:rPr>
        <w:t xml:space="preserve"> </w:t>
      </w:r>
    </w:p>
    <w:p w:rsidR="00567E71" w:rsidRDefault="00567E71" w:rsidP="00567E71">
      <w:pPr>
        <w:pStyle w:val="NormalWeb"/>
        <w:spacing w:before="0" w:beforeAutospacing="0" w:after="0" w:afterAutospacing="0" w:line="456" w:lineRule="auto"/>
        <w:ind w:firstLine="720"/>
        <w:jc w:val="both"/>
        <w:rPr>
          <w:color w:val="000000"/>
        </w:rPr>
      </w:pPr>
      <w:r>
        <w:rPr>
          <w:color w:val="000000"/>
        </w:rPr>
        <w:t xml:space="preserve">Model </w:t>
      </w:r>
      <w:r>
        <w:rPr>
          <w:i/>
          <w:color w:val="000000"/>
        </w:rPr>
        <w:t>Restoratif justice</w:t>
      </w:r>
      <w:r>
        <w:rPr>
          <w:color w:val="000000"/>
        </w:rPr>
        <w:t xml:space="preserve"> juga berlandaskan dengan </w:t>
      </w:r>
      <w:r>
        <w:rPr>
          <w:i/>
          <w:color w:val="000000"/>
        </w:rPr>
        <w:t>due process</w:t>
      </w:r>
      <w:r>
        <w:rPr>
          <w:color w:val="000000"/>
        </w:rPr>
        <w:t xml:space="preserve"> model bekerjanya sistem peradilan pidana, yang sangat menghormati hak hak hukum setiap tersangka seperti, hak untuk diduga dan diperlakukannnya sebagai orang yang tidak bersalah jika pengadilan belum memvonisnya bersalah, hak untuk membela diri dan hak untuk mendapatkan hukuman yang proposional dengan pelanggaran yang telah dilakukan.</w:t>
      </w:r>
      <w:r>
        <w:rPr>
          <w:rStyle w:val="FootnoteReference"/>
          <w:color w:val="000000"/>
        </w:rPr>
        <w:footnoteReference w:id="19"/>
      </w:r>
    </w:p>
    <w:p w:rsidR="00567E71" w:rsidRDefault="00567E71" w:rsidP="00567E71">
      <w:pPr>
        <w:pStyle w:val="NormalWeb"/>
        <w:spacing w:before="0" w:beforeAutospacing="0" w:after="0" w:afterAutospacing="0" w:line="480" w:lineRule="auto"/>
        <w:ind w:firstLine="709"/>
        <w:jc w:val="both"/>
        <w:rPr>
          <w:color w:val="000000"/>
        </w:rPr>
      </w:pPr>
      <w:r>
        <w:rPr>
          <w:color w:val="000000"/>
        </w:rPr>
        <w:lastRenderedPageBreak/>
        <w:t xml:space="preserve">Keberadaan gerakan keadilan </w:t>
      </w:r>
      <w:r>
        <w:rPr>
          <w:i/>
          <w:color w:val="000000"/>
        </w:rPr>
        <w:t>restoratif</w:t>
      </w:r>
      <w:r>
        <w:rPr>
          <w:color w:val="000000"/>
        </w:rPr>
        <w:t xml:space="preserve"> juga dikritik terutama oleh mereka yang berada dalam </w:t>
      </w:r>
      <w:r>
        <w:rPr>
          <w:i/>
          <w:iCs/>
          <w:color w:val="000000"/>
        </w:rPr>
        <w:t>status quo</w:t>
      </w:r>
      <w:r>
        <w:rPr>
          <w:color w:val="000000"/>
        </w:rPr>
        <w:t xml:space="preserve"> yang berorientasi pada pendekatan keadilan retributif atas dasar hal-hal sebagai </w:t>
      </w:r>
      <w:proofErr w:type="gramStart"/>
      <w:r>
        <w:rPr>
          <w:color w:val="000000"/>
        </w:rPr>
        <w:t>berikut :</w:t>
      </w:r>
      <w:proofErr w:type="gramEnd"/>
    </w:p>
    <w:p w:rsidR="00567E71" w:rsidRDefault="00567E71" w:rsidP="00737539">
      <w:pPr>
        <w:pStyle w:val="NormalWeb"/>
        <w:numPr>
          <w:ilvl w:val="0"/>
          <w:numId w:val="16"/>
        </w:numPr>
        <w:tabs>
          <w:tab w:val="left" w:pos="1134"/>
        </w:tabs>
        <w:spacing w:before="0" w:beforeAutospacing="0" w:after="0" w:afterAutospacing="0"/>
        <w:ind w:left="1134" w:hanging="425"/>
        <w:jc w:val="both"/>
        <w:rPr>
          <w:color w:val="000000"/>
        </w:rPr>
      </w:pPr>
      <w:r>
        <w:rPr>
          <w:color w:val="000000"/>
        </w:rPr>
        <w:t xml:space="preserve">Keadilan </w:t>
      </w:r>
      <w:r>
        <w:rPr>
          <w:i/>
          <w:color w:val="000000"/>
        </w:rPr>
        <w:t>restoratif</w:t>
      </w:r>
      <w:r>
        <w:rPr>
          <w:color w:val="000000"/>
        </w:rPr>
        <w:t xml:space="preserve"> terlalu menitikberatkan pada rehabilitasi; </w:t>
      </w:r>
    </w:p>
    <w:p w:rsidR="00567E71" w:rsidRDefault="00567E71" w:rsidP="00737539">
      <w:pPr>
        <w:pStyle w:val="NormalWeb"/>
        <w:numPr>
          <w:ilvl w:val="0"/>
          <w:numId w:val="16"/>
        </w:numPr>
        <w:tabs>
          <w:tab w:val="left" w:pos="1134"/>
        </w:tabs>
        <w:spacing w:before="0" w:beforeAutospacing="0" w:after="0" w:afterAutospacing="0"/>
        <w:ind w:left="1134" w:hanging="425"/>
        <w:jc w:val="both"/>
        <w:rPr>
          <w:color w:val="000000"/>
        </w:rPr>
      </w:pPr>
      <w:r>
        <w:rPr>
          <w:color w:val="000000"/>
        </w:rPr>
        <w:t xml:space="preserve">Keadilan </w:t>
      </w:r>
      <w:r>
        <w:rPr>
          <w:i/>
          <w:color w:val="000000"/>
        </w:rPr>
        <w:t>restoratif</w:t>
      </w:r>
      <w:r>
        <w:rPr>
          <w:color w:val="000000"/>
        </w:rPr>
        <w:t xml:space="preserve"> memaafkan kekerasan, terutama terhadap korban perempuan dan anak-anak; perlindungan hukum melalui pendayagunaan forum privat dan tehnik kooptasi terhadap peserta; </w:t>
      </w:r>
    </w:p>
    <w:p w:rsidR="00567E71" w:rsidRDefault="00567E71" w:rsidP="00737539">
      <w:pPr>
        <w:pStyle w:val="NormalWeb"/>
        <w:numPr>
          <w:ilvl w:val="0"/>
          <w:numId w:val="16"/>
        </w:numPr>
        <w:tabs>
          <w:tab w:val="left" w:pos="1134"/>
        </w:tabs>
        <w:spacing w:before="0" w:beforeAutospacing="0" w:after="0" w:afterAutospacing="0"/>
        <w:ind w:left="1134" w:hanging="425"/>
        <w:jc w:val="both"/>
        <w:rPr>
          <w:color w:val="000000"/>
        </w:rPr>
      </w:pPr>
      <w:r>
        <w:rPr>
          <w:color w:val="000000"/>
        </w:rPr>
        <w:t>Terlalu lunak terhadap kejahatan dan mengesampingkan semangat publik untuk pembalasan;</w:t>
      </w:r>
    </w:p>
    <w:p w:rsidR="00567E71" w:rsidRDefault="00567E71" w:rsidP="00737539">
      <w:pPr>
        <w:pStyle w:val="NormalWeb"/>
        <w:numPr>
          <w:ilvl w:val="0"/>
          <w:numId w:val="16"/>
        </w:numPr>
        <w:tabs>
          <w:tab w:val="left" w:pos="1134"/>
        </w:tabs>
        <w:spacing w:before="0" w:beforeAutospacing="0" w:after="0" w:afterAutospacing="0"/>
        <w:ind w:left="1134" w:hanging="425"/>
        <w:jc w:val="both"/>
        <w:rPr>
          <w:color w:val="000000"/>
        </w:rPr>
      </w:pPr>
      <w:r>
        <w:rPr>
          <w:color w:val="000000"/>
        </w:rPr>
        <w:t xml:space="preserve">Merusak standar tradisional tentang pertimbangan hukum melalui keadilan masyarakat dan pernilaian informal; </w:t>
      </w:r>
    </w:p>
    <w:p w:rsidR="00567E71" w:rsidRDefault="00567E71" w:rsidP="00737539">
      <w:pPr>
        <w:pStyle w:val="NormalWeb"/>
        <w:numPr>
          <w:ilvl w:val="0"/>
          <w:numId w:val="16"/>
        </w:numPr>
        <w:tabs>
          <w:tab w:val="left" w:pos="1134"/>
        </w:tabs>
        <w:spacing w:before="0" w:beforeAutospacing="0" w:after="0" w:afterAutospacing="0"/>
        <w:ind w:left="1134" w:hanging="425"/>
        <w:jc w:val="both"/>
        <w:rPr>
          <w:color w:val="000000"/>
        </w:rPr>
      </w:pPr>
      <w:r>
        <w:rPr>
          <w:color w:val="000000"/>
        </w:rPr>
        <w:t xml:space="preserve">Bertentangan dengan aspirasi hukum atas dasar perlakuan yang </w:t>
      </w:r>
      <w:proofErr w:type="gramStart"/>
      <w:r>
        <w:rPr>
          <w:color w:val="000000"/>
        </w:rPr>
        <w:t>sama</w:t>
      </w:r>
      <w:proofErr w:type="gramEnd"/>
      <w:r>
        <w:rPr>
          <w:color w:val="000000"/>
        </w:rPr>
        <w:t xml:space="preserve"> terhadap kasus yang sama dan kepastian serta konsistensi hasil yang bervariasi melalui proses keadilan </w:t>
      </w:r>
      <w:r>
        <w:rPr>
          <w:i/>
          <w:color w:val="000000"/>
        </w:rPr>
        <w:t>restoratif</w:t>
      </w:r>
      <w:r>
        <w:rPr>
          <w:color w:val="000000"/>
        </w:rPr>
        <w:t>.</w:t>
      </w:r>
      <w:r>
        <w:rPr>
          <w:rStyle w:val="FootnoteReference"/>
          <w:color w:val="000000"/>
        </w:rPr>
        <w:footnoteReference w:id="20"/>
      </w:r>
    </w:p>
    <w:p w:rsidR="00567E71" w:rsidRDefault="00567E71" w:rsidP="00567E71">
      <w:pPr>
        <w:pStyle w:val="NormalWeb"/>
        <w:spacing w:before="0" w:beforeAutospacing="0" w:after="0" w:afterAutospacing="0"/>
        <w:ind w:left="1080"/>
        <w:jc w:val="both"/>
        <w:rPr>
          <w:color w:val="000000"/>
        </w:rPr>
      </w:pPr>
    </w:p>
    <w:p w:rsidR="00567E71" w:rsidRDefault="00567E71" w:rsidP="00567E71">
      <w:pPr>
        <w:autoSpaceDE w:val="0"/>
        <w:autoSpaceDN w:val="0"/>
        <w:adjustRightInd w:val="0"/>
        <w:spacing w:line="480" w:lineRule="auto"/>
        <w:ind w:firstLine="709"/>
        <w:jc w:val="both"/>
        <w:rPr>
          <w:color w:val="000000"/>
        </w:rPr>
      </w:pPr>
      <w:r>
        <w:rPr>
          <w:color w:val="000000"/>
        </w:rPr>
        <w:t xml:space="preserve">Susan Sharpe sebagaimana dikutip Marlina mengemukakan prinsip kunci dari </w:t>
      </w:r>
      <w:r>
        <w:rPr>
          <w:i/>
          <w:iCs/>
          <w:color w:val="000000"/>
        </w:rPr>
        <w:t>restoratif justice</w:t>
      </w:r>
      <w:r>
        <w:rPr>
          <w:color w:val="000000"/>
        </w:rPr>
        <w:t xml:space="preserve">, </w:t>
      </w:r>
      <w:proofErr w:type="gramStart"/>
      <w:r>
        <w:rPr>
          <w:color w:val="000000"/>
        </w:rPr>
        <w:t>yaitu :</w:t>
      </w:r>
      <w:proofErr w:type="gramEnd"/>
      <w:r>
        <w:rPr>
          <w:color w:val="000000"/>
        </w:rPr>
        <w:t xml:space="preserve"> </w:t>
      </w:r>
    </w:p>
    <w:p w:rsidR="00567E71" w:rsidRDefault="00567E71" w:rsidP="00737539">
      <w:pPr>
        <w:numPr>
          <w:ilvl w:val="6"/>
          <w:numId w:val="17"/>
        </w:numPr>
        <w:tabs>
          <w:tab w:val="left" w:pos="1134"/>
        </w:tabs>
        <w:autoSpaceDE w:val="0"/>
        <w:autoSpaceDN w:val="0"/>
        <w:adjustRightInd w:val="0"/>
        <w:spacing w:line="216" w:lineRule="auto"/>
        <w:ind w:left="1134" w:hanging="414"/>
        <w:jc w:val="both"/>
        <w:rPr>
          <w:color w:val="000000"/>
        </w:rPr>
      </w:pPr>
      <w:r>
        <w:rPr>
          <w:i/>
          <w:iCs/>
          <w:color w:val="000000"/>
        </w:rPr>
        <w:t>Restoratif justice invites full participation and consensus</w:t>
      </w:r>
      <w:r>
        <w:rPr>
          <w:iCs/>
          <w:color w:val="000000"/>
        </w:rPr>
        <w:t xml:space="preserve"> (mengandung partisipasi penuh dan consensus).</w:t>
      </w:r>
    </w:p>
    <w:p w:rsidR="00567E71" w:rsidRDefault="00567E71" w:rsidP="00737539">
      <w:pPr>
        <w:numPr>
          <w:ilvl w:val="6"/>
          <w:numId w:val="17"/>
        </w:numPr>
        <w:tabs>
          <w:tab w:val="left" w:pos="1134"/>
        </w:tabs>
        <w:autoSpaceDE w:val="0"/>
        <w:autoSpaceDN w:val="0"/>
        <w:adjustRightInd w:val="0"/>
        <w:spacing w:line="216" w:lineRule="auto"/>
        <w:ind w:left="1134" w:hanging="425"/>
        <w:jc w:val="both"/>
        <w:rPr>
          <w:color w:val="000000"/>
        </w:rPr>
      </w:pPr>
      <w:r>
        <w:rPr>
          <w:i/>
          <w:iCs/>
          <w:color w:val="000000"/>
        </w:rPr>
        <w:t xml:space="preserve">Restoratif justice seeks to heat what is broken </w:t>
      </w:r>
      <w:r>
        <w:rPr>
          <w:color w:val="000000"/>
        </w:rPr>
        <w:t>(berusaha meyembuhkan kerusakan/kerugian yang ada akibat terjadinya tindakan kejahatan)</w:t>
      </w:r>
    </w:p>
    <w:p w:rsidR="00567E71" w:rsidRDefault="00567E71" w:rsidP="00737539">
      <w:pPr>
        <w:numPr>
          <w:ilvl w:val="6"/>
          <w:numId w:val="17"/>
        </w:numPr>
        <w:tabs>
          <w:tab w:val="left" w:pos="1134"/>
        </w:tabs>
        <w:autoSpaceDE w:val="0"/>
        <w:autoSpaceDN w:val="0"/>
        <w:adjustRightInd w:val="0"/>
        <w:spacing w:line="216" w:lineRule="auto"/>
        <w:ind w:left="1134" w:hanging="425"/>
        <w:jc w:val="both"/>
        <w:rPr>
          <w:color w:val="000000"/>
        </w:rPr>
      </w:pPr>
      <w:r>
        <w:rPr>
          <w:i/>
          <w:iCs/>
          <w:color w:val="000000"/>
        </w:rPr>
        <w:t xml:space="preserve">Restoratif justice seeks full and direct accountability </w:t>
      </w:r>
      <w:r>
        <w:rPr>
          <w:color w:val="000000"/>
        </w:rPr>
        <w:t>(</w:t>
      </w:r>
      <w:r>
        <w:rPr>
          <w:i/>
          <w:iCs/>
          <w:color w:val="000000"/>
        </w:rPr>
        <w:t xml:space="preserve">restoratif justice </w:t>
      </w:r>
      <w:r>
        <w:rPr>
          <w:color w:val="000000"/>
        </w:rPr>
        <w:t>memberikan pertanggungjawaban langsung dari pelaku secara utuh).</w:t>
      </w:r>
    </w:p>
    <w:p w:rsidR="00567E71" w:rsidRDefault="00567E71" w:rsidP="00737539">
      <w:pPr>
        <w:numPr>
          <w:ilvl w:val="6"/>
          <w:numId w:val="17"/>
        </w:numPr>
        <w:tabs>
          <w:tab w:val="left" w:pos="1134"/>
        </w:tabs>
        <w:autoSpaceDE w:val="0"/>
        <w:autoSpaceDN w:val="0"/>
        <w:adjustRightInd w:val="0"/>
        <w:spacing w:line="216" w:lineRule="auto"/>
        <w:ind w:left="1134" w:hanging="425"/>
        <w:jc w:val="both"/>
        <w:rPr>
          <w:color w:val="000000"/>
        </w:rPr>
      </w:pPr>
      <w:r>
        <w:rPr>
          <w:i/>
          <w:iCs/>
          <w:color w:val="000000"/>
        </w:rPr>
        <w:t xml:space="preserve">Restoratif justice seeks full and direct accountability </w:t>
      </w:r>
      <w:r>
        <w:rPr>
          <w:color w:val="000000"/>
        </w:rPr>
        <w:t>(</w:t>
      </w:r>
      <w:r>
        <w:rPr>
          <w:i/>
          <w:iCs/>
          <w:color w:val="000000"/>
        </w:rPr>
        <w:t xml:space="preserve">restoratif justice </w:t>
      </w:r>
      <w:r>
        <w:rPr>
          <w:color w:val="000000"/>
        </w:rPr>
        <w:t>memberikan pertanggungjawaban langsung dari pelaku secara utuh)</w:t>
      </w:r>
    </w:p>
    <w:p w:rsidR="00567E71" w:rsidRDefault="00567E71" w:rsidP="00737539">
      <w:pPr>
        <w:numPr>
          <w:ilvl w:val="6"/>
          <w:numId w:val="17"/>
        </w:numPr>
        <w:tabs>
          <w:tab w:val="left" w:pos="1134"/>
        </w:tabs>
        <w:autoSpaceDE w:val="0"/>
        <w:autoSpaceDN w:val="0"/>
        <w:adjustRightInd w:val="0"/>
        <w:spacing w:line="216" w:lineRule="auto"/>
        <w:ind w:left="1134" w:hanging="425"/>
        <w:jc w:val="both"/>
        <w:rPr>
          <w:color w:val="000000"/>
        </w:rPr>
      </w:pPr>
      <w:r>
        <w:rPr>
          <w:i/>
          <w:iCs/>
          <w:color w:val="000000"/>
        </w:rPr>
        <w:t xml:space="preserve">Restoratif justice seeks to recinite what has been devided </w:t>
      </w:r>
      <w:r>
        <w:rPr>
          <w:color w:val="000000"/>
        </w:rPr>
        <w:t>(</w:t>
      </w:r>
      <w:r>
        <w:rPr>
          <w:i/>
          <w:iCs/>
          <w:color w:val="000000"/>
        </w:rPr>
        <w:t xml:space="preserve">restoratif justice </w:t>
      </w:r>
      <w:r>
        <w:rPr>
          <w:color w:val="000000"/>
        </w:rPr>
        <w:t>mencarikan penyatuan kembali kepada warga masyarakat yang telah terpisah atau terpecah karena tindakan kriminal).</w:t>
      </w:r>
    </w:p>
    <w:p w:rsidR="00567E71" w:rsidRDefault="00567E71" w:rsidP="00737539">
      <w:pPr>
        <w:numPr>
          <w:ilvl w:val="6"/>
          <w:numId w:val="17"/>
        </w:numPr>
        <w:tabs>
          <w:tab w:val="left" w:pos="1134"/>
        </w:tabs>
        <w:autoSpaceDE w:val="0"/>
        <w:autoSpaceDN w:val="0"/>
        <w:adjustRightInd w:val="0"/>
        <w:spacing w:line="216" w:lineRule="auto"/>
        <w:ind w:left="1134" w:hanging="425"/>
        <w:jc w:val="both"/>
        <w:rPr>
          <w:color w:val="000000"/>
        </w:rPr>
      </w:pPr>
      <w:r>
        <w:rPr>
          <w:i/>
          <w:iCs/>
          <w:color w:val="000000"/>
        </w:rPr>
        <w:t xml:space="preserve">Restoratif justice seeks full and direct accountability </w:t>
      </w:r>
      <w:r>
        <w:rPr>
          <w:color w:val="000000"/>
        </w:rPr>
        <w:t>(</w:t>
      </w:r>
      <w:r>
        <w:rPr>
          <w:i/>
          <w:iCs/>
          <w:color w:val="000000"/>
        </w:rPr>
        <w:t>restoratif justice (</w:t>
      </w:r>
      <w:r>
        <w:rPr>
          <w:color w:val="000000"/>
        </w:rPr>
        <w:t>(</w:t>
      </w:r>
      <w:r>
        <w:rPr>
          <w:i/>
          <w:iCs/>
          <w:color w:val="000000"/>
        </w:rPr>
        <w:t xml:space="preserve">restoratif justice </w:t>
      </w:r>
      <w:r>
        <w:rPr>
          <w:color w:val="000000"/>
        </w:rPr>
        <w:t>memberikan pertanggungjawaban langsung dari pelaku secara utuh).</w:t>
      </w:r>
    </w:p>
    <w:p w:rsidR="00567E71" w:rsidRDefault="00567E71" w:rsidP="00737539">
      <w:pPr>
        <w:numPr>
          <w:ilvl w:val="6"/>
          <w:numId w:val="17"/>
        </w:numPr>
        <w:tabs>
          <w:tab w:val="left" w:pos="1134"/>
        </w:tabs>
        <w:autoSpaceDE w:val="0"/>
        <w:autoSpaceDN w:val="0"/>
        <w:adjustRightInd w:val="0"/>
        <w:spacing w:line="216" w:lineRule="auto"/>
        <w:ind w:left="1134" w:hanging="425"/>
        <w:jc w:val="both"/>
        <w:rPr>
          <w:color w:val="000000"/>
        </w:rPr>
      </w:pPr>
      <w:r>
        <w:rPr>
          <w:i/>
          <w:iCs/>
          <w:color w:val="000000"/>
        </w:rPr>
        <w:t xml:space="preserve">Restoratif justice seeks to recinite what has been devided </w:t>
      </w:r>
      <w:r>
        <w:rPr>
          <w:color w:val="000000"/>
        </w:rPr>
        <w:t>(</w:t>
      </w:r>
      <w:r>
        <w:rPr>
          <w:i/>
          <w:iCs/>
          <w:color w:val="000000"/>
        </w:rPr>
        <w:t xml:space="preserve">restoratif justice </w:t>
      </w:r>
      <w:r>
        <w:rPr>
          <w:color w:val="000000"/>
        </w:rPr>
        <w:t>mencarikan penyatuan kembali kepada warga masyarakat yang telah terpisah atau terpecah karena tindakan kriminal).</w:t>
      </w:r>
      <w:r>
        <w:rPr>
          <w:rStyle w:val="FootnoteReference"/>
          <w:color w:val="000000"/>
        </w:rPr>
        <w:t xml:space="preserve"> </w:t>
      </w:r>
      <w:r>
        <w:rPr>
          <w:rStyle w:val="FootnoteReference"/>
          <w:color w:val="000000"/>
        </w:rPr>
        <w:footnoteReference w:id="21"/>
      </w:r>
    </w:p>
    <w:p w:rsidR="00567E71" w:rsidRDefault="00567E71" w:rsidP="00567E71">
      <w:pPr>
        <w:tabs>
          <w:tab w:val="left" w:pos="993"/>
        </w:tabs>
        <w:autoSpaceDE w:val="0"/>
        <w:autoSpaceDN w:val="0"/>
        <w:adjustRightInd w:val="0"/>
        <w:ind w:left="993"/>
        <w:jc w:val="both"/>
        <w:rPr>
          <w:color w:val="000000"/>
        </w:rPr>
      </w:pPr>
    </w:p>
    <w:p w:rsidR="00567E71" w:rsidRDefault="00567E71" w:rsidP="00567E71">
      <w:pPr>
        <w:autoSpaceDE w:val="0"/>
        <w:autoSpaceDN w:val="0"/>
        <w:adjustRightInd w:val="0"/>
        <w:spacing w:line="504" w:lineRule="auto"/>
        <w:ind w:firstLine="709"/>
        <w:jc w:val="both"/>
        <w:rPr>
          <w:color w:val="000000"/>
        </w:rPr>
      </w:pPr>
      <w:r>
        <w:rPr>
          <w:color w:val="000000"/>
        </w:rPr>
        <w:lastRenderedPageBreak/>
        <w:t xml:space="preserve">Asas-asas atau beberapa prinsip yang berkaitan dengan konsep </w:t>
      </w:r>
      <w:r>
        <w:rPr>
          <w:i/>
          <w:iCs/>
          <w:color w:val="000000"/>
        </w:rPr>
        <w:t xml:space="preserve">restoratif justice </w:t>
      </w:r>
      <w:r>
        <w:rPr>
          <w:color w:val="000000"/>
        </w:rPr>
        <w:t xml:space="preserve">yang termuat dalam </w:t>
      </w:r>
      <w:r>
        <w:rPr>
          <w:i/>
          <w:iCs/>
          <w:color w:val="000000"/>
        </w:rPr>
        <w:t>draft Declaration of Basic Principles on The Use of Restoratif justice Programmer in Criminal Matters</w:t>
      </w:r>
      <w:r>
        <w:rPr>
          <w:color w:val="000000"/>
        </w:rPr>
        <w:t xml:space="preserve">, antara lain  : </w:t>
      </w:r>
    </w:p>
    <w:p w:rsidR="00567E71" w:rsidRDefault="00567E71" w:rsidP="00737539">
      <w:pPr>
        <w:numPr>
          <w:ilvl w:val="5"/>
          <w:numId w:val="4"/>
        </w:numPr>
        <w:tabs>
          <w:tab w:val="num" w:pos="1080"/>
        </w:tabs>
        <w:autoSpaceDE w:val="0"/>
        <w:autoSpaceDN w:val="0"/>
        <w:adjustRightInd w:val="0"/>
        <w:ind w:left="1080"/>
        <w:jc w:val="both"/>
        <w:rPr>
          <w:color w:val="000000"/>
        </w:rPr>
      </w:pPr>
      <w:r>
        <w:rPr>
          <w:color w:val="000000"/>
        </w:rPr>
        <w:t xml:space="preserve">Program </w:t>
      </w:r>
      <w:r>
        <w:rPr>
          <w:i/>
          <w:iCs/>
          <w:color w:val="000000"/>
        </w:rPr>
        <w:t xml:space="preserve">restoratif justice </w:t>
      </w:r>
      <w:r>
        <w:rPr>
          <w:color w:val="000000"/>
        </w:rPr>
        <w:t xml:space="preserve">berarti beberapa program yang menggunakan </w:t>
      </w:r>
      <w:proofErr w:type="gramStart"/>
      <w:r>
        <w:rPr>
          <w:color w:val="000000"/>
        </w:rPr>
        <w:t xml:space="preserve">proses  </w:t>
      </w:r>
      <w:r>
        <w:rPr>
          <w:i/>
          <w:iCs/>
          <w:color w:val="000000"/>
        </w:rPr>
        <w:t>restoratif</w:t>
      </w:r>
      <w:proofErr w:type="gramEnd"/>
      <w:r>
        <w:rPr>
          <w:i/>
          <w:iCs/>
          <w:color w:val="000000"/>
        </w:rPr>
        <w:t xml:space="preserve"> </w:t>
      </w:r>
      <w:r>
        <w:rPr>
          <w:color w:val="000000"/>
        </w:rPr>
        <w:t xml:space="preserve">atau mempunyai maksud mencapai hasil </w:t>
      </w:r>
      <w:r>
        <w:rPr>
          <w:i/>
          <w:iCs/>
          <w:color w:val="000000"/>
        </w:rPr>
        <w:t xml:space="preserve">restoratif </w:t>
      </w:r>
      <w:r>
        <w:rPr>
          <w:color w:val="000000"/>
        </w:rPr>
        <w:t>(</w:t>
      </w:r>
      <w:r>
        <w:rPr>
          <w:i/>
          <w:iCs/>
          <w:color w:val="000000"/>
        </w:rPr>
        <w:t>restoratif outcome</w:t>
      </w:r>
      <w:r>
        <w:rPr>
          <w:color w:val="000000"/>
        </w:rPr>
        <w:t xml:space="preserve">). </w:t>
      </w:r>
    </w:p>
    <w:p w:rsidR="00567E71" w:rsidRDefault="00567E71" w:rsidP="00737539">
      <w:pPr>
        <w:numPr>
          <w:ilvl w:val="5"/>
          <w:numId w:val="4"/>
        </w:numPr>
        <w:tabs>
          <w:tab w:val="num" w:pos="1080"/>
        </w:tabs>
        <w:autoSpaceDE w:val="0"/>
        <w:autoSpaceDN w:val="0"/>
        <w:adjustRightInd w:val="0"/>
        <w:ind w:left="1080"/>
        <w:jc w:val="both"/>
        <w:rPr>
          <w:color w:val="000000"/>
        </w:rPr>
      </w:pPr>
      <w:r>
        <w:rPr>
          <w:i/>
          <w:iCs/>
          <w:color w:val="000000"/>
        </w:rPr>
        <w:t xml:space="preserve">Restoratif outcome </w:t>
      </w:r>
      <w:r>
        <w:rPr>
          <w:color w:val="000000"/>
        </w:rPr>
        <w:t xml:space="preserve">adalah sebuah kesepakatan yang dicapai sebagai hasil dari proses </w:t>
      </w:r>
      <w:r>
        <w:rPr>
          <w:i/>
          <w:iCs/>
          <w:color w:val="000000"/>
        </w:rPr>
        <w:t>restoratif justice</w:t>
      </w:r>
      <w:r>
        <w:rPr>
          <w:color w:val="000000"/>
        </w:rPr>
        <w:t xml:space="preserve">. </w:t>
      </w:r>
      <w:proofErr w:type="gramStart"/>
      <w:r>
        <w:rPr>
          <w:color w:val="000000"/>
        </w:rPr>
        <w:t>Contoh :</w:t>
      </w:r>
      <w:proofErr w:type="gramEnd"/>
      <w:r>
        <w:rPr>
          <w:color w:val="000000"/>
        </w:rPr>
        <w:t xml:space="preserve"> </w:t>
      </w:r>
      <w:r>
        <w:rPr>
          <w:i/>
          <w:iCs/>
          <w:color w:val="000000"/>
        </w:rPr>
        <w:t>restitution</w:t>
      </w:r>
      <w:r>
        <w:rPr>
          <w:color w:val="000000"/>
        </w:rPr>
        <w:t xml:space="preserve">, </w:t>
      </w:r>
      <w:r>
        <w:rPr>
          <w:i/>
          <w:iCs/>
          <w:color w:val="000000"/>
        </w:rPr>
        <w:t xml:space="preserve">community service </w:t>
      </w:r>
      <w:r>
        <w:rPr>
          <w:color w:val="000000"/>
        </w:rPr>
        <w:t>dan program yang bermaksud memperbaiki korban dan masyarakat dan mengembalikan korban dan/atau pelaku.</w:t>
      </w:r>
    </w:p>
    <w:p w:rsidR="00567E71" w:rsidRDefault="00567E71" w:rsidP="00737539">
      <w:pPr>
        <w:numPr>
          <w:ilvl w:val="5"/>
          <w:numId w:val="4"/>
        </w:numPr>
        <w:tabs>
          <w:tab w:val="num" w:pos="1080"/>
        </w:tabs>
        <w:autoSpaceDE w:val="0"/>
        <w:autoSpaceDN w:val="0"/>
        <w:adjustRightInd w:val="0"/>
        <w:ind w:left="1080"/>
        <w:jc w:val="both"/>
        <w:rPr>
          <w:color w:val="000000"/>
        </w:rPr>
      </w:pPr>
      <w:r>
        <w:rPr>
          <w:i/>
          <w:iCs/>
          <w:color w:val="000000"/>
        </w:rPr>
        <w:t xml:space="preserve">Restoratif process </w:t>
      </w:r>
      <w:r>
        <w:rPr>
          <w:color w:val="000000"/>
        </w:rPr>
        <w:t xml:space="preserve">dalam hal ini adalah suatu proses dimana korban, pelaku, dan masyarakat yang diakibatkan oleh kejahatan berpartisipasi aktif bersama-sama dalam membuat penyelesaian masalah kejahatan dan dicampuri oleh pihak ketiga. </w:t>
      </w:r>
      <w:proofErr w:type="gramStart"/>
      <w:r>
        <w:rPr>
          <w:color w:val="000000"/>
        </w:rPr>
        <w:t>Contoh :</w:t>
      </w:r>
      <w:proofErr w:type="gramEnd"/>
      <w:r>
        <w:rPr>
          <w:color w:val="000000"/>
        </w:rPr>
        <w:t xml:space="preserve"> proses </w:t>
      </w:r>
      <w:r>
        <w:rPr>
          <w:i/>
          <w:iCs/>
          <w:color w:val="000000"/>
        </w:rPr>
        <w:t>restoratif mediation</w:t>
      </w:r>
      <w:r>
        <w:rPr>
          <w:color w:val="000000"/>
        </w:rPr>
        <w:t xml:space="preserve">, </w:t>
      </w:r>
      <w:r>
        <w:rPr>
          <w:i/>
          <w:iCs/>
          <w:color w:val="000000"/>
        </w:rPr>
        <w:t>conferencing</w:t>
      </w:r>
      <w:r>
        <w:rPr>
          <w:color w:val="000000"/>
        </w:rPr>
        <w:t xml:space="preserve">, dan </w:t>
      </w:r>
      <w:r>
        <w:rPr>
          <w:i/>
          <w:iCs/>
          <w:color w:val="000000"/>
        </w:rPr>
        <w:t>circles</w:t>
      </w:r>
      <w:r>
        <w:rPr>
          <w:color w:val="000000"/>
        </w:rPr>
        <w:t xml:space="preserve">. </w:t>
      </w:r>
    </w:p>
    <w:p w:rsidR="00567E71" w:rsidRDefault="00567E71" w:rsidP="00737539">
      <w:pPr>
        <w:numPr>
          <w:ilvl w:val="5"/>
          <w:numId w:val="4"/>
        </w:numPr>
        <w:tabs>
          <w:tab w:val="num" w:pos="1080"/>
        </w:tabs>
        <w:autoSpaceDE w:val="0"/>
        <w:autoSpaceDN w:val="0"/>
        <w:adjustRightInd w:val="0"/>
        <w:ind w:left="1080"/>
        <w:jc w:val="both"/>
        <w:rPr>
          <w:color w:val="000000"/>
        </w:rPr>
      </w:pPr>
      <w:r>
        <w:rPr>
          <w:i/>
          <w:iCs/>
          <w:color w:val="000000"/>
        </w:rPr>
        <w:t xml:space="preserve">Parties </w:t>
      </w:r>
      <w:r>
        <w:rPr>
          <w:color w:val="000000"/>
        </w:rPr>
        <w:t xml:space="preserve">dalam hal ini adalah korban, pelaku, dan individu lain atau anggota masyarakat yang merasa dirugikan oleh kejahatan yang dilibatkan dalam program </w:t>
      </w:r>
      <w:r>
        <w:rPr>
          <w:i/>
          <w:iCs/>
          <w:color w:val="000000"/>
        </w:rPr>
        <w:t>restoratif justice</w:t>
      </w:r>
      <w:r>
        <w:rPr>
          <w:color w:val="000000"/>
        </w:rPr>
        <w:t xml:space="preserve">. </w:t>
      </w:r>
    </w:p>
    <w:p w:rsidR="00567E71" w:rsidRDefault="00567E71" w:rsidP="00737539">
      <w:pPr>
        <w:numPr>
          <w:ilvl w:val="5"/>
          <w:numId w:val="4"/>
        </w:numPr>
        <w:tabs>
          <w:tab w:val="num" w:pos="1080"/>
        </w:tabs>
        <w:autoSpaceDE w:val="0"/>
        <w:autoSpaceDN w:val="0"/>
        <w:adjustRightInd w:val="0"/>
        <w:ind w:left="1080"/>
        <w:jc w:val="both"/>
        <w:rPr>
          <w:color w:val="000000"/>
        </w:rPr>
      </w:pPr>
      <w:r>
        <w:rPr>
          <w:i/>
          <w:iCs/>
          <w:color w:val="000000"/>
        </w:rPr>
        <w:t xml:space="preserve">Facilitator </w:t>
      </w:r>
      <w:r>
        <w:rPr>
          <w:color w:val="000000"/>
        </w:rPr>
        <w:t>dalam hal ini adalah pihak ketiga yang menjalankan fungsi memfasilitasi partisipasi keikut-sertaan korban, pelaku dalam pertemuan.</w:t>
      </w:r>
      <w:r>
        <w:rPr>
          <w:rStyle w:val="FootnoteReference"/>
          <w:color w:val="000000"/>
        </w:rPr>
        <w:footnoteReference w:id="22"/>
      </w:r>
    </w:p>
    <w:p w:rsidR="00567E71" w:rsidRDefault="00567E71" w:rsidP="00567E71">
      <w:pPr>
        <w:autoSpaceDE w:val="0"/>
        <w:autoSpaceDN w:val="0"/>
        <w:adjustRightInd w:val="0"/>
        <w:ind w:left="1080"/>
        <w:jc w:val="both"/>
        <w:rPr>
          <w:color w:val="000000"/>
        </w:rPr>
      </w:pPr>
    </w:p>
    <w:p w:rsidR="00567E71" w:rsidRDefault="00567E71" w:rsidP="00567E71">
      <w:pPr>
        <w:autoSpaceDE w:val="0"/>
        <w:autoSpaceDN w:val="0"/>
        <w:adjustRightInd w:val="0"/>
        <w:spacing w:line="480" w:lineRule="auto"/>
        <w:ind w:firstLine="709"/>
        <w:jc w:val="both"/>
        <w:rPr>
          <w:color w:val="000000"/>
        </w:rPr>
      </w:pPr>
      <w:r>
        <w:rPr>
          <w:color w:val="000000"/>
        </w:rPr>
        <w:t xml:space="preserve">Pengembangan konsep </w:t>
      </w:r>
      <w:r>
        <w:rPr>
          <w:i/>
          <w:iCs/>
          <w:color w:val="000000"/>
        </w:rPr>
        <w:t xml:space="preserve">restoratif justice </w:t>
      </w:r>
      <w:r>
        <w:rPr>
          <w:color w:val="000000"/>
        </w:rPr>
        <w:t xml:space="preserve">Menurut Van Ness sebagaimana dikutip Marlina, perlu dilakukan sebagai </w:t>
      </w:r>
      <w:proofErr w:type="gramStart"/>
      <w:r>
        <w:rPr>
          <w:color w:val="000000"/>
        </w:rPr>
        <w:t>berikut  :</w:t>
      </w:r>
      <w:proofErr w:type="gramEnd"/>
      <w:r>
        <w:rPr>
          <w:color w:val="000000"/>
        </w:rPr>
        <w:t xml:space="preserve"> </w:t>
      </w:r>
    </w:p>
    <w:p w:rsidR="00567E71" w:rsidRDefault="00567E71" w:rsidP="00737539">
      <w:pPr>
        <w:numPr>
          <w:ilvl w:val="6"/>
          <w:numId w:val="4"/>
        </w:numPr>
        <w:tabs>
          <w:tab w:val="num" w:pos="1080"/>
        </w:tabs>
        <w:autoSpaceDE w:val="0"/>
        <w:autoSpaceDN w:val="0"/>
        <w:adjustRightInd w:val="0"/>
        <w:ind w:left="1080"/>
        <w:jc w:val="both"/>
        <w:rPr>
          <w:color w:val="000000"/>
        </w:rPr>
      </w:pPr>
      <w:r>
        <w:rPr>
          <w:color w:val="000000"/>
        </w:rPr>
        <w:t xml:space="preserve">Kejahatan pada dasarnya merupakan konflik antara individu-individu yang menghasilkan keterlukaan pada korban, masyarakat dan pelaku itu sendiri, hanya secara efek lanjutannya merupakan pelanggaran hukum. </w:t>
      </w:r>
    </w:p>
    <w:p w:rsidR="00567E71" w:rsidRDefault="00567E71" w:rsidP="00737539">
      <w:pPr>
        <w:numPr>
          <w:ilvl w:val="6"/>
          <w:numId w:val="4"/>
        </w:numPr>
        <w:tabs>
          <w:tab w:val="num" w:pos="1080"/>
        </w:tabs>
        <w:autoSpaceDE w:val="0"/>
        <w:autoSpaceDN w:val="0"/>
        <w:adjustRightInd w:val="0"/>
        <w:ind w:left="1080"/>
        <w:jc w:val="both"/>
        <w:rPr>
          <w:color w:val="000000"/>
        </w:rPr>
      </w:pPr>
      <w:r>
        <w:rPr>
          <w:color w:val="000000"/>
        </w:rPr>
        <w:t xml:space="preserve">Tujuan lebih penting dari proses sistem peradilan pidana haruslah melakukan rekonsiliasi para pihak-pihak yang bertujuan untuk memperbaiki kerusakan yang ada pada korban akibat dari kriminal yang terjadi. </w:t>
      </w:r>
    </w:p>
    <w:p w:rsidR="00567E71" w:rsidRDefault="00567E71" w:rsidP="00737539">
      <w:pPr>
        <w:numPr>
          <w:ilvl w:val="6"/>
          <w:numId w:val="4"/>
        </w:numPr>
        <w:tabs>
          <w:tab w:val="num" w:pos="1080"/>
        </w:tabs>
        <w:autoSpaceDE w:val="0"/>
        <w:autoSpaceDN w:val="0"/>
        <w:adjustRightInd w:val="0"/>
        <w:ind w:left="1080"/>
        <w:jc w:val="both"/>
        <w:rPr>
          <w:color w:val="000000"/>
        </w:rPr>
      </w:pPr>
      <w:r>
        <w:rPr>
          <w:color w:val="000000"/>
        </w:rPr>
        <w:t>Proses sistem keadilan pidana haruslah memfasilitasi partisipasi aktif dari korban, pelaku dan masyarakat dan bukan didominasi oleh negara dengan mengeluarkan orang komponen yang terlibat dengan pelanggaran dari proses penyelesaian.</w:t>
      </w:r>
      <w:r>
        <w:rPr>
          <w:rStyle w:val="FootnoteReference"/>
          <w:color w:val="000000"/>
        </w:rPr>
        <w:t xml:space="preserve"> </w:t>
      </w:r>
      <w:r>
        <w:rPr>
          <w:rStyle w:val="FootnoteReference"/>
          <w:color w:val="000000"/>
        </w:rPr>
        <w:footnoteReference w:id="23"/>
      </w:r>
    </w:p>
    <w:p w:rsidR="00567E71" w:rsidRDefault="00567E71" w:rsidP="00567E71">
      <w:pPr>
        <w:autoSpaceDE w:val="0"/>
        <w:autoSpaceDN w:val="0"/>
        <w:adjustRightInd w:val="0"/>
        <w:ind w:left="1080"/>
        <w:jc w:val="both"/>
        <w:rPr>
          <w:color w:val="000000"/>
        </w:rPr>
      </w:pPr>
    </w:p>
    <w:p w:rsidR="00567E71" w:rsidRDefault="00567E71" w:rsidP="00737539">
      <w:pPr>
        <w:numPr>
          <w:ilvl w:val="0"/>
          <w:numId w:val="15"/>
        </w:numPr>
        <w:spacing w:line="480" w:lineRule="auto"/>
        <w:ind w:left="360"/>
        <w:jc w:val="both"/>
        <w:rPr>
          <w:b/>
          <w:color w:val="000000"/>
        </w:rPr>
      </w:pPr>
      <w:bookmarkStart w:id="18" w:name="_Hlk178702613"/>
      <w:r>
        <w:rPr>
          <w:b/>
          <w:color w:val="000000"/>
        </w:rPr>
        <w:t xml:space="preserve">Syarat dan Tujuan </w:t>
      </w:r>
      <w:r>
        <w:rPr>
          <w:b/>
          <w:i/>
          <w:color w:val="000000"/>
        </w:rPr>
        <w:t>Restoratif</w:t>
      </w:r>
      <w:r>
        <w:rPr>
          <w:b/>
          <w:color w:val="000000"/>
        </w:rPr>
        <w:t xml:space="preserve"> </w:t>
      </w:r>
      <w:r>
        <w:rPr>
          <w:b/>
          <w:i/>
          <w:color w:val="000000"/>
        </w:rPr>
        <w:t>Justice</w:t>
      </w:r>
      <w:bookmarkEnd w:id="18"/>
    </w:p>
    <w:p w:rsidR="00567E71" w:rsidRDefault="00567E71" w:rsidP="00567E71">
      <w:pPr>
        <w:spacing w:line="456" w:lineRule="auto"/>
        <w:ind w:firstLine="709"/>
        <w:jc w:val="both"/>
        <w:rPr>
          <w:color w:val="000000"/>
        </w:rPr>
      </w:pPr>
      <w:r>
        <w:rPr>
          <w:color w:val="000000"/>
        </w:rPr>
        <w:lastRenderedPageBreak/>
        <w:t xml:space="preserve">Menurut Pasal 6 Peraturan Mahkamah Agung Republik Indonesia Nomor 1 Tahun 2024 Tentang Pedoman Mengadili Perkara Pidana Berdasarkan Keadilan </w:t>
      </w:r>
      <w:r>
        <w:rPr>
          <w:i/>
          <w:color w:val="000000"/>
        </w:rPr>
        <w:t>Restoratif</w:t>
      </w:r>
      <w:r>
        <w:rPr>
          <w:color w:val="000000"/>
        </w:rPr>
        <w:t xml:space="preserve"> bahwa hakim menerapkan pedoman mengadili perkara pidana berdasarkan keadilan </w:t>
      </w:r>
      <w:r>
        <w:rPr>
          <w:i/>
          <w:color w:val="000000"/>
        </w:rPr>
        <w:t>restoratif</w:t>
      </w:r>
      <w:r>
        <w:rPr>
          <w:color w:val="000000"/>
        </w:rPr>
        <w:t xml:space="preserve"> apabila terpenuhi salah satu dari tindak pidana di bawah ini: </w:t>
      </w:r>
    </w:p>
    <w:p w:rsidR="00567E71" w:rsidRDefault="00567E71" w:rsidP="00737539">
      <w:pPr>
        <w:pStyle w:val="Default"/>
        <w:numPr>
          <w:ilvl w:val="1"/>
          <w:numId w:val="6"/>
        </w:numPr>
        <w:tabs>
          <w:tab w:val="num" w:pos="360"/>
        </w:tabs>
        <w:spacing w:line="480" w:lineRule="auto"/>
        <w:ind w:left="360"/>
        <w:jc w:val="both"/>
        <w:rPr>
          <w:rFonts w:ascii="Times New Roman" w:hAnsi="Times New Roman" w:cs="Times New Roman"/>
        </w:rPr>
      </w:pPr>
      <w:r>
        <w:rPr>
          <w:rFonts w:ascii="Times New Roman" w:hAnsi="Times New Roman" w:cs="Times New Roman"/>
        </w:rPr>
        <w:t xml:space="preserve">Tindak pidana yang dilakukan merupakan tindak pidana ringan atau kerugian Korban bernilai tidak lebih dari Rp2.500.000,00 (dua juta lima ratus ribu rupiah) atau tidak lebih dari upah minimum provinsi setempat; </w:t>
      </w:r>
    </w:p>
    <w:p w:rsidR="00567E71" w:rsidRDefault="00567E71" w:rsidP="00737539">
      <w:pPr>
        <w:pStyle w:val="Default"/>
        <w:numPr>
          <w:ilvl w:val="1"/>
          <w:numId w:val="6"/>
        </w:numPr>
        <w:tabs>
          <w:tab w:val="num" w:pos="360"/>
        </w:tabs>
        <w:spacing w:line="480" w:lineRule="auto"/>
        <w:ind w:left="360"/>
        <w:jc w:val="both"/>
        <w:rPr>
          <w:rFonts w:ascii="Times New Roman" w:hAnsi="Times New Roman" w:cs="Times New Roman"/>
        </w:rPr>
      </w:pPr>
      <w:r>
        <w:rPr>
          <w:rFonts w:ascii="Times New Roman" w:hAnsi="Times New Roman" w:cs="Times New Roman"/>
        </w:rPr>
        <w:t xml:space="preserve">Tindak pidana merupakan delik aduan; </w:t>
      </w:r>
    </w:p>
    <w:p w:rsidR="00567E71" w:rsidRDefault="00567E71" w:rsidP="00737539">
      <w:pPr>
        <w:pStyle w:val="Default"/>
        <w:numPr>
          <w:ilvl w:val="1"/>
          <w:numId w:val="6"/>
        </w:numPr>
        <w:tabs>
          <w:tab w:val="num" w:pos="360"/>
        </w:tabs>
        <w:spacing w:line="480" w:lineRule="auto"/>
        <w:ind w:left="360"/>
        <w:jc w:val="both"/>
        <w:rPr>
          <w:rFonts w:ascii="Times New Roman" w:hAnsi="Times New Roman" w:cs="Times New Roman"/>
        </w:rPr>
      </w:pPr>
      <w:r>
        <w:rPr>
          <w:rFonts w:ascii="Times New Roman" w:hAnsi="Times New Roman" w:cs="Times New Roman"/>
        </w:rPr>
        <w:t xml:space="preserve">Tindak pidana dengan ancaman hukuman maksimal 5 (lima) tahun penjara dalam salah satu dakwaan, termasuk tindak pidana </w:t>
      </w:r>
      <w:r>
        <w:rPr>
          <w:rFonts w:ascii="Times New Roman" w:hAnsi="Times New Roman" w:cs="Times New Roman"/>
          <w:i/>
        </w:rPr>
        <w:t xml:space="preserve">jinayat </w:t>
      </w:r>
      <w:r>
        <w:rPr>
          <w:rFonts w:ascii="Times New Roman" w:hAnsi="Times New Roman" w:cs="Times New Roman"/>
        </w:rPr>
        <w:t xml:space="preserve">menurut </w:t>
      </w:r>
      <w:r>
        <w:rPr>
          <w:rFonts w:ascii="Times New Roman" w:hAnsi="Times New Roman" w:cs="Times New Roman"/>
          <w:i/>
        </w:rPr>
        <w:t>qanun</w:t>
      </w:r>
      <w:r>
        <w:rPr>
          <w:rFonts w:ascii="Times New Roman" w:hAnsi="Times New Roman" w:cs="Times New Roman"/>
        </w:rPr>
        <w:t xml:space="preserve">; </w:t>
      </w:r>
    </w:p>
    <w:p w:rsidR="00567E71" w:rsidRDefault="00567E71" w:rsidP="00737539">
      <w:pPr>
        <w:pStyle w:val="Default"/>
        <w:numPr>
          <w:ilvl w:val="1"/>
          <w:numId w:val="6"/>
        </w:numPr>
        <w:tabs>
          <w:tab w:val="num" w:pos="360"/>
        </w:tabs>
        <w:spacing w:line="480" w:lineRule="auto"/>
        <w:ind w:left="360"/>
        <w:jc w:val="both"/>
        <w:rPr>
          <w:rFonts w:ascii="Times New Roman" w:hAnsi="Times New Roman" w:cs="Times New Roman"/>
        </w:rPr>
      </w:pPr>
      <w:r>
        <w:rPr>
          <w:rFonts w:ascii="Times New Roman" w:hAnsi="Times New Roman" w:cs="Times New Roman"/>
        </w:rPr>
        <w:t xml:space="preserve">Tindak pidana dengan pelaku Anak yang diversinya tidak berhasil; </w:t>
      </w:r>
    </w:p>
    <w:p w:rsidR="00567E71" w:rsidRDefault="00567E71" w:rsidP="00737539">
      <w:pPr>
        <w:pStyle w:val="Default"/>
        <w:numPr>
          <w:ilvl w:val="1"/>
          <w:numId w:val="6"/>
        </w:numPr>
        <w:tabs>
          <w:tab w:val="num" w:pos="360"/>
        </w:tabs>
        <w:spacing w:line="480" w:lineRule="auto"/>
        <w:ind w:left="360"/>
        <w:jc w:val="both"/>
        <w:rPr>
          <w:rFonts w:ascii="Times New Roman" w:hAnsi="Times New Roman" w:cs="Times New Roman"/>
        </w:rPr>
      </w:pPr>
      <w:r>
        <w:rPr>
          <w:rFonts w:ascii="Times New Roman" w:hAnsi="Times New Roman" w:cs="Times New Roman"/>
        </w:rPr>
        <w:t xml:space="preserve">Tindak pidana lalu lintas yang berupa kejahatan. </w:t>
      </w:r>
    </w:p>
    <w:p w:rsidR="00567E71" w:rsidRDefault="00567E71" w:rsidP="00567E71">
      <w:pPr>
        <w:pStyle w:val="Default"/>
        <w:spacing w:line="480" w:lineRule="auto"/>
        <w:ind w:firstLine="709"/>
        <w:jc w:val="both"/>
        <w:rPr>
          <w:rFonts w:ascii="Times New Roman" w:hAnsi="Times New Roman" w:cs="Times New Roman"/>
        </w:rPr>
      </w:pPr>
      <w:r>
        <w:rPr>
          <w:rFonts w:ascii="Times New Roman" w:hAnsi="Times New Roman" w:cs="Times New Roman"/>
        </w:rPr>
        <w:t xml:space="preserve">Hakim tidak berwenang menerapkan pedoman mengadili perkara pidana berdasarkan Keadilan </w:t>
      </w:r>
      <w:r>
        <w:rPr>
          <w:rFonts w:ascii="Times New Roman" w:hAnsi="Times New Roman" w:cs="Times New Roman"/>
          <w:i/>
        </w:rPr>
        <w:t>Restoratif</w:t>
      </w:r>
      <w:r>
        <w:rPr>
          <w:rFonts w:ascii="Times New Roman" w:hAnsi="Times New Roman" w:cs="Times New Roman"/>
        </w:rPr>
        <w:t xml:space="preserve"> dalam hal: </w:t>
      </w:r>
    </w:p>
    <w:p w:rsidR="00567E71" w:rsidRDefault="00567E71" w:rsidP="00737539">
      <w:pPr>
        <w:pStyle w:val="Default"/>
        <w:numPr>
          <w:ilvl w:val="3"/>
          <w:numId w:val="6"/>
        </w:numPr>
        <w:tabs>
          <w:tab w:val="num" w:pos="360"/>
        </w:tabs>
        <w:spacing w:line="480" w:lineRule="auto"/>
        <w:ind w:left="360"/>
        <w:jc w:val="both"/>
        <w:rPr>
          <w:rFonts w:ascii="Times New Roman" w:hAnsi="Times New Roman" w:cs="Times New Roman"/>
        </w:rPr>
      </w:pPr>
      <w:r>
        <w:rPr>
          <w:rFonts w:ascii="Times New Roman" w:hAnsi="Times New Roman" w:cs="Times New Roman"/>
        </w:rPr>
        <w:t>Korban atau Terdakwa menolak untuk melakukan perdamaian;</w:t>
      </w:r>
    </w:p>
    <w:p w:rsidR="00567E71" w:rsidRDefault="00567E71" w:rsidP="00737539">
      <w:pPr>
        <w:pStyle w:val="Default"/>
        <w:numPr>
          <w:ilvl w:val="3"/>
          <w:numId w:val="6"/>
        </w:numPr>
        <w:tabs>
          <w:tab w:val="num" w:pos="360"/>
        </w:tabs>
        <w:spacing w:line="480" w:lineRule="auto"/>
        <w:ind w:left="360"/>
        <w:jc w:val="both"/>
        <w:rPr>
          <w:rFonts w:ascii="Times New Roman" w:hAnsi="Times New Roman" w:cs="Times New Roman"/>
        </w:rPr>
      </w:pPr>
      <w:r>
        <w:rPr>
          <w:rFonts w:ascii="Times New Roman" w:hAnsi="Times New Roman" w:cs="Times New Roman"/>
        </w:rPr>
        <w:t xml:space="preserve">Terdapat relasi kuasa; </w:t>
      </w:r>
    </w:p>
    <w:p w:rsidR="00567E71" w:rsidRDefault="00567E71" w:rsidP="00737539">
      <w:pPr>
        <w:pStyle w:val="Default"/>
        <w:numPr>
          <w:ilvl w:val="3"/>
          <w:numId w:val="6"/>
        </w:numPr>
        <w:tabs>
          <w:tab w:val="num" w:pos="360"/>
        </w:tabs>
        <w:spacing w:line="480" w:lineRule="auto"/>
        <w:ind w:left="360"/>
        <w:jc w:val="both"/>
        <w:rPr>
          <w:rFonts w:ascii="Times New Roman" w:hAnsi="Times New Roman" w:cs="Times New Roman"/>
        </w:rPr>
      </w:pPr>
      <w:r>
        <w:rPr>
          <w:rFonts w:ascii="Times New Roman" w:hAnsi="Times New Roman" w:cs="Times New Roman"/>
        </w:rPr>
        <w:t xml:space="preserve">Terdakwa mengulangi tindak pidana sejenis dalam kurun waktu 3 (tiga) tahun sejak Terdakwa selesai menjalani putusan Pengadilan yang berkekuatan hukum tetap. </w:t>
      </w:r>
    </w:p>
    <w:p w:rsidR="00567E71" w:rsidRDefault="00567E71" w:rsidP="00567E71">
      <w:pPr>
        <w:spacing w:line="456" w:lineRule="auto"/>
        <w:ind w:firstLine="709"/>
        <w:jc w:val="both"/>
        <w:rPr>
          <w:color w:val="000000"/>
          <w:lang w:eastAsia="zh-CN"/>
        </w:rPr>
      </w:pPr>
      <w:r>
        <w:rPr>
          <w:color w:val="000000"/>
          <w:lang w:eastAsia="zh-CN"/>
        </w:rPr>
        <w:t xml:space="preserve">Tujuan dari keadilan </w:t>
      </w:r>
      <w:r>
        <w:rPr>
          <w:i/>
          <w:color w:val="000000"/>
          <w:lang w:eastAsia="zh-CN"/>
        </w:rPr>
        <w:t>restoratif</w:t>
      </w:r>
      <w:r>
        <w:rPr>
          <w:color w:val="000000"/>
          <w:lang w:eastAsia="zh-CN"/>
        </w:rPr>
        <w:t xml:space="preserve"> adalah mendorong terciptanya peradilan yang adil dan mendorong para pihak untuk ikut serta didalamnya. Korban merasa bahwa penderitaannya di perhatikan dan kompensasi yang disepakati seimbang dengan penderitaan dan kerugian yang dideritanya. Pelaku tidak mesti mengalami </w:t>
      </w:r>
      <w:r>
        <w:rPr>
          <w:color w:val="000000"/>
          <w:lang w:eastAsia="zh-CN"/>
        </w:rPr>
        <w:lastRenderedPageBreak/>
        <w:t>penderitaan untuk dapat menyadari kesalahannya. Justru dengan kesepakatan untum mengerti dan memperbaiki kerusakan yang timbul, kesadaran tersebut dapat diperolehnya. Semenntara bagi masyarakat, adanya jaminan keseimbangan dalam kehidupan dan aspirasi yang ada tersalurkan oleh pemerintah.</w:t>
      </w:r>
      <w:r>
        <w:rPr>
          <w:rStyle w:val="FootnoteReference"/>
          <w:color w:val="000000"/>
          <w:lang w:eastAsia="zh-CN"/>
        </w:rPr>
        <w:footnoteReference w:id="24"/>
      </w:r>
    </w:p>
    <w:p w:rsidR="00567E71" w:rsidRDefault="00567E71" w:rsidP="00567E71">
      <w:pPr>
        <w:spacing w:line="456" w:lineRule="auto"/>
        <w:ind w:firstLine="709"/>
        <w:jc w:val="both"/>
        <w:rPr>
          <w:color w:val="000000"/>
        </w:rPr>
      </w:pPr>
      <w:r>
        <w:rPr>
          <w:color w:val="000000"/>
        </w:rPr>
        <w:t xml:space="preserve">Menurut Pasal 3 ayat (1) dan (2) Peraturan Mahkamah Agung Republik Indonesia Nomor 1 Tahun 2024 Tentang Pedoman Mengadili Perkara Pidana Berdasarkan Keadilan </w:t>
      </w:r>
      <w:r>
        <w:rPr>
          <w:i/>
          <w:color w:val="000000"/>
        </w:rPr>
        <w:t>Restoratif</w:t>
      </w:r>
      <w:r>
        <w:rPr>
          <w:color w:val="000000"/>
        </w:rPr>
        <w:t xml:space="preserve"> bahwa tujuan mengadili perkara pidana berdasarkan keadilan </w:t>
      </w:r>
      <w:r>
        <w:rPr>
          <w:i/>
          <w:color w:val="000000"/>
        </w:rPr>
        <w:t>restoratif</w:t>
      </w:r>
      <w:r>
        <w:rPr>
          <w:color w:val="000000"/>
        </w:rPr>
        <w:t xml:space="preserve"> untuk: </w:t>
      </w:r>
    </w:p>
    <w:p w:rsidR="00567E71" w:rsidRDefault="00567E71" w:rsidP="00737539">
      <w:pPr>
        <w:pStyle w:val="Default"/>
        <w:numPr>
          <w:ilvl w:val="2"/>
          <w:numId w:val="5"/>
        </w:numPr>
        <w:spacing w:line="480" w:lineRule="auto"/>
        <w:ind w:left="360"/>
        <w:rPr>
          <w:rFonts w:ascii="Times New Roman" w:hAnsi="Times New Roman" w:cs="Times New Roman"/>
        </w:rPr>
      </w:pPr>
      <w:r>
        <w:rPr>
          <w:rFonts w:ascii="Times New Roman" w:hAnsi="Times New Roman" w:cs="Times New Roman"/>
        </w:rPr>
        <w:t xml:space="preserve">Memulihkan Korban tindak pidana; </w:t>
      </w:r>
    </w:p>
    <w:p w:rsidR="00567E71" w:rsidRDefault="00567E71" w:rsidP="00737539">
      <w:pPr>
        <w:pStyle w:val="Default"/>
        <w:numPr>
          <w:ilvl w:val="2"/>
          <w:numId w:val="5"/>
        </w:numPr>
        <w:spacing w:line="480" w:lineRule="auto"/>
        <w:ind w:left="360"/>
        <w:jc w:val="both"/>
        <w:rPr>
          <w:rFonts w:ascii="Times New Roman" w:hAnsi="Times New Roman" w:cs="Times New Roman"/>
        </w:rPr>
      </w:pPr>
      <w:r>
        <w:rPr>
          <w:rFonts w:ascii="Times New Roman" w:hAnsi="Times New Roman" w:cs="Times New Roman"/>
        </w:rPr>
        <w:t xml:space="preserve">Memulihkan hubungan antara Terdakwa, Korban, dan/atau masyarakat; </w:t>
      </w:r>
    </w:p>
    <w:p w:rsidR="00567E71" w:rsidRDefault="00567E71" w:rsidP="00737539">
      <w:pPr>
        <w:pStyle w:val="Default"/>
        <w:numPr>
          <w:ilvl w:val="2"/>
          <w:numId w:val="5"/>
        </w:numPr>
        <w:spacing w:line="480" w:lineRule="auto"/>
        <w:ind w:left="360"/>
        <w:jc w:val="both"/>
        <w:rPr>
          <w:rFonts w:ascii="Times New Roman" w:hAnsi="Times New Roman" w:cs="Times New Roman"/>
        </w:rPr>
      </w:pPr>
      <w:r>
        <w:rPr>
          <w:rFonts w:ascii="Times New Roman" w:hAnsi="Times New Roman" w:cs="Times New Roman"/>
        </w:rPr>
        <w:t xml:space="preserve">Menganjurkan pertanggungjawaban Terdakwa; </w:t>
      </w:r>
    </w:p>
    <w:p w:rsidR="00567E71" w:rsidRDefault="00567E71" w:rsidP="00737539">
      <w:pPr>
        <w:pStyle w:val="Default"/>
        <w:numPr>
          <w:ilvl w:val="2"/>
          <w:numId w:val="5"/>
        </w:numPr>
        <w:spacing w:line="480" w:lineRule="auto"/>
        <w:ind w:left="360"/>
        <w:jc w:val="both"/>
        <w:rPr>
          <w:rFonts w:ascii="Times New Roman" w:hAnsi="Times New Roman" w:cs="Times New Roman"/>
        </w:rPr>
      </w:pPr>
      <w:r>
        <w:rPr>
          <w:rFonts w:ascii="Times New Roman" w:hAnsi="Times New Roman" w:cs="Times New Roman"/>
        </w:rPr>
        <w:t xml:space="preserve">Menghindarkan setiap orang, khususnya Anak, dari perampasan kemerdekaan. </w:t>
      </w:r>
    </w:p>
    <w:p w:rsidR="00567E71" w:rsidRDefault="00567E71" w:rsidP="00567E71">
      <w:pPr>
        <w:pStyle w:val="Default"/>
        <w:spacing w:line="480" w:lineRule="auto"/>
        <w:ind w:firstLine="709"/>
        <w:jc w:val="both"/>
        <w:rPr>
          <w:rFonts w:ascii="Times New Roman" w:hAnsi="Times New Roman" w:cs="Times New Roman"/>
          <w:lang w:eastAsia="zh-CN"/>
        </w:rPr>
      </w:pPr>
      <w:r>
        <w:rPr>
          <w:rFonts w:ascii="Times New Roman" w:hAnsi="Times New Roman" w:cs="Times New Roman"/>
        </w:rPr>
        <w:t xml:space="preserve">Penerapan prinsip keadilan </w:t>
      </w:r>
      <w:r>
        <w:rPr>
          <w:rFonts w:ascii="Times New Roman" w:hAnsi="Times New Roman" w:cs="Times New Roman"/>
          <w:i/>
        </w:rPr>
        <w:t>restoratif</w:t>
      </w:r>
      <w:r>
        <w:rPr>
          <w:rFonts w:ascii="Times New Roman" w:hAnsi="Times New Roman" w:cs="Times New Roman"/>
        </w:rPr>
        <w:t xml:space="preserve"> tidak bertujuan untuk menghapuskan pertanggungjawaban pidana. Menurut Eva Zulfa bahwa t</w:t>
      </w:r>
      <w:r>
        <w:rPr>
          <w:rFonts w:ascii="Times New Roman" w:hAnsi="Times New Roman" w:cs="Times New Roman"/>
          <w:lang w:eastAsia="zh-CN"/>
        </w:rPr>
        <w:t xml:space="preserve">ujuan utama </w:t>
      </w:r>
      <w:r>
        <w:rPr>
          <w:rFonts w:ascii="Times New Roman" w:hAnsi="Times New Roman" w:cs="Times New Roman"/>
          <w:i/>
          <w:iCs/>
          <w:lang w:eastAsia="zh-CN"/>
        </w:rPr>
        <w:t>restoratif justice</w:t>
      </w:r>
      <w:r>
        <w:rPr>
          <w:rFonts w:ascii="Times New Roman" w:hAnsi="Times New Roman" w:cs="Times New Roman"/>
          <w:lang w:eastAsia="zh-CN"/>
        </w:rPr>
        <w:t xml:space="preserve"> adalah memberdayakan korban, dimana pelaku didorong agar memperhatiakan pemulihan. Keadilan </w:t>
      </w:r>
      <w:r>
        <w:rPr>
          <w:rFonts w:ascii="Times New Roman" w:hAnsi="Times New Roman" w:cs="Times New Roman"/>
          <w:i/>
          <w:lang w:eastAsia="zh-CN"/>
        </w:rPr>
        <w:t>restoratif</w:t>
      </w:r>
      <w:r>
        <w:rPr>
          <w:rFonts w:ascii="Times New Roman" w:hAnsi="Times New Roman" w:cs="Times New Roman"/>
          <w:lang w:eastAsia="zh-CN"/>
        </w:rPr>
        <w:t xml:space="preserve"> mementingkan terpenuhinya kebutuhan material, emosional, dan sosial sang korban.</w:t>
      </w:r>
      <w:r>
        <w:rPr>
          <w:rStyle w:val="FootnoteReference"/>
          <w:rFonts w:ascii="Times New Roman" w:hAnsi="Times New Roman" w:cs="Times New Roman"/>
          <w:lang w:eastAsia="zh-CN"/>
        </w:rPr>
        <w:footnoteReference w:id="25"/>
      </w:r>
      <w:r>
        <w:rPr>
          <w:rFonts w:ascii="Times New Roman" w:hAnsi="Times New Roman" w:cs="Times New Roman"/>
          <w:lang w:eastAsia="zh-CN"/>
        </w:rPr>
        <w:t xml:space="preserve"> </w:t>
      </w:r>
    </w:p>
    <w:p w:rsidR="00567E71" w:rsidRDefault="00567E71" w:rsidP="00567E71">
      <w:pPr>
        <w:pStyle w:val="Default"/>
        <w:spacing w:line="480" w:lineRule="auto"/>
        <w:ind w:firstLine="709"/>
        <w:jc w:val="both"/>
        <w:rPr>
          <w:rFonts w:ascii="Times New Roman" w:hAnsi="Times New Roman" w:cs="Times New Roman"/>
          <w:lang w:eastAsia="id-ID"/>
        </w:rPr>
      </w:pPr>
      <w:r>
        <w:rPr>
          <w:rFonts w:ascii="Times New Roman" w:hAnsi="Times New Roman" w:cs="Times New Roman"/>
          <w:lang w:eastAsia="zh-CN"/>
        </w:rPr>
        <w:t xml:space="preserve">Keberhasilan keadilan </w:t>
      </w:r>
      <w:r>
        <w:rPr>
          <w:rFonts w:ascii="Times New Roman" w:hAnsi="Times New Roman" w:cs="Times New Roman"/>
          <w:i/>
          <w:lang w:eastAsia="zh-CN"/>
        </w:rPr>
        <w:t>restoratif</w:t>
      </w:r>
      <w:r>
        <w:rPr>
          <w:rFonts w:ascii="Times New Roman" w:hAnsi="Times New Roman" w:cs="Times New Roman"/>
          <w:lang w:eastAsia="zh-CN"/>
        </w:rPr>
        <w:t xml:space="preserve">, diukur oleh sebesar </w:t>
      </w:r>
      <w:proofErr w:type="gramStart"/>
      <w:r>
        <w:rPr>
          <w:rFonts w:ascii="Times New Roman" w:hAnsi="Times New Roman" w:cs="Times New Roman"/>
          <w:lang w:eastAsia="zh-CN"/>
        </w:rPr>
        <w:t>apa</w:t>
      </w:r>
      <w:proofErr w:type="gramEnd"/>
      <w:r>
        <w:rPr>
          <w:rFonts w:ascii="Times New Roman" w:hAnsi="Times New Roman" w:cs="Times New Roman"/>
          <w:lang w:eastAsia="zh-CN"/>
        </w:rPr>
        <w:t xml:space="preserve"> kerugian yang telah dipulihkan pelaku, bukan diukur oleh seberat apa pidana yang dijatuhkan hakim. Intinya, sedapat mungkin pelaku dikeluarkan dari proses pidana dan dari penjara. Tapi, seperti yang dikatakan Kent Roach, keadilan </w:t>
      </w:r>
      <w:r>
        <w:rPr>
          <w:rFonts w:ascii="Times New Roman" w:hAnsi="Times New Roman" w:cs="Times New Roman"/>
          <w:i/>
          <w:lang w:eastAsia="zh-CN"/>
        </w:rPr>
        <w:t>restoratif</w:t>
      </w:r>
      <w:r>
        <w:rPr>
          <w:rFonts w:ascii="Times New Roman" w:hAnsi="Times New Roman" w:cs="Times New Roman"/>
          <w:lang w:eastAsia="zh-CN"/>
        </w:rPr>
        <w:t xml:space="preserve"> bukan hanya memberikan alternatif bagi penuntutan dan pemenjaraan, melainkan juga meminta </w:t>
      </w:r>
      <w:r>
        <w:rPr>
          <w:rFonts w:ascii="Times New Roman" w:hAnsi="Times New Roman" w:cs="Times New Roman"/>
          <w:lang w:eastAsia="zh-CN"/>
        </w:rPr>
        <w:lastRenderedPageBreak/>
        <w:t xml:space="preserve">tanggungjawab pelaku. Tindakan kriminal dalam keadilan </w:t>
      </w:r>
      <w:r>
        <w:rPr>
          <w:rFonts w:ascii="Times New Roman" w:hAnsi="Times New Roman" w:cs="Times New Roman"/>
          <w:i/>
          <w:lang w:eastAsia="zh-CN"/>
        </w:rPr>
        <w:t>restoratif</w:t>
      </w:r>
      <w:r>
        <w:rPr>
          <w:rFonts w:ascii="Times New Roman" w:hAnsi="Times New Roman" w:cs="Times New Roman"/>
          <w:lang w:eastAsia="zh-CN"/>
        </w:rPr>
        <w:t>, ditafsirkan sebagai pelanggaran terhadap hukum dan negara, lagi pula yang dihadapi pelaku adalah korban dan komunitasnya, bukan pemerintah.</w:t>
      </w:r>
      <w:r>
        <w:rPr>
          <w:rFonts w:ascii="Times New Roman" w:hAnsi="Times New Roman" w:cs="Times New Roman"/>
          <w:i/>
          <w:iCs/>
        </w:rPr>
        <w:t xml:space="preserve">Restoratif justice </w:t>
      </w:r>
      <w:r>
        <w:rPr>
          <w:rFonts w:ascii="Times New Roman" w:hAnsi="Times New Roman" w:cs="Times New Roman"/>
        </w:rPr>
        <w:t>bertujuan untuk memberdayakan para korban, pelaku, keluarga, dan masyarakat untuk memperbaiki suatu perbuatan melawan hukum dengan menggunakan kesadaran dan keinsyafan sebagai landasan untuk memperbaiki kehidupan bermasyarakat.</w:t>
      </w:r>
      <w:r>
        <w:rPr>
          <w:rStyle w:val="FootnoteReference"/>
          <w:rFonts w:ascii="Times New Roman" w:hAnsi="Times New Roman" w:cs="Times New Roman"/>
        </w:rPr>
        <w:footnoteReference w:id="26"/>
      </w:r>
    </w:p>
    <w:p w:rsidR="00567E71" w:rsidRDefault="00567E71" w:rsidP="00567E71">
      <w:r>
        <w:rPr>
          <w:color w:val="000000"/>
          <w:lang w:eastAsia="zh-CN"/>
        </w:rPr>
        <w:t xml:space="preserve">Proses penyelesaian perkara, </w:t>
      </w:r>
      <w:r>
        <w:rPr>
          <w:i/>
          <w:iCs/>
          <w:color w:val="000000"/>
          <w:lang w:eastAsia="zh-CN"/>
        </w:rPr>
        <w:t>restoratif justice</w:t>
      </w:r>
      <w:r>
        <w:rPr>
          <w:color w:val="000000"/>
          <w:lang w:eastAsia="zh-CN"/>
        </w:rPr>
        <w:t xml:space="preserve"> tidak lagi menggunakan cara-cara konvensional yang selama ini digunakan dalam sistem peradilan pidana, yang hanya berfokus pada mencari siapa yang benar dan siapa yang salah, serta mencari hukuman </w:t>
      </w:r>
      <w:proofErr w:type="gramStart"/>
      <w:r>
        <w:rPr>
          <w:color w:val="000000"/>
          <w:lang w:eastAsia="zh-CN"/>
        </w:rPr>
        <w:t>apa</w:t>
      </w:r>
      <w:proofErr w:type="gramEnd"/>
      <w:r>
        <w:rPr>
          <w:color w:val="000000"/>
          <w:lang w:eastAsia="zh-CN"/>
        </w:rPr>
        <w:t xml:space="preserve"> yang pantas diberikan kepada pihak yang bersalah tersebut. Sementara dalam penyelesaian perkara melalui </w:t>
      </w:r>
      <w:r>
        <w:rPr>
          <w:i/>
          <w:iCs/>
          <w:color w:val="000000"/>
          <w:lang w:eastAsia="zh-CN"/>
        </w:rPr>
        <w:t>restoratif justice</w:t>
      </w:r>
      <w:r>
        <w:rPr>
          <w:color w:val="000000"/>
          <w:lang w:eastAsia="zh-CN"/>
        </w:rPr>
        <w:t xml:space="preserve"> bukan lagi kedua hal tersebut, yang diinginkan oleh </w:t>
      </w:r>
      <w:r>
        <w:rPr>
          <w:i/>
          <w:iCs/>
          <w:color w:val="000000"/>
          <w:lang w:eastAsia="zh-CN"/>
        </w:rPr>
        <w:t>restoratif justice</w:t>
      </w:r>
      <w:r>
        <w:rPr>
          <w:color w:val="000000"/>
          <w:lang w:eastAsia="zh-CN"/>
        </w:rPr>
        <w:t xml:space="preserve"> adalah sebuah pemulihan terhadap pelaku agar ia tidak lagi melakukan kejahatan, pemulihan turut pula ditujukan kepada korban sebagai pihak yang dirugikan serta hubungan antar korban, pelaku serta masyarakat agar jalannya kehidupan dapat kembali seperti semula.</w:t>
      </w:r>
      <w:r>
        <w:rPr>
          <w:color w:val="000000"/>
          <w:sz w:val="16"/>
          <w:szCs w:val="16"/>
        </w:rPr>
        <w:t xml:space="preserve"> </w:t>
      </w:r>
    </w:p>
    <w:p w:rsidR="00CE7FEB" w:rsidRPr="00567E71" w:rsidRDefault="00CE7FEB" w:rsidP="00567E71"/>
    <w:sectPr w:rsidR="00CE7FEB" w:rsidRPr="00567E71"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E52" w:rsidRDefault="008E4E52" w:rsidP="002D79FF">
      <w:r>
        <w:separator/>
      </w:r>
    </w:p>
  </w:endnote>
  <w:endnote w:type="continuationSeparator" w:id="0">
    <w:p w:rsidR="008E4E52" w:rsidRDefault="008E4E52"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8E4E52">
    <w:pPr>
      <w:pStyle w:val="Footer"/>
      <w:jc w:val="center"/>
    </w:pPr>
  </w:p>
  <w:p w:rsidR="00630637" w:rsidRDefault="008E4E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E52" w:rsidRDefault="008E4E52" w:rsidP="002D79FF">
      <w:r>
        <w:separator/>
      </w:r>
    </w:p>
  </w:footnote>
  <w:footnote w:type="continuationSeparator" w:id="0">
    <w:p w:rsidR="008E4E52" w:rsidRDefault="008E4E52" w:rsidP="002D79FF">
      <w:r>
        <w:continuationSeparator/>
      </w:r>
    </w:p>
  </w:footnote>
  <w:footnote w:id="1">
    <w:p w:rsidR="00567E71" w:rsidRDefault="00567E71" w:rsidP="00567E71">
      <w:pPr>
        <w:pStyle w:val="FootnoteText"/>
        <w:ind w:firstLine="709"/>
        <w:jc w:val="both"/>
        <w:rPr>
          <w:color w:val="000000"/>
        </w:rPr>
      </w:pPr>
      <w:r>
        <w:rPr>
          <w:rStyle w:val="FootnoteReference"/>
          <w:color w:val="000000"/>
        </w:rPr>
        <w:footnoteRef/>
      </w:r>
      <w:r>
        <w:rPr>
          <w:color w:val="000000"/>
        </w:rPr>
        <w:t xml:space="preserve"> </w:t>
      </w:r>
      <w:bookmarkStart w:id="2" w:name="_Hlk181204004"/>
      <w:r>
        <w:rPr>
          <w:color w:val="000000"/>
        </w:rPr>
        <w:t xml:space="preserve">Muhammad Haeykel dan  </w:t>
      </w:r>
      <w:hyperlink r:id="rId1" w:history="1">
        <w:r>
          <w:rPr>
            <w:rStyle w:val="Hyperlink"/>
            <w:color w:val="000000"/>
          </w:rPr>
          <w:t>Indra Gunawan Purba</w:t>
        </w:r>
      </w:hyperlink>
      <w:r>
        <w:rPr>
          <w:color w:val="000000"/>
        </w:rPr>
        <w:t xml:space="preserve">, “Pertangggung Jawaban Pelaku Tindak Pidana Penggelapan Yang Dilakukan Karyawan Toko Emas (Studi Putusan Pengadilan Negeri Medan No.2284/Pid.B/2022/PN Mdn)”, diunduh melalui </w:t>
      </w:r>
      <w:hyperlink r:id="rId2" w:history="1">
        <w:r>
          <w:rPr>
            <w:rStyle w:val="Hyperlink"/>
            <w:i/>
            <w:color w:val="000000"/>
          </w:rPr>
          <w:t>https://scholar.google.co.id/citations</w:t>
        </w:r>
      </w:hyperlink>
      <w:r>
        <w:rPr>
          <w:color w:val="000000"/>
        </w:rPr>
        <w:t xml:space="preserve">, diakses Selasa 11 Maret 2005, </w:t>
      </w:r>
      <w:bookmarkEnd w:id="2"/>
      <w:r>
        <w:rPr>
          <w:color w:val="000000"/>
        </w:rPr>
        <w:t>h.60.</w:t>
      </w:r>
    </w:p>
  </w:footnote>
  <w:footnote w:id="2">
    <w:p w:rsidR="00567E71" w:rsidRDefault="00567E71" w:rsidP="00567E71">
      <w:pPr>
        <w:pStyle w:val="FootnoteText"/>
        <w:ind w:firstLine="709"/>
        <w:jc w:val="both"/>
        <w:rPr>
          <w:color w:val="000000"/>
        </w:rPr>
      </w:pPr>
      <w:r>
        <w:rPr>
          <w:rStyle w:val="FootnoteReference"/>
          <w:color w:val="000000"/>
        </w:rPr>
        <w:footnoteRef/>
      </w:r>
      <w:r>
        <w:rPr>
          <w:color w:val="000000"/>
        </w:rPr>
        <w:t xml:space="preserve"> P.A.F. Lamintang, </w:t>
      </w:r>
      <w:r>
        <w:rPr>
          <w:i/>
          <w:iCs/>
          <w:color w:val="000000"/>
        </w:rPr>
        <w:t>Dasar-Dasar Hukum Pidana Indonesia</w:t>
      </w:r>
      <w:r>
        <w:rPr>
          <w:color w:val="000000"/>
        </w:rPr>
        <w:t xml:space="preserve">, Citra Aditya Bakti, Bandung, 2011, h. 182  </w:t>
      </w:r>
    </w:p>
  </w:footnote>
  <w:footnote w:id="3">
    <w:p w:rsidR="00567E71" w:rsidRDefault="00567E71" w:rsidP="00567E71">
      <w:pPr>
        <w:pStyle w:val="FootnoteText"/>
        <w:ind w:firstLine="709"/>
        <w:jc w:val="both"/>
        <w:rPr>
          <w:color w:val="000000"/>
        </w:rPr>
      </w:pPr>
      <w:r>
        <w:rPr>
          <w:rStyle w:val="FootnoteReference"/>
          <w:color w:val="000000"/>
        </w:rPr>
        <w:footnoteRef/>
      </w:r>
      <w:r>
        <w:rPr>
          <w:color w:val="000000"/>
        </w:rPr>
        <w:t xml:space="preserve"> </w:t>
      </w:r>
      <w:bookmarkStart w:id="3" w:name="_Hlk178700994"/>
      <w:r>
        <w:rPr>
          <w:color w:val="000000"/>
        </w:rPr>
        <w:t xml:space="preserve">Moeljatno, </w:t>
      </w:r>
      <w:r>
        <w:rPr>
          <w:i/>
          <w:color w:val="000000"/>
        </w:rPr>
        <w:t xml:space="preserve">Asas-Asas Hukum Pidana, </w:t>
      </w:r>
      <w:r>
        <w:rPr>
          <w:color w:val="000000"/>
        </w:rPr>
        <w:t>Rineka Cipta, Jakarta, 2018</w:t>
      </w:r>
      <w:bookmarkEnd w:id="3"/>
      <w:r>
        <w:rPr>
          <w:color w:val="000000"/>
        </w:rPr>
        <w:t>, h.22.</w:t>
      </w:r>
    </w:p>
  </w:footnote>
  <w:footnote w:id="4">
    <w:p w:rsidR="00567E71" w:rsidRDefault="00567E71" w:rsidP="00567E71">
      <w:pPr>
        <w:pStyle w:val="FootnoteText"/>
        <w:ind w:firstLine="709"/>
        <w:jc w:val="both"/>
        <w:rPr>
          <w:color w:val="000000"/>
        </w:rPr>
      </w:pPr>
      <w:r>
        <w:rPr>
          <w:rStyle w:val="FootnoteReference"/>
          <w:color w:val="000000"/>
        </w:rPr>
        <w:footnoteRef/>
      </w:r>
      <w:r>
        <w:rPr>
          <w:color w:val="000000"/>
        </w:rPr>
        <w:t xml:space="preserve"> </w:t>
      </w:r>
      <w:proofErr w:type="gramStart"/>
      <w:r>
        <w:rPr>
          <w:bCs/>
          <w:i/>
          <w:iCs/>
          <w:color w:val="000000"/>
        </w:rPr>
        <w:t>Ibid.,</w:t>
      </w:r>
      <w:proofErr w:type="gramEnd"/>
      <w:r>
        <w:rPr>
          <w:color w:val="000000"/>
        </w:rPr>
        <w:t xml:space="preserve"> h.23.</w:t>
      </w:r>
    </w:p>
  </w:footnote>
  <w:footnote w:id="5">
    <w:p w:rsidR="00567E71" w:rsidRDefault="00567E71" w:rsidP="00567E71">
      <w:pPr>
        <w:pStyle w:val="FootnoteText"/>
        <w:ind w:firstLine="709"/>
        <w:jc w:val="both"/>
        <w:rPr>
          <w:color w:val="000000"/>
        </w:rPr>
      </w:pPr>
      <w:r>
        <w:rPr>
          <w:rStyle w:val="FootnoteReference"/>
          <w:color w:val="000000"/>
        </w:rPr>
        <w:footnoteRef/>
      </w:r>
      <w:bookmarkStart w:id="4" w:name="_Hlk178701016"/>
      <w:r>
        <w:rPr>
          <w:color w:val="000000"/>
        </w:rPr>
        <w:t>R. Wirdjono Prodjodikoro,</w:t>
      </w:r>
      <w:r>
        <w:rPr>
          <w:i/>
          <w:color w:val="000000"/>
        </w:rPr>
        <w:t xml:space="preserve"> </w:t>
      </w:r>
      <w:r>
        <w:rPr>
          <w:i/>
          <w:iCs/>
          <w:color w:val="000000"/>
        </w:rPr>
        <w:t xml:space="preserve">Tindak Pidana Tertentu Dalam KUH.Pidana Indonesia, </w:t>
      </w:r>
      <w:r>
        <w:rPr>
          <w:color w:val="000000"/>
        </w:rPr>
        <w:t>Eresco, Bandung 2002</w:t>
      </w:r>
      <w:bookmarkEnd w:id="4"/>
      <w:r>
        <w:rPr>
          <w:color w:val="000000"/>
        </w:rPr>
        <w:t>, h. 75.</w:t>
      </w:r>
    </w:p>
  </w:footnote>
  <w:footnote w:id="6">
    <w:p w:rsidR="00567E71" w:rsidRDefault="00567E71" w:rsidP="00567E71">
      <w:pPr>
        <w:pStyle w:val="FootnoteText"/>
        <w:ind w:firstLine="709"/>
        <w:jc w:val="both"/>
        <w:rPr>
          <w:color w:val="000000"/>
        </w:rPr>
      </w:pPr>
      <w:r>
        <w:rPr>
          <w:rStyle w:val="FootnoteReference"/>
          <w:color w:val="000000"/>
        </w:rPr>
        <w:footnoteRef/>
      </w:r>
      <w:r>
        <w:rPr>
          <w:color w:val="000000"/>
        </w:rPr>
        <w:t xml:space="preserve"> </w:t>
      </w:r>
      <w:proofErr w:type="gramStart"/>
      <w:r>
        <w:rPr>
          <w:i/>
          <w:color w:val="000000"/>
        </w:rPr>
        <w:t>Ibid</w:t>
      </w:r>
      <w:r>
        <w:rPr>
          <w:bCs/>
          <w:i/>
          <w:color w:val="000000"/>
        </w:rPr>
        <w:t>.,</w:t>
      </w:r>
      <w:proofErr w:type="gramEnd"/>
      <w:r>
        <w:rPr>
          <w:color w:val="000000"/>
        </w:rPr>
        <w:t xml:space="preserve"> h. 78.</w:t>
      </w:r>
    </w:p>
  </w:footnote>
  <w:footnote w:id="7">
    <w:p w:rsidR="00567E71" w:rsidRDefault="00567E71" w:rsidP="00567E71">
      <w:pPr>
        <w:pStyle w:val="FootnoteText"/>
        <w:ind w:firstLine="709"/>
        <w:jc w:val="both"/>
        <w:rPr>
          <w:color w:val="000000"/>
        </w:rPr>
      </w:pPr>
      <w:r>
        <w:rPr>
          <w:rStyle w:val="FootnoteReference"/>
          <w:color w:val="000000"/>
        </w:rPr>
        <w:footnoteRef/>
      </w:r>
      <w:r>
        <w:rPr>
          <w:color w:val="000000"/>
        </w:rPr>
        <w:t xml:space="preserve"> </w:t>
      </w:r>
      <w:proofErr w:type="gramStart"/>
      <w:r>
        <w:rPr>
          <w:i/>
          <w:color w:val="000000"/>
        </w:rPr>
        <w:t>Ibid</w:t>
      </w:r>
      <w:r>
        <w:rPr>
          <w:color w:val="000000"/>
        </w:rPr>
        <w:t>.,</w:t>
      </w:r>
      <w:proofErr w:type="gramEnd"/>
      <w:r>
        <w:rPr>
          <w:color w:val="000000"/>
        </w:rPr>
        <w:t xml:space="preserve"> h.80.  </w:t>
      </w:r>
    </w:p>
  </w:footnote>
  <w:footnote w:id="8">
    <w:p w:rsidR="00567E71" w:rsidRDefault="00567E71" w:rsidP="00567E71">
      <w:pPr>
        <w:pStyle w:val="FootnoteText"/>
        <w:ind w:firstLine="709"/>
        <w:jc w:val="both"/>
        <w:rPr>
          <w:color w:val="000000"/>
        </w:rPr>
      </w:pPr>
      <w:r>
        <w:rPr>
          <w:rStyle w:val="FootnoteReference"/>
          <w:color w:val="000000"/>
        </w:rPr>
        <w:footnoteRef/>
      </w:r>
      <w:r>
        <w:rPr>
          <w:color w:val="000000"/>
        </w:rPr>
        <w:t xml:space="preserve"> </w:t>
      </w:r>
      <w:proofErr w:type="gramStart"/>
      <w:r>
        <w:rPr>
          <w:i/>
          <w:color w:val="000000"/>
        </w:rPr>
        <w:t>Ibid</w:t>
      </w:r>
      <w:r>
        <w:rPr>
          <w:color w:val="000000"/>
        </w:rPr>
        <w:t>.,</w:t>
      </w:r>
      <w:proofErr w:type="gramEnd"/>
      <w:r>
        <w:rPr>
          <w:color w:val="000000"/>
        </w:rPr>
        <w:t xml:space="preserve"> h. 81.</w:t>
      </w:r>
    </w:p>
  </w:footnote>
  <w:footnote w:id="9">
    <w:p w:rsidR="00567E71" w:rsidRDefault="00567E71" w:rsidP="00567E71">
      <w:pPr>
        <w:pStyle w:val="FootnoteText"/>
        <w:ind w:firstLine="709"/>
        <w:jc w:val="both"/>
        <w:rPr>
          <w:color w:val="000000"/>
        </w:rPr>
      </w:pPr>
      <w:r>
        <w:rPr>
          <w:rStyle w:val="FootnoteReference"/>
          <w:color w:val="000000"/>
        </w:rPr>
        <w:footnoteRef/>
      </w:r>
      <w:bookmarkStart w:id="6" w:name="_Hlk178701038"/>
      <w:r>
        <w:rPr>
          <w:color w:val="000000"/>
        </w:rPr>
        <w:t xml:space="preserve">Bambang Poernomo, </w:t>
      </w:r>
      <w:r>
        <w:rPr>
          <w:i/>
          <w:iCs/>
          <w:color w:val="000000"/>
        </w:rPr>
        <w:t>Asas-asas Hukum Pidana</w:t>
      </w:r>
      <w:r>
        <w:rPr>
          <w:color w:val="000000"/>
        </w:rPr>
        <w:t>, Ghalia Indonesia, Yogyakarta, 2016</w:t>
      </w:r>
      <w:bookmarkEnd w:id="6"/>
      <w:r>
        <w:rPr>
          <w:color w:val="000000"/>
        </w:rPr>
        <w:t xml:space="preserve">, h.155.  </w:t>
      </w:r>
    </w:p>
  </w:footnote>
  <w:footnote w:id="10">
    <w:p w:rsidR="00567E71" w:rsidRDefault="00567E71" w:rsidP="00567E71">
      <w:pPr>
        <w:pStyle w:val="FootnoteText"/>
        <w:ind w:firstLine="709"/>
        <w:jc w:val="both"/>
        <w:rPr>
          <w:color w:val="000000"/>
        </w:rPr>
      </w:pPr>
      <w:r>
        <w:rPr>
          <w:rStyle w:val="FootnoteReference"/>
          <w:color w:val="000000"/>
        </w:rPr>
        <w:footnoteRef/>
      </w:r>
      <w:r>
        <w:rPr>
          <w:color w:val="000000"/>
        </w:rPr>
        <w:t xml:space="preserve"> </w:t>
      </w:r>
      <w:r>
        <w:rPr>
          <w:i/>
          <w:color w:val="000000"/>
        </w:rPr>
        <w:t>Ibid</w:t>
      </w:r>
      <w:r>
        <w:rPr>
          <w:color w:val="000000"/>
        </w:rPr>
        <w:t>, h. 156.</w:t>
      </w:r>
    </w:p>
  </w:footnote>
  <w:footnote w:id="11">
    <w:p w:rsidR="00567E71" w:rsidRDefault="00567E71" w:rsidP="00567E71">
      <w:pPr>
        <w:pStyle w:val="FootnoteText"/>
        <w:ind w:firstLine="709"/>
        <w:jc w:val="both"/>
        <w:rPr>
          <w:color w:val="000000"/>
        </w:rPr>
      </w:pPr>
      <w:r>
        <w:rPr>
          <w:rStyle w:val="FootnoteReference"/>
          <w:color w:val="000000"/>
        </w:rPr>
        <w:footnoteRef/>
      </w:r>
      <w:proofErr w:type="gramStart"/>
      <w:r>
        <w:rPr>
          <w:i/>
          <w:color w:val="000000"/>
        </w:rPr>
        <w:t>Ibid</w:t>
      </w:r>
      <w:r>
        <w:rPr>
          <w:bCs/>
          <w:i/>
          <w:color w:val="000000"/>
        </w:rPr>
        <w:t>.</w:t>
      </w:r>
      <w:r>
        <w:rPr>
          <w:color w:val="000000"/>
        </w:rPr>
        <w:t>,</w:t>
      </w:r>
      <w:proofErr w:type="gramEnd"/>
      <w:r>
        <w:rPr>
          <w:color w:val="000000"/>
        </w:rPr>
        <w:t xml:space="preserve"> h.157.  </w:t>
      </w:r>
    </w:p>
  </w:footnote>
  <w:footnote w:id="12">
    <w:p w:rsidR="00567E71" w:rsidRDefault="00567E71" w:rsidP="00567E71">
      <w:pPr>
        <w:pStyle w:val="FootnoteText"/>
        <w:ind w:firstLine="709"/>
        <w:jc w:val="both"/>
        <w:rPr>
          <w:color w:val="000000"/>
        </w:rPr>
      </w:pPr>
      <w:r>
        <w:rPr>
          <w:rStyle w:val="FootnoteReference"/>
          <w:color w:val="000000"/>
        </w:rPr>
        <w:footnoteRef/>
      </w:r>
      <w:r>
        <w:rPr>
          <w:color w:val="000000"/>
        </w:rPr>
        <w:t xml:space="preserve"> </w:t>
      </w:r>
      <w:bookmarkStart w:id="7" w:name="_Hlk178701059"/>
      <w:r>
        <w:rPr>
          <w:color w:val="000000"/>
        </w:rPr>
        <w:t xml:space="preserve">Teguh Prasetyo, </w:t>
      </w:r>
      <w:r>
        <w:rPr>
          <w:i/>
          <w:iCs/>
          <w:color w:val="000000"/>
        </w:rPr>
        <w:t>Hukum Pidana</w:t>
      </w:r>
      <w:r>
        <w:rPr>
          <w:color w:val="000000"/>
        </w:rPr>
        <w:t xml:space="preserve">, Rajawali Pers, Jakarta, 2016, </w:t>
      </w:r>
      <w:bookmarkEnd w:id="7"/>
      <w:r>
        <w:rPr>
          <w:color w:val="000000"/>
        </w:rPr>
        <w:t xml:space="preserve">h.65.  </w:t>
      </w:r>
    </w:p>
  </w:footnote>
  <w:footnote w:id="13">
    <w:p w:rsidR="00567E71" w:rsidRDefault="00567E71" w:rsidP="00567E71">
      <w:pPr>
        <w:pStyle w:val="FootnoteText"/>
        <w:ind w:firstLine="709"/>
        <w:jc w:val="both"/>
        <w:rPr>
          <w:color w:val="000000"/>
        </w:rPr>
      </w:pPr>
      <w:r>
        <w:rPr>
          <w:rStyle w:val="FootnoteReference"/>
          <w:color w:val="000000"/>
        </w:rPr>
        <w:footnoteRef/>
      </w:r>
      <w:r>
        <w:rPr>
          <w:color w:val="000000"/>
        </w:rPr>
        <w:t xml:space="preserve"> </w:t>
      </w:r>
      <w:bookmarkStart w:id="8" w:name="_Hlk178701129"/>
      <w:r>
        <w:rPr>
          <w:color w:val="000000"/>
        </w:rPr>
        <w:t xml:space="preserve">Adami Chazawi, </w:t>
      </w:r>
      <w:r>
        <w:rPr>
          <w:i/>
          <w:iCs/>
          <w:color w:val="000000"/>
        </w:rPr>
        <w:t>Pelajaran Hukum Pidana Bagian 2</w:t>
      </w:r>
      <w:r>
        <w:rPr>
          <w:color w:val="000000"/>
        </w:rPr>
        <w:t>, Raja Grafindo Persada, Jakarta, 2018</w:t>
      </w:r>
      <w:bookmarkEnd w:id="8"/>
      <w:r>
        <w:rPr>
          <w:color w:val="000000"/>
        </w:rPr>
        <w:t>, h. 67.</w:t>
      </w:r>
    </w:p>
  </w:footnote>
  <w:footnote w:id="14">
    <w:p w:rsidR="00567E71" w:rsidRDefault="00567E71" w:rsidP="00567E71">
      <w:pPr>
        <w:pStyle w:val="FootnoteText"/>
        <w:ind w:firstLine="709"/>
        <w:jc w:val="both"/>
        <w:rPr>
          <w:color w:val="000000"/>
        </w:rPr>
      </w:pPr>
      <w:r>
        <w:rPr>
          <w:rStyle w:val="FootnoteReference"/>
          <w:color w:val="000000"/>
        </w:rPr>
        <w:footnoteRef/>
      </w:r>
      <w:bookmarkStart w:id="12" w:name="_Hlk147421785"/>
      <w:r>
        <w:rPr>
          <w:color w:val="000000"/>
        </w:rPr>
        <w:t xml:space="preserve">Haposan Sahala Raja Sinaga, “Penerapan Restorative Justice Dalam Perkara Narkotika Di Indonesia”, </w:t>
      </w:r>
      <w:r>
        <w:rPr>
          <w:i/>
          <w:color w:val="000000"/>
        </w:rPr>
        <w:t>Jurnal Hukum Lex Generalis</w:t>
      </w:r>
      <w:r>
        <w:rPr>
          <w:color w:val="000000"/>
        </w:rPr>
        <w:t>. Vol.2. No.7 (Juli 2021</w:t>
      </w:r>
      <w:bookmarkEnd w:id="12"/>
      <w:r>
        <w:rPr>
          <w:color w:val="000000"/>
        </w:rPr>
        <w:t>), h.531.</w:t>
      </w:r>
    </w:p>
  </w:footnote>
  <w:footnote w:id="15">
    <w:p w:rsidR="00567E71" w:rsidRDefault="00567E71" w:rsidP="00567E71">
      <w:pPr>
        <w:pStyle w:val="FootnoteText"/>
        <w:jc w:val="both"/>
        <w:rPr>
          <w:color w:val="000000"/>
        </w:rPr>
      </w:pPr>
      <w:r>
        <w:rPr>
          <w:color w:val="000000"/>
        </w:rPr>
        <w:tab/>
      </w:r>
      <w:r>
        <w:rPr>
          <w:rStyle w:val="FootnoteReference"/>
          <w:color w:val="000000"/>
        </w:rPr>
        <w:footnoteRef/>
      </w:r>
      <w:bookmarkStart w:id="13" w:name="_Hlk178701177"/>
      <w:r>
        <w:rPr>
          <w:color w:val="000000"/>
        </w:rPr>
        <w:t xml:space="preserve">Rufinus Hutahuruk, </w:t>
      </w:r>
      <w:r>
        <w:rPr>
          <w:i/>
          <w:color w:val="000000"/>
        </w:rPr>
        <w:t>Penanggulangan Kejahatan Korporasi Melalui Pendekatan Restoratif Suatu Terobosan Hukum,</w:t>
      </w:r>
      <w:r>
        <w:rPr>
          <w:color w:val="000000"/>
        </w:rPr>
        <w:t xml:space="preserve"> Sinar Grafika, Jakarta, 2013</w:t>
      </w:r>
      <w:bookmarkEnd w:id="13"/>
      <w:r>
        <w:rPr>
          <w:color w:val="000000"/>
        </w:rPr>
        <w:t>, h.106</w:t>
      </w:r>
    </w:p>
  </w:footnote>
  <w:footnote w:id="16">
    <w:p w:rsidR="00567E71" w:rsidRDefault="00567E71" w:rsidP="00567E71">
      <w:pPr>
        <w:pStyle w:val="FootnoteText"/>
        <w:ind w:firstLine="709"/>
        <w:rPr>
          <w:color w:val="000000"/>
        </w:rPr>
      </w:pPr>
      <w:r>
        <w:rPr>
          <w:rStyle w:val="FootnoteReference"/>
          <w:color w:val="000000"/>
        </w:rPr>
        <w:footnoteRef/>
      </w:r>
      <w:r>
        <w:rPr>
          <w:i/>
          <w:color w:val="000000"/>
        </w:rPr>
        <w:t>Ibid</w:t>
      </w:r>
      <w:r>
        <w:rPr>
          <w:color w:val="000000"/>
        </w:rPr>
        <w:t>, h.107.</w:t>
      </w:r>
    </w:p>
  </w:footnote>
  <w:footnote w:id="17">
    <w:p w:rsidR="00567E71" w:rsidRDefault="00567E71" w:rsidP="00567E71">
      <w:pPr>
        <w:pStyle w:val="Heading1"/>
        <w:spacing w:line="240" w:lineRule="auto"/>
        <w:ind w:firstLine="709"/>
        <w:rPr>
          <w:rFonts w:ascii="Times New Roman" w:hAnsi="Times New Roman"/>
          <w:b w:val="0"/>
          <w:sz w:val="20"/>
        </w:rPr>
      </w:pPr>
      <w:r>
        <w:rPr>
          <w:rStyle w:val="FootnoteReference"/>
          <w:rFonts w:ascii="Times New Roman" w:hAnsi="Times New Roman"/>
          <w:b w:val="0"/>
          <w:sz w:val="20"/>
        </w:rPr>
        <w:footnoteRef/>
      </w:r>
      <w:r>
        <w:rPr>
          <w:rStyle w:val="Strong"/>
          <w:sz w:val="20"/>
        </w:rPr>
        <w:t>Henny Saida Flora, “</w:t>
      </w:r>
      <w:r>
        <w:rPr>
          <w:rFonts w:ascii="Times New Roman" w:hAnsi="Times New Roman"/>
          <w:b w:val="0"/>
          <w:sz w:val="20"/>
        </w:rPr>
        <w:t xml:space="preserve">Keadilan Restoratif Sebagai Alternatif Dalam Penyelesaian Tindak Pidana Dan Pengaruhnya Dalam Sistem Peradilan Pidana Di Indonesia”, </w:t>
      </w:r>
      <w:r>
        <w:rPr>
          <w:rFonts w:ascii="Times New Roman" w:hAnsi="Times New Roman"/>
          <w:b w:val="0"/>
          <w:i/>
          <w:sz w:val="20"/>
        </w:rPr>
        <w:t>Law Journal</w:t>
      </w:r>
      <w:r>
        <w:rPr>
          <w:rFonts w:ascii="Times New Roman" w:hAnsi="Times New Roman"/>
          <w:b w:val="0"/>
          <w:sz w:val="20"/>
        </w:rPr>
        <w:t>, Vol.3 No. 2 (2020), hlm.430.</w:t>
      </w:r>
    </w:p>
  </w:footnote>
  <w:footnote w:id="18">
    <w:p w:rsidR="00567E71" w:rsidRDefault="00567E71" w:rsidP="00567E71">
      <w:pPr>
        <w:pStyle w:val="FootnoteText"/>
        <w:ind w:firstLine="709"/>
        <w:jc w:val="both"/>
        <w:rPr>
          <w:color w:val="000000"/>
        </w:rPr>
      </w:pPr>
      <w:r>
        <w:rPr>
          <w:rStyle w:val="FootnoteReference"/>
          <w:color w:val="000000"/>
        </w:rPr>
        <w:footnoteRef/>
      </w:r>
      <w:r>
        <w:rPr>
          <w:color w:val="000000"/>
        </w:rPr>
        <w:t xml:space="preserve"> </w:t>
      </w:r>
      <w:bookmarkStart w:id="15" w:name="_Hlk178701336"/>
      <w:r>
        <w:rPr>
          <w:color w:val="000000"/>
        </w:rPr>
        <w:t xml:space="preserve">Satria, Hariman </w:t>
      </w:r>
      <w:proofErr w:type="gramStart"/>
      <w:r>
        <w:rPr>
          <w:color w:val="000000"/>
        </w:rPr>
        <w:t xml:space="preserve">“ </w:t>
      </w:r>
      <w:r>
        <w:rPr>
          <w:i/>
          <w:iCs/>
          <w:color w:val="000000"/>
        </w:rPr>
        <w:t>Restorative</w:t>
      </w:r>
      <w:proofErr w:type="gramEnd"/>
      <w:r>
        <w:rPr>
          <w:i/>
          <w:iCs/>
          <w:color w:val="000000"/>
        </w:rPr>
        <w:t xml:space="preserve"> Justice: </w:t>
      </w:r>
      <w:r>
        <w:rPr>
          <w:color w:val="000000"/>
        </w:rPr>
        <w:t xml:space="preserve">Paradigma Baru Peradilan Pidana”, </w:t>
      </w:r>
      <w:r>
        <w:rPr>
          <w:i/>
          <w:color w:val="000000"/>
        </w:rPr>
        <w:t>Jurnal Media Hukum</w:t>
      </w:r>
      <w:r>
        <w:rPr>
          <w:color w:val="000000"/>
        </w:rPr>
        <w:t>, Vol. 25, No.1, 2022</w:t>
      </w:r>
      <w:bookmarkEnd w:id="15"/>
      <w:r>
        <w:rPr>
          <w:color w:val="000000"/>
        </w:rPr>
        <w:t>, h.37.</w:t>
      </w:r>
    </w:p>
  </w:footnote>
  <w:footnote w:id="19">
    <w:p w:rsidR="00567E71" w:rsidRDefault="00567E71" w:rsidP="00567E71">
      <w:pPr>
        <w:pStyle w:val="FootnoteText"/>
        <w:ind w:firstLine="709"/>
        <w:rPr>
          <w:color w:val="000000"/>
        </w:rPr>
      </w:pPr>
      <w:r>
        <w:rPr>
          <w:rStyle w:val="FootnoteReference"/>
          <w:color w:val="000000"/>
        </w:rPr>
        <w:footnoteRef/>
      </w:r>
      <w:r>
        <w:rPr>
          <w:color w:val="000000"/>
        </w:rPr>
        <w:t xml:space="preserve"> </w:t>
      </w:r>
      <w:r>
        <w:rPr>
          <w:i/>
          <w:color w:val="000000"/>
        </w:rPr>
        <w:t>Ibid</w:t>
      </w:r>
      <w:r>
        <w:rPr>
          <w:color w:val="000000"/>
        </w:rPr>
        <w:t>, h.39</w:t>
      </w:r>
    </w:p>
  </w:footnote>
  <w:footnote w:id="20">
    <w:p w:rsidR="00567E71" w:rsidRDefault="00567E71" w:rsidP="00567E71">
      <w:pPr>
        <w:pStyle w:val="Default"/>
        <w:ind w:firstLine="709"/>
        <w:jc w:val="both"/>
        <w:rPr>
          <w:rFonts w:ascii="Times New Roman" w:hAnsi="Times New Roman" w:cs="Times New Roman"/>
          <w:sz w:val="20"/>
          <w:szCs w:val="20"/>
        </w:rPr>
      </w:pPr>
      <w:r>
        <w:rPr>
          <w:rStyle w:val="FootnoteReference"/>
          <w:rFonts w:ascii="Times New Roman" w:hAnsi="Times New Roman" w:cs="Times New Roman"/>
          <w:sz w:val="20"/>
          <w:szCs w:val="20"/>
        </w:rPr>
        <w:footnoteRef/>
      </w:r>
      <w:bookmarkStart w:id="16" w:name="_Hlk178701358"/>
      <w:r>
        <w:rPr>
          <w:rFonts w:ascii="Times New Roman" w:hAnsi="Times New Roman" w:cs="Times New Roman"/>
          <w:sz w:val="20"/>
          <w:szCs w:val="20"/>
        </w:rPr>
        <w:t xml:space="preserve">Muladi, </w:t>
      </w:r>
      <w:r>
        <w:rPr>
          <w:rFonts w:ascii="Times New Roman" w:hAnsi="Times New Roman" w:cs="Times New Roman"/>
          <w:i/>
          <w:iCs/>
          <w:sz w:val="20"/>
          <w:szCs w:val="20"/>
        </w:rPr>
        <w:t>Restorative Justice Dalam Sistem Peradilan Pidana Dan Implementasinya Dalam Penyelesaian Tindak Pidana Yang Dilakukan Oleh Anak-Anak</w:t>
      </w:r>
      <w:r>
        <w:rPr>
          <w:rFonts w:ascii="Times New Roman" w:hAnsi="Times New Roman" w:cs="Times New Roman"/>
          <w:sz w:val="20"/>
          <w:szCs w:val="20"/>
        </w:rPr>
        <w:t>, BPHN, Jakarta, 2013</w:t>
      </w:r>
      <w:bookmarkEnd w:id="16"/>
      <w:r>
        <w:rPr>
          <w:rFonts w:ascii="Times New Roman" w:hAnsi="Times New Roman" w:cs="Times New Roman"/>
          <w:sz w:val="20"/>
          <w:szCs w:val="20"/>
        </w:rPr>
        <w:t xml:space="preserve">, h.6.  </w:t>
      </w:r>
    </w:p>
  </w:footnote>
  <w:footnote w:id="21">
    <w:p w:rsidR="00567E71" w:rsidRDefault="00567E71" w:rsidP="00567E71">
      <w:pPr>
        <w:pStyle w:val="FootnoteText"/>
        <w:ind w:firstLine="709"/>
        <w:jc w:val="both"/>
        <w:rPr>
          <w:color w:val="000000"/>
        </w:rPr>
      </w:pPr>
      <w:r>
        <w:rPr>
          <w:rStyle w:val="FootnoteReference"/>
          <w:color w:val="000000"/>
        </w:rPr>
        <w:footnoteRef/>
      </w:r>
      <w:r>
        <w:rPr>
          <w:color w:val="000000"/>
        </w:rPr>
        <w:t xml:space="preserve"> </w:t>
      </w:r>
      <w:bookmarkStart w:id="17" w:name="_Hlk178701375"/>
      <w:r>
        <w:rPr>
          <w:color w:val="000000"/>
        </w:rPr>
        <w:t xml:space="preserve">Marlina, </w:t>
      </w:r>
      <w:r>
        <w:rPr>
          <w:i/>
          <w:iCs/>
          <w:color w:val="000000"/>
        </w:rPr>
        <w:t>Pengantar Konsep Diversi dan Restorative Justice Dalam Hukum Pidana</w:t>
      </w:r>
      <w:r>
        <w:rPr>
          <w:color w:val="000000"/>
        </w:rPr>
        <w:t>, USU Press, Medan, 2010</w:t>
      </w:r>
      <w:bookmarkEnd w:id="17"/>
      <w:r>
        <w:rPr>
          <w:color w:val="000000"/>
        </w:rPr>
        <w:t>, h. 176-178.</w:t>
      </w:r>
    </w:p>
  </w:footnote>
  <w:footnote w:id="22">
    <w:p w:rsidR="00567E71" w:rsidRDefault="00567E71" w:rsidP="00567E71">
      <w:pPr>
        <w:pStyle w:val="FootnoteText"/>
        <w:ind w:firstLine="709"/>
        <w:rPr>
          <w:color w:val="000000"/>
        </w:rPr>
      </w:pPr>
      <w:r>
        <w:rPr>
          <w:rStyle w:val="FootnoteReference"/>
          <w:color w:val="000000"/>
        </w:rPr>
        <w:footnoteRef/>
      </w:r>
      <w:r>
        <w:rPr>
          <w:color w:val="000000"/>
        </w:rPr>
        <w:t xml:space="preserve"> </w:t>
      </w:r>
      <w:r>
        <w:rPr>
          <w:i/>
          <w:color w:val="000000"/>
        </w:rPr>
        <w:t>Ibid</w:t>
      </w:r>
      <w:r>
        <w:rPr>
          <w:color w:val="000000"/>
        </w:rPr>
        <w:t>, h.179-180.</w:t>
      </w:r>
    </w:p>
  </w:footnote>
  <w:footnote w:id="23">
    <w:p w:rsidR="00567E71" w:rsidRDefault="00567E71" w:rsidP="00567E71">
      <w:pPr>
        <w:pStyle w:val="FootnoteText"/>
        <w:ind w:firstLine="709"/>
        <w:rPr>
          <w:color w:val="000000"/>
        </w:rPr>
      </w:pPr>
      <w:r>
        <w:rPr>
          <w:rStyle w:val="FootnoteReference"/>
          <w:color w:val="000000"/>
        </w:rPr>
        <w:footnoteRef/>
      </w:r>
      <w:r>
        <w:rPr>
          <w:color w:val="000000"/>
        </w:rPr>
        <w:t xml:space="preserve"> </w:t>
      </w:r>
      <w:r>
        <w:rPr>
          <w:i/>
          <w:color w:val="000000"/>
        </w:rPr>
        <w:t>Ibid</w:t>
      </w:r>
      <w:r>
        <w:rPr>
          <w:color w:val="000000"/>
        </w:rPr>
        <w:t>, h.179-180.</w:t>
      </w:r>
    </w:p>
  </w:footnote>
  <w:footnote w:id="24">
    <w:p w:rsidR="00567E71" w:rsidRDefault="00567E71" w:rsidP="00567E71">
      <w:pPr>
        <w:pStyle w:val="FootnoteText"/>
        <w:ind w:firstLine="709"/>
        <w:jc w:val="both"/>
        <w:rPr>
          <w:color w:val="000000"/>
        </w:rPr>
      </w:pPr>
      <w:r>
        <w:rPr>
          <w:rStyle w:val="FootnoteReference"/>
          <w:color w:val="000000"/>
        </w:rPr>
        <w:footnoteRef/>
      </w:r>
      <w:r>
        <w:rPr>
          <w:color w:val="000000"/>
        </w:rPr>
        <w:t xml:space="preserve"> </w:t>
      </w:r>
      <w:bookmarkStart w:id="19" w:name="_Hlk178701390"/>
      <w:r>
        <w:rPr>
          <w:color w:val="000000"/>
        </w:rPr>
        <w:t xml:space="preserve">Eva Zulfa, </w:t>
      </w:r>
      <w:r>
        <w:rPr>
          <w:i/>
          <w:color w:val="000000"/>
        </w:rPr>
        <w:t>Keadilan Restofatif di Indonesia</w:t>
      </w:r>
      <w:r>
        <w:rPr>
          <w:color w:val="000000"/>
        </w:rPr>
        <w:t>, Ghalia Indonesia, Jakarta, 2017</w:t>
      </w:r>
      <w:bookmarkEnd w:id="19"/>
      <w:r>
        <w:rPr>
          <w:color w:val="000000"/>
        </w:rPr>
        <w:t>, h.17</w:t>
      </w:r>
    </w:p>
  </w:footnote>
  <w:footnote w:id="25">
    <w:p w:rsidR="00567E71" w:rsidRDefault="00567E71" w:rsidP="00567E71">
      <w:pPr>
        <w:pStyle w:val="FootnoteText"/>
        <w:ind w:firstLine="709"/>
        <w:rPr>
          <w:color w:val="000000"/>
        </w:rPr>
      </w:pPr>
      <w:r>
        <w:rPr>
          <w:rStyle w:val="FootnoteReference"/>
          <w:color w:val="000000"/>
        </w:rPr>
        <w:footnoteRef/>
      </w:r>
      <w:r>
        <w:rPr>
          <w:color w:val="000000"/>
        </w:rPr>
        <w:t xml:space="preserve"> </w:t>
      </w:r>
      <w:r>
        <w:rPr>
          <w:i/>
          <w:color w:val="000000"/>
        </w:rPr>
        <w:t>Ibid</w:t>
      </w:r>
      <w:r>
        <w:rPr>
          <w:color w:val="000000"/>
        </w:rPr>
        <w:t>, h.181</w:t>
      </w:r>
    </w:p>
  </w:footnote>
  <w:footnote w:id="26">
    <w:p w:rsidR="00567E71" w:rsidRDefault="00567E71" w:rsidP="00567E71">
      <w:pPr>
        <w:pStyle w:val="Default"/>
        <w:ind w:firstLine="709"/>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bCs/>
          <w:sz w:val="20"/>
          <w:szCs w:val="20"/>
        </w:rPr>
        <w:t xml:space="preserve">Hanafi Arief; Ningrum Ambarsari, </w:t>
      </w:r>
      <w:r>
        <w:rPr>
          <w:rFonts w:ascii="Times New Roman" w:hAnsi="Times New Roman" w:cs="Times New Roman"/>
          <w:bCs/>
          <w:i/>
          <w:sz w:val="20"/>
          <w:szCs w:val="20"/>
        </w:rPr>
        <w:t>Op.Cit</w:t>
      </w:r>
      <w:r>
        <w:rPr>
          <w:rFonts w:ascii="Times New Roman" w:hAnsi="Times New Roman" w:cs="Times New Roman"/>
          <w:bCs/>
          <w:sz w:val="20"/>
          <w:szCs w:val="20"/>
        </w:rPr>
        <w:t>, h.178.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8E4E52">
    <w:pPr>
      <w:pStyle w:val="Header"/>
      <w:jc w:val="right"/>
    </w:pPr>
  </w:p>
  <w:p w:rsidR="00630637" w:rsidRPr="007E1322" w:rsidRDefault="00737539"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8E4E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4C"/>
    <w:multiLevelType w:val="hybridMultilevel"/>
    <w:tmpl w:val="3926BC9A"/>
    <w:lvl w:ilvl="0" w:tplc="63066C96">
      <w:start w:val="1"/>
      <w:numFmt w:val="upperLetter"/>
      <w:pStyle w:val="Heading3"/>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4E571C1"/>
    <w:multiLevelType w:val="hybridMultilevel"/>
    <w:tmpl w:val="BCD4963E"/>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C664A62"/>
    <w:multiLevelType w:val="hybridMultilevel"/>
    <w:tmpl w:val="AAF86C00"/>
    <w:lvl w:ilvl="0" w:tplc="C56ECA1E">
      <w:start w:val="1"/>
      <w:numFmt w:val="decimal"/>
      <w:lvlText w:val="%1)"/>
      <w:lvlJc w:val="left"/>
      <w:pPr>
        <w:ind w:left="1545" w:hanging="360"/>
      </w:pPr>
      <w:rPr>
        <w:rFonts w:ascii="Times New Roman" w:eastAsia="Times New Roman" w:hAnsi="Times New Roman" w:cs="Times New Roman" w:hint="default"/>
      </w:rPr>
    </w:lvl>
    <w:lvl w:ilvl="1" w:tplc="04090019">
      <w:start w:val="1"/>
      <w:numFmt w:val="lowerLetter"/>
      <w:lvlText w:val="%2."/>
      <w:lvlJc w:val="left"/>
      <w:pPr>
        <w:ind w:left="2265" w:hanging="360"/>
      </w:pPr>
      <w:rPr>
        <w:rFonts w:cs="Times New Roman"/>
      </w:rPr>
    </w:lvl>
    <w:lvl w:ilvl="2" w:tplc="0409001B">
      <w:start w:val="1"/>
      <w:numFmt w:val="lowerRoman"/>
      <w:lvlText w:val="%3."/>
      <w:lvlJc w:val="right"/>
      <w:pPr>
        <w:ind w:left="2985" w:hanging="180"/>
      </w:pPr>
      <w:rPr>
        <w:rFonts w:cs="Times New Roman"/>
      </w:rPr>
    </w:lvl>
    <w:lvl w:ilvl="3" w:tplc="0409000F">
      <w:start w:val="1"/>
      <w:numFmt w:val="decimal"/>
      <w:lvlText w:val="%4."/>
      <w:lvlJc w:val="left"/>
      <w:pPr>
        <w:ind w:left="3705" w:hanging="360"/>
      </w:pPr>
      <w:rPr>
        <w:rFonts w:cs="Times New Roman"/>
      </w:rPr>
    </w:lvl>
    <w:lvl w:ilvl="4" w:tplc="04090019">
      <w:start w:val="1"/>
      <w:numFmt w:val="lowerLetter"/>
      <w:lvlText w:val="%5."/>
      <w:lvlJc w:val="left"/>
      <w:pPr>
        <w:ind w:left="4425" w:hanging="360"/>
      </w:pPr>
      <w:rPr>
        <w:rFonts w:cs="Times New Roman"/>
      </w:rPr>
    </w:lvl>
    <w:lvl w:ilvl="5" w:tplc="0409001B">
      <w:start w:val="1"/>
      <w:numFmt w:val="lowerRoman"/>
      <w:lvlText w:val="%6."/>
      <w:lvlJc w:val="right"/>
      <w:pPr>
        <w:ind w:left="5145" w:hanging="180"/>
      </w:pPr>
      <w:rPr>
        <w:rFonts w:cs="Times New Roman"/>
      </w:rPr>
    </w:lvl>
    <w:lvl w:ilvl="6" w:tplc="0409000F">
      <w:start w:val="1"/>
      <w:numFmt w:val="decimal"/>
      <w:lvlText w:val="%7."/>
      <w:lvlJc w:val="left"/>
      <w:pPr>
        <w:ind w:left="5865" w:hanging="360"/>
      </w:pPr>
      <w:rPr>
        <w:rFonts w:cs="Times New Roman"/>
      </w:rPr>
    </w:lvl>
    <w:lvl w:ilvl="7" w:tplc="04090019">
      <w:start w:val="1"/>
      <w:numFmt w:val="lowerLetter"/>
      <w:lvlText w:val="%8."/>
      <w:lvlJc w:val="left"/>
      <w:pPr>
        <w:ind w:left="6585" w:hanging="360"/>
      </w:pPr>
      <w:rPr>
        <w:rFonts w:cs="Times New Roman"/>
      </w:rPr>
    </w:lvl>
    <w:lvl w:ilvl="8" w:tplc="0409001B">
      <w:start w:val="1"/>
      <w:numFmt w:val="lowerRoman"/>
      <w:lvlText w:val="%9."/>
      <w:lvlJc w:val="right"/>
      <w:pPr>
        <w:ind w:left="7305" w:hanging="180"/>
      </w:pPr>
      <w:rPr>
        <w:rFonts w:cs="Times New Roman"/>
      </w:rPr>
    </w:lvl>
  </w:abstractNum>
  <w:abstractNum w:abstractNumId="3">
    <w:nsid w:val="12933E26"/>
    <w:multiLevelType w:val="hybridMultilevel"/>
    <w:tmpl w:val="5FA80B10"/>
    <w:lvl w:ilvl="0" w:tplc="A9967F4C">
      <w:start w:val="1"/>
      <w:numFmt w:val="decimal"/>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3280D1D"/>
    <w:multiLevelType w:val="hybridMultilevel"/>
    <w:tmpl w:val="E334E2A8"/>
    <w:lvl w:ilvl="0" w:tplc="04090011">
      <w:start w:val="1"/>
      <w:numFmt w:val="decimal"/>
      <w:lvlText w:val="%1)"/>
      <w:lvlJc w:val="left"/>
      <w:pPr>
        <w:ind w:left="720" w:hanging="360"/>
      </w:pPr>
      <w:rPr>
        <w:rFonts w:hint="default"/>
      </w:rPr>
    </w:lvl>
    <w:lvl w:ilvl="1" w:tplc="D65E845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66772"/>
    <w:multiLevelType w:val="hybridMultilevel"/>
    <w:tmpl w:val="9D1CD61A"/>
    <w:lvl w:ilvl="0" w:tplc="B0EE4EEA">
      <w:start w:val="1"/>
      <w:numFmt w:val="decimal"/>
      <w:lvlText w:val="%1)"/>
      <w:lvlJc w:val="left"/>
      <w:pPr>
        <w:ind w:left="720" w:hanging="360"/>
      </w:pPr>
      <w:rPr>
        <w:rFonts w:cs="Times New Roman"/>
        <w:sz w:val="24"/>
        <w:szCs w:val="24"/>
      </w:rPr>
    </w:lvl>
    <w:lvl w:ilvl="1" w:tplc="59F6B75E">
      <w:start w:val="1"/>
      <w:numFmt w:val="decimal"/>
      <w:lvlText w:val="(%2)"/>
      <w:lvlJc w:val="left"/>
      <w:pPr>
        <w:ind w:left="1455" w:hanging="375"/>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5DE0771"/>
    <w:multiLevelType w:val="hybridMultilevel"/>
    <w:tmpl w:val="44280780"/>
    <w:lvl w:ilvl="0" w:tplc="8246384E">
      <w:start w:val="1"/>
      <w:numFmt w:val="upperLetter"/>
      <w:lvlText w:val="%1."/>
      <w:lvlJc w:val="left"/>
      <w:pPr>
        <w:tabs>
          <w:tab w:val="num" w:pos="720"/>
        </w:tabs>
        <w:ind w:left="720" w:hanging="360"/>
      </w:pPr>
    </w:lvl>
    <w:lvl w:ilvl="1" w:tplc="1FD8FCCC">
      <w:start w:val="1"/>
      <w:numFmt w:val="decimal"/>
      <w:lvlText w:val="%2."/>
      <w:lvlJc w:val="left"/>
      <w:pPr>
        <w:tabs>
          <w:tab w:val="num" w:pos="1440"/>
        </w:tabs>
        <w:ind w:left="1440" w:hanging="360"/>
      </w:pPr>
    </w:lvl>
    <w:lvl w:ilvl="2" w:tplc="2422AEB2">
      <w:start w:val="1"/>
      <w:numFmt w:val="lowerLetter"/>
      <w:lvlText w:val="%3."/>
      <w:lvlJc w:val="left"/>
      <w:pPr>
        <w:ind w:left="2340" w:hanging="360"/>
      </w:pPr>
    </w:lvl>
    <w:lvl w:ilvl="3" w:tplc="1FB61560">
      <w:start w:val="1"/>
      <w:numFmt w:val="decimal"/>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9574F3F"/>
    <w:multiLevelType w:val="hybridMultilevel"/>
    <w:tmpl w:val="B82E2A70"/>
    <w:lvl w:ilvl="0" w:tplc="0409000F">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06F36"/>
    <w:multiLevelType w:val="hybridMultilevel"/>
    <w:tmpl w:val="AEC44306"/>
    <w:lvl w:ilvl="0" w:tplc="A042A4A4">
      <w:start w:val="1"/>
      <w:numFmt w:val="upperLetter"/>
      <w:lvlText w:val="%1."/>
      <w:lvlJc w:val="left"/>
      <w:pPr>
        <w:tabs>
          <w:tab w:val="num" w:pos="720"/>
        </w:tabs>
        <w:ind w:left="720" w:hanging="360"/>
      </w:pPr>
      <w:rPr>
        <w:rFonts w:cs="Times New Roman" w:hint="default"/>
      </w:rPr>
    </w:lvl>
    <w:lvl w:ilvl="1" w:tplc="60982622">
      <w:start w:val="1"/>
      <w:numFmt w:val="lowerLetter"/>
      <w:lvlText w:val="%2."/>
      <w:lvlJc w:val="left"/>
      <w:pPr>
        <w:tabs>
          <w:tab w:val="num" w:pos="1440"/>
        </w:tabs>
        <w:ind w:left="1440" w:hanging="360"/>
      </w:pPr>
      <w:rPr>
        <w:rFonts w:ascii="Arial" w:eastAsia="Times New Roman" w:hAnsi="Arial" w:cs="Arial"/>
        <w:b w:val="0"/>
      </w:rPr>
    </w:lvl>
    <w:lvl w:ilvl="2" w:tplc="6D8AD2DC">
      <w:start w:val="1"/>
      <w:numFmt w:val="decimal"/>
      <w:lvlText w:val="%3."/>
      <w:lvlJc w:val="left"/>
      <w:pPr>
        <w:tabs>
          <w:tab w:val="num" w:pos="2340"/>
        </w:tabs>
        <w:ind w:left="2340" w:hanging="360"/>
      </w:pPr>
      <w:rPr>
        <w:rFonts w:ascii="Arial" w:eastAsia="Times New Roman" w:hAnsi="Arial" w:cs="Arial"/>
        <w:b/>
      </w:rPr>
    </w:lvl>
    <w:lvl w:ilvl="3" w:tplc="FF8C4D1E">
      <w:start w:val="1"/>
      <w:numFmt w:val="lowerLetter"/>
      <w:lvlText w:val="%4."/>
      <w:lvlJc w:val="left"/>
      <w:pPr>
        <w:tabs>
          <w:tab w:val="num" w:pos="2880"/>
        </w:tabs>
        <w:ind w:left="2880" w:hanging="360"/>
      </w:pPr>
      <w:rPr>
        <w:rFonts w:ascii="Times New Roman" w:eastAsia="Times New Roman" w:hAnsi="Times New Roman" w:cs="Times New Roman" w:hint="default"/>
        <w:b w:val="0"/>
      </w:rPr>
    </w:lvl>
    <w:lvl w:ilvl="4" w:tplc="B4CCA7DA">
      <w:start w:val="1"/>
      <w:numFmt w:val="decimal"/>
      <w:lvlText w:val="%5)"/>
      <w:lvlJc w:val="left"/>
      <w:pPr>
        <w:tabs>
          <w:tab w:val="num" w:pos="3600"/>
        </w:tabs>
        <w:ind w:left="360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rPr>
        <w:rFonts w:cs="Times New Roman"/>
      </w:rPr>
    </w:lvl>
    <w:lvl w:ilvl="6" w:tplc="0A66451A">
      <w:start w:val="1"/>
      <w:numFmt w:val="decimal"/>
      <w:lvlText w:val="%7."/>
      <w:lvlJc w:val="left"/>
      <w:pPr>
        <w:tabs>
          <w:tab w:val="num" w:pos="5040"/>
        </w:tabs>
        <w:ind w:left="5040" w:hanging="360"/>
      </w:pPr>
      <w:rPr>
        <w:rFonts w:ascii="Arial" w:eastAsia="Times New Roman" w:hAnsi="Arial" w:cs="Arial"/>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6C51659"/>
    <w:multiLevelType w:val="hybridMultilevel"/>
    <w:tmpl w:val="0FB4F228"/>
    <w:lvl w:ilvl="0" w:tplc="15A24C7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7E75110"/>
    <w:multiLevelType w:val="hybridMultilevel"/>
    <w:tmpl w:val="ECD0890A"/>
    <w:lvl w:ilvl="0" w:tplc="F04C3442">
      <w:start w:val="1"/>
      <w:numFmt w:val="lowerLetter"/>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4079360D"/>
    <w:multiLevelType w:val="multilevel"/>
    <w:tmpl w:val="9384C946"/>
    <w:lvl w:ilvl="0">
      <w:start w:val="2"/>
      <w:numFmt w:val="upperLetter"/>
      <w:lvlText w:val="%1."/>
      <w:lvlJc w:val="left"/>
      <w:pPr>
        <w:tabs>
          <w:tab w:val="num" w:pos="360"/>
        </w:tabs>
        <w:ind w:left="360" w:hanging="360"/>
      </w:pPr>
      <w:rPr>
        <w:b/>
        <w:bCs/>
      </w:rPr>
    </w:lvl>
    <w:lvl w:ilvl="1">
      <w:start w:val="1"/>
      <w:numFmt w:val="decimal"/>
      <w:lvlText w:val="(%2)"/>
      <w:lvlJc w:val="left"/>
      <w:pPr>
        <w:tabs>
          <w:tab w:val="num" w:pos="1545"/>
        </w:tabs>
        <w:ind w:left="1545" w:hanging="465"/>
      </w:pPr>
    </w:lvl>
    <w:lvl w:ilvl="2">
      <w:start w:val="1"/>
      <w:numFmt w:val="upperLetter"/>
      <w:lvlText w:val="%3."/>
      <w:lvlJc w:val="left"/>
      <w:pPr>
        <w:tabs>
          <w:tab w:val="num" w:pos="2625"/>
        </w:tabs>
        <w:ind w:left="2625" w:hanging="645"/>
      </w:pPr>
    </w:lvl>
    <w:lvl w:ilvl="3">
      <w:start w:val="1"/>
      <w:numFmt w:val="decimal"/>
      <w:lvlText w:val="%4."/>
      <w:lvlJc w:val="left"/>
      <w:pPr>
        <w:tabs>
          <w:tab w:val="num" w:pos="2880"/>
        </w:tabs>
        <w:ind w:left="2880" w:hanging="360"/>
      </w:pPr>
      <w:rPr>
        <w:rFonts w:ascii="Arial" w:eastAsia="Times New Roman" w:hAnsi="Arial" w:cs="Arial" w:hint="default"/>
      </w:rPr>
    </w:lvl>
    <w:lvl w:ilvl="4">
      <w:start w:val="6"/>
      <w:numFmt w:val="lowerLetter"/>
      <w:lvlText w:val="%5."/>
      <w:lvlJc w:val="left"/>
      <w:pPr>
        <w:tabs>
          <w:tab w:val="num" w:pos="3600"/>
        </w:tabs>
        <w:ind w:left="3600" w:hanging="360"/>
      </w:pPr>
      <w:rPr>
        <w:rFonts w:ascii="Arial" w:eastAsia="Times New Roman" w:hAnsi="Arial" w:cs="Arial" w:hint="default"/>
      </w:rPr>
    </w:lvl>
    <w:lvl w:ilvl="5">
      <w:start w:val="1"/>
      <w:numFmt w:val="decimal"/>
      <w:lvlText w:val="%6."/>
      <w:lvlJc w:val="left"/>
      <w:pPr>
        <w:tabs>
          <w:tab w:val="num" w:pos="4320"/>
        </w:tabs>
        <w:ind w:left="4320" w:hanging="360"/>
      </w:pPr>
      <w:rPr>
        <w:b w:val="0"/>
        <w:bCs/>
      </w:rPr>
    </w:lvl>
    <w:lvl w:ilvl="6">
      <w:start w:val="1"/>
      <w:numFmt w:val="lowerLetter"/>
      <w:lvlText w:val="%7."/>
      <w:lvlJc w:val="left"/>
      <w:pPr>
        <w:tabs>
          <w:tab w:val="num" w:pos="5040"/>
        </w:tabs>
        <w:ind w:left="5040" w:hanging="360"/>
      </w:pPr>
      <w:rPr>
        <w:rFonts w:ascii="Times New Roman" w:eastAsia="Times New Roman" w:hAnsi="Times New Roman" w:cs="Times New Roman" w:hint="default"/>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289540A"/>
    <w:multiLevelType w:val="hybridMultilevel"/>
    <w:tmpl w:val="CB109C30"/>
    <w:lvl w:ilvl="0" w:tplc="613E1F38">
      <w:start w:val="1"/>
      <w:numFmt w:val="upperLetter"/>
      <w:pStyle w:val="Heading1"/>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3">
    <w:nsid w:val="57D67D0E"/>
    <w:multiLevelType w:val="multilevel"/>
    <w:tmpl w:val="91969C0A"/>
    <w:lvl w:ilvl="0">
      <w:start w:val="1"/>
      <w:numFmt w:val="lowerLetter"/>
      <w:lvlText w:val="%1."/>
      <w:lvlJc w:val="left"/>
      <w:pPr>
        <w:tabs>
          <w:tab w:val="num" w:pos="1069"/>
        </w:tabs>
        <w:ind w:left="1069"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upperLetter"/>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5E1065AE"/>
    <w:multiLevelType w:val="multilevel"/>
    <w:tmpl w:val="B7E43C4C"/>
    <w:lvl w:ilvl="0">
      <w:start w:val="2"/>
      <w:numFmt w:val="upperLetter"/>
      <w:lvlText w:val="%1."/>
      <w:lvlJc w:val="left"/>
      <w:pPr>
        <w:tabs>
          <w:tab w:val="num" w:pos="360"/>
        </w:tabs>
        <w:ind w:left="360" w:hanging="360"/>
      </w:pPr>
      <w:rPr>
        <w:b/>
        <w:bCs/>
      </w:rPr>
    </w:lvl>
    <w:lvl w:ilvl="1">
      <w:start w:val="1"/>
      <w:numFmt w:val="decimal"/>
      <w:lvlText w:val="(%2)"/>
      <w:lvlJc w:val="left"/>
      <w:pPr>
        <w:tabs>
          <w:tab w:val="num" w:pos="1545"/>
        </w:tabs>
        <w:ind w:left="1545" w:hanging="465"/>
      </w:pPr>
    </w:lvl>
    <w:lvl w:ilvl="2">
      <w:start w:val="1"/>
      <w:numFmt w:val="upperLetter"/>
      <w:lvlText w:val="%3."/>
      <w:lvlJc w:val="left"/>
      <w:pPr>
        <w:tabs>
          <w:tab w:val="num" w:pos="2625"/>
        </w:tabs>
        <w:ind w:left="2625" w:hanging="645"/>
      </w:pPr>
    </w:lvl>
    <w:lvl w:ilvl="3">
      <w:start w:val="1"/>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b w:val="0"/>
        <w:bCs/>
      </w:rPr>
    </w:lvl>
    <w:lvl w:ilvl="6">
      <w:start w:val="1"/>
      <w:numFmt w:val="lowerLetter"/>
      <w:lvlText w:val="%7."/>
      <w:lvlJc w:val="left"/>
      <w:pPr>
        <w:tabs>
          <w:tab w:val="num" w:pos="5040"/>
        </w:tabs>
        <w:ind w:left="5040" w:hanging="360"/>
      </w:pPr>
      <w:rPr>
        <w:rFonts w:ascii="Times New Roman" w:eastAsia="Times New Roman" w:hAnsi="Times New Roman" w:cs="Times New Roman" w:hint="default"/>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B975DE7"/>
    <w:multiLevelType w:val="hybridMultilevel"/>
    <w:tmpl w:val="59EC2306"/>
    <w:lvl w:ilvl="0" w:tplc="A566BC56">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B1065DE"/>
    <w:multiLevelType w:val="hybridMultilevel"/>
    <w:tmpl w:val="EA78A594"/>
    <w:lvl w:ilvl="0" w:tplc="FFFFFFFF">
      <w:start w:val="1"/>
      <w:numFmt w:val="upperLetter"/>
      <w:lvlText w:val="%1."/>
      <w:lvlJc w:val="left"/>
      <w:pPr>
        <w:tabs>
          <w:tab w:val="num" w:pos="1080"/>
        </w:tabs>
        <w:ind w:left="1080" w:hanging="360"/>
      </w:pPr>
      <w:rPr>
        <w:rFonts w:cs="Times New Roman"/>
      </w:rPr>
    </w:lvl>
    <w:lvl w:ilvl="1" w:tplc="01A0B380">
      <w:start w:val="1"/>
      <w:numFmt w:val="lowerLetter"/>
      <w:lvlText w:val="%2."/>
      <w:lvlJc w:val="left"/>
      <w:pPr>
        <w:tabs>
          <w:tab w:val="num" w:pos="1800"/>
        </w:tabs>
        <w:ind w:left="1800" w:hanging="360"/>
      </w:pPr>
      <w:rPr>
        <w:rFonts w:cs="Times New Roman"/>
        <w:b w:val="0"/>
        <w:bCs w:val="0"/>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BCBAE38C">
      <w:start w:val="1"/>
      <w:numFmt w:val="lowerLetter"/>
      <w:lvlText w:val="%5."/>
      <w:lvlJc w:val="left"/>
      <w:pPr>
        <w:ind w:left="3960" w:hanging="360"/>
      </w:pPr>
      <w:rPr>
        <w:rFonts w:ascii="Times New Roman" w:eastAsia="Times New Roman" w:hAnsi="Times New Roman" w:cs="Times New Roman"/>
        <w:b w:val="0"/>
        <w:bCs w:val="0"/>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num w:numId="1">
    <w:abstractNumId w:val="12"/>
  </w:num>
  <w:num w:numId="2">
    <w:abstractNumId w:val="0"/>
  </w:num>
  <w:num w:numId="3">
    <w:abstractNumId w:val="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2"/>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enforcement="1" w:cryptProviderType="rsaAES" w:cryptAlgorithmClass="hash" w:cryptAlgorithmType="typeAny" w:cryptAlgorithmSid="14" w:cryptSpinCount="100000" w:hash="vqESy8tevMdCvRoX8DJJ2Xr6+wzh5ONtCtHjz4gR7GYkg2UNTg+zyul/0YPMGvKjXRih5fKrRQU+BKaJRwclwA==" w:salt="MD8foV2DJ5fYmmyeszgHg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EB"/>
    <w:rsid w:val="00004A2D"/>
    <w:rsid w:val="00050032"/>
    <w:rsid w:val="00073236"/>
    <w:rsid w:val="000D08BE"/>
    <w:rsid w:val="00281F7D"/>
    <w:rsid w:val="002B61E2"/>
    <w:rsid w:val="002D79FF"/>
    <w:rsid w:val="00390270"/>
    <w:rsid w:val="00490063"/>
    <w:rsid w:val="00497A5F"/>
    <w:rsid w:val="00567E71"/>
    <w:rsid w:val="0066422A"/>
    <w:rsid w:val="00737539"/>
    <w:rsid w:val="007929DB"/>
    <w:rsid w:val="008374CB"/>
    <w:rsid w:val="008538D8"/>
    <w:rsid w:val="008E4E52"/>
    <w:rsid w:val="00C52FF9"/>
    <w:rsid w:val="00C72C38"/>
    <w:rsid w:val="00C81419"/>
    <w:rsid w:val="00CB0398"/>
    <w:rsid w:val="00CE7FEB"/>
    <w:rsid w:val="00D175B9"/>
    <w:rsid w:val="00F17F5D"/>
    <w:rsid w:val="00F2118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6C5527-AFDA-4200-BBF4-0B6894FD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cholar.google.co.id/citations" TargetMode="External"/><Relationship Id="rId1" Type="http://schemas.openxmlformats.org/officeDocument/2006/relationships/hyperlink" Target="https://scholar.google.co.id/citations?user=MuesR7wAAAAJ&amp;h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4136</Words>
  <Characters>23580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2</cp:revision>
  <dcterms:created xsi:type="dcterms:W3CDTF">2026-06-22T09:12:00Z</dcterms:created>
  <dcterms:modified xsi:type="dcterms:W3CDTF">2026-06-22T09:12:00Z</dcterms:modified>
</cp:coreProperties>
</file>