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2E1" w:rsidRDefault="004772E1" w:rsidP="004772E1">
      <w:pPr>
        <w:pStyle w:val="BodyText"/>
        <w:tabs>
          <w:tab w:val="left" w:pos="8100"/>
        </w:tabs>
        <w:jc w:val="center"/>
        <w:rPr>
          <w:rFonts w:ascii="Times New Roman" w:hAnsi="Times New Roman"/>
          <w:b/>
          <w:color w:val="000000"/>
          <w:szCs w:val="24"/>
          <w:lang w:val="id-ID"/>
        </w:rPr>
      </w:pPr>
      <w:bookmarkStart w:id="0" w:name="_GoBack"/>
      <w:bookmarkEnd w:id="0"/>
      <w:r>
        <w:rPr>
          <w:rFonts w:ascii="Times New Roman" w:hAnsi="Times New Roman"/>
          <w:b/>
          <w:color w:val="000000"/>
          <w:szCs w:val="24"/>
        </w:rPr>
        <w:t xml:space="preserve">DAFTAR </w:t>
      </w:r>
      <w:r>
        <w:rPr>
          <w:rFonts w:ascii="Times New Roman" w:hAnsi="Times New Roman"/>
          <w:b/>
          <w:color w:val="000000"/>
          <w:szCs w:val="24"/>
          <w:lang w:val="id-ID"/>
        </w:rPr>
        <w:t>PUSTAKA</w:t>
      </w:r>
    </w:p>
    <w:p w:rsidR="004772E1" w:rsidRDefault="004772E1" w:rsidP="004772E1">
      <w:pPr>
        <w:pStyle w:val="BodyText"/>
        <w:tabs>
          <w:tab w:val="left" w:pos="8100"/>
        </w:tabs>
        <w:jc w:val="center"/>
        <w:rPr>
          <w:rFonts w:ascii="Times New Roman" w:hAnsi="Times New Roman"/>
          <w:b/>
          <w:color w:val="000000"/>
          <w:szCs w:val="24"/>
        </w:rPr>
      </w:pPr>
    </w:p>
    <w:p w:rsidR="004772E1" w:rsidRDefault="004772E1" w:rsidP="00B21308">
      <w:pPr>
        <w:pStyle w:val="BodyText"/>
        <w:numPr>
          <w:ilvl w:val="0"/>
          <w:numId w:val="4"/>
        </w:numPr>
        <w:tabs>
          <w:tab w:val="clear" w:pos="720"/>
          <w:tab w:val="num" w:pos="360"/>
          <w:tab w:val="left" w:pos="8100"/>
        </w:tabs>
        <w:spacing w:line="480" w:lineRule="auto"/>
        <w:ind w:left="360"/>
        <w:rPr>
          <w:rFonts w:ascii="Times New Roman" w:hAnsi="Times New Roman"/>
          <w:b/>
          <w:color w:val="000000"/>
          <w:szCs w:val="24"/>
        </w:rPr>
      </w:pPr>
      <w:bookmarkStart w:id="1" w:name="_Hlk167390493"/>
      <w:r>
        <w:rPr>
          <w:rFonts w:ascii="Times New Roman" w:hAnsi="Times New Roman"/>
          <w:b/>
          <w:color w:val="000000"/>
          <w:szCs w:val="24"/>
        </w:rPr>
        <w:t>Buku</w:t>
      </w:r>
    </w:p>
    <w:p w:rsidR="004772E1" w:rsidRDefault="004772E1" w:rsidP="004772E1">
      <w:pPr>
        <w:tabs>
          <w:tab w:val="left" w:pos="720"/>
        </w:tabs>
        <w:ind w:left="720" w:hanging="720"/>
        <w:jc w:val="both"/>
        <w:rPr>
          <w:color w:val="000000"/>
        </w:rPr>
      </w:pPr>
      <w:r>
        <w:rPr>
          <w:color w:val="000000"/>
        </w:rPr>
        <w:t xml:space="preserve">Adami Chazawi, </w:t>
      </w:r>
      <w:r>
        <w:rPr>
          <w:i/>
          <w:iCs/>
          <w:color w:val="000000"/>
        </w:rPr>
        <w:t>Pelajaran Hukum Pidana Bagian 2</w:t>
      </w:r>
      <w:r>
        <w:rPr>
          <w:color w:val="000000"/>
        </w:rPr>
        <w:t>, Raja Grafindo Persada, Jakarta, 2018.</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Bambang Poernomo, </w:t>
      </w:r>
      <w:r>
        <w:rPr>
          <w:i/>
          <w:iCs/>
          <w:color w:val="000000"/>
        </w:rPr>
        <w:t>Asas-asas Hukum Pidana</w:t>
      </w:r>
      <w:r>
        <w:rPr>
          <w:color w:val="000000"/>
        </w:rPr>
        <w:t>, Ghalia Indonesia, Yogyakarta, 2016.</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Bambang  Sunggono, </w:t>
      </w:r>
      <w:r>
        <w:rPr>
          <w:i/>
          <w:color w:val="000000"/>
        </w:rPr>
        <w:t>Metode Penelitian Hukum</w:t>
      </w:r>
      <w:r>
        <w:rPr>
          <w:color w:val="000000"/>
        </w:rPr>
        <w:t>, Raja Grafindo Perkasa, Jakarta, 2018.</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Barda Nawawi Arief</w:t>
      </w:r>
      <w:r>
        <w:rPr>
          <w:i/>
          <w:iCs/>
          <w:color w:val="000000"/>
        </w:rPr>
        <w:t xml:space="preserve"> Beberapa Aspek Kebijakan Penegakan dan Pengembangan Hukum Pidana</w:t>
      </w:r>
      <w:r>
        <w:rPr>
          <w:color w:val="000000"/>
        </w:rPr>
        <w:t>, Citra Aditya Bakti, Bandung, 2015,</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C.T.S Kansil, </w:t>
      </w:r>
      <w:r>
        <w:rPr>
          <w:i/>
          <w:iCs/>
          <w:color w:val="000000"/>
        </w:rPr>
        <w:t>Pengantar Ilmu Hukum dan Tata Hukum Indonesia</w:t>
      </w:r>
      <w:r>
        <w:rPr>
          <w:color w:val="000000"/>
        </w:rPr>
        <w:t>. Balai Pustaka, Jakarta, 2014.</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Erdianto Effendi, </w:t>
      </w:r>
      <w:r>
        <w:rPr>
          <w:i/>
          <w:color w:val="000000"/>
        </w:rPr>
        <w:t>Hukum Pidana Indonesia</w:t>
      </w:r>
      <w:r>
        <w:rPr>
          <w:color w:val="000000"/>
        </w:rPr>
        <w:t>, Refika Adiama, Jakarta, 2011.</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Eva Zulfa, </w:t>
      </w:r>
      <w:r>
        <w:rPr>
          <w:i/>
          <w:color w:val="000000"/>
        </w:rPr>
        <w:t>Keadilan Restofatif di Indonesia</w:t>
      </w:r>
      <w:r>
        <w:rPr>
          <w:color w:val="000000"/>
        </w:rPr>
        <w:t>, Ghalia Indonesia, Jakarta, 2017.</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iCs/>
          <w:color w:val="000000"/>
        </w:rPr>
        <w:t>Institute for Criminal Justice Reform</w:t>
      </w:r>
      <w:r>
        <w:rPr>
          <w:color w:val="000000"/>
        </w:rPr>
        <w:t xml:space="preserve">, </w:t>
      </w:r>
      <w:r>
        <w:rPr>
          <w:i/>
          <w:iCs/>
          <w:color w:val="000000"/>
        </w:rPr>
        <w:t xml:space="preserve">Peluang dan Tantangan Penerapan </w:t>
      </w:r>
      <w:r>
        <w:rPr>
          <w:i/>
          <w:color w:val="000000"/>
        </w:rPr>
        <w:t>Restoratif justice</w:t>
      </w:r>
      <w:r>
        <w:rPr>
          <w:i/>
          <w:iCs/>
          <w:color w:val="000000"/>
        </w:rPr>
        <w:t xml:space="preserve"> dalam Sistem Peradilan Pidana di Indonesia</w:t>
      </w:r>
      <w:r>
        <w:rPr>
          <w:color w:val="000000"/>
        </w:rPr>
        <w:t>, Ebook, 2022.</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Marlina, </w:t>
      </w:r>
      <w:r>
        <w:rPr>
          <w:i/>
          <w:iCs/>
          <w:color w:val="000000"/>
        </w:rPr>
        <w:t>Pengantar Konsep Diversi dan Restoratif justice Dalam Hukum Pidana</w:t>
      </w:r>
      <w:r>
        <w:rPr>
          <w:color w:val="000000"/>
        </w:rPr>
        <w:t>, USU Press, Medan, 2010.</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lang w:val="fi-FI"/>
        </w:rPr>
      </w:pPr>
      <w:r>
        <w:rPr>
          <w:color w:val="000000"/>
        </w:rPr>
        <w:t xml:space="preserve">M. Hamdan, </w:t>
      </w:r>
      <w:r>
        <w:rPr>
          <w:i/>
          <w:iCs/>
          <w:color w:val="000000"/>
        </w:rPr>
        <w:t>Tindak Pidana Suap dan Money Politics</w:t>
      </w:r>
      <w:r>
        <w:rPr>
          <w:color w:val="000000"/>
        </w:rPr>
        <w:t>, Pustaka Bangsa Press,</w:t>
      </w:r>
      <w:r>
        <w:rPr>
          <w:color w:val="000000"/>
          <w:lang w:val="fi-FI"/>
        </w:rPr>
        <w:t xml:space="preserve"> Medan, 2015.</w:t>
      </w:r>
    </w:p>
    <w:p w:rsidR="004772E1" w:rsidRDefault="004772E1" w:rsidP="004772E1">
      <w:pPr>
        <w:tabs>
          <w:tab w:val="left" w:pos="720"/>
        </w:tabs>
        <w:ind w:left="720" w:hanging="720"/>
        <w:jc w:val="both"/>
        <w:rPr>
          <w:color w:val="000000"/>
          <w:lang w:val="fi-FI"/>
        </w:rPr>
      </w:pPr>
    </w:p>
    <w:p w:rsidR="004772E1" w:rsidRDefault="004772E1" w:rsidP="004772E1">
      <w:pPr>
        <w:tabs>
          <w:tab w:val="left" w:pos="720"/>
        </w:tabs>
        <w:ind w:left="720" w:hanging="720"/>
        <w:jc w:val="both"/>
        <w:rPr>
          <w:color w:val="000000"/>
        </w:rPr>
      </w:pPr>
      <w:r>
        <w:rPr>
          <w:color w:val="000000"/>
        </w:rPr>
        <w:t xml:space="preserve">Moeljatno, </w:t>
      </w:r>
      <w:r>
        <w:rPr>
          <w:i/>
          <w:color w:val="000000"/>
        </w:rPr>
        <w:t xml:space="preserve">Asas-Asas Hukum Pidana, </w:t>
      </w:r>
      <w:r>
        <w:rPr>
          <w:color w:val="000000"/>
        </w:rPr>
        <w:t>Rineka Cipta, Jakarta, 2018.</w:t>
      </w:r>
    </w:p>
    <w:p w:rsidR="004772E1" w:rsidRDefault="004772E1" w:rsidP="004772E1">
      <w:pPr>
        <w:tabs>
          <w:tab w:val="left" w:pos="720"/>
        </w:tabs>
        <w:ind w:left="720" w:hanging="720"/>
        <w:jc w:val="both"/>
        <w:rPr>
          <w:color w:val="000000"/>
          <w:lang w:val="fi-FI"/>
        </w:rPr>
      </w:pPr>
    </w:p>
    <w:p w:rsidR="004772E1" w:rsidRDefault="004772E1" w:rsidP="004772E1">
      <w:pPr>
        <w:tabs>
          <w:tab w:val="left" w:pos="720"/>
        </w:tabs>
        <w:ind w:left="720" w:hanging="720"/>
        <w:jc w:val="both"/>
        <w:rPr>
          <w:color w:val="000000"/>
          <w:lang w:val="fi-FI"/>
        </w:rPr>
      </w:pPr>
      <w:r>
        <w:rPr>
          <w:color w:val="000000"/>
        </w:rPr>
        <w:t xml:space="preserve">Muladi, </w:t>
      </w:r>
      <w:r>
        <w:rPr>
          <w:i/>
          <w:iCs/>
          <w:color w:val="000000"/>
        </w:rPr>
        <w:t>Restoratif justice Dalam Sistem Peradilan Pidana Dan Implementasinya Dalam Penyelesaian Tindak Pidana Yang Dilakukan Oleh Anak-Anak</w:t>
      </w:r>
      <w:r>
        <w:rPr>
          <w:color w:val="000000"/>
        </w:rPr>
        <w:t>, BPHN, Jakarta, 2013.</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P.A.F. Lamintang, </w:t>
      </w:r>
      <w:r>
        <w:rPr>
          <w:i/>
          <w:iCs/>
          <w:color w:val="000000"/>
        </w:rPr>
        <w:t>Dasar-Dasar Hukum Pidana Indonesia</w:t>
      </w:r>
      <w:r>
        <w:rPr>
          <w:color w:val="000000"/>
        </w:rPr>
        <w:t>, Citra Aditya Bakti, Bandung, 2011.</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lang w:val="en-GB" w:eastAsia="en-GB"/>
        </w:rPr>
        <w:t xml:space="preserve">Rianto Adi, </w:t>
      </w:r>
      <w:r>
        <w:rPr>
          <w:i/>
          <w:color w:val="000000"/>
          <w:lang w:val="en-GB" w:eastAsia="en-GB"/>
        </w:rPr>
        <w:t>Metodologi Penelitian Sosial dan Hukum</w:t>
      </w:r>
      <w:r>
        <w:rPr>
          <w:color w:val="000000"/>
          <w:lang w:val="en-GB" w:eastAsia="en-GB"/>
        </w:rPr>
        <w:t>,  Granit, Jakarta,  20</w:t>
      </w:r>
      <w:r>
        <w:rPr>
          <w:color w:val="000000"/>
          <w:lang w:val="id-ID" w:eastAsia="en-GB"/>
        </w:rPr>
        <w:t>1</w:t>
      </w:r>
      <w:r>
        <w:rPr>
          <w:color w:val="000000"/>
          <w:lang w:val="en-GB" w:eastAsia="en-GB"/>
        </w:rPr>
        <w:t>4.</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Rudi Rizky (ed). </w:t>
      </w:r>
      <w:r>
        <w:rPr>
          <w:i/>
          <w:color w:val="000000"/>
        </w:rPr>
        <w:t>Refleksi Dinamika Hukum (Rangkaian Pemikiran dalam Dekade Terakhir)</w:t>
      </w:r>
      <w:r>
        <w:rPr>
          <w:color w:val="000000"/>
        </w:rPr>
        <w:t>. Ghalia Indonesia, Jakarta,  2018.</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Rufinus Hutahuruk, </w:t>
      </w:r>
      <w:r>
        <w:rPr>
          <w:i/>
          <w:color w:val="000000"/>
        </w:rPr>
        <w:t>Penanggulangan Kejahatan Korporasi Melalui Pendekatan Restoratif Suatu Terobosan Hukum,</w:t>
      </w:r>
      <w:r>
        <w:rPr>
          <w:color w:val="000000"/>
        </w:rPr>
        <w:t xml:space="preserve"> Sinar Grafika, Jakarta, 2013.</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R. Wirdjono Prodjodikoro,</w:t>
      </w:r>
      <w:r>
        <w:rPr>
          <w:i/>
          <w:color w:val="000000"/>
        </w:rPr>
        <w:t xml:space="preserve"> </w:t>
      </w:r>
      <w:r>
        <w:rPr>
          <w:i/>
          <w:iCs/>
          <w:color w:val="000000"/>
        </w:rPr>
        <w:t xml:space="preserve">Tindak Pidana Tertentu Dalam KUH.Pidana Indonesia, </w:t>
      </w:r>
      <w:r>
        <w:rPr>
          <w:color w:val="000000"/>
        </w:rPr>
        <w:t>Eresco, Bandung 2002.</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Teguh Prasetyo, </w:t>
      </w:r>
      <w:r>
        <w:rPr>
          <w:i/>
          <w:iCs/>
          <w:color w:val="000000"/>
        </w:rPr>
        <w:t>Hukum Pidana</w:t>
      </w:r>
      <w:r>
        <w:rPr>
          <w:color w:val="000000"/>
        </w:rPr>
        <w:t>, Rajawali Pers, Jakarta, 2016.</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WJS. Poerwadarminta, </w:t>
      </w:r>
      <w:r>
        <w:rPr>
          <w:i/>
          <w:color w:val="000000"/>
        </w:rPr>
        <w:t>Kamus Umum Bahasa Indonesia</w:t>
      </w:r>
      <w:r>
        <w:rPr>
          <w:color w:val="000000"/>
        </w:rPr>
        <w:t>, PN. Balai Pustaka, Jakarta, 2014.</w:t>
      </w:r>
    </w:p>
    <w:p w:rsidR="004772E1" w:rsidRDefault="004772E1" w:rsidP="004772E1">
      <w:pPr>
        <w:tabs>
          <w:tab w:val="left" w:pos="720"/>
        </w:tabs>
        <w:ind w:left="720" w:hanging="720"/>
        <w:jc w:val="both"/>
        <w:rPr>
          <w:color w:val="000000"/>
        </w:rPr>
      </w:pPr>
    </w:p>
    <w:p w:rsidR="004772E1" w:rsidRDefault="004772E1" w:rsidP="004772E1">
      <w:pPr>
        <w:tabs>
          <w:tab w:val="left" w:pos="720"/>
        </w:tabs>
        <w:ind w:left="720" w:hanging="720"/>
        <w:jc w:val="both"/>
        <w:rPr>
          <w:color w:val="000000"/>
        </w:rPr>
      </w:pPr>
      <w:r>
        <w:rPr>
          <w:color w:val="000000"/>
        </w:rPr>
        <w:t xml:space="preserve">YA.Tridiatno, </w:t>
      </w:r>
      <w:r>
        <w:rPr>
          <w:i/>
          <w:color w:val="000000"/>
        </w:rPr>
        <w:t>Keadilan Restoratif</w:t>
      </w:r>
      <w:r>
        <w:rPr>
          <w:color w:val="000000"/>
        </w:rPr>
        <w:t>. Cahaya Atma Pustaka, Yogyakarta, 2015.</w:t>
      </w:r>
    </w:p>
    <w:p w:rsidR="004772E1" w:rsidRDefault="004772E1" w:rsidP="004772E1">
      <w:pPr>
        <w:tabs>
          <w:tab w:val="left" w:pos="720"/>
        </w:tabs>
        <w:ind w:left="720" w:hanging="720"/>
        <w:jc w:val="both"/>
        <w:rPr>
          <w:color w:val="000000"/>
        </w:rPr>
      </w:pPr>
    </w:p>
    <w:p w:rsidR="004772E1" w:rsidRDefault="004772E1" w:rsidP="00B21308">
      <w:pPr>
        <w:numPr>
          <w:ilvl w:val="0"/>
          <w:numId w:val="4"/>
        </w:numPr>
        <w:tabs>
          <w:tab w:val="num" w:pos="360"/>
        </w:tabs>
        <w:ind w:left="360"/>
        <w:jc w:val="both"/>
        <w:rPr>
          <w:b/>
          <w:color w:val="000000"/>
        </w:rPr>
      </w:pPr>
      <w:r>
        <w:rPr>
          <w:b/>
          <w:color w:val="000000"/>
        </w:rPr>
        <w:t>Internet</w:t>
      </w:r>
    </w:p>
    <w:p w:rsidR="004772E1" w:rsidRDefault="004772E1" w:rsidP="004772E1">
      <w:pPr>
        <w:ind w:left="360"/>
        <w:jc w:val="both"/>
        <w:rPr>
          <w:b/>
          <w:color w:val="000000"/>
        </w:rPr>
      </w:pPr>
    </w:p>
    <w:p w:rsidR="004772E1" w:rsidRDefault="004772E1" w:rsidP="004772E1">
      <w:pPr>
        <w:ind w:left="709" w:hanging="709"/>
        <w:jc w:val="both"/>
        <w:rPr>
          <w:color w:val="000000"/>
        </w:rPr>
      </w:pPr>
      <w:r>
        <w:rPr>
          <w:color w:val="000000"/>
        </w:rPr>
        <w:t>Ali Sodikin, “</w:t>
      </w:r>
      <w:hyperlink r:id="rId7" w:history="1">
        <w:r>
          <w:rPr>
            <w:rStyle w:val="Hyperlink"/>
            <w:i/>
            <w:color w:val="000000"/>
          </w:rPr>
          <w:t>Islamic Restoratif justice</w:t>
        </w:r>
        <w:r>
          <w:rPr>
            <w:rStyle w:val="Hyperlink"/>
            <w:color w:val="000000"/>
          </w:rPr>
          <w:t xml:space="preserve"> dan Penegakan Hukum yang Berkeadilan</w:t>
        </w:r>
      </w:hyperlink>
      <w:r>
        <w:rPr>
          <w:color w:val="000000"/>
        </w:rPr>
        <w:t xml:space="preserve">”, diunduh melalui </w:t>
      </w:r>
      <w:r>
        <w:rPr>
          <w:i/>
          <w:color w:val="000000"/>
        </w:rPr>
        <w:t>https://ilmusyariahdoktoral.uin-suka.ac.id</w:t>
      </w:r>
      <w:r>
        <w:rPr>
          <w:color w:val="000000"/>
        </w:rPr>
        <w:t>, diakses pada Rabu, 2 Oktober 2024 Pukul 07.00 Wib.</w:t>
      </w:r>
    </w:p>
    <w:p w:rsidR="004772E1" w:rsidRDefault="004772E1" w:rsidP="004772E1">
      <w:pPr>
        <w:ind w:left="709" w:hanging="709"/>
        <w:jc w:val="both"/>
        <w:rPr>
          <w:color w:val="000000"/>
        </w:rPr>
      </w:pPr>
    </w:p>
    <w:p w:rsidR="004772E1" w:rsidRDefault="004772E1" w:rsidP="004772E1">
      <w:pPr>
        <w:ind w:left="709" w:hanging="709"/>
        <w:jc w:val="both"/>
        <w:rPr>
          <w:color w:val="000000"/>
        </w:rPr>
      </w:pPr>
      <w:r>
        <w:rPr>
          <w:iCs/>
          <w:color w:val="000000"/>
        </w:rPr>
        <w:t xml:space="preserve">Direktorat Jenderal Pemasyarakatan Kementerian Hukum dan Hak Asasi Manusia, “Dashboard Kumham </w:t>
      </w:r>
      <w:r>
        <w:rPr>
          <w:color w:val="000000"/>
        </w:rPr>
        <w:t xml:space="preserve">Update”, diunduh melalui </w:t>
      </w:r>
      <w:hyperlink r:id="rId8" w:history="1">
        <w:r>
          <w:rPr>
            <w:rStyle w:val="Hyperlink"/>
            <w:i/>
            <w:color w:val="000000"/>
          </w:rPr>
          <w:t>https://sada</w:t>
        </w:r>
      </w:hyperlink>
      <w:r>
        <w:rPr>
          <w:i/>
          <w:color w:val="000000"/>
        </w:rPr>
        <w:t xml:space="preserve"> kemenkumham.go.id/ditjenpas</w:t>
      </w:r>
      <w:r>
        <w:rPr>
          <w:color w:val="000000"/>
        </w:rPr>
        <w:t>, diakses 29 Oktober 2024 Pukul 21.00 Wib.</w:t>
      </w:r>
    </w:p>
    <w:p w:rsidR="004772E1" w:rsidRDefault="004772E1" w:rsidP="004772E1">
      <w:pPr>
        <w:ind w:left="709" w:hanging="709"/>
        <w:jc w:val="both"/>
        <w:rPr>
          <w:color w:val="000000"/>
        </w:rPr>
      </w:pPr>
    </w:p>
    <w:p w:rsidR="004772E1" w:rsidRDefault="004772E1" w:rsidP="00B21308">
      <w:pPr>
        <w:numPr>
          <w:ilvl w:val="0"/>
          <w:numId w:val="4"/>
        </w:numPr>
        <w:tabs>
          <w:tab w:val="num" w:pos="360"/>
        </w:tabs>
        <w:ind w:left="360"/>
        <w:jc w:val="both"/>
        <w:rPr>
          <w:b/>
          <w:color w:val="000000"/>
        </w:rPr>
      </w:pPr>
      <w:r>
        <w:rPr>
          <w:b/>
          <w:color w:val="000000"/>
        </w:rPr>
        <w:t>Jurnal</w:t>
      </w:r>
    </w:p>
    <w:p w:rsidR="004772E1" w:rsidRDefault="004772E1" w:rsidP="004772E1">
      <w:pPr>
        <w:ind w:left="709" w:hanging="709"/>
        <w:jc w:val="both"/>
        <w:rPr>
          <w:color w:val="000000"/>
        </w:rPr>
      </w:pPr>
    </w:p>
    <w:p w:rsidR="004772E1" w:rsidRDefault="004772E1" w:rsidP="004772E1">
      <w:pPr>
        <w:spacing w:line="216" w:lineRule="auto"/>
        <w:ind w:left="709" w:hanging="709"/>
        <w:jc w:val="both"/>
        <w:rPr>
          <w:color w:val="000000"/>
        </w:rPr>
      </w:pPr>
      <w:r>
        <w:rPr>
          <w:color w:val="000000"/>
        </w:rPr>
        <w:t xml:space="preserve">Hanafi Arief dan Ningrum Ambarsari. "Penerapan Prinsip </w:t>
      </w:r>
      <w:r>
        <w:rPr>
          <w:i/>
          <w:color w:val="000000"/>
        </w:rPr>
        <w:t>Restoratif justice</w:t>
      </w:r>
      <w:r>
        <w:rPr>
          <w:color w:val="000000"/>
        </w:rPr>
        <w:t xml:space="preserve"> dalam Sistem Peradilan Pidana di Indonesia." </w:t>
      </w:r>
      <w:r>
        <w:rPr>
          <w:i/>
          <w:color w:val="000000"/>
        </w:rPr>
        <w:t>Al-Adl: Jurnal Hukum</w:t>
      </w:r>
      <w:r>
        <w:rPr>
          <w:color w:val="000000"/>
        </w:rPr>
        <w:t>, Vol.10 No.2. (2021).</w:t>
      </w:r>
    </w:p>
    <w:p w:rsidR="004772E1" w:rsidRDefault="004772E1" w:rsidP="004772E1">
      <w:pPr>
        <w:spacing w:line="216" w:lineRule="auto"/>
        <w:ind w:left="709" w:hanging="709"/>
        <w:jc w:val="both"/>
        <w:rPr>
          <w:color w:val="000000"/>
        </w:rPr>
      </w:pPr>
    </w:p>
    <w:p w:rsidR="004772E1" w:rsidRDefault="004772E1" w:rsidP="004772E1">
      <w:pPr>
        <w:spacing w:line="216" w:lineRule="auto"/>
        <w:ind w:left="709" w:hanging="709"/>
        <w:jc w:val="both"/>
        <w:rPr>
          <w:color w:val="000000"/>
        </w:rPr>
      </w:pPr>
      <w:r>
        <w:rPr>
          <w:color w:val="000000"/>
        </w:rPr>
        <w:t xml:space="preserve">Haposan Sahala Raja Sinaga, “Penerapan </w:t>
      </w:r>
      <w:r>
        <w:rPr>
          <w:i/>
          <w:color w:val="000000"/>
        </w:rPr>
        <w:t>Restoratif justice</w:t>
      </w:r>
      <w:r>
        <w:rPr>
          <w:color w:val="000000"/>
        </w:rPr>
        <w:t xml:space="preserve"> Dalam Perkara Narkotika Di Indonesia”, </w:t>
      </w:r>
      <w:r>
        <w:rPr>
          <w:i/>
          <w:color w:val="000000"/>
        </w:rPr>
        <w:t>Jurnal Hukum Lex Generalis</w:t>
      </w:r>
      <w:r>
        <w:rPr>
          <w:color w:val="000000"/>
        </w:rPr>
        <w:t>. Vol.2. No.7 (Juli 2021).</w:t>
      </w:r>
    </w:p>
    <w:p w:rsidR="004772E1" w:rsidRDefault="004772E1" w:rsidP="004772E1">
      <w:pPr>
        <w:spacing w:line="216" w:lineRule="auto"/>
        <w:ind w:left="709" w:hanging="709"/>
        <w:jc w:val="both"/>
        <w:rPr>
          <w:color w:val="000000"/>
        </w:rPr>
      </w:pPr>
    </w:p>
    <w:p w:rsidR="004772E1" w:rsidRDefault="004772E1" w:rsidP="004772E1">
      <w:pPr>
        <w:ind w:left="709" w:hanging="709"/>
        <w:jc w:val="both"/>
        <w:rPr>
          <w:color w:val="000000"/>
        </w:rPr>
      </w:pPr>
      <w:r>
        <w:rPr>
          <w:rStyle w:val="Strong"/>
          <w:b w:val="0"/>
          <w:color w:val="000000"/>
        </w:rPr>
        <w:t>Henny Saida Flora,</w:t>
      </w:r>
      <w:r>
        <w:rPr>
          <w:rStyle w:val="Strong"/>
          <w:color w:val="000000"/>
        </w:rPr>
        <w:t xml:space="preserve"> “</w:t>
      </w:r>
      <w:r>
        <w:rPr>
          <w:color w:val="000000"/>
        </w:rPr>
        <w:t xml:space="preserve">Keadilan Restoratif Sebagai Alternatif Dalam Penyelesaian Tindak Pidana Dan Pengaruhnya Dalam Sistem Peradilan Pidana Di Indonesia”, </w:t>
      </w:r>
      <w:r>
        <w:rPr>
          <w:i/>
          <w:color w:val="000000"/>
        </w:rPr>
        <w:t>Law Journal</w:t>
      </w:r>
      <w:r>
        <w:rPr>
          <w:color w:val="000000"/>
        </w:rPr>
        <w:t>, Vol.3 No. 2 (2020),</w:t>
      </w:r>
    </w:p>
    <w:p w:rsidR="004772E1" w:rsidRDefault="004772E1" w:rsidP="004772E1">
      <w:pPr>
        <w:spacing w:line="216" w:lineRule="auto"/>
        <w:ind w:left="709" w:hanging="709"/>
        <w:jc w:val="both"/>
        <w:rPr>
          <w:color w:val="000000"/>
        </w:rPr>
      </w:pPr>
    </w:p>
    <w:p w:rsidR="004772E1" w:rsidRDefault="004772E1" w:rsidP="004772E1">
      <w:pPr>
        <w:spacing w:line="216" w:lineRule="auto"/>
        <w:ind w:left="709" w:hanging="709"/>
        <w:jc w:val="both"/>
        <w:rPr>
          <w:color w:val="000000"/>
        </w:rPr>
      </w:pPr>
    </w:p>
    <w:p w:rsidR="004772E1" w:rsidRDefault="004772E1" w:rsidP="004772E1">
      <w:pPr>
        <w:spacing w:line="216" w:lineRule="auto"/>
        <w:ind w:left="709" w:hanging="709"/>
        <w:jc w:val="both"/>
        <w:rPr>
          <w:color w:val="000000"/>
        </w:rPr>
      </w:pPr>
      <w:r>
        <w:rPr>
          <w:color w:val="000000"/>
        </w:rPr>
        <w:t xml:space="preserve">Lawalata, Jesylia Hillary, Juanrico Alfaromona Sumarezs Titahelu, and Julianus Edwin Latupeirissa. "Pendekatan </w:t>
      </w:r>
      <w:r>
        <w:rPr>
          <w:i/>
          <w:color w:val="000000"/>
        </w:rPr>
        <w:t>Restoratif justice</w:t>
      </w:r>
      <w:r>
        <w:rPr>
          <w:color w:val="000000"/>
        </w:rPr>
        <w:t xml:space="preserve"> Dalam Penyelesaian Perkara Tindak Pidana Narkotika Pada Tahapan Penyidikan." </w:t>
      </w:r>
      <w:r>
        <w:rPr>
          <w:i/>
          <w:color w:val="000000"/>
        </w:rPr>
        <w:t>Tatohi: Jurnal Ilmu Hukum</w:t>
      </w:r>
      <w:r>
        <w:rPr>
          <w:color w:val="000000"/>
        </w:rPr>
        <w:t>, Vol.2. No.1. (2022),</w:t>
      </w:r>
    </w:p>
    <w:p w:rsidR="004772E1" w:rsidRDefault="004772E1" w:rsidP="004772E1">
      <w:pPr>
        <w:spacing w:line="216" w:lineRule="auto"/>
        <w:ind w:left="709" w:hanging="709"/>
        <w:jc w:val="both"/>
        <w:rPr>
          <w:color w:val="000000"/>
        </w:rPr>
      </w:pPr>
    </w:p>
    <w:p w:rsidR="004772E1" w:rsidRDefault="004772E1" w:rsidP="004772E1">
      <w:pPr>
        <w:spacing w:line="216" w:lineRule="auto"/>
        <w:ind w:left="709" w:hanging="709"/>
        <w:jc w:val="both"/>
        <w:rPr>
          <w:color w:val="000000"/>
        </w:rPr>
      </w:pPr>
    </w:p>
    <w:p w:rsidR="004772E1" w:rsidRDefault="004772E1" w:rsidP="004772E1">
      <w:pPr>
        <w:ind w:left="709" w:hanging="709"/>
        <w:jc w:val="both"/>
        <w:rPr>
          <w:color w:val="000000"/>
        </w:rPr>
      </w:pPr>
      <w:r>
        <w:rPr>
          <w:color w:val="000000"/>
        </w:rPr>
        <w:t xml:space="preserve">Muhammad Haeykel dan  </w:t>
      </w:r>
      <w:hyperlink r:id="rId9" w:history="1">
        <w:r>
          <w:rPr>
            <w:rStyle w:val="Hyperlink"/>
            <w:color w:val="000000"/>
          </w:rPr>
          <w:t>Indra Gunawan Purba</w:t>
        </w:r>
      </w:hyperlink>
      <w:r>
        <w:rPr>
          <w:color w:val="000000"/>
        </w:rPr>
        <w:t xml:space="preserve">, “Pertangggung Jawaban Pelaku Tindak Pidana Penggelapan Yang Dilakukan Karyawan Toko Emas (Studi Putusan Pengadilan Negeri Medan No.2284/Pid.B/2022/PN Mdn)”, </w:t>
      </w:r>
      <w:r>
        <w:rPr>
          <w:color w:val="000000"/>
        </w:rPr>
        <w:lastRenderedPageBreak/>
        <w:t xml:space="preserve">diunduh melalui </w:t>
      </w:r>
      <w:hyperlink r:id="rId10" w:history="1">
        <w:r>
          <w:rPr>
            <w:rStyle w:val="Hyperlink"/>
            <w:i/>
            <w:color w:val="000000"/>
          </w:rPr>
          <w:t>https://scholar.google.co.id/citations</w:t>
        </w:r>
      </w:hyperlink>
      <w:r>
        <w:rPr>
          <w:color w:val="000000"/>
        </w:rPr>
        <w:t>, diakses Selasa 29 Oktober 2024</w:t>
      </w:r>
    </w:p>
    <w:p w:rsidR="004772E1" w:rsidRDefault="004772E1" w:rsidP="004772E1">
      <w:pPr>
        <w:ind w:left="709" w:hanging="709"/>
        <w:jc w:val="both"/>
        <w:rPr>
          <w:color w:val="000000"/>
        </w:rPr>
      </w:pPr>
    </w:p>
    <w:p w:rsidR="004772E1" w:rsidRDefault="004772E1" w:rsidP="004772E1">
      <w:pPr>
        <w:ind w:left="709" w:hanging="709"/>
        <w:jc w:val="both"/>
        <w:rPr>
          <w:color w:val="000000"/>
        </w:rPr>
      </w:pPr>
      <w:r>
        <w:rPr>
          <w:color w:val="000000"/>
        </w:rPr>
        <w:t>Noor Sholeh, “</w:t>
      </w:r>
      <w:r>
        <w:rPr>
          <w:i/>
          <w:color w:val="000000"/>
        </w:rPr>
        <w:t>Restoratif Jiistice</w:t>
      </w:r>
      <w:r>
        <w:rPr>
          <w:color w:val="000000"/>
        </w:rPr>
        <w:t xml:space="preserve"> Dalam Hhukum Pidana Islam Dan Kontribusinya Bagi Pembaharuan Hukum Pidana Materiili Iindonesia”,</w:t>
      </w:r>
      <w:r>
        <w:rPr>
          <w:i/>
          <w:color w:val="000000"/>
        </w:rPr>
        <w:t xml:space="preserve"> Isti'dal;Jurnal Studi Hukum Islam</w:t>
      </w:r>
      <w:r>
        <w:rPr>
          <w:color w:val="000000"/>
        </w:rPr>
        <w:t>, Vol. 2 No. 2,Juli-Desember 2021</w:t>
      </w:r>
    </w:p>
    <w:p w:rsidR="004772E1" w:rsidRDefault="004772E1" w:rsidP="004772E1">
      <w:pPr>
        <w:ind w:left="709" w:hanging="709"/>
        <w:jc w:val="both"/>
        <w:rPr>
          <w:color w:val="000000"/>
        </w:rPr>
      </w:pPr>
    </w:p>
    <w:p w:rsidR="004772E1" w:rsidRDefault="004772E1" w:rsidP="004772E1">
      <w:pPr>
        <w:ind w:left="709" w:hanging="709"/>
        <w:jc w:val="both"/>
        <w:rPr>
          <w:color w:val="000000"/>
        </w:rPr>
      </w:pPr>
      <w:r>
        <w:rPr>
          <w:color w:val="000000"/>
        </w:rPr>
        <w:t xml:space="preserve">Satria, Hariman “ </w:t>
      </w:r>
      <w:r>
        <w:rPr>
          <w:i/>
          <w:iCs/>
          <w:color w:val="000000"/>
        </w:rPr>
        <w:t xml:space="preserve">Restoratif justice: </w:t>
      </w:r>
      <w:r>
        <w:rPr>
          <w:color w:val="000000"/>
        </w:rPr>
        <w:t xml:space="preserve">Paradigma Baru Peradilan Pidana”, </w:t>
      </w:r>
      <w:r>
        <w:rPr>
          <w:i/>
          <w:color w:val="000000"/>
        </w:rPr>
        <w:t>Jurnal Media Hukum</w:t>
      </w:r>
      <w:r>
        <w:rPr>
          <w:color w:val="000000"/>
        </w:rPr>
        <w:t>, Vol. 25, No.1, 2022.</w:t>
      </w:r>
    </w:p>
    <w:p w:rsidR="004772E1" w:rsidRDefault="004772E1" w:rsidP="004772E1">
      <w:pPr>
        <w:ind w:left="709" w:hanging="709"/>
        <w:jc w:val="both"/>
        <w:rPr>
          <w:color w:val="000000"/>
        </w:rPr>
      </w:pPr>
    </w:p>
    <w:p w:rsidR="004772E1" w:rsidRDefault="004772E1" w:rsidP="004772E1">
      <w:pPr>
        <w:tabs>
          <w:tab w:val="left" w:pos="720"/>
        </w:tabs>
        <w:ind w:left="720" w:hanging="720"/>
        <w:jc w:val="both"/>
        <w:rPr>
          <w:color w:val="000000"/>
        </w:rPr>
      </w:pPr>
    </w:p>
    <w:p w:rsidR="004772E1" w:rsidRDefault="004772E1" w:rsidP="00B21308">
      <w:pPr>
        <w:numPr>
          <w:ilvl w:val="0"/>
          <w:numId w:val="4"/>
        </w:numPr>
        <w:tabs>
          <w:tab w:val="num" w:pos="360"/>
        </w:tabs>
        <w:ind w:left="360"/>
        <w:jc w:val="both"/>
        <w:rPr>
          <w:b/>
          <w:color w:val="000000"/>
          <w:lang w:val="id-ID"/>
        </w:rPr>
      </w:pPr>
      <w:r>
        <w:rPr>
          <w:b/>
          <w:color w:val="000000"/>
          <w:lang w:val="id-ID"/>
        </w:rPr>
        <w:t>Peraturan Peru</w:t>
      </w:r>
      <w:r>
        <w:rPr>
          <w:b/>
          <w:color w:val="000000"/>
        </w:rPr>
        <w:t>ndang-Undang</w:t>
      </w:r>
      <w:r>
        <w:rPr>
          <w:b/>
          <w:color w:val="000000"/>
          <w:lang w:val="id-ID"/>
        </w:rPr>
        <w:t>an</w:t>
      </w:r>
    </w:p>
    <w:p w:rsidR="004772E1" w:rsidRDefault="004772E1" w:rsidP="004772E1">
      <w:pPr>
        <w:tabs>
          <w:tab w:val="left" w:pos="720"/>
        </w:tabs>
        <w:ind w:left="720" w:hanging="720"/>
        <w:jc w:val="both"/>
        <w:rPr>
          <w:color w:val="000000"/>
        </w:rPr>
      </w:pPr>
    </w:p>
    <w:p w:rsidR="004772E1" w:rsidRDefault="004772E1" w:rsidP="004772E1">
      <w:pPr>
        <w:ind w:left="709" w:hanging="709"/>
        <w:jc w:val="both"/>
        <w:rPr>
          <w:color w:val="000000"/>
        </w:rPr>
      </w:pPr>
      <w:r>
        <w:rPr>
          <w:color w:val="000000"/>
        </w:rPr>
        <w:t>Undang-Undang Republik Indonesia No. 1 Tahun 1946 Tentang KUHP</w:t>
      </w:r>
    </w:p>
    <w:p w:rsidR="004772E1" w:rsidRDefault="004772E1" w:rsidP="004772E1">
      <w:pPr>
        <w:ind w:left="709" w:hanging="709"/>
        <w:jc w:val="both"/>
        <w:rPr>
          <w:color w:val="000000"/>
        </w:rPr>
      </w:pPr>
    </w:p>
    <w:p w:rsidR="004772E1" w:rsidRDefault="004772E1" w:rsidP="004772E1">
      <w:pPr>
        <w:ind w:left="709" w:hanging="709"/>
        <w:jc w:val="both"/>
        <w:rPr>
          <w:color w:val="000000"/>
        </w:rPr>
      </w:pPr>
      <w:r>
        <w:rPr>
          <w:color w:val="000000"/>
        </w:rPr>
        <w:t xml:space="preserve">Undang-Undang Republik Indonesia No. 8 Tahun 1981 Tentang KUHAP </w:t>
      </w:r>
    </w:p>
    <w:p w:rsidR="004772E1" w:rsidRDefault="004772E1" w:rsidP="004772E1">
      <w:pPr>
        <w:ind w:left="709" w:hanging="709"/>
        <w:jc w:val="both"/>
        <w:rPr>
          <w:color w:val="000000"/>
        </w:rPr>
      </w:pPr>
    </w:p>
    <w:p w:rsidR="004772E1" w:rsidRDefault="004772E1" w:rsidP="004772E1">
      <w:pPr>
        <w:ind w:left="709" w:hanging="709"/>
        <w:jc w:val="both"/>
        <w:rPr>
          <w:color w:val="000000"/>
        </w:rPr>
      </w:pPr>
      <w:r>
        <w:rPr>
          <w:color w:val="000000"/>
        </w:rPr>
        <w:t>Undang-Undang Republik Indonesia Nomor 2 Tahun 2002 Tentang Kepolisian Negara Republik Indonesia</w:t>
      </w:r>
    </w:p>
    <w:p w:rsidR="004772E1" w:rsidRDefault="004772E1" w:rsidP="004772E1">
      <w:pPr>
        <w:ind w:left="709" w:hanging="709"/>
        <w:jc w:val="both"/>
        <w:rPr>
          <w:color w:val="000000"/>
        </w:rPr>
      </w:pPr>
    </w:p>
    <w:p w:rsidR="004772E1" w:rsidRDefault="004772E1" w:rsidP="004772E1">
      <w:pPr>
        <w:ind w:left="709" w:hanging="709"/>
        <w:jc w:val="both"/>
        <w:rPr>
          <w:color w:val="000000"/>
        </w:rPr>
      </w:pPr>
      <w:r>
        <w:rPr>
          <w:color w:val="000000"/>
        </w:rPr>
        <w:t>Peraturan Pemerintah Nomor 27 Tahun 1983 Tentang Pelaksanaan Kitab Undang-Undang Hukum Acara Pidana (KUHAP).</w:t>
      </w:r>
    </w:p>
    <w:p w:rsidR="004772E1" w:rsidRDefault="004772E1" w:rsidP="004772E1">
      <w:pPr>
        <w:ind w:left="709" w:hanging="709"/>
        <w:jc w:val="both"/>
        <w:rPr>
          <w:color w:val="000000"/>
        </w:rPr>
      </w:pPr>
    </w:p>
    <w:p w:rsidR="004772E1" w:rsidRDefault="004772E1" w:rsidP="004772E1">
      <w:pPr>
        <w:ind w:left="709" w:hanging="709"/>
        <w:jc w:val="both"/>
        <w:rPr>
          <w:color w:val="000000"/>
        </w:rPr>
      </w:pPr>
      <w:r>
        <w:rPr>
          <w:color w:val="000000"/>
        </w:rPr>
        <w:t xml:space="preserve">Peraturan  Kapolri Nomor 8 Tahun 2021  Tentang Penanganan Tindak Pidana Berdasarkan Keadilan </w:t>
      </w:r>
      <w:r>
        <w:rPr>
          <w:i/>
          <w:color w:val="000000"/>
        </w:rPr>
        <w:t>Restoratif</w:t>
      </w:r>
    </w:p>
    <w:p w:rsidR="004772E1" w:rsidRDefault="004772E1" w:rsidP="004772E1">
      <w:pPr>
        <w:ind w:left="709" w:hanging="709"/>
        <w:jc w:val="both"/>
        <w:rPr>
          <w:color w:val="000000"/>
        </w:rPr>
      </w:pPr>
    </w:p>
    <w:p w:rsidR="004772E1" w:rsidRDefault="004772E1" w:rsidP="004772E1">
      <w:pPr>
        <w:ind w:left="709" w:hanging="709"/>
        <w:jc w:val="both"/>
        <w:rPr>
          <w:color w:val="000000"/>
        </w:rPr>
      </w:pPr>
      <w:r>
        <w:rPr>
          <w:color w:val="000000"/>
        </w:rPr>
        <w:t xml:space="preserve">Peraturan Mahkamah Agung Republik Indonesia Nomor 1 Tahun 2024 Tentang Pedoman Mengadili Perkara Pidana Berdasarkan Keadilan </w:t>
      </w:r>
      <w:r>
        <w:rPr>
          <w:i/>
          <w:color w:val="000000"/>
        </w:rPr>
        <w:t>Restoratif</w:t>
      </w:r>
    </w:p>
    <w:p w:rsidR="004772E1" w:rsidRDefault="004772E1" w:rsidP="004772E1">
      <w:pPr>
        <w:ind w:left="709" w:hanging="709"/>
        <w:jc w:val="both"/>
        <w:rPr>
          <w:color w:val="000000"/>
        </w:rPr>
      </w:pPr>
    </w:p>
    <w:p w:rsidR="004772E1" w:rsidRDefault="004772E1" w:rsidP="00B21308">
      <w:pPr>
        <w:numPr>
          <w:ilvl w:val="0"/>
          <w:numId w:val="4"/>
        </w:numPr>
        <w:tabs>
          <w:tab w:val="num" w:pos="360"/>
        </w:tabs>
        <w:ind w:left="360"/>
        <w:jc w:val="both"/>
        <w:rPr>
          <w:b/>
          <w:color w:val="000000"/>
          <w:lang w:val="id-ID"/>
        </w:rPr>
      </w:pPr>
      <w:r>
        <w:rPr>
          <w:b/>
          <w:color w:val="000000"/>
          <w:lang w:val="id-ID"/>
        </w:rPr>
        <w:t>Putusan</w:t>
      </w:r>
    </w:p>
    <w:p w:rsidR="004772E1" w:rsidRDefault="004772E1" w:rsidP="004772E1">
      <w:pPr>
        <w:jc w:val="both"/>
        <w:rPr>
          <w:b/>
          <w:color w:val="000000"/>
          <w:lang w:val="id-ID"/>
        </w:rPr>
      </w:pPr>
    </w:p>
    <w:p w:rsidR="004772E1" w:rsidRDefault="004772E1" w:rsidP="004772E1">
      <w:pPr>
        <w:jc w:val="both"/>
        <w:rPr>
          <w:color w:val="000000"/>
          <w:lang w:val="id-ID"/>
        </w:rPr>
      </w:pPr>
      <w:r>
        <w:rPr>
          <w:color w:val="000000"/>
        </w:rPr>
        <w:t>Pengadilan Negeri Tanjung Selor</w:t>
      </w:r>
      <w:r>
        <w:rPr>
          <w:color w:val="000000"/>
          <w:lang w:val="id-ID"/>
        </w:rPr>
        <w:t xml:space="preserve"> </w:t>
      </w:r>
      <w:r>
        <w:rPr>
          <w:color w:val="000000"/>
        </w:rPr>
        <w:t>Nomor 39/Pid.B/2022/PN Tjs</w:t>
      </w:r>
    </w:p>
    <w:bookmarkEnd w:id="1"/>
    <w:p w:rsidR="004772E1" w:rsidRDefault="004772E1" w:rsidP="004772E1">
      <w:pPr>
        <w:spacing w:line="480" w:lineRule="auto"/>
        <w:rPr>
          <w:color w:val="000000"/>
          <w:lang w:eastAsia="x-none"/>
        </w:rPr>
        <w:sectPr w:rsidR="004772E1">
          <w:pgSz w:w="11907" w:h="16840"/>
          <w:pgMar w:top="2268" w:right="1701" w:bottom="1701" w:left="2268" w:header="720" w:footer="720" w:gutter="0"/>
          <w:pgNumType w:start="29"/>
          <w:cols w:space="720"/>
        </w:sectPr>
      </w:pPr>
    </w:p>
    <w:p w:rsidR="004772E1" w:rsidRDefault="004772E1" w:rsidP="004772E1">
      <w:pPr>
        <w:spacing w:line="480" w:lineRule="auto"/>
        <w:rPr>
          <w:color w:val="000000"/>
          <w:lang w:eastAsia="x-none"/>
        </w:rPr>
        <w:sectPr w:rsidR="004772E1">
          <w:pgSz w:w="11907" w:h="16840"/>
          <w:pgMar w:top="2268" w:right="1701" w:bottom="1701" w:left="2268" w:header="720" w:footer="720" w:gutter="0"/>
          <w:pgNumType w:start="29"/>
          <w:cols w:space="720"/>
        </w:sectPr>
      </w:pPr>
    </w:p>
    <w:p w:rsidR="004772E1" w:rsidRDefault="004772E1" w:rsidP="004772E1">
      <w:pPr>
        <w:pStyle w:val="BodyTextIndent3"/>
        <w:ind w:left="0" w:firstLine="731"/>
        <w:rPr>
          <w:color w:val="000000"/>
          <w:szCs w:val="24"/>
        </w:rPr>
      </w:pPr>
      <w:r>
        <w:rPr>
          <w:noProof/>
        </w:rPr>
        <w:lastRenderedPageBreak/>
        <w:drawing>
          <wp:anchor distT="0" distB="0" distL="114300" distR="114300" simplePos="0" relativeHeight="251656704" behindDoc="0" locked="0" layoutInCell="1" allowOverlap="1">
            <wp:simplePos x="0" y="0"/>
            <wp:positionH relativeFrom="column">
              <wp:posOffset>-784860</wp:posOffset>
            </wp:positionH>
            <wp:positionV relativeFrom="paragraph">
              <wp:posOffset>-68580</wp:posOffset>
            </wp:positionV>
            <wp:extent cx="6202680" cy="8763000"/>
            <wp:effectExtent l="0" t="0" r="7620" b="0"/>
            <wp:wrapNone/>
            <wp:docPr id="24" name="Picture 24" descr="2026-01-31 12-57-35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6-01-31 12-57-35_0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2680" cy="8763000"/>
                    </a:xfrm>
                    <a:prstGeom prst="rect">
                      <a:avLst/>
                    </a:prstGeom>
                    <a:noFill/>
                  </pic:spPr>
                </pic:pic>
              </a:graphicData>
            </a:graphic>
            <wp14:sizeRelH relativeFrom="page">
              <wp14:pctWidth>0</wp14:pctWidth>
            </wp14:sizeRelH>
            <wp14:sizeRelV relativeFrom="page">
              <wp14:pctHeight>0</wp14:pctHeight>
            </wp14:sizeRelV>
          </wp:anchor>
        </w:drawing>
      </w:r>
    </w:p>
    <w:p w:rsidR="004772E1" w:rsidRDefault="004772E1" w:rsidP="004772E1">
      <w:pPr>
        <w:spacing w:line="480" w:lineRule="auto"/>
        <w:rPr>
          <w:color w:val="000000"/>
          <w:lang w:eastAsia="x-none"/>
        </w:rPr>
        <w:sectPr w:rsidR="004772E1">
          <w:pgSz w:w="11907" w:h="16840"/>
          <w:pgMar w:top="2268" w:right="1701" w:bottom="1701" w:left="2268" w:header="720" w:footer="720" w:gutter="0"/>
          <w:pgNumType w:start="29"/>
          <w:cols w:space="720"/>
        </w:sectPr>
      </w:pPr>
    </w:p>
    <w:p w:rsidR="004772E1" w:rsidRDefault="004772E1" w:rsidP="004772E1">
      <w:pPr>
        <w:pStyle w:val="BodyTextIndent3"/>
        <w:ind w:left="0" w:firstLine="731"/>
        <w:rPr>
          <w:color w:val="000000"/>
          <w:szCs w:val="24"/>
        </w:rPr>
      </w:pPr>
      <w:r>
        <w:rPr>
          <w:noProof/>
        </w:rPr>
        <w:lastRenderedPageBreak/>
        <w:drawing>
          <wp:anchor distT="0" distB="0" distL="114300" distR="114300" simplePos="0" relativeHeight="251657728" behindDoc="0" locked="0" layoutInCell="1" allowOverlap="1">
            <wp:simplePos x="0" y="0"/>
            <wp:positionH relativeFrom="column">
              <wp:posOffset>-195580</wp:posOffset>
            </wp:positionH>
            <wp:positionV relativeFrom="paragraph">
              <wp:posOffset>-70485</wp:posOffset>
            </wp:positionV>
            <wp:extent cx="5359400" cy="7571740"/>
            <wp:effectExtent l="0" t="0" r="0" b="0"/>
            <wp:wrapNone/>
            <wp:docPr id="23" name="Picture 23" descr="2026-01-31 12-57-58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6-01-31 12-57-58_00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9400" cy="7571740"/>
                    </a:xfrm>
                    <a:prstGeom prst="rect">
                      <a:avLst/>
                    </a:prstGeom>
                    <a:noFill/>
                  </pic:spPr>
                </pic:pic>
              </a:graphicData>
            </a:graphic>
            <wp14:sizeRelH relativeFrom="page">
              <wp14:pctWidth>0</wp14:pctWidth>
            </wp14:sizeRelH>
            <wp14:sizeRelV relativeFrom="page">
              <wp14:pctHeight>0</wp14:pctHeight>
            </wp14:sizeRelV>
          </wp:anchor>
        </w:drawing>
      </w:r>
    </w:p>
    <w:p w:rsidR="004772E1" w:rsidRDefault="004772E1" w:rsidP="004772E1">
      <w:pPr>
        <w:spacing w:line="480" w:lineRule="auto"/>
        <w:rPr>
          <w:color w:val="000000"/>
          <w:lang w:eastAsia="x-none"/>
        </w:rPr>
        <w:sectPr w:rsidR="004772E1">
          <w:pgSz w:w="11907" w:h="16840"/>
          <w:pgMar w:top="2268" w:right="1701" w:bottom="1701" w:left="2268" w:header="720" w:footer="720" w:gutter="0"/>
          <w:pgNumType w:start="29"/>
          <w:cols w:space="720"/>
        </w:sectPr>
      </w:pPr>
    </w:p>
    <w:p w:rsidR="004772E1" w:rsidRDefault="004772E1" w:rsidP="004772E1">
      <w:pPr>
        <w:pStyle w:val="BodyTextIndent3"/>
        <w:ind w:left="0" w:firstLine="731"/>
        <w:rPr>
          <w:color w:val="000000"/>
          <w:szCs w:val="24"/>
        </w:rPr>
      </w:pPr>
      <w:r>
        <w:rPr>
          <w:noProof/>
        </w:rPr>
        <w:lastRenderedPageBreak/>
        <w:drawing>
          <wp:anchor distT="0" distB="0" distL="114300" distR="114300" simplePos="0" relativeHeight="251658752" behindDoc="0" locked="0" layoutInCell="1" allowOverlap="1">
            <wp:simplePos x="0" y="0"/>
            <wp:positionH relativeFrom="column">
              <wp:posOffset>-297180</wp:posOffset>
            </wp:positionH>
            <wp:positionV relativeFrom="paragraph">
              <wp:posOffset>-20955</wp:posOffset>
            </wp:positionV>
            <wp:extent cx="5486400" cy="7750810"/>
            <wp:effectExtent l="0" t="0" r="0" b="2540"/>
            <wp:wrapNone/>
            <wp:docPr id="22" name="Picture 22" descr="2026-01-31 12-58-18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6-01-31 12-58-18_0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750810"/>
                    </a:xfrm>
                    <a:prstGeom prst="rect">
                      <a:avLst/>
                    </a:prstGeom>
                    <a:noFill/>
                  </pic:spPr>
                </pic:pic>
              </a:graphicData>
            </a:graphic>
            <wp14:sizeRelH relativeFrom="page">
              <wp14:pctWidth>0</wp14:pctWidth>
            </wp14:sizeRelH>
            <wp14:sizeRelV relativeFrom="page">
              <wp14:pctHeight>0</wp14:pctHeight>
            </wp14:sizeRelV>
          </wp:anchor>
        </w:drawing>
      </w:r>
    </w:p>
    <w:p w:rsidR="00CE7FEB" w:rsidRPr="004772E1" w:rsidRDefault="00CE7FEB" w:rsidP="004772E1"/>
    <w:sectPr w:rsidR="00CE7FEB" w:rsidRPr="004772E1" w:rsidSect="00CE7FEB">
      <w:headerReference w:type="default" r:id="rId14"/>
      <w:footerReference w:type="default" r:id="rId15"/>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F0E" w:rsidRDefault="00610F0E" w:rsidP="002D79FF">
      <w:r>
        <w:separator/>
      </w:r>
    </w:p>
  </w:endnote>
  <w:endnote w:type="continuationSeparator" w:id="0">
    <w:p w:rsidR="00610F0E" w:rsidRDefault="00610F0E" w:rsidP="002D7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637" w:rsidRDefault="00610F0E">
    <w:pPr>
      <w:pStyle w:val="Footer"/>
      <w:jc w:val="center"/>
    </w:pPr>
  </w:p>
  <w:p w:rsidR="00630637" w:rsidRDefault="00610F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F0E" w:rsidRDefault="00610F0E" w:rsidP="002D79FF">
      <w:r>
        <w:separator/>
      </w:r>
    </w:p>
  </w:footnote>
  <w:footnote w:type="continuationSeparator" w:id="0">
    <w:p w:rsidR="00610F0E" w:rsidRDefault="00610F0E" w:rsidP="002D7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637" w:rsidRDefault="00610F0E">
    <w:pPr>
      <w:pStyle w:val="Header"/>
      <w:jc w:val="right"/>
    </w:pPr>
  </w:p>
  <w:p w:rsidR="00630637" w:rsidRPr="007E1322" w:rsidRDefault="00B21308"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610F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6A4C"/>
    <w:multiLevelType w:val="hybridMultilevel"/>
    <w:tmpl w:val="3926BC9A"/>
    <w:lvl w:ilvl="0" w:tplc="63066C96">
      <w:start w:val="1"/>
      <w:numFmt w:val="upperLetter"/>
      <w:pStyle w:val="Heading3"/>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19574F3F"/>
    <w:multiLevelType w:val="hybridMultilevel"/>
    <w:tmpl w:val="B82E2A70"/>
    <w:lvl w:ilvl="0" w:tplc="0409000F">
      <w:start w:val="1"/>
      <w:numFmt w:val="decimal"/>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2A5D70"/>
    <w:multiLevelType w:val="hybridMultilevel"/>
    <w:tmpl w:val="91308BA0"/>
    <w:lvl w:ilvl="0" w:tplc="42DA1838">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4289540A"/>
    <w:multiLevelType w:val="hybridMultilevel"/>
    <w:tmpl w:val="CB109C30"/>
    <w:lvl w:ilvl="0" w:tplc="613E1F38">
      <w:start w:val="1"/>
      <w:numFmt w:val="upperLetter"/>
      <w:pStyle w:val="Heading1"/>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num w:numId="1">
    <w:abstractNumId w:val="3"/>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XMEy1B2/c450mIHqF2A3Rsu+0aByTT3aSPm0qPHtLFXlTfP+dWOYltgaQYiC6pbYZ/ER1WN91gFtlyZOKsd08g==" w:salt="oh2mLctNHXeoR+ALMt/gs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FEB"/>
    <w:rsid w:val="00004A2D"/>
    <w:rsid w:val="00050032"/>
    <w:rsid w:val="00073236"/>
    <w:rsid w:val="000D08BE"/>
    <w:rsid w:val="002B61E2"/>
    <w:rsid w:val="002B7959"/>
    <w:rsid w:val="002D79FF"/>
    <w:rsid w:val="00390270"/>
    <w:rsid w:val="004772E1"/>
    <w:rsid w:val="00490063"/>
    <w:rsid w:val="00497A5F"/>
    <w:rsid w:val="00567E71"/>
    <w:rsid w:val="00610F0E"/>
    <w:rsid w:val="0066422A"/>
    <w:rsid w:val="007929DB"/>
    <w:rsid w:val="008374CB"/>
    <w:rsid w:val="008538D8"/>
    <w:rsid w:val="00932E1A"/>
    <w:rsid w:val="00A84279"/>
    <w:rsid w:val="00B21308"/>
    <w:rsid w:val="00C52FF9"/>
    <w:rsid w:val="00C72C38"/>
    <w:rsid w:val="00C81419"/>
    <w:rsid w:val="00CB0398"/>
    <w:rsid w:val="00CE7FEB"/>
    <w:rsid w:val="00D175B9"/>
    <w:rsid w:val="00D23502"/>
    <w:rsid w:val="00F17F5D"/>
    <w:rsid w:val="00F21187"/>
    <w:rsid w:val="00F94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2FEAC5-0BCA-4F3A-AD19-4861E07D5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numPr>
        <w:numId w:val="1"/>
      </w:numPr>
      <w:tabs>
        <w:tab w:val="num" w:pos="284"/>
      </w:tabs>
      <w:spacing w:line="480" w:lineRule="auto"/>
      <w:ind w:left="0" w:firstLine="0"/>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numPr>
        <w:numId w:val="2"/>
      </w:numPr>
      <w:jc w:val="both"/>
      <w:outlineLvl w:val="2"/>
    </w:pPr>
    <w:rPr>
      <w:rFonts w:ascii="MS Serif" w:hAnsi="MS Serif"/>
      <w:b/>
      <w:szCs w:val="20"/>
    </w:rPr>
  </w:style>
  <w:style w:type="paragraph" w:styleId="Heading4">
    <w:name w:val="heading 4"/>
    <w:basedOn w:val="Normal"/>
    <w:next w:val="Normal"/>
    <w:link w:val="Heading4Char"/>
    <w:qFormat/>
    <w:rsid w:val="00490063"/>
    <w:pPr>
      <w:keepNext/>
      <w:numPr>
        <w:numId w:val="3"/>
      </w:numPr>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uiPriority w:val="99"/>
    <w:qFormat/>
    <w:rsid w:val="00C72C38"/>
    <w:pPr>
      <w:spacing w:line="480" w:lineRule="auto"/>
      <w:jc w:val="center"/>
    </w:pPr>
    <w:rPr>
      <w:b/>
      <w:szCs w:val="20"/>
    </w:rPr>
  </w:style>
  <w:style w:type="character" w:customStyle="1" w:styleId="SubtitleChar">
    <w:name w:val="Subtitle Char"/>
    <w:basedOn w:val="DefaultParagraphFont"/>
    <w:link w:val="Subtitle"/>
    <w:uiPriority w:val="99"/>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da"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file:///C:\Users\OPERATOR\Downloads\Islamic%20Restorative%20Justice%20dan%20Penegakan%20Hukum%20yang%20Berkeadilan"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cholar.google.co.id/citations" TargetMode="External"/><Relationship Id="rId4" Type="http://schemas.openxmlformats.org/officeDocument/2006/relationships/webSettings" Target="webSettings.xml"/><Relationship Id="rId9" Type="http://schemas.openxmlformats.org/officeDocument/2006/relationships/hyperlink" Target="https://scholar.google.co.id/citations?user=MuesR7wAAAAJ&amp;hl=id"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702</Words>
  <Characters>4006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user</cp:lastModifiedBy>
  <cp:revision>2</cp:revision>
  <dcterms:created xsi:type="dcterms:W3CDTF">2026-06-22T09:16:00Z</dcterms:created>
  <dcterms:modified xsi:type="dcterms:W3CDTF">2026-06-22T09:16:00Z</dcterms:modified>
</cp:coreProperties>
</file>