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275" w:rsidRDefault="003A7275" w:rsidP="003A7275">
      <w:pPr>
        <w:tabs>
          <w:tab w:val="left" w:pos="0"/>
        </w:tabs>
        <w:spacing w:line="480" w:lineRule="auto"/>
        <w:jc w:val="center"/>
        <w:rPr>
          <w:b/>
          <w:color w:val="000000"/>
        </w:rPr>
      </w:pPr>
      <w:r>
        <w:rPr>
          <w:b/>
          <w:color w:val="000000"/>
        </w:rPr>
        <w:t xml:space="preserve">BAB V </w:t>
      </w:r>
    </w:p>
    <w:p w:rsidR="003A7275" w:rsidRDefault="003A7275" w:rsidP="003A7275">
      <w:pPr>
        <w:tabs>
          <w:tab w:val="left" w:pos="0"/>
        </w:tabs>
        <w:spacing w:line="480" w:lineRule="auto"/>
        <w:jc w:val="center"/>
        <w:rPr>
          <w:b/>
          <w:color w:val="000000"/>
        </w:rPr>
      </w:pPr>
      <w:r>
        <w:rPr>
          <w:b/>
          <w:color w:val="000000"/>
        </w:rPr>
        <w:t>KESIMPULAN DAN SARAN</w:t>
      </w:r>
    </w:p>
    <w:p w:rsidR="003A7275" w:rsidRDefault="003A7275" w:rsidP="002B7613">
      <w:pPr>
        <w:pStyle w:val="ListParagraph"/>
        <w:numPr>
          <w:ilvl w:val="0"/>
          <w:numId w:val="4"/>
        </w:numPr>
        <w:tabs>
          <w:tab w:val="left" w:pos="0"/>
        </w:tabs>
        <w:ind w:left="360"/>
        <w:jc w:val="left"/>
        <w:rPr>
          <w:rFonts w:ascii="Times New Roman" w:hAnsi="Times New Roman"/>
          <w:b/>
          <w:color w:val="000000"/>
          <w:sz w:val="24"/>
          <w:szCs w:val="24"/>
        </w:rPr>
      </w:pPr>
      <w:r>
        <w:rPr>
          <w:rFonts w:ascii="Times New Roman" w:hAnsi="Times New Roman"/>
          <w:b/>
          <w:color w:val="000000"/>
          <w:sz w:val="24"/>
          <w:szCs w:val="24"/>
        </w:rPr>
        <w:t>Kesimpulan</w:t>
      </w:r>
    </w:p>
    <w:p w:rsidR="003A7275" w:rsidRDefault="003A7275" w:rsidP="002B7613">
      <w:pPr>
        <w:numPr>
          <w:ilvl w:val="0"/>
          <w:numId w:val="5"/>
        </w:numPr>
        <w:autoSpaceDE w:val="0"/>
        <w:autoSpaceDN w:val="0"/>
        <w:adjustRightInd w:val="0"/>
        <w:spacing w:line="456" w:lineRule="auto"/>
        <w:jc w:val="both"/>
        <w:rPr>
          <w:color w:val="000000"/>
        </w:rPr>
      </w:pPr>
      <w:r>
        <w:t>Pengaturan hukum penindakan Propam Polri terhadap anggota polisi yang melakukan pelanggaran kode etik</w:t>
      </w:r>
      <w:r>
        <w:rPr>
          <w:lang w:val="id-ID"/>
        </w:rPr>
        <w:t xml:space="preserve"> </w:t>
      </w:r>
      <w:r>
        <w:rPr>
          <w:color w:val="000000"/>
        </w:rPr>
        <w:t xml:space="preserve">adalah </w:t>
      </w:r>
      <w:r>
        <w:t>Penanganan sanksi pidana terhadap oknum tersebut diatur dalam KUHP dan juga selain mendapatkan sanksi Etika, anggota Polri yang melanggar Kode Kode Etik Profesi Polri juga akan terkena sanksi Administrasi seperti yang diatur dalam Peraturan Kepolisian Negara Republik Indonesia Nomor 7 Tahun 2022 tentang Kode Etik Profesi dan Komisi Kode Etik Kepolisian Negara Republik Indonesia</w:t>
      </w:r>
    </w:p>
    <w:p w:rsidR="003A7275" w:rsidRDefault="003A7275" w:rsidP="002B7613">
      <w:pPr>
        <w:pStyle w:val="ListParagraph"/>
        <w:numPr>
          <w:ilvl w:val="0"/>
          <w:numId w:val="5"/>
        </w:numPr>
        <w:spacing w:line="456" w:lineRule="auto"/>
        <w:rPr>
          <w:rFonts w:ascii="Times New Roman" w:hAnsi="Times New Roman"/>
          <w:sz w:val="24"/>
          <w:szCs w:val="24"/>
        </w:rPr>
      </w:pPr>
      <w:r>
        <w:rPr>
          <w:rFonts w:ascii="Times New Roman" w:hAnsi="Times New Roman"/>
          <w:sz w:val="24"/>
          <w:szCs w:val="24"/>
        </w:rPr>
        <w:t xml:space="preserve">Mekanisme hukum penindakan terhadap oknum anggota Polisi yang melakukan pelanggaran kode etik adalah </w:t>
      </w:r>
      <w:r>
        <w:rPr>
          <w:rFonts w:ascii="Times New Roman" w:hAnsi="Times New Roman"/>
          <w:color w:val="000000"/>
          <w:sz w:val="24"/>
          <w:szCs w:val="24"/>
        </w:rPr>
        <w:t xml:space="preserve">Proses penanganan penangkapan terhadap polisi yang melanggar Kode Etik Profesi Kepolisian yaitu </w:t>
      </w:r>
      <w:r>
        <w:rPr>
          <w:rFonts w:ascii="Times New Roman" w:hAnsi="Times New Roman"/>
          <w:iCs/>
          <w:color w:val="000000"/>
          <w:sz w:val="24"/>
          <w:szCs w:val="24"/>
        </w:rPr>
        <w:t>proses menangani kasus pelanggaran Kode Etik Profesi Polri karena melakukan tindak pidana</w:t>
      </w:r>
      <w:r>
        <w:rPr>
          <w:rFonts w:ascii="Times New Roman" w:hAnsi="Times New Roman"/>
          <w:i/>
          <w:iCs/>
          <w:color w:val="000000"/>
          <w:sz w:val="24"/>
          <w:szCs w:val="24"/>
        </w:rPr>
        <w:t xml:space="preserve"> </w:t>
      </w:r>
      <w:r>
        <w:rPr>
          <w:rFonts w:ascii="Times New Roman" w:hAnsi="Times New Roman"/>
          <w:color w:val="000000"/>
          <w:sz w:val="24"/>
          <w:szCs w:val="24"/>
        </w:rPr>
        <w:t xml:space="preserve">adalah Anggota Polri yang melakukan tindak pidana diadukan/dilaporkan oleh masyarakat. </w:t>
      </w:r>
      <w:r>
        <w:rPr>
          <w:rFonts w:ascii="Times New Roman" w:hAnsi="Times New Roman"/>
          <w:sz w:val="24"/>
          <w:szCs w:val="24"/>
        </w:rPr>
        <w:t xml:space="preserve">sidang komisi kode etik yang dihadiri oleh minimal 3 orang dan maksimal 5 orang. Para penegak hukum dalam persidangan Komisi Kode Etik yaitu Yang Berhak Menghukum (Ankum), Penuntut, Penasehat yang semuanya bagian dari anggota Polri. </w:t>
      </w:r>
    </w:p>
    <w:p w:rsidR="003A7275" w:rsidRDefault="003A7275" w:rsidP="002B7613">
      <w:pPr>
        <w:numPr>
          <w:ilvl w:val="0"/>
          <w:numId w:val="5"/>
        </w:numPr>
        <w:spacing w:line="456" w:lineRule="auto"/>
        <w:jc w:val="both"/>
        <w:rPr>
          <w:color w:val="000000"/>
        </w:rPr>
      </w:pPr>
      <w:r>
        <w:t>Kendala dalam melakukan penindakan terhadap oknum anggota Kepolisian yang melakukan pelanggaran kode etik adalah</w:t>
      </w:r>
      <w:r>
        <w:rPr>
          <w:color w:val="000000"/>
        </w:rPr>
        <w:t xml:space="preserve"> Tidak hadirnya terduga pelanggar, lamanya proses persidangan di pengadilan umum atau negeri, tidak adanya bidang pertanggungjawaban profesi di tingkat Polres, tidak hadirnya saksi dalam pelaksanaan sidang KKEP, kurangnya </w:t>
      </w:r>
      <w:r>
        <w:rPr>
          <w:color w:val="000000"/>
        </w:rPr>
        <w:lastRenderedPageBreak/>
        <w:t xml:space="preserve">kesadaran, kepatuhan dan penerapan oleh anggota Polri dalam mentaati kode etik profesi.  Upaya mengatasi hambatannya adalah </w:t>
      </w:r>
      <w:r>
        <w:rPr>
          <w:bCs/>
          <w:color w:val="000000"/>
        </w:rPr>
        <w:t xml:space="preserve">peningkatan status terduga pelanggar menjadi DPO, persiapan pelaksanaan sidang KKEP </w:t>
      </w:r>
      <w:r>
        <w:rPr>
          <w:color w:val="000000"/>
        </w:rPr>
        <w:t xml:space="preserve">lebih awal terkait dengan proses persidangan di pengadilan negeri yang berlangsung lama dan tidak dapat dihindari, </w:t>
      </w:r>
      <w:r>
        <w:rPr>
          <w:bCs/>
          <w:color w:val="000000"/>
        </w:rPr>
        <w:t>pengusulan dibentuknya bidang pertanggungjawaban profesi</w:t>
      </w:r>
      <w:r>
        <w:rPr>
          <w:b/>
          <w:bCs/>
          <w:color w:val="000000"/>
        </w:rPr>
        <w:t xml:space="preserve"> </w:t>
      </w:r>
      <w:r>
        <w:rPr>
          <w:color w:val="000000"/>
        </w:rPr>
        <w:t xml:space="preserve">di Tingkat Polres. </w:t>
      </w:r>
    </w:p>
    <w:p w:rsidR="003A7275" w:rsidRDefault="003A7275" w:rsidP="002B7613">
      <w:pPr>
        <w:pStyle w:val="ListParagraph"/>
        <w:numPr>
          <w:ilvl w:val="0"/>
          <w:numId w:val="4"/>
        </w:numPr>
        <w:tabs>
          <w:tab w:val="left" w:pos="270"/>
        </w:tabs>
        <w:ind w:left="270" w:hanging="270"/>
        <w:rPr>
          <w:rFonts w:ascii="Times New Roman" w:hAnsi="Times New Roman"/>
          <w:b/>
          <w:color w:val="000000"/>
          <w:sz w:val="24"/>
          <w:szCs w:val="24"/>
        </w:rPr>
      </w:pPr>
      <w:r>
        <w:rPr>
          <w:rFonts w:ascii="Times New Roman" w:hAnsi="Times New Roman"/>
          <w:b/>
          <w:color w:val="000000"/>
          <w:sz w:val="24"/>
          <w:szCs w:val="24"/>
        </w:rPr>
        <w:t>Saran</w:t>
      </w:r>
    </w:p>
    <w:p w:rsidR="003A7275" w:rsidRDefault="003A7275" w:rsidP="002B7613">
      <w:pPr>
        <w:pStyle w:val="ListParagraph"/>
        <w:numPr>
          <w:ilvl w:val="2"/>
          <w:numId w:val="4"/>
        </w:numPr>
        <w:tabs>
          <w:tab w:val="left" w:pos="709"/>
        </w:tabs>
        <w:autoSpaceDE w:val="0"/>
        <w:autoSpaceDN w:val="0"/>
        <w:adjustRightInd w:val="0"/>
        <w:ind w:left="709" w:hanging="352"/>
        <w:rPr>
          <w:rFonts w:ascii="Times New Roman" w:hAnsi="Times New Roman"/>
          <w:sz w:val="24"/>
          <w:szCs w:val="24"/>
        </w:rPr>
      </w:pPr>
      <w:r>
        <w:rPr>
          <w:rFonts w:ascii="Times New Roman" w:hAnsi="Times New Roman"/>
          <w:color w:val="000000"/>
          <w:sz w:val="24"/>
          <w:szCs w:val="24"/>
        </w:rPr>
        <w:t>A</w:t>
      </w:r>
      <w:r>
        <w:rPr>
          <w:rFonts w:ascii="Times New Roman" w:hAnsi="Times New Roman"/>
          <w:sz w:val="24"/>
          <w:szCs w:val="24"/>
        </w:rPr>
        <w:t>gar Propam lebih meningkatkan pengawasan terhadap kedisiplinan dan ketertiban dalam lingkungan Polres Pelabuhan Makasar serta memberikan sanksi yang tegas terhadap anggota Kepolisian yang terbukti melakukan tindak pidana.</w:t>
      </w:r>
    </w:p>
    <w:p w:rsidR="003A7275" w:rsidRDefault="003A7275" w:rsidP="002B7613">
      <w:pPr>
        <w:pStyle w:val="ListParagraph"/>
        <w:numPr>
          <w:ilvl w:val="2"/>
          <w:numId w:val="4"/>
        </w:numPr>
        <w:tabs>
          <w:tab w:val="left" w:pos="709"/>
        </w:tabs>
        <w:autoSpaceDE w:val="0"/>
        <w:autoSpaceDN w:val="0"/>
        <w:adjustRightInd w:val="0"/>
        <w:ind w:left="709" w:hanging="352"/>
        <w:rPr>
          <w:rFonts w:ascii="Times New Roman" w:hAnsi="Times New Roman"/>
          <w:sz w:val="24"/>
          <w:szCs w:val="24"/>
        </w:rPr>
      </w:pPr>
      <w:r>
        <w:rPr>
          <w:rFonts w:ascii="Times New Roman" w:hAnsi="Times New Roman"/>
          <w:color w:val="000000"/>
          <w:sz w:val="24"/>
          <w:szCs w:val="24"/>
        </w:rPr>
        <w:t>Agar suatu peraturan Kode Etik Profesi Polri dapat diterapkan dengan baik, maka sebaiknya Polda Sulsel lebih meningkatkan pengawasan kinerja terhadap para anggotanya dengan cara, seperti melakukan pembinaan sesuai dengan profesi, menekankan nilai moral dalam diri setiap individu supaya berperilaku sesuai dengan kode etik profesi yang melekat pada diri setiap anggota Polri serta mengamalkan dasar dari kepolisian agar tidak terjadi pelanggaran kode etik profesi lagi</w:t>
      </w:r>
      <w:r>
        <w:rPr>
          <w:rFonts w:ascii="Times New Roman" w:hAnsi="Times New Roman"/>
          <w:sz w:val="24"/>
          <w:szCs w:val="24"/>
        </w:rPr>
        <w:t>.</w:t>
      </w:r>
    </w:p>
    <w:p w:rsidR="003A7275" w:rsidRDefault="003A7275" w:rsidP="002B7613">
      <w:pPr>
        <w:pStyle w:val="ListParagraph"/>
        <w:numPr>
          <w:ilvl w:val="2"/>
          <w:numId w:val="4"/>
        </w:numPr>
        <w:tabs>
          <w:tab w:val="left" w:pos="709"/>
        </w:tabs>
        <w:autoSpaceDE w:val="0"/>
        <w:autoSpaceDN w:val="0"/>
        <w:adjustRightInd w:val="0"/>
        <w:ind w:left="709" w:hanging="352"/>
        <w:rPr>
          <w:rFonts w:ascii="Times New Roman" w:hAnsi="Times New Roman"/>
          <w:sz w:val="24"/>
          <w:szCs w:val="24"/>
        </w:rPr>
      </w:pPr>
      <w:r>
        <w:rPr>
          <w:rFonts w:ascii="Times New Roman" w:hAnsi="Times New Roman"/>
          <w:sz w:val="24"/>
          <w:szCs w:val="24"/>
        </w:rPr>
        <w:t>Agar dilakukan peningkatan kesadaran publik, pelatihan, dan penegakan hukum yang jelas untuk mengurangi oknum-oknum Polisi yang melakukan pemerasan dan dalam mempertahankan profesionalisme Kepolisian serta dibutuhkan prosedur penegakan sanksi etika profesi yang benar sehingga dapat berfungsi sebagai penegakan disiplin serta untuk menjaga keadilan dan profesionalisme di institusi Kepolisian.</w:t>
      </w:r>
    </w:p>
    <w:p w:rsidR="00CE7FEB" w:rsidRPr="003A7275" w:rsidRDefault="00CE7FEB" w:rsidP="003A7275">
      <w:bookmarkStart w:id="0" w:name="_GoBack"/>
      <w:bookmarkEnd w:id="0"/>
    </w:p>
    <w:sectPr w:rsidR="00CE7FEB" w:rsidRPr="003A7275" w:rsidSect="00CE7FEB">
      <w:headerReference w:type="default" r:id="rId8"/>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613" w:rsidRDefault="002B7613" w:rsidP="002D79FF">
      <w:r>
        <w:separator/>
      </w:r>
    </w:p>
  </w:endnote>
  <w:endnote w:type="continuationSeparator" w:id="0">
    <w:p w:rsidR="002B7613" w:rsidRDefault="002B7613"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37" w:rsidRDefault="002B7613">
    <w:pPr>
      <w:pStyle w:val="Footer"/>
      <w:jc w:val="center"/>
    </w:pPr>
  </w:p>
  <w:p w:rsidR="00630637" w:rsidRDefault="002B76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613" w:rsidRDefault="002B7613" w:rsidP="002D79FF">
      <w:r>
        <w:separator/>
      </w:r>
    </w:p>
  </w:footnote>
  <w:footnote w:type="continuationSeparator" w:id="0">
    <w:p w:rsidR="002B7613" w:rsidRDefault="002B7613" w:rsidP="002D7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37" w:rsidRDefault="002B7613">
    <w:pPr>
      <w:pStyle w:val="Header"/>
      <w:jc w:val="right"/>
    </w:pPr>
  </w:p>
  <w:p w:rsidR="00630637" w:rsidRPr="007E1322" w:rsidRDefault="002B7613"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2B7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
    <w:nsid w:val="6E836EA2"/>
    <w:multiLevelType w:val="hybridMultilevel"/>
    <w:tmpl w:val="BD001E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DB0C1928">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AE02ACD"/>
    <w:multiLevelType w:val="hybridMultilevel"/>
    <w:tmpl w:val="47423E8E"/>
    <w:lvl w:ilvl="0" w:tplc="29342E74">
      <w:start w:val="1"/>
      <w:numFmt w:val="decimal"/>
      <w:lvlText w:val="%1."/>
      <w:lvlJc w:val="left"/>
      <w:pPr>
        <w:tabs>
          <w:tab w:val="num" w:pos="720"/>
        </w:tabs>
        <w:ind w:left="720" w:hanging="360"/>
      </w:pPr>
      <w:rPr>
        <w:rFonts w:ascii="Times New Roman" w:eastAsia="Calibri"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FEB"/>
    <w:rsid w:val="00004A2D"/>
    <w:rsid w:val="00050032"/>
    <w:rsid w:val="00073236"/>
    <w:rsid w:val="000D08BE"/>
    <w:rsid w:val="00194A3D"/>
    <w:rsid w:val="00245A5A"/>
    <w:rsid w:val="002B61E2"/>
    <w:rsid w:val="002B7613"/>
    <w:rsid w:val="002B7959"/>
    <w:rsid w:val="002D79FF"/>
    <w:rsid w:val="00390270"/>
    <w:rsid w:val="003A4CAE"/>
    <w:rsid w:val="003A7275"/>
    <w:rsid w:val="004772E1"/>
    <w:rsid w:val="00490063"/>
    <w:rsid w:val="00497A5F"/>
    <w:rsid w:val="00567E71"/>
    <w:rsid w:val="00574EE8"/>
    <w:rsid w:val="0066422A"/>
    <w:rsid w:val="007929DB"/>
    <w:rsid w:val="008374CB"/>
    <w:rsid w:val="008538D8"/>
    <w:rsid w:val="00856B55"/>
    <w:rsid w:val="00932E1A"/>
    <w:rsid w:val="00983722"/>
    <w:rsid w:val="00AD02E7"/>
    <w:rsid w:val="00C52FF9"/>
    <w:rsid w:val="00C72C38"/>
    <w:rsid w:val="00C81419"/>
    <w:rsid w:val="00CB0398"/>
    <w:rsid w:val="00CE7FEB"/>
    <w:rsid w:val="00D175B9"/>
    <w:rsid w:val="00D23502"/>
    <w:rsid w:val="00F17F5D"/>
    <w:rsid w:val="00F21187"/>
    <w:rsid w:val="00F9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uiPriority w:val="99"/>
    <w:qFormat/>
    <w:rsid w:val="00C72C38"/>
    <w:pPr>
      <w:spacing w:line="480" w:lineRule="auto"/>
      <w:jc w:val="center"/>
    </w:pPr>
    <w:rPr>
      <w:b/>
      <w:szCs w:val="20"/>
    </w:rPr>
  </w:style>
  <w:style w:type="character" w:customStyle="1" w:styleId="SubtitleChar">
    <w:name w:val="Subtitle Char"/>
    <w:basedOn w:val="DefaultParagraphFont"/>
    <w:link w:val="Subtitle"/>
    <w:uiPriority w:val="99"/>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uiPriority w:val="99"/>
    <w:qFormat/>
    <w:rsid w:val="00C72C38"/>
    <w:pPr>
      <w:spacing w:line="480" w:lineRule="auto"/>
      <w:jc w:val="center"/>
    </w:pPr>
    <w:rPr>
      <w:b/>
      <w:szCs w:val="20"/>
    </w:rPr>
  </w:style>
  <w:style w:type="character" w:customStyle="1" w:styleId="SubtitleChar">
    <w:name w:val="Subtitle Char"/>
    <w:basedOn w:val="DefaultParagraphFont"/>
    <w:link w:val="Subtitle"/>
    <w:uiPriority w:val="99"/>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OPERATOR</cp:lastModifiedBy>
  <cp:revision>2</cp:revision>
  <dcterms:created xsi:type="dcterms:W3CDTF">2026-01-31T06:18:00Z</dcterms:created>
  <dcterms:modified xsi:type="dcterms:W3CDTF">2026-01-31T06:18:00Z</dcterms:modified>
</cp:coreProperties>
</file>