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37" w:rsidRDefault="00B04837" w:rsidP="00B04837">
      <w:pPr>
        <w:spacing w:after="246" w:line="265" w:lineRule="auto"/>
        <w:ind w:right="3"/>
        <w:jc w:val="center"/>
      </w:pPr>
      <w:r>
        <w:rPr>
          <w:b/>
        </w:rPr>
        <w:t xml:space="preserve">BAB V </w:t>
      </w:r>
    </w:p>
    <w:p w:rsidR="00B04837" w:rsidRDefault="00B04837" w:rsidP="00B04837">
      <w:pPr>
        <w:pStyle w:val="Heading2"/>
        <w:spacing w:after="525"/>
        <w:ind w:right="6"/>
      </w:pPr>
      <w:r>
        <w:t>KESIMPULAN DAN SARAN</w:t>
      </w:r>
      <w:r>
        <w:rPr>
          <w:b w:val="0"/>
        </w:rPr>
        <w:t xml:space="preserve"> </w:t>
      </w:r>
    </w:p>
    <w:p w:rsidR="00B04837" w:rsidRDefault="00B04837" w:rsidP="00B04837">
      <w:pPr>
        <w:spacing w:after="530" w:line="259" w:lineRule="auto"/>
        <w:ind w:left="1090" w:right="0"/>
      </w:pPr>
      <w:r>
        <w:t>A.</w:t>
      </w:r>
      <w:r>
        <w:rPr>
          <w:rFonts w:ascii="Arial" w:eastAsia="Arial" w:hAnsi="Arial" w:cs="Arial"/>
        </w:rPr>
        <w:t xml:space="preserve"> </w:t>
      </w:r>
      <w:r>
        <w:t xml:space="preserve">Kesimpulan </w:t>
      </w:r>
    </w:p>
    <w:p w:rsidR="00B04837" w:rsidRDefault="00B04837" w:rsidP="00B04837">
      <w:pPr>
        <w:ind w:left="-15" w:right="0" w:firstLine="566"/>
      </w:pPr>
      <w:r>
        <w:t xml:space="preserve">Kekerasan dalam rumah tangga (KDRT) merupakan salah satu bentuk pelanggaran hak asasi manusia yang paling nyata namun paling tersembunyi karena terjadi di ruang privat. Penelitian ini menunjukkan bahwa perempuan masih menjadi kelompok paling rentan terhadap KDRT dalam berbagai bentuk: fisik, psikis, seksual, ekonomi, hingga penelantaran. Dalam konteks hukum </w:t>
      </w:r>
    </w:p>
    <w:p w:rsidR="00B04837" w:rsidRDefault="00B04837" w:rsidP="00B04837">
      <w:pPr>
        <w:spacing w:after="276"/>
        <w:ind w:left="-5" w:right="0"/>
      </w:pPr>
      <w:r>
        <w:t xml:space="preserve">Indonesia, Undang-Undang Nomor 23 Tahun 2004 tentang Penghapusan Kekerasan Dalam Rumah Tangga hadir sebagai bentuk komitmen negara dalam melindungi korban, menindak pelaku, serta mencegah kekerasan melalui instrumen hukum yang tegas. </w:t>
      </w:r>
    </w:p>
    <w:p w:rsidR="00B04837" w:rsidRDefault="00B04837" w:rsidP="00B04837">
      <w:pPr>
        <w:ind w:left="-15" w:right="0" w:firstLine="566"/>
      </w:pPr>
      <w:r>
        <w:t xml:space="preserve">Namun demikian, perlindungan perempuan terhadap KDRT dalam praktiknya masih menghadapi berbagai tantangan struktural dan kultural, sebagaimana tergambar dalam studi kasus Nomor 1119/Pid.Sus/2024/PN Mdn di </w:t>
      </w:r>
    </w:p>
    <w:p w:rsidR="00B04837" w:rsidRDefault="00B04837" w:rsidP="00B04837">
      <w:pPr>
        <w:spacing w:after="1447"/>
        <w:ind w:left="-5" w:right="0"/>
      </w:pPr>
      <w:r>
        <w:t xml:space="preserve">Pengadilan Negeri Medan. Dalam kasus ini, seorang perempuan bernama Yeni Puspita Dewi menjadi korban kekerasan fisik dan psikis dari suaminya Johan Barus, setelah diketahui bahwa suami melakukan perselingkuhan yang bahkan menghasilkan anak dari pihak lain. Korban mengalami luka fisik seperti memar dan lecet, serta tekanan batin yang mendalam akibat penghinaan, pengkhianatan, dan ketidakadilan yang berlangsung dalam rumah tangga. </w:t>
      </w:r>
    </w:p>
    <w:p w:rsidR="00B04837" w:rsidRDefault="00B04837" w:rsidP="00B04837">
      <w:pPr>
        <w:spacing w:after="3" w:line="259" w:lineRule="auto"/>
        <w:ind w:right="1"/>
        <w:jc w:val="center"/>
      </w:pPr>
      <w:r>
        <w:rPr>
          <w:rFonts w:ascii="Calibri" w:eastAsia="Calibri" w:hAnsi="Calibri" w:cs="Calibri"/>
          <w:sz w:val="22"/>
        </w:rPr>
        <w:lastRenderedPageBreak/>
        <w:t xml:space="preserve">65 </w:t>
      </w:r>
    </w:p>
    <w:p w:rsidR="00B04837" w:rsidRDefault="00B04837" w:rsidP="00B04837">
      <w:pPr>
        <w:spacing w:after="273"/>
        <w:ind w:left="-15" w:right="0" w:firstLine="566"/>
      </w:pPr>
      <w:r>
        <w:t xml:space="preserve">Kasus ini mencerminkan realitas yang terjadi dalam banyak rumah tangga di Indonesia, di mana perempuan yang mengalami kekerasan sering kali tidak segera melapor karena dihadapkan pada tekanan sosial, rasa malu, ketergantungan ekonomi, serta takut akan stigma negatif dari masyarakat. Di sisi lain, proses hukum yang berlangsung di Pengadilan Negeri Medan menunjukkan bahwa peran lembaga peradilan sangat krusial dalam menentukan sejauh mana korban mendapat keadilan. Dalam kasus ini, meskipun terdakwa akhirnya dikenai sanksi sesuai Pasal 44 ayat (4) UU PKDRT, yaitu pidana penjara maksimal 4 bulan atau denda maksimal Rp 5 juta, putusan tersebut masih menimbulkan pertanyaan mengenai kekuatan efek jera dan perlindungan menyeluruh terhadap korban. </w:t>
      </w:r>
    </w:p>
    <w:p w:rsidR="00B04837" w:rsidRDefault="00B04837" w:rsidP="00B04837">
      <w:pPr>
        <w:spacing w:after="276"/>
        <w:ind w:left="-15" w:right="0" w:firstLine="566"/>
      </w:pPr>
      <w:r>
        <w:t xml:space="preserve">Melalui wawancara dengan beberapa hakim Pengadilan Negeri Medan, ditemukan bahwa sekitar 80% korban KDRT enggan melapor karena takut terhadap pembalasan pelaku, tidak memiliki dukungan keluarga, dan tidak mengetahui prosedur hukum. Selain itu, terbatasnya akses terhadap lembaga pendampingan seperti P2TP2A (Pusat Pelayanan Terpadu Perlindungan Perempuan dan Anak) di daerah-daerah turut memperburuk situasi. Hal ini mengindikasikan bahwa meskipun perangkat hukum telah tersedia, implementasinya di tingkat praktis masih lemah, terutama dalam hal pendampingan, perlindungan fisik, dan pemulihan psikologis korban. </w:t>
      </w:r>
    </w:p>
    <w:p w:rsidR="00B04837" w:rsidRDefault="00B04837" w:rsidP="00B04837">
      <w:pPr>
        <w:spacing w:after="273"/>
        <w:ind w:left="-15" w:right="0" w:firstLine="566"/>
      </w:pPr>
      <w:r>
        <w:t xml:space="preserve">Penelitian ini juga menyoroti budaya patriarki dan budaya diam (culture of silence) yang masih mengakar kuat di masyarakat, termasuk di Medan dan komunitas adat sekitarnya. Dalam banyak kasus, kekerasan dipandang sebagai </w:t>
      </w:r>
      <w:r>
        <w:lastRenderedPageBreak/>
        <w:t xml:space="preserve">urusan internal rumah tangga yang tidak boleh diintervensi oleh pihak luar, termasuk aparat hukum. Korban dituntut untuk bersabar, menjaga nama baik keluarga, dan tidak mempermalukan suami—sebuah tekanan sosial yang menormalisasi kekerasan dan menghapus ruang aman bagi korban untuk bersuara. </w:t>
      </w:r>
    </w:p>
    <w:p w:rsidR="00B04837" w:rsidRDefault="00B04837" w:rsidP="00B04837">
      <w:pPr>
        <w:spacing w:after="276"/>
        <w:ind w:left="-15" w:right="0" w:firstLine="566"/>
      </w:pPr>
      <w:r>
        <w:t xml:space="preserve">Lebih lanjut, sensitivitas aparat penegak hukum juga menjadi perhatian penting. Beberapa korban KDRT yang melapor ke kepolisian mengaku tidak dilayani dengan baik, bahkan disarankan untuk menyelesaikan konflik secara kekeluargaan. Kurangnya pelatihan dan pemahaman aparat tentang perspektif gender dan dinamika korban menyebabkan banyak kasus tidak diusut tuntas atau bahkan berakhir tanpa keadilan. </w:t>
      </w:r>
    </w:p>
    <w:p w:rsidR="00B04837" w:rsidRDefault="00B04837" w:rsidP="00B04837">
      <w:pPr>
        <w:spacing w:after="274"/>
        <w:ind w:left="-15" w:right="0" w:firstLine="566"/>
      </w:pPr>
      <w:r>
        <w:t xml:space="preserve">Berdasarkan temuan-temuan tersebut, dapat disimpulkan bahwa perlindungan terhadap perempuan korban KDRT belum berjalan optimal, meskipun telah ada payung hukum yang cukup kuat. Negara melalui pengadilan dan aparat penegak hukum memang memiliki kewajiban konstitusional untuk menjamin perlindungan terhadap setiap warga negara, namun perlu diakui bahwa masih ada kesenjangan besar antara hukum di atas kertas dan pelaksanaannya di lapangan. </w:t>
      </w:r>
    </w:p>
    <w:p w:rsidR="00B04837" w:rsidRDefault="00B04837" w:rsidP="00B04837">
      <w:pPr>
        <w:spacing w:after="279"/>
        <w:ind w:left="-15" w:right="0" w:firstLine="566"/>
      </w:pPr>
      <w:r>
        <w:t xml:space="preserve">Oleh karena itu, upaya perlindungan terhadap perempuan korban KDRT harus dilakukan secara menyeluruh dan berkelanjutan, mencakup: </w:t>
      </w:r>
    </w:p>
    <w:p w:rsidR="00B04837" w:rsidRDefault="00B04837" w:rsidP="00B04837">
      <w:pPr>
        <w:numPr>
          <w:ilvl w:val="0"/>
          <w:numId w:val="34"/>
        </w:numPr>
        <w:ind w:right="0" w:hanging="360"/>
      </w:pPr>
      <w:r>
        <w:lastRenderedPageBreak/>
        <w:t xml:space="preserve">Penguatan sistem hukum dan implementasinya, agar aparat penegak hukum, termasuk di Pengadilan Negeri Medan, benar-benar berpihak pada korban dan memberikan keadilan substantif. </w:t>
      </w:r>
    </w:p>
    <w:p w:rsidR="00B04837" w:rsidRDefault="00B04837" w:rsidP="00B04837">
      <w:pPr>
        <w:numPr>
          <w:ilvl w:val="0"/>
          <w:numId w:val="34"/>
        </w:numPr>
        <w:spacing w:after="249" w:line="265" w:lineRule="auto"/>
        <w:ind w:right="0" w:hanging="360"/>
      </w:pPr>
      <w:r>
        <w:t xml:space="preserve">Pendidikan dan penyadaran masyarakat, untuk menghapus budaya </w:t>
      </w:r>
    </w:p>
    <w:p w:rsidR="00B04837" w:rsidRDefault="00B04837" w:rsidP="00B04837">
      <w:pPr>
        <w:spacing w:after="255" w:line="259" w:lineRule="auto"/>
        <w:ind w:left="730" w:right="0"/>
      </w:pPr>
      <w:r>
        <w:t xml:space="preserve">patriarki dan stigma sosial terhadap korban. </w:t>
      </w:r>
    </w:p>
    <w:p w:rsidR="00B04837" w:rsidRDefault="00B04837" w:rsidP="00B04837">
      <w:pPr>
        <w:numPr>
          <w:ilvl w:val="0"/>
          <w:numId w:val="34"/>
        </w:numPr>
        <w:ind w:right="0" w:hanging="360"/>
      </w:pPr>
      <w:r>
        <w:t xml:space="preserve">Pelibatan tokoh adat dan agama, agar norma-norma lokal tidak lagi menutupi kekerasan atas nama kehormatan keluarga. </w:t>
      </w:r>
    </w:p>
    <w:p w:rsidR="00B04837" w:rsidRDefault="00B04837" w:rsidP="00B04837">
      <w:pPr>
        <w:numPr>
          <w:ilvl w:val="0"/>
          <w:numId w:val="34"/>
        </w:numPr>
        <w:ind w:right="0" w:hanging="360"/>
      </w:pPr>
      <w:r>
        <w:t xml:space="preserve">Pemberdayaan ekonomi perempuan, agar mereka tidak bergantung sepenuhnya pada pelaku kekerasan. </w:t>
      </w:r>
    </w:p>
    <w:p w:rsidR="00B04837" w:rsidRDefault="00B04837" w:rsidP="00B04837">
      <w:pPr>
        <w:numPr>
          <w:ilvl w:val="0"/>
          <w:numId w:val="34"/>
        </w:numPr>
        <w:spacing w:after="275"/>
        <w:ind w:right="0" w:hanging="360"/>
      </w:pPr>
      <w:r>
        <w:t xml:space="preserve">Peningkatan akses terhadap layanan pendukung, seperti rumah aman, konseling psikologis, bantuan hukum, dan rehabilitasi. </w:t>
      </w:r>
    </w:p>
    <w:p w:rsidR="00B04837" w:rsidRDefault="00B04837" w:rsidP="00B04837">
      <w:pPr>
        <w:spacing w:after="279"/>
        <w:ind w:left="-15" w:right="0" w:firstLine="566"/>
      </w:pPr>
      <w:r>
        <w:t xml:space="preserve">Dengan sinergi semua pihak—pemerintah, aparat hukum, masyarakat, dan lembaga swadaya—perlindungan perempuan dari kekerasan dalam rumah tangga bukan hanya menjadi tanggung jawab hukum, tetapi menjadi gerakan moral dan sosial untuk mewujudkan keadilan yang sesungguhnya. </w:t>
      </w:r>
    </w:p>
    <w:p w:rsidR="00B04837" w:rsidRDefault="00B04837" w:rsidP="00B04837">
      <w:pPr>
        <w:spacing w:after="530" w:line="259" w:lineRule="auto"/>
        <w:ind w:left="1090" w:right="0"/>
      </w:pPr>
      <w:r>
        <w:t>B.</w:t>
      </w:r>
      <w:r>
        <w:rPr>
          <w:rFonts w:ascii="Arial" w:eastAsia="Arial" w:hAnsi="Arial" w:cs="Arial"/>
        </w:rPr>
        <w:t xml:space="preserve"> </w:t>
      </w:r>
      <w:r>
        <w:t xml:space="preserve">Saran  </w:t>
      </w:r>
    </w:p>
    <w:p w:rsidR="00B04837" w:rsidRDefault="00B04837" w:rsidP="00B04837">
      <w:pPr>
        <w:spacing w:after="197"/>
        <w:ind w:left="-15" w:right="0" w:firstLine="566"/>
      </w:pPr>
      <w:r>
        <w:t xml:space="preserve">Berdasarkan hasil penelitian dan pembahasan dalam skripsi ini, dapat disampaikan beberapa saran yang bersifat konstruktif dan komprehensif untuk berbagai pihak yang memiliki tanggung jawab atau keterlibatan dalam upaya pencegahan dan penanganan kasus Kekerasan Dalam Rumah Tangga (KDRT), khususnya yang menyasar perempuan sebagai korban: </w:t>
      </w:r>
    </w:p>
    <w:p w:rsidR="00B04837" w:rsidRDefault="00B04837" w:rsidP="00B04837">
      <w:pPr>
        <w:numPr>
          <w:ilvl w:val="1"/>
          <w:numId w:val="34"/>
        </w:numPr>
        <w:spacing w:after="448" w:line="259" w:lineRule="auto"/>
        <w:ind w:right="0" w:hanging="240"/>
      </w:pPr>
      <w:r>
        <w:lastRenderedPageBreak/>
        <w:t xml:space="preserve">Bagi Pemerintah dan Legislator </w:t>
      </w:r>
    </w:p>
    <w:p w:rsidR="00B04837" w:rsidRDefault="00B04837" w:rsidP="00B04837">
      <w:pPr>
        <w:ind w:left="-15" w:right="0" w:firstLine="566"/>
      </w:pPr>
      <w:r>
        <w:t xml:space="preserve">Pemerintah perlu lebih aktif dan progresif dalam mengevaluasi serta memperkuat implementasi Undang-Undang Nomor 23 Tahun 2004 tentang </w:t>
      </w:r>
    </w:p>
    <w:p w:rsidR="00B04837" w:rsidRDefault="00B04837" w:rsidP="00B04837">
      <w:pPr>
        <w:spacing w:after="192"/>
        <w:ind w:left="-5" w:right="0"/>
      </w:pPr>
      <w:r>
        <w:t xml:space="preserve">Penghapusan Kekerasan dalam Rumah Tangga. Meskipun undang-undang ini sudah menyediakan kerangka hukum yang baik, masih ditemukan berbagai celah dalam pelaksanaannya. Oleh karena itu, perlu dilakukan amandemen atau peraturan pelaksana tambahan yang lebih responsif terhadap kebutuhan korban, seperti peraturan tentang pendampingan hukum wajib, perlindungan saksi, serta prosedur pelaporan yang ramah dan aman bagi korban. </w:t>
      </w:r>
    </w:p>
    <w:p w:rsidR="00B04837" w:rsidRDefault="00B04837" w:rsidP="00B04837">
      <w:pPr>
        <w:spacing w:after="194"/>
        <w:ind w:left="-15" w:right="0" w:firstLine="566"/>
      </w:pPr>
      <w:r>
        <w:t xml:space="preserve">Pemerintah pusat dan daerah juga harus memperluas dan memperkuat keberadaan lembaga layanan, seperti P2TP2A (Pusat Pelayanan Terpadu Perlindungan Perempuan dan Anak), serta memastikan lembaga ini memiliki anggaran yang memadai, staf terlatih, dan sistem koordinasi yang efektif dengan aparat penegak hukum, lembaga medis, psikologis, dan sosial. </w:t>
      </w:r>
    </w:p>
    <w:p w:rsidR="00B04837" w:rsidRDefault="00B04837" w:rsidP="00B04837">
      <w:pPr>
        <w:numPr>
          <w:ilvl w:val="1"/>
          <w:numId w:val="34"/>
        </w:numPr>
        <w:spacing w:after="451" w:line="259" w:lineRule="auto"/>
        <w:ind w:right="0" w:hanging="240"/>
      </w:pPr>
      <w:r>
        <w:t xml:space="preserve">Bagi Aparat Penegak Hukum (Polisi, Jaksa, Hakim) </w:t>
      </w:r>
    </w:p>
    <w:p w:rsidR="00B04837" w:rsidRDefault="00B04837" w:rsidP="00B04837">
      <w:pPr>
        <w:spacing w:after="194"/>
        <w:ind w:left="-15" w:right="0" w:firstLine="566"/>
      </w:pPr>
      <w:r>
        <w:t xml:space="preserve">Aparat penegak hukum, khususnya di lingkungan Pengadilan Negeri seperti PN Medan, perlu meningkatkan kapasitas dan sensitivitas gender dalam menangani kasus KDRT. Hal ini penting agar korban merasa aman dan didengar ketika melaporkan kasusnya. Dibutuhkan pelatihan berkelanjutan yang berbasis perspektif korban (victim-centered approach) dan kesetaraan gender, termasuk pemahaman tentang trauma dan dampak psikologis kekerasan. </w:t>
      </w:r>
    </w:p>
    <w:p w:rsidR="00B04837" w:rsidRDefault="00B04837" w:rsidP="00B04837">
      <w:pPr>
        <w:ind w:left="-15" w:right="0" w:firstLine="566"/>
      </w:pPr>
      <w:r>
        <w:lastRenderedPageBreak/>
        <w:t xml:space="preserve">Hakim juga diharapkan untuk lebih berani memberikan putusan yang mencerminkan rasa keadilan dan perlindungan maksimal terhadap korban. Sanksi terhadap pelaku sebaiknya tidak hanya sebatas hukuman minimal yang bersifat simbolis, tetapi juga disertai dengan sanksi tambahan seperti rehabilitasi pelaku, larangan mendekati korban, serta pencabutan hak asuh anak jika terbukti membahayakan. </w:t>
      </w:r>
    </w:p>
    <w:p w:rsidR="00B04837" w:rsidRDefault="00B04837" w:rsidP="00B04837">
      <w:pPr>
        <w:numPr>
          <w:ilvl w:val="1"/>
          <w:numId w:val="34"/>
        </w:numPr>
        <w:spacing w:after="448" w:line="259" w:lineRule="auto"/>
        <w:ind w:right="0" w:hanging="240"/>
      </w:pPr>
      <w:r>
        <w:t xml:space="preserve">Bagi Masyarakat Umum dan Tokoh Sosial </w:t>
      </w:r>
    </w:p>
    <w:p w:rsidR="00B04837" w:rsidRDefault="00B04837" w:rsidP="00B04837">
      <w:pPr>
        <w:spacing w:after="192"/>
        <w:ind w:left="-15" w:right="0" w:firstLine="566"/>
      </w:pPr>
      <w:r>
        <w:t xml:space="preserve">Masyarakat memiliki peran strategis dalam memutus rantai kekerasan rumah tangga. Oleh karena itu, perlu adanya perubahan paradigma sosial yang selama ini cenderung menyalahkan korban dan menutup-nutupi kekerasan atas nama “aib keluarga.” Masyarakat harus didorong untuk memahami bahwa KDRT bukan urusan pribadi semata, melainkan pelanggaran hukum dan kemanusiaan yang berdampak luas, terutama terhadap anak-anak yang tumbuh dalam lingkungan penuh kekerasan. </w:t>
      </w:r>
    </w:p>
    <w:p w:rsidR="00B04837" w:rsidRDefault="00B04837" w:rsidP="00B04837">
      <w:pPr>
        <w:spacing w:after="194"/>
        <w:ind w:left="-15" w:right="0" w:firstLine="566"/>
      </w:pPr>
      <w:r>
        <w:t xml:space="preserve">Tokoh masyarakat, tokoh adat, dan tokoh agama harus dilibatkan dalam edukasi publik untuk membongkar tafsir budaya dan agama yang keliru, yang selama ini justru melanggengkan kekerasan atas nama kepatuhan perempuan. Mereka bisa menjadi agen perubahan nilai sosial melalui khutbah, penyuluhan, dan keteladanan. </w:t>
      </w:r>
    </w:p>
    <w:p w:rsidR="00B04837" w:rsidRDefault="00B04837" w:rsidP="00B04837">
      <w:pPr>
        <w:numPr>
          <w:ilvl w:val="1"/>
          <w:numId w:val="34"/>
        </w:numPr>
        <w:spacing w:after="451" w:line="259" w:lineRule="auto"/>
        <w:ind w:right="0" w:hanging="240"/>
      </w:pPr>
      <w:r>
        <w:t xml:space="preserve">Bagi Korban dan Perempuan Rentan </w:t>
      </w:r>
    </w:p>
    <w:p w:rsidR="00B04837" w:rsidRDefault="00B04837" w:rsidP="00B04837">
      <w:pPr>
        <w:spacing w:after="192"/>
        <w:ind w:left="-15" w:right="0" w:firstLine="566"/>
      </w:pPr>
      <w:r>
        <w:t xml:space="preserve">Perempuan yang menjadi korban kekerasan perlu dikuatkan secara psikologis dan diberdayakan secara ekonomi agar memiliki kemandirian dan </w:t>
      </w:r>
      <w:r>
        <w:lastRenderedPageBreak/>
        <w:t xml:space="preserve">keberanian untuk melaporkan kasus kekerasan yang dialaminya. Lembaga sosial dan pemerintah harus mengembangkan lebih banyak program pemberdayaan ekonomi perempuan, pelatihan keterampilan kerja, serta dukungan psikososial agar mereka tidak terperangkap dalam hubungan yang penuh kekerasan hanya karena ketergantungan finansial atau tekanan sosial. </w:t>
      </w:r>
    </w:p>
    <w:p w:rsidR="00B04837" w:rsidRDefault="00B04837" w:rsidP="00B04837">
      <w:pPr>
        <w:spacing w:after="193"/>
        <w:ind w:left="-15" w:right="0" w:firstLine="566"/>
      </w:pPr>
      <w:r>
        <w:t xml:space="preserve">Selain itu, perlu adanya peningkatan akses terhadap informasi hukum dan layanan pendampingan. Korban harus tahu ke mana harus melapor, bagaimana prosesnya, dan siapa yang bisa membantu mereka tanpa rasa takut dan malu. Untuk itu, sosialisasi hukum dan hak perempuan perlu diperluas hingga ke pelosok desa dan komunitas adat. </w:t>
      </w:r>
    </w:p>
    <w:p w:rsidR="00B04837" w:rsidRDefault="00B04837" w:rsidP="00B04837">
      <w:pPr>
        <w:numPr>
          <w:ilvl w:val="1"/>
          <w:numId w:val="34"/>
        </w:numPr>
        <w:spacing w:after="448" w:line="259" w:lineRule="auto"/>
        <w:ind w:right="0" w:hanging="240"/>
      </w:pPr>
      <w:r>
        <w:t xml:space="preserve">Bagi Dunia Akademik dan Peneliti </w:t>
      </w:r>
    </w:p>
    <w:p w:rsidR="00B04837" w:rsidRDefault="00B04837" w:rsidP="00B04837">
      <w:pPr>
        <w:spacing w:after="249" w:line="265" w:lineRule="auto"/>
        <w:ind w:right="-6"/>
        <w:jc w:val="right"/>
      </w:pPr>
      <w:r>
        <w:t xml:space="preserve">Lingkungan akademik memiliki peran penting dalam menghasilkan </w:t>
      </w:r>
    </w:p>
    <w:p w:rsidR="00B04837" w:rsidRDefault="00B04837" w:rsidP="00B04837">
      <w:pPr>
        <w:spacing w:after="194"/>
        <w:ind w:left="-5" w:right="0"/>
      </w:pPr>
      <w:r>
        <w:t xml:space="preserve">pengetahuan, data, dan solusi yang berbasis bukti terkait KDRT. Oleh karena itu, peneliti di bidang hukum, sosial, psikologi, dan kesehatan diharapkan dapat melakukan riset-riset interdisipliner yang mendalam tentang dinamika KDRT di berbagai wilayah dan latar belakang budaya. </w:t>
      </w:r>
    </w:p>
    <w:p w:rsidR="00B04837" w:rsidRDefault="00B04837" w:rsidP="00B04837">
      <w:pPr>
        <w:spacing w:after="197"/>
        <w:ind w:left="-15" w:right="0" w:firstLine="566"/>
      </w:pPr>
      <w:r>
        <w:t xml:space="preserve">Hasil penelitian dapat digunakan untuk mendesak pemerintah dan lembaga hukum untuk memperbaiki kebijakan. Selain itu, kampus juga dapat berperan sebagai pusat layanan pengaduan, edukasi hukum, serta ruang aman bagi perempuan korban kekerasan, terutama mahasiswi dan staf akademik yang mengalami KDRT tetapi tidak tahu harus ke mana mencari perlindungan. </w:t>
      </w:r>
    </w:p>
    <w:p w:rsidR="00B04837" w:rsidRDefault="00B04837" w:rsidP="00B04837">
      <w:pPr>
        <w:spacing w:after="448" w:line="259" w:lineRule="auto"/>
        <w:ind w:left="576" w:right="0"/>
      </w:pPr>
      <w:r>
        <w:t xml:space="preserve">Penutup Saran: </w:t>
      </w:r>
    </w:p>
    <w:p w:rsidR="00B04837" w:rsidRDefault="00B04837" w:rsidP="00B04837">
      <w:pPr>
        <w:spacing w:after="255"/>
        <w:ind w:left="-15" w:right="0" w:firstLine="566"/>
      </w:pPr>
      <w:r>
        <w:lastRenderedPageBreak/>
        <w:t xml:space="preserve">Penanganan kekerasan dalam rumah tangga tidak akan efektif jika hanya diserahkan pada hukum formal tanpa perubahan sosial yang nyata. Diperlukan kerja sama seluruh elemen bangsa—negara, masyarakat, akademisi, dan keluarga—untuk membangun sistem perlindungan yang adil, berperspektif gender, dan menjamin martabat manusia. Ketika perempuan aman di rumah, maka bangsa akan tumbuh lebih sehat, adil, dan beradab. </w:t>
      </w:r>
    </w:p>
    <w:p w:rsidR="00AD10F3" w:rsidRPr="00B04837" w:rsidRDefault="00057FAD" w:rsidP="00B04837">
      <w:bookmarkStart w:id="0" w:name="_GoBack"/>
      <w:bookmarkEnd w:id="0"/>
    </w:p>
    <w:sectPr w:rsidR="00AD10F3" w:rsidRPr="00B04837" w:rsidSect="000C32ED">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FAD" w:rsidRDefault="00057FAD" w:rsidP="007A397B">
      <w:pPr>
        <w:spacing w:after="0" w:line="240" w:lineRule="auto"/>
      </w:pPr>
      <w:r>
        <w:separator/>
      </w:r>
    </w:p>
  </w:endnote>
  <w:endnote w:type="continuationSeparator" w:id="0">
    <w:p w:rsidR="00057FAD" w:rsidRDefault="00057FAD" w:rsidP="007A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FAD" w:rsidRDefault="00057FAD" w:rsidP="007A397B">
      <w:pPr>
        <w:spacing w:after="0" w:line="240" w:lineRule="auto"/>
      </w:pPr>
      <w:r>
        <w:separator/>
      </w:r>
    </w:p>
  </w:footnote>
  <w:footnote w:type="continuationSeparator" w:id="0">
    <w:p w:rsidR="00057FAD" w:rsidRDefault="00057FAD" w:rsidP="007A3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1" o:spid="_x0000_s2050" type="#_x0000_t75" style="position:absolute;margin-left:0;margin-top:0;width:402.9pt;height:397.55pt;z-index:-251656192;mso-position-horizontal:center;mso-position-horizontal-relative:margin;mso-position-vertical:center;mso-position-vertical-relative:margin" o:allowincell="f">
          <v:imagedata r:id="rId1" o:title="image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2" o:spid="_x0000_s2051" type="#_x0000_t75" style="position:absolute;margin-left:0;margin-top:0;width:402.9pt;height:397.55pt;z-index:-251655168;mso-position-horizontal:center;mso-position-horizontal-relative:margin;mso-position-vertical:center;mso-position-vertical-relative:margin" o:allowincell="f">
          <v:imagedata r:id="rId1" o:title="image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057FAD">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0" o:spid="_x0000_s2049" type="#_x0000_t75" style="position:absolute;margin-left:0;margin-top:0;width:402.9pt;height:397.55pt;z-index:-251657216;mso-position-horizontal:center;mso-position-horizontal-relative:margin;mso-position-vertical:center;mso-position-vertical-relative:margin" o:allowincell="f">
          <v:imagedata r:id="rId1" o:title="imag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984"/>
    <w:multiLevelType w:val="hybridMultilevel"/>
    <w:tmpl w:val="FFFFFFFF"/>
    <w:lvl w:ilvl="0" w:tplc="C02E41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E3AEC">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41086">
      <w:start w:val="1"/>
      <w:numFmt w:val="bullet"/>
      <w:lvlRestart w:val="0"/>
      <w:lvlText w:val="-"/>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2F304">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8C7F0">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E94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AD98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22D5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32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797A28"/>
    <w:multiLevelType w:val="hybridMultilevel"/>
    <w:tmpl w:val="FFFFFFFF"/>
    <w:lvl w:ilvl="0" w:tplc="5E84735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3E8AFDA">
      <w:start w:val="1"/>
      <w:numFmt w:val="lowerLetter"/>
      <w:lvlText w:val="%2"/>
      <w:lvlJc w:val="left"/>
      <w:pPr>
        <w:ind w:left="1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CA0EF52">
      <w:start w:val="1"/>
      <w:numFmt w:val="lowerRoman"/>
      <w:lvlText w:val="%3"/>
      <w:lvlJc w:val="left"/>
      <w:pPr>
        <w:ind w:left="2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03E7E52">
      <w:start w:val="1"/>
      <w:numFmt w:val="decimal"/>
      <w:lvlText w:val="%4"/>
      <w:lvlJc w:val="left"/>
      <w:pPr>
        <w:ind w:left="2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00E9FD8">
      <w:start w:val="1"/>
      <w:numFmt w:val="lowerLetter"/>
      <w:lvlText w:val="%5"/>
      <w:lvlJc w:val="left"/>
      <w:pPr>
        <w:ind w:left="3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308A66">
      <w:start w:val="1"/>
      <w:numFmt w:val="lowerRoman"/>
      <w:lvlText w:val="%6"/>
      <w:lvlJc w:val="left"/>
      <w:pPr>
        <w:ind w:left="4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289BE0">
      <w:start w:val="1"/>
      <w:numFmt w:val="decimal"/>
      <w:lvlText w:val="%7"/>
      <w:lvlJc w:val="left"/>
      <w:pPr>
        <w:ind w:left="5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C485642">
      <w:start w:val="1"/>
      <w:numFmt w:val="lowerLetter"/>
      <w:lvlText w:val="%8"/>
      <w:lvlJc w:val="left"/>
      <w:pPr>
        <w:ind w:left="5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508C3CC">
      <w:start w:val="1"/>
      <w:numFmt w:val="lowerRoman"/>
      <w:lvlText w:val="%9"/>
      <w:lvlJc w:val="left"/>
      <w:pPr>
        <w:ind w:left="65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06CB579C"/>
    <w:multiLevelType w:val="hybridMultilevel"/>
    <w:tmpl w:val="FFFFFFFF"/>
    <w:lvl w:ilvl="0" w:tplc="A3187D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2B77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CC428">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AAF58">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6D1A2">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004E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5032">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6CFEA">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8841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D2008C"/>
    <w:multiLevelType w:val="hybridMultilevel"/>
    <w:tmpl w:val="FFFFFFFF"/>
    <w:lvl w:ilvl="0" w:tplc="36B06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0ED86">
      <w:start w:val="1"/>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CA0C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6F7F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A4AD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0656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20B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4EA2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EAF7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44B3D71"/>
    <w:multiLevelType w:val="hybridMultilevel"/>
    <w:tmpl w:val="FFFFFFFF"/>
    <w:lvl w:ilvl="0" w:tplc="A1467A7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E6AAA">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45AA6">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8D334">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814B4">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A56B4">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C2DFA">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8FB8">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220102">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CE2375D"/>
    <w:multiLevelType w:val="hybridMultilevel"/>
    <w:tmpl w:val="FFFFFFFF"/>
    <w:lvl w:ilvl="0" w:tplc="59E663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ED3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FC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C1B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A2D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857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0F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8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56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9A4C56"/>
    <w:multiLevelType w:val="hybridMultilevel"/>
    <w:tmpl w:val="FFFFFFFF"/>
    <w:lvl w:ilvl="0" w:tplc="8536C7A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C8C5C">
      <w:start w:val="1"/>
      <w:numFmt w:val="upperLetter"/>
      <w:lvlText w:val="%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C4AC1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BEC4AA">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04BC96">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54CD7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7D6C">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6E6372">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6700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2F42EB6"/>
    <w:multiLevelType w:val="hybridMultilevel"/>
    <w:tmpl w:val="FFFFFFFF"/>
    <w:lvl w:ilvl="0" w:tplc="66AADDFC">
      <w:start w:val="1"/>
      <w:numFmt w:val="upp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B62D8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9248B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F0A92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82F27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8CCBD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E039F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285BC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E668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37F7A07"/>
    <w:multiLevelType w:val="hybridMultilevel"/>
    <w:tmpl w:val="FFFFFFFF"/>
    <w:lvl w:ilvl="0" w:tplc="4AEED9AA">
      <w:start w:val="1"/>
      <w:numFmt w:val="bullet"/>
      <w:lvlText w:val="-"/>
      <w:lvlJc w:val="left"/>
      <w:pPr>
        <w:ind w:left="56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E9B69A1E">
      <w:start w:val="1"/>
      <w:numFmt w:val="bullet"/>
      <w:lvlText w:val="o"/>
      <w:lvlJc w:val="left"/>
      <w:pPr>
        <w:ind w:left="128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872348A">
      <w:start w:val="1"/>
      <w:numFmt w:val="bullet"/>
      <w:lvlText w:val="▪"/>
      <w:lvlJc w:val="left"/>
      <w:pPr>
        <w:ind w:left="20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E46A8B6">
      <w:start w:val="1"/>
      <w:numFmt w:val="bullet"/>
      <w:lvlText w:val="•"/>
      <w:lvlJc w:val="left"/>
      <w:pPr>
        <w:ind w:left="27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7C68C2E">
      <w:start w:val="1"/>
      <w:numFmt w:val="bullet"/>
      <w:lvlText w:val="o"/>
      <w:lvlJc w:val="left"/>
      <w:pPr>
        <w:ind w:left="344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D06D664">
      <w:start w:val="1"/>
      <w:numFmt w:val="bullet"/>
      <w:lvlText w:val="▪"/>
      <w:lvlJc w:val="left"/>
      <w:pPr>
        <w:ind w:left="416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6AEBAAC">
      <w:start w:val="1"/>
      <w:numFmt w:val="bullet"/>
      <w:lvlText w:val="•"/>
      <w:lvlJc w:val="left"/>
      <w:pPr>
        <w:ind w:left="488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D22C703E">
      <w:start w:val="1"/>
      <w:numFmt w:val="bullet"/>
      <w:lvlText w:val="o"/>
      <w:lvlJc w:val="left"/>
      <w:pPr>
        <w:ind w:left="56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D7E9672">
      <w:start w:val="1"/>
      <w:numFmt w:val="bullet"/>
      <w:lvlText w:val="▪"/>
      <w:lvlJc w:val="left"/>
      <w:pPr>
        <w:ind w:left="63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
    <w:nsid w:val="24410262"/>
    <w:multiLevelType w:val="hybridMultilevel"/>
    <w:tmpl w:val="FFFFFFFF"/>
    <w:lvl w:ilvl="0" w:tplc="12C0A1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6B1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078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A5B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C4B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2DB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3A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E0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E47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0BA0E71"/>
    <w:multiLevelType w:val="hybridMultilevel"/>
    <w:tmpl w:val="FFFFFFFF"/>
    <w:lvl w:ilvl="0" w:tplc="813EA962">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459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E44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9A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E89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A7D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E95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630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C1B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352B21"/>
    <w:multiLevelType w:val="hybridMultilevel"/>
    <w:tmpl w:val="FFFFFFFF"/>
    <w:lvl w:ilvl="0" w:tplc="77CC66A6">
      <w:start w:val="3"/>
      <w:numFmt w:val="lowerLetter"/>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C311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C50A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AE20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2471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29C8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4847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2FE7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60B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7BA26DB"/>
    <w:multiLevelType w:val="hybridMultilevel"/>
    <w:tmpl w:val="FFFFFFFF"/>
    <w:lvl w:ilvl="0" w:tplc="C1C8CDD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4358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E6FA">
      <w:start w:val="1"/>
      <w:numFmt w:val="decimal"/>
      <w:lvlText w:val="%3."/>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F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E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8E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090E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E5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8E3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A4B0B04"/>
    <w:multiLevelType w:val="hybridMultilevel"/>
    <w:tmpl w:val="FFFFFFFF"/>
    <w:lvl w:ilvl="0" w:tplc="6F904C1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2A0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273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83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E0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C3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A6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C1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215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B1D152D"/>
    <w:multiLevelType w:val="hybridMultilevel"/>
    <w:tmpl w:val="FFFFFFFF"/>
    <w:lvl w:ilvl="0" w:tplc="02BA0D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4E460">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CCF84">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6ABE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C4FF8">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E17D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67B20">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470D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E45E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F945A1B"/>
    <w:multiLevelType w:val="hybridMultilevel"/>
    <w:tmpl w:val="FFFFFFFF"/>
    <w:lvl w:ilvl="0" w:tplc="0C34A2A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AB858">
      <w:start w:val="1"/>
      <w:numFmt w:val="bullet"/>
      <w:lvlText w:val="o"/>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2266">
      <w:start w:val="1"/>
      <w:numFmt w:val="bullet"/>
      <w:lvlText w:val="▪"/>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09FE">
      <w:start w:val="1"/>
      <w:numFmt w:val="bullet"/>
      <w:lvlText w:val="•"/>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4F184">
      <w:start w:val="1"/>
      <w:numFmt w:val="bullet"/>
      <w:lvlText w:val="o"/>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CDF2A">
      <w:start w:val="1"/>
      <w:numFmt w:val="bullet"/>
      <w:lvlText w:val="▪"/>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E61D4">
      <w:start w:val="1"/>
      <w:numFmt w:val="bullet"/>
      <w:lvlText w:val="•"/>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EDDA8">
      <w:start w:val="1"/>
      <w:numFmt w:val="bullet"/>
      <w:lvlText w:val="o"/>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09400">
      <w:start w:val="1"/>
      <w:numFmt w:val="bullet"/>
      <w:lvlText w:val="▪"/>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2AF6ED5"/>
    <w:multiLevelType w:val="hybridMultilevel"/>
    <w:tmpl w:val="FFFFFFFF"/>
    <w:lvl w:ilvl="0" w:tplc="652E1634">
      <w:start w:val="6"/>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6FA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8D2D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694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CD8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236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09F3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EF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6F5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3BF2E08"/>
    <w:multiLevelType w:val="hybridMultilevel"/>
    <w:tmpl w:val="FFFFFFFF"/>
    <w:lvl w:ilvl="0" w:tplc="68E0FA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62E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65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62B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EF9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6B8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CC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2EE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C51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9271A5C"/>
    <w:multiLevelType w:val="hybridMultilevel"/>
    <w:tmpl w:val="FFFFFFFF"/>
    <w:lvl w:ilvl="0" w:tplc="FDAEAC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0D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0EC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EF0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EB9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EB4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A74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E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ED4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C44247C"/>
    <w:multiLevelType w:val="hybridMultilevel"/>
    <w:tmpl w:val="FFFFFFFF"/>
    <w:lvl w:ilvl="0" w:tplc="A2CC129E">
      <w:start w:val="1"/>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88328">
      <w:start w:val="1"/>
      <w:numFmt w:val="bullet"/>
      <w:lvlText w:val="-"/>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CEFE">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630C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0CB26">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E9682">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8B1C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A2D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EA11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715ED7"/>
    <w:multiLevelType w:val="hybridMultilevel"/>
    <w:tmpl w:val="FFFFFFFF"/>
    <w:lvl w:ilvl="0" w:tplc="6136B690">
      <w:start w:val="3"/>
      <w:numFmt w:val="upp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909E3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38A09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165A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CA66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B2E90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2CB19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2458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ECFE2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FC91017"/>
    <w:multiLevelType w:val="hybridMultilevel"/>
    <w:tmpl w:val="FFFFFFFF"/>
    <w:lvl w:ilvl="0" w:tplc="F5D4816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4CA38">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A418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60F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ACBB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E1D2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18A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22B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ACAC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5393540"/>
    <w:multiLevelType w:val="hybridMultilevel"/>
    <w:tmpl w:val="FFFFFFFF"/>
    <w:lvl w:ilvl="0" w:tplc="252C54E0">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2C860">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2D5A2">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40436">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C5950">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89208">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21A8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88320">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02C18">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BE77F5C"/>
    <w:multiLevelType w:val="hybridMultilevel"/>
    <w:tmpl w:val="FFFFFFFF"/>
    <w:lvl w:ilvl="0" w:tplc="9698CD9C">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6C82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EEB80">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AE9F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8DA5A">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E6B26">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C4B68">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A48E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CFE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043342A"/>
    <w:multiLevelType w:val="hybridMultilevel"/>
    <w:tmpl w:val="FFFFFFFF"/>
    <w:lvl w:ilvl="0" w:tplc="FED4C0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A0E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18BC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E0B5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BEEF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B641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C4BC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A015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626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60CA6E9B"/>
    <w:multiLevelType w:val="hybridMultilevel"/>
    <w:tmpl w:val="FFFFFFFF"/>
    <w:lvl w:ilvl="0" w:tplc="FC06171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AA46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662E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EE84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2B9E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6271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651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4848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CDE2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2325B78"/>
    <w:multiLevelType w:val="hybridMultilevel"/>
    <w:tmpl w:val="FFFFFFFF"/>
    <w:lvl w:ilvl="0" w:tplc="BF90962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2949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29D62">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0A37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6CCAA">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72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6FFA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AFA8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A42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E2712A1"/>
    <w:multiLevelType w:val="hybridMultilevel"/>
    <w:tmpl w:val="FFFFFFFF"/>
    <w:lvl w:ilvl="0" w:tplc="BA26C8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85B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EC2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6B0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0DF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0B6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6A8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0AF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0A1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F6B1BCD"/>
    <w:multiLevelType w:val="hybridMultilevel"/>
    <w:tmpl w:val="FFFFFFFF"/>
    <w:lvl w:ilvl="0" w:tplc="6998726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F40CC4">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0051AE">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14720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64F2">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44A320">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4E201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E7DD2">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F04B74">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727B2273"/>
    <w:multiLevelType w:val="hybridMultilevel"/>
    <w:tmpl w:val="FFFFFFFF"/>
    <w:lvl w:ilvl="0" w:tplc="ACDCF6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4B31A">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C4382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EBE0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EFEA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90B99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74992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7F9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0E9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79D264D"/>
    <w:multiLevelType w:val="hybridMultilevel"/>
    <w:tmpl w:val="FFFFFFFF"/>
    <w:lvl w:ilvl="0" w:tplc="32FC74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3803D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0EB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CF4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1838F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F60FE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01E1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47D3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E0CE1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C023780"/>
    <w:multiLevelType w:val="hybridMultilevel"/>
    <w:tmpl w:val="FFFFFFFF"/>
    <w:lvl w:ilvl="0" w:tplc="F6F0F9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8ED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60F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E8E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44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6BB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2B8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4EF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6DF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E2E0277"/>
    <w:multiLevelType w:val="hybridMultilevel"/>
    <w:tmpl w:val="FFFFFFFF"/>
    <w:lvl w:ilvl="0" w:tplc="5894C004">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81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A1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489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61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8DF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44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63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21C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FAF26F2"/>
    <w:multiLevelType w:val="hybridMultilevel"/>
    <w:tmpl w:val="FFFFFFFF"/>
    <w:lvl w:ilvl="0" w:tplc="A8EC18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468A4">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08C8">
      <w:start w:val="1"/>
      <w:numFmt w:val="bullet"/>
      <w:lvlText w:val="▪"/>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0C8A8">
      <w:start w:val="1"/>
      <w:numFmt w:val="bullet"/>
      <w:lvlText w:val="•"/>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2F182">
      <w:start w:val="1"/>
      <w:numFmt w:val="bullet"/>
      <w:lvlText w:val="o"/>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839A6">
      <w:start w:val="1"/>
      <w:numFmt w:val="bullet"/>
      <w:lvlText w:val="▪"/>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2A798">
      <w:start w:val="1"/>
      <w:numFmt w:val="bullet"/>
      <w:lvlText w:val="•"/>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2613C">
      <w:start w:val="1"/>
      <w:numFmt w:val="bullet"/>
      <w:lvlText w:val="o"/>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C2B78">
      <w:start w:val="1"/>
      <w:numFmt w:val="bullet"/>
      <w:lvlText w:val="▪"/>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0"/>
  </w:num>
  <w:num w:numId="3">
    <w:abstractNumId w:val="29"/>
  </w:num>
  <w:num w:numId="4">
    <w:abstractNumId w:val="21"/>
  </w:num>
  <w:num w:numId="5">
    <w:abstractNumId w:val="6"/>
  </w:num>
  <w:num w:numId="6">
    <w:abstractNumId w:val="1"/>
  </w:num>
  <w:num w:numId="7">
    <w:abstractNumId w:val="33"/>
  </w:num>
  <w:num w:numId="8">
    <w:abstractNumId w:val="0"/>
  </w:num>
  <w:num w:numId="9">
    <w:abstractNumId w:val="26"/>
  </w:num>
  <w:num w:numId="10">
    <w:abstractNumId w:val="2"/>
  </w:num>
  <w:num w:numId="11">
    <w:abstractNumId w:val="14"/>
  </w:num>
  <w:num w:numId="12">
    <w:abstractNumId w:val="31"/>
  </w:num>
  <w:num w:numId="13">
    <w:abstractNumId w:val="17"/>
  </w:num>
  <w:num w:numId="14">
    <w:abstractNumId w:val="5"/>
  </w:num>
  <w:num w:numId="15">
    <w:abstractNumId w:val="19"/>
  </w:num>
  <w:num w:numId="16">
    <w:abstractNumId w:val="18"/>
  </w:num>
  <w:num w:numId="17">
    <w:abstractNumId w:val="24"/>
  </w:num>
  <w:num w:numId="18">
    <w:abstractNumId w:val="28"/>
  </w:num>
  <w:num w:numId="19">
    <w:abstractNumId w:val="16"/>
  </w:num>
  <w:num w:numId="20">
    <w:abstractNumId w:val="8"/>
  </w:num>
  <w:num w:numId="21">
    <w:abstractNumId w:val="32"/>
  </w:num>
  <w:num w:numId="22">
    <w:abstractNumId w:val="13"/>
  </w:num>
  <w:num w:numId="23">
    <w:abstractNumId w:val="25"/>
  </w:num>
  <w:num w:numId="24">
    <w:abstractNumId w:val="4"/>
  </w:num>
  <w:num w:numId="25">
    <w:abstractNumId w:val="10"/>
  </w:num>
  <w:num w:numId="26">
    <w:abstractNumId w:val="22"/>
  </w:num>
  <w:num w:numId="27">
    <w:abstractNumId w:val="23"/>
  </w:num>
  <w:num w:numId="28">
    <w:abstractNumId w:val="11"/>
  </w:num>
  <w:num w:numId="29">
    <w:abstractNumId w:val="15"/>
  </w:num>
  <w:num w:numId="30">
    <w:abstractNumId w:val="7"/>
  </w:num>
  <w:num w:numId="31">
    <w:abstractNumId w:val="20"/>
  </w:num>
  <w:num w:numId="32">
    <w:abstractNumId w:val="27"/>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D"/>
    <w:rsid w:val="00057FAD"/>
    <w:rsid w:val="000C32ED"/>
    <w:rsid w:val="002B5300"/>
    <w:rsid w:val="003F3571"/>
    <w:rsid w:val="004776FE"/>
    <w:rsid w:val="006F1266"/>
    <w:rsid w:val="007A397B"/>
    <w:rsid w:val="00A802BD"/>
    <w:rsid w:val="00B04837"/>
    <w:rsid w:val="00B1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paragraph" w:styleId="Heading2">
    <w:name w:val="heading 2"/>
    <w:basedOn w:val="Normal"/>
    <w:next w:val="Normal"/>
    <w:link w:val="Heading2Char"/>
    <w:uiPriority w:val="9"/>
    <w:semiHidden/>
    <w:unhideWhenUsed/>
    <w:qFormat/>
    <w:rsid w:val="002B53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semiHidden/>
    <w:rsid w:val="002B5300"/>
    <w:rPr>
      <w:rFonts w:asciiTheme="majorHAnsi" w:eastAsiaTheme="majorEastAsia" w:hAnsiTheme="majorHAnsi" w:cstheme="majorBidi"/>
      <w:b/>
      <w:bCs/>
      <w:color w:val="4F81BD" w:themeColor="accent1"/>
      <w:kern w:val="2"/>
      <w:sz w:val="26"/>
      <w:szCs w:val="26"/>
      <w:lang w:bidi="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paragraph" w:styleId="Heading2">
    <w:name w:val="heading 2"/>
    <w:basedOn w:val="Normal"/>
    <w:next w:val="Normal"/>
    <w:link w:val="Heading2Char"/>
    <w:uiPriority w:val="9"/>
    <w:semiHidden/>
    <w:unhideWhenUsed/>
    <w:qFormat/>
    <w:rsid w:val="002B53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semiHidden/>
    <w:rsid w:val="002B5300"/>
    <w:rPr>
      <w:rFonts w:asciiTheme="majorHAnsi" w:eastAsiaTheme="majorEastAsia" w:hAnsiTheme="majorHAnsi" w:cstheme="majorBidi"/>
      <w:b/>
      <w:bCs/>
      <w:color w:val="4F81BD" w:themeColor="accent1"/>
      <w:kern w:val="2"/>
      <w:sz w:val="26"/>
      <w:szCs w:val="26"/>
      <w:lang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2026-01-28T06:31:00Z</dcterms:created>
  <dcterms:modified xsi:type="dcterms:W3CDTF">2026-01-28T06:31:00Z</dcterms:modified>
</cp:coreProperties>
</file>