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629" w:rsidRPr="00FC3C46" w:rsidRDefault="007A3629" w:rsidP="007A3629">
      <w:pPr>
        <w:pStyle w:val="Heading1"/>
        <w:rPr>
          <w:lang w:val="fi-FI"/>
        </w:rPr>
      </w:pPr>
      <w:bookmarkStart w:id="0" w:name="_Toc231291363"/>
      <w:bookmarkStart w:id="1" w:name="_GoBack"/>
      <w:bookmarkEnd w:id="1"/>
      <w:r w:rsidRPr="00FC3C46">
        <w:rPr>
          <w:lang w:val="fi-FI"/>
        </w:rPr>
        <w:t>BAB II</w:t>
      </w:r>
      <w:r>
        <w:rPr>
          <w:lang w:val="fi-FI"/>
        </w:rPr>
        <w:t xml:space="preserve"> </w:t>
      </w:r>
      <w:r>
        <w:rPr>
          <w:lang w:val="fi-FI"/>
        </w:rPr>
        <w:br/>
      </w:r>
      <w:r w:rsidRPr="00FC3C46">
        <w:rPr>
          <w:lang w:val="fi-FI"/>
        </w:rPr>
        <w:t>TINJAUAN PUSTAKA</w:t>
      </w:r>
      <w:bookmarkEnd w:id="0"/>
    </w:p>
    <w:p w:rsidR="007A3629" w:rsidRPr="00FC3C46" w:rsidRDefault="007A3629" w:rsidP="007A3629">
      <w:pPr>
        <w:pStyle w:val="Heading2"/>
        <w:ind w:left="709" w:hanging="709"/>
        <w:rPr>
          <w:lang w:val="fi-FI"/>
        </w:rPr>
      </w:pPr>
      <w:bookmarkStart w:id="2" w:name="_Toc231291364"/>
      <w:r w:rsidRPr="00FC3C46">
        <w:rPr>
          <w:lang w:val="fi-FI"/>
        </w:rPr>
        <w:t xml:space="preserve">2.1  </w:t>
      </w:r>
      <w:r>
        <w:rPr>
          <w:lang w:val="fi-FI"/>
        </w:rPr>
        <w:tab/>
      </w:r>
      <w:r w:rsidRPr="00FC3C46">
        <w:rPr>
          <w:lang w:val="fi-FI"/>
        </w:rPr>
        <w:t>Pangan</w:t>
      </w:r>
      <w:bookmarkEnd w:id="2"/>
      <w:r w:rsidRPr="00FC3C46">
        <w:rPr>
          <w:lang w:val="fi-FI"/>
        </w:rPr>
        <w:t xml:space="preserve"> </w:t>
      </w:r>
    </w:p>
    <w:p w:rsidR="007A3629" w:rsidRPr="00FC3C46" w:rsidRDefault="007A3629" w:rsidP="007A3629">
      <w:pPr>
        <w:pStyle w:val="ListParagraph"/>
        <w:spacing w:line="480" w:lineRule="auto"/>
        <w:ind w:left="0" w:firstLine="720"/>
        <w:jc w:val="both"/>
        <w:rPr>
          <w:lang w:val="fi-FI"/>
        </w:rPr>
      </w:pPr>
      <w:r w:rsidRPr="00FC3C46">
        <w:rPr>
          <w:lang w:val="fi-FI"/>
        </w:rPr>
        <w:t xml:space="preserve">Pangan adalah segala sesuatu yang berasal dari sumber hayati produk pertanian, perkebunan, kehutanan, perikanan, peternakan, perairan, dan air, baik yang diolah maupun tidak diolah yang diperuntukkan sebagai makanan atau minuman bagi konsumsi manusia, termasuk bahan tambahan Pangan, bahan baku Pangan, dan bahan lainnya yang digunakan dalam proses penyiapan, pengolahan, dan/atau pembuatan makanan atau minuman </w:t>
      </w:r>
      <w:r>
        <w:fldChar w:fldCharType="begin" w:fldLock="1"/>
      </w:r>
      <w:r w:rsidRPr="00FC3C46">
        <w:rPr>
          <w:lang w:val="fi-FI"/>
        </w:rPr>
        <w:instrText>ADDIN CSL_CITATION {"citationItems":[{"id":"ITEM-1","itemData":{"ISBN":"6103544947","abstract":"Pangan adalah segala sesuatu yang berasal dari sumber hayati produk pertanian, perkebunan, kehutanan, perikanan, peternakan, perairan, dan air, baik yang diolah maupun tidak diolah yang diperuntukkan sebagai makanan atau minuman bagi konsumsi manusia …","author":[{"dropping-particle":"","family":"Fahrudin","given":"Dimas Muhammad","non-dropping-particle":"","parse-names":false,"suffix":""},{"dropping-particle":"","family":"Purwiyantiningsih","given":"Eti","non-dropping-particle":"","parse-names":false,"suffix":""},{"dropping-particle":"","family":"Sukirman","given":"","non-dropping-particle":"","parse-names":false,"suffix":""}],"container-title":"Soedirman Law Riview","id":"ITEM-1","issued":{"date-parts":[["2020"]]},"title":"Perlindungan Hukum Terhadap Konsumen Lengkong (Cincau) Berformalin Berdasarkan Undang-Undang Nomor 8 Tahun 1999 Tentang Perlindungan Konsumen Dalam Putusan Nomor : 2602/Pid.Sus/2018/PN Mdn","type":"article-journal"},"uris":["http://www.mendeley.com/documents/?uuid=5495fb92-ca98-4231-a1a0-18d9f150b19c"]}],"mendeley":{"formattedCitation":"(Fahrudin et al., 2020)","plainTextFormattedCitation":"(Fahrudin et al., 2020)","previouslyFormattedCitation":"(Fahrudin et al., 2020)"},"properties":{"noteIndex":0},"schema":"https://github.com/citation-style-language/schema/raw/master/csl-citation.json"}</w:instrText>
      </w:r>
      <w:r>
        <w:fldChar w:fldCharType="separate"/>
      </w:r>
      <w:r w:rsidRPr="00FC3C46">
        <w:rPr>
          <w:noProof/>
          <w:lang w:val="fi-FI"/>
        </w:rPr>
        <w:t>(Fahrudin et al., 2020)</w:t>
      </w:r>
      <w:r>
        <w:fldChar w:fldCharType="end"/>
      </w:r>
      <w:r w:rsidRPr="00FC3C46">
        <w:rPr>
          <w:lang w:val="fi-FI"/>
        </w:rPr>
        <w:t xml:space="preserve">. Untuk mewujudkan ketahanan pangan yang kuat dan berkesinambungan, berdasarkan Undang-Undang Pangan Nomor 18 tahun 2012 tentang pangan, maka implementasi pembangunan ketahanan pangan dilaksanakan dengan memperhatikan 3 (tiga) komponen utama yang harus dipenuhi, yaitu: 1) Ketersediaan pangan yang cukup dan merata; 2) Keterjangkauan pangan yang efektif dan efisien; serta 3) Konsumsi pangan yang beragam dan bergizi seimbang. </w:t>
      </w:r>
    </w:p>
    <w:p w:rsidR="007A3629" w:rsidRPr="00FC3C46" w:rsidRDefault="007A3629" w:rsidP="007A3629">
      <w:pPr>
        <w:pStyle w:val="ListParagraph"/>
        <w:spacing w:line="480" w:lineRule="auto"/>
        <w:ind w:left="0" w:firstLine="720"/>
        <w:jc w:val="both"/>
        <w:rPr>
          <w:color w:val="000000" w:themeColor="text1"/>
          <w:lang w:val="fi-FI"/>
        </w:rPr>
      </w:pPr>
      <w:r w:rsidRPr="00FC3C46">
        <w:rPr>
          <w:lang w:val="fi-FI"/>
        </w:rPr>
        <w:t xml:space="preserve">Ketiga komponen tersebut dapat diwujudkan sampai tingkat rumah tangga, apabila: (1) Memanfaatkan potensi sumberdaya lokal yang beragam untuk peningkatan ketersediaan pangan; (2) Melaksanakan diversifikasi pangan untuk mendorong konsumsi pangan masyarakat yang beragam, bergizi seimbang, dan aman; (3) Menjamin pasokan pangan ke seluruh wilayah dan terjangkau oleh masyarakat; (4) Memanfaatkan pasar pangan internasional secara bijaksana bagi pemenuhan konsumen yang beragam; serta (5) Memberikan jaminan bagi </w:t>
      </w:r>
      <w:r w:rsidRPr="00FC3C46">
        <w:rPr>
          <w:lang w:val="fi-FI"/>
        </w:rPr>
        <w:lastRenderedPageBreak/>
        <w:t>masyarakat miskin di perkotaan dan perdesaan dalam mengakses pangan yang bersifat pokok</w:t>
      </w:r>
      <w:r w:rsidRPr="00FC3C46">
        <w:rPr>
          <w:color w:val="000000" w:themeColor="text1"/>
          <w:lang w:val="fi-FI"/>
        </w:rPr>
        <w:t xml:space="preserve"> </w:t>
      </w:r>
      <w:r>
        <w:rPr>
          <w:color w:val="000000" w:themeColor="text1"/>
        </w:rPr>
        <w:fldChar w:fldCharType="begin" w:fldLock="1"/>
      </w:r>
      <w:r w:rsidRPr="00FC3C46">
        <w:rPr>
          <w:color w:val="000000" w:themeColor="text1"/>
          <w:lang w:val="fi-FI"/>
        </w:rPr>
        <w:instrText>ADDIN CSL_CITATION {"citationItems":[{"id":"ITEM-1","itemData":{"DOI":"10.36355/jas.v6i2.920","abstract":"ABSTRAK\r Penelitian ini bertujuan untuk mengetahui tingkat ketahanan pangan keluarga penerima manfaat bantuan sosial pangan di Kabupaten Batang Hari, dan untuk mengetahui tingkat kerawanan pangan keluarga penerima manfaat bantuan sosial pangan di Kabupaten Batang Hari. Data yang digunakan dalam penelitian ini adalah data primer dan data skunder, perolehan data dilakukan dengan teknik observasi, survey dan wawancara responden penelitian. Responden yang diambil berdasarkan teknik probability sampilng; simple random sampling, penentuan responden ini dilakukan dengan teknik insindental, dari total populasi sejumlah 3.791 orang dengan menggunakan rumus Slovin diperoleh responden sebanyak 40 orang. Metode analisis data dalam penelitian ini menggunakan metode Deskriptif Analitis. Jenis penelitan deskriptif ini menggunakan metode Case Study yaitu penelitan yang menggambarkan secara mendetail tentang latar belakang, sifat maupun karakter khas dari suatu kasus terutama pada rumah tangga keluarga penerima bantuan sosial pangan atau Bantuan Pangan Non Tunai di Kabupaten Batang Hari. Hasil penelitian menunjukkan bahwa kondisi ketahanan pangan keluarga penerima manfaat bantuan sosial pangan di Kabupaten Batang Hari adalah tidak tahan pangan. Terdapat 7,50% keluarga yang tergolong tahan pangan, 92,50% tidak tahan pangan., 95,00% keluarga tidak mengalami kerawanan pangan dan 5,00% keluarga megalami kerawanan pangan.\r Kata kunci :Bantuan sosial pangan, pola konsumsi pangan, ketahanan pangan, dan kerawanan pangan.\r \r ABSTRACT\r This study aims to determine the level of food security of families who are beneficiaries of food social assistance in Batang Hari Regency, and to determine the level of food insecurity of families who are beneficiaries of food social assistance in Batang Hari Regency. The data used in this study are primary data and secondary data, data acquisition was carried out by observation, survey and interview techniques of research respondents. Respondents were taken based on probability sampling technique; simple random sampling, the determination of respondents was done by incidental technique, from a total population of 3,791 people using the Slovin formula, 40 respondents were obtained. The method of data analysis in this study used the Analytical Descriptive method. This type of descriptive research uses the Case Study method, which is research that describes in detail the background, nature and distinctive character of a case, especially in household…","author":[{"dropping-particle":"","family":"Sophia","given":"Sophia","non-dropping-particle":"","parse-names":false,"suffix":""},{"dropping-particle":"","family":"Erwandri","given":"Epit","non-dropping-particle":"","parse-names":false,"suffix":""},{"dropping-particle":"","family":"Dewi","given":"Ratna","non-dropping-particle":"","parse-names":false,"suffix":""},{"dropping-particle":"","family":"Varina","given":"Firna","non-dropping-particle":"","parse-names":false,"suffix":""}],"container-title":"JAS (Jurnal Agri Sains)","id":"ITEM-1","issue":"2","issued":{"date-parts":[["2022"]]},"page":"113-121","title":"Analisis Tingkat Ketahanan Pangan Keluarga Penerima Manfaat Bantuan Sosial Pangan (Kpm Bansos Pangan) Di Kabupaten Batang Hari","type":"article-journal","volume":"6"},"uris":["http://www.mendeley.com/documents/?uuid=88a7c640-cf60-4ca9-a857-ceba4e0a45fb"]}],"mendeley":{"formattedCitation":"(Sophia et al., 2022)","plainTextFormattedCitation":"(Sophia et al., 2022)","previouslyFormattedCitation":"(Sophia et al., 2022)"},"properties":{"noteIndex":0},"schema":"https://github.com/citation-style-language/schema/raw/master/csl-citation.json"}</w:instrText>
      </w:r>
      <w:r>
        <w:rPr>
          <w:color w:val="000000" w:themeColor="text1"/>
        </w:rPr>
        <w:fldChar w:fldCharType="separate"/>
      </w:r>
      <w:r w:rsidRPr="00FC3C46">
        <w:rPr>
          <w:noProof/>
          <w:color w:val="000000" w:themeColor="text1"/>
          <w:lang w:val="fi-FI"/>
        </w:rPr>
        <w:t>(Sophia et al., 2022)</w:t>
      </w:r>
      <w:r>
        <w:rPr>
          <w:color w:val="000000" w:themeColor="text1"/>
        </w:rPr>
        <w:fldChar w:fldCharType="end"/>
      </w:r>
      <w:r w:rsidRPr="00FC3C46">
        <w:rPr>
          <w:color w:val="000000" w:themeColor="text1"/>
          <w:lang w:val="fi-FI"/>
        </w:rPr>
        <w:t>. Pangan harus diperhatikan kualitas dan keamanannya karena pangan merupakan hal yang mendasar bagi masyarakat.</w:t>
      </w:r>
    </w:p>
    <w:p w:rsidR="007A3629" w:rsidRPr="005E6635" w:rsidRDefault="007A3629" w:rsidP="007A3629">
      <w:pPr>
        <w:pStyle w:val="Heading3"/>
        <w:ind w:left="709" w:hanging="709"/>
        <w:rPr>
          <w:lang w:val="fi-FI"/>
        </w:rPr>
      </w:pPr>
      <w:bookmarkStart w:id="3" w:name="_Toc231291365"/>
      <w:r w:rsidRPr="005E6635">
        <w:rPr>
          <w:lang w:val="fi-FI"/>
        </w:rPr>
        <w:t xml:space="preserve">2.1.1 </w:t>
      </w:r>
      <w:r>
        <w:rPr>
          <w:lang w:val="fi-FI"/>
        </w:rPr>
        <w:tab/>
      </w:r>
      <w:r w:rsidRPr="005E6635">
        <w:rPr>
          <w:lang w:val="fi-FI"/>
        </w:rPr>
        <w:t>Keamanan Pangan</w:t>
      </w:r>
      <w:bookmarkEnd w:id="3"/>
      <w:r w:rsidRPr="005E6635">
        <w:rPr>
          <w:lang w:val="fi-FI"/>
        </w:rPr>
        <w:t xml:space="preserve"> </w:t>
      </w:r>
    </w:p>
    <w:p w:rsidR="007A3629" w:rsidRPr="00FC3C46" w:rsidRDefault="007A3629" w:rsidP="007A3629">
      <w:pPr>
        <w:pStyle w:val="ListParagraph"/>
        <w:spacing w:line="480" w:lineRule="auto"/>
        <w:ind w:left="0" w:firstLine="720"/>
        <w:jc w:val="both"/>
        <w:rPr>
          <w:lang w:val="fi-FI"/>
        </w:rPr>
      </w:pPr>
      <w:r w:rsidRPr="005E6635">
        <w:rPr>
          <w:lang w:val="fi-FI"/>
        </w:rPr>
        <w:t xml:space="preserve">Keamanan pangan adalah masalah utama bagi masyarakat, secara global menunjukkan bahwa keamanan pangan bervariasi di seluruh dunia. Masyarakat sebagai konsumen mempunyai peran dalam memastikan keamanan pangan. BPOM RI mengatakan salah satu cara yang paling efektif untuk memastikan keamanan pangan adalah dengan upaya membangun masyarakat cerdas sebagai konsumen akhir produk pangan. </w:t>
      </w:r>
      <w:r w:rsidRPr="00FC3C46">
        <w:rPr>
          <w:lang w:val="fi-FI"/>
        </w:rPr>
        <w:t xml:space="preserve">Permasalahan pangan di Indonesia seringkali diwarnai adanya kasus keracunan makanan sehingga keamanan pangan seringkali terabaikan. Keamanan pangan adalah kondisi dan upaya untuk mencegah pangan dari kemungkinan cemaran biologis, kimia, dan benda lain yang dapat mengganggu, merugikan, dan membahayakan kesehatan manusia serta tidak bertentangan dengan agama, keyakinan, dan budaya masyarakat sehingga aman untuk dikonsumsi. Ada empat (4) masalah utama keamanan pangan yang pertama cemaran mikroba karena rendahnya higiene dan sanitasi. Persoalan kedua adalah cemaran kimia karena bahan baku yang sudah tercemar. Persoalan ketiga penyalahgunaan bahan berbahaya pada pangan, sedangkan persoalan keempat adalah penggunaan bahan tambahan pangan melebihi batas maksimum yang diizinkan. Oleh karena itu perlu intervensi untuk mengatasi masalah utama keamanan pangan yang sering ditemukan di tengah masyarakat </w:t>
      </w:r>
      <w:r>
        <w:fldChar w:fldCharType="begin" w:fldLock="1"/>
      </w:r>
      <w:r w:rsidRPr="00FC3C46">
        <w:rPr>
          <w:lang w:val="fi-FI"/>
        </w:rPr>
        <w:instrText>ADDIN CSL_CITATION {"citationItems":[{"id":"ITEM-1","itemData":{"DOI":"10.14710/ldjr.v4i1.11076","abstract":"Masyarakat sebagai konsumen mempunyai peran dalam memastikan keamanan pangan. Untuk membangun masyarakat cerdas sebagai konsumen akhir produk pangan perlu menjaga keamanan pangan. Dalam pelaksanaannya di masyarakat tidak dapat dipungkiri banyak Pangan Jajan Anak Sekolah (PJAS) yang mengandung bahan berbahaya, cemaran mikroba atau bahan tambahan pangan yang kadarnya melebihi batas maksimum yang diijinkan. Masalah keamanan pangan di Indonesia rentan oleh karena itu perlu dilakukan pemahaman terhadap masyarakat dengan kerjasama yang bersinergi antara pemerintah selaku pengawas, asosiasi pelaku usaha/produsen, dan konsumen.","author":[{"dropping-particle":"","family":"Njatrijani","given":"Rinitami","non-dropping-particle":"","parse-names":false,"suffix":""}],"container-title":"Law, Development and Justice Review","id":"ITEM-1","issue":"1","issued":{"date-parts":[["2021"]]},"page":"12-28","title":"Pengawasan Keamanan Pangan","type":"article-journal","volume":"4"},"uris":["http://www.mendeley.com/documents/?uuid=4f825a84-76a6-4f2c-bf5e-b3f754d11c23"]}],"mendeley":{"formattedCitation":"(Njatrijani, 2021)","plainTextFormattedCitation":"(Njatrijani, 2021)","previouslyFormattedCitation":"(Njatrijani, 2021)"},"properties":{"noteIndex":0},"schema":"https://github.com/citation-style-language/schema/raw/master/csl-citation.json"}</w:instrText>
      </w:r>
      <w:r>
        <w:fldChar w:fldCharType="separate"/>
      </w:r>
      <w:r w:rsidRPr="00FC3C46">
        <w:rPr>
          <w:noProof/>
          <w:lang w:val="fi-FI"/>
        </w:rPr>
        <w:t>(Njatrijani, 2021)</w:t>
      </w:r>
      <w:r>
        <w:fldChar w:fldCharType="end"/>
      </w:r>
      <w:r w:rsidRPr="00FC3C46">
        <w:rPr>
          <w:lang w:val="fi-FI"/>
        </w:rPr>
        <w:t xml:space="preserve">. </w:t>
      </w:r>
    </w:p>
    <w:p w:rsidR="007A3629" w:rsidRPr="005E6635" w:rsidRDefault="007A3629" w:rsidP="007A3629">
      <w:pPr>
        <w:pStyle w:val="Heading3"/>
        <w:ind w:left="709" w:hanging="709"/>
        <w:rPr>
          <w:lang w:val="fi-FI"/>
        </w:rPr>
      </w:pPr>
      <w:bookmarkStart w:id="4" w:name="_Toc231291366"/>
      <w:r w:rsidRPr="005E6635">
        <w:rPr>
          <w:lang w:val="fi-FI"/>
        </w:rPr>
        <w:t xml:space="preserve">2.1.2 </w:t>
      </w:r>
      <w:r>
        <w:rPr>
          <w:lang w:val="fi-FI"/>
        </w:rPr>
        <w:tab/>
      </w:r>
      <w:r w:rsidRPr="005E6635">
        <w:rPr>
          <w:lang w:val="fi-FI"/>
        </w:rPr>
        <w:t>Bahan Tambahan Pangan</w:t>
      </w:r>
      <w:bookmarkEnd w:id="4"/>
      <w:r w:rsidRPr="005E6635">
        <w:rPr>
          <w:lang w:val="fi-FI"/>
        </w:rPr>
        <w:t xml:space="preserve"> </w:t>
      </w:r>
    </w:p>
    <w:p w:rsidR="007A3629" w:rsidRDefault="007A3629" w:rsidP="007A3629">
      <w:pPr>
        <w:spacing w:line="480" w:lineRule="auto"/>
        <w:ind w:firstLine="720"/>
        <w:jc w:val="both"/>
        <w:rPr>
          <w:rFonts w:asciiTheme="majorBidi" w:hAnsiTheme="majorBidi" w:cstheme="majorBidi"/>
          <w:szCs w:val="24"/>
          <w:shd w:val="clear" w:color="auto" w:fill="FFFFFF"/>
        </w:rPr>
      </w:pPr>
      <w:r w:rsidRPr="00FC3C46">
        <w:rPr>
          <w:rFonts w:asciiTheme="majorBidi" w:hAnsiTheme="majorBidi" w:cstheme="majorBidi"/>
          <w:color w:val="000000" w:themeColor="text1"/>
          <w:szCs w:val="24"/>
          <w:lang w:val="fi-FI"/>
        </w:rPr>
        <w:lastRenderedPageBreak/>
        <w:t xml:space="preserve">Menurut </w:t>
      </w:r>
      <w:r w:rsidRPr="00DC379F">
        <w:rPr>
          <w:rFonts w:asciiTheme="majorBidi" w:hAnsiTheme="majorBidi" w:cstheme="majorBidi"/>
          <w:color w:val="000000" w:themeColor="text1"/>
          <w:szCs w:val="24"/>
        </w:rPr>
        <w:fldChar w:fldCharType="begin" w:fldLock="1"/>
      </w:r>
      <w:r w:rsidRPr="00FC3C46">
        <w:rPr>
          <w:rFonts w:asciiTheme="majorBidi" w:hAnsiTheme="majorBidi" w:cstheme="majorBidi"/>
          <w:color w:val="000000" w:themeColor="text1"/>
          <w:szCs w:val="24"/>
          <w:lang w:val="fi-FI"/>
        </w:rPr>
        <w:instrText>ADDIN CSL_CITATION {"citationItems":[{"id":"ITEM-1","itemData":{"DOI":"10.25126/jtiik.2022923363","ISSN":"2355-7699","abstract":"Keracunan makanan yang terjadi di lingkungan masyarakat salah satu penyebabnya adalah pengunaan bahan tambahan pangan yang tidak sejalan dengan peraturan pemerintah yang berlaku. Bahan Tambahan Pangan adalah bahan yang mempengaruhi sifat atau bentuk pangan dengan cara ditambahkan ke dalam pangan diantaranya antioksidan, pemanis, pengawet, dan pewarna. Alasan pelaku usaha pangan terjadinya keracunan disebabkan kurangnya pengetahuan mengenai bahan tambahan pangan dan pengaruh negatifnya terhadap kesehatan. Berdasarkan hal tersebut untuk menghindari penyalahgunaan bahan tambahan pangan yang tidak tepat maka perlu dibangun sistem pakar berbasis aturan if-then yang mampu memberi informasi penentuan penggunaan yang benar sesuai dengan produk pangan yang diinginkan dengan bantuan seorang ahli di bidang bahan tambahan pangan. Metode yang digunakan adalah pohon keputusan dengan algoritme C5.0 untuk mengklasifikasikan jenis kategori pangan dengan masukan berupa bahan dasar dan cara pengolahan produk pangan. Aturan yang dihasilkan berjumlah 98 aturan pada model pohon keputusan memudahkan pada tahap implementasi sistem. Seleksi fitur dengan information gain menghasilkan bahwa pencampuran merupakan cara pengolahan yang cukup berpengaruh pada model pohon keputusan dengan nilai information gain yang maksimum. Evaluasi kinerja model pohon keputusan menggunakan k-fold cross validation dengan k = 10 dan memiliki akurasi tertinggi pada fold ke 10 sebesar 72.7 %..  Hasil akhir penelitian ini adalah implementasi sistem dalam bentuk website dengan memberikan solusi berupa rekomendasi bahan tambahan pangan dan nilai batas maksimum dalam penggunaannya. AbstractFood poisoning that occurs in the community one of the causes is the use of food additives that are not in line with applicable government regulations. Food Additives are ingredients that affect the nature or form of food by adding them to food including antioxidants, sweeteners, preservatives, and dyes. Reasons for food businesses that cause poisoning are due to lack of knowledge about food additives and their negative effects on health. Based on this, to avoid misuse of food additives that are not proper, it is necessary to build an expert system that can give information on determining the correct use by the desired food products with the help of an expert in the field of food additives. The method used is a decision tree with C5.0 algorithm to classify types of food categories with parameters in the form of basic ing…","author":[{"dropping-particle":"","family":"Aritonang","given":"Melva Linda","non-dropping-particle":"","parse-names":false,"suffix":""},{"dropping-particle":"","family":"Seminar","given":"Kudang Boro","non-dropping-particle":"","parse-names":false,"suffix":""},{"dropping-particle":"","family":"Suyatma","given":"Nugraha Edhi","non-dropping-particle":"","parse-names":false,"suffix":""},{"dropping-particle":"","family":"Hermadi","given":"Irman","non-dropping-particle":"","parse-names":false,"suffix":""}],"container-title":"Jurnal Teknologi Informasi dan Ilmu Komputer","id":"ITEM-1","issued":{"date-parts":[["2022"]]},"title":"Sistem Pakar Penentuan Penggunaan Bahan Tambahan Pangan untuk Produk Pangan","type":"article-journal"},"uris":["http://www.mendeley.com/documents/?uuid=b7059e84-596e-4fac-815d-8e3d96abad02"]}],"mendeley":{"formattedCitation":"(Aritonang et al., 2022)","plainTextFormattedCitation":"(Aritonang et al., 2022)","previouslyFormattedCitation":"(Aritonang et al., 2022)"},"properties":{"noteIndex":0},"schema":"https://github.com/citation-style-language/schema/raw/master/csl-citation.json"}</w:instrText>
      </w:r>
      <w:r w:rsidRPr="00DC379F">
        <w:rPr>
          <w:rFonts w:asciiTheme="majorBidi" w:hAnsiTheme="majorBidi" w:cstheme="majorBidi"/>
          <w:color w:val="000000" w:themeColor="text1"/>
          <w:szCs w:val="24"/>
        </w:rPr>
        <w:fldChar w:fldCharType="separate"/>
      </w:r>
      <w:r w:rsidRPr="00FC3C46">
        <w:rPr>
          <w:rFonts w:asciiTheme="majorBidi" w:hAnsiTheme="majorBidi" w:cstheme="majorBidi"/>
          <w:noProof/>
          <w:color w:val="000000" w:themeColor="text1"/>
          <w:szCs w:val="24"/>
          <w:lang w:val="fi-FI"/>
        </w:rPr>
        <w:t>(Aritonang et al., 2022)</w:t>
      </w:r>
      <w:r w:rsidRPr="00DC379F">
        <w:rPr>
          <w:rFonts w:asciiTheme="majorBidi" w:hAnsiTheme="majorBidi" w:cstheme="majorBidi"/>
          <w:color w:val="000000" w:themeColor="text1"/>
          <w:szCs w:val="24"/>
        </w:rPr>
        <w:fldChar w:fldCharType="end"/>
      </w:r>
      <w:r w:rsidRPr="00FC3C46">
        <w:rPr>
          <w:rFonts w:asciiTheme="majorBidi" w:hAnsiTheme="majorBidi" w:cstheme="majorBidi"/>
          <w:color w:val="000000" w:themeColor="text1"/>
          <w:szCs w:val="24"/>
          <w:lang w:val="fi-FI"/>
        </w:rPr>
        <w:t xml:space="preserve"> </w:t>
      </w:r>
      <w:r w:rsidRPr="00FC3C46">
        <w:rPr>
          <w:rFonts w:asciiTheme="majorBidi" w:hAnsiTheme="majorBidi" w:cstheme="majorBidi"/>
          <w:szCs w:val="24"/>
          <w:shd w:val="clear" w:color="auto" w:fill="FFFFFF"/>
          <w:lang w:val="fi-FI"/>
        </w:rPr>
        <w:t xml:space="preserve">BTP ( bahan tambahan pangan)   adalah bahan  yang mempengaruhi sifat atau bentuk pangan dengan cara ditambahkan  ke  dalam  pangan bertujuan untuk mencegah kerusakan, meningkatkan dan mempertahankan   nilai gizi dan memperpanjang masa simpan. </w:t>
      </w:r>
      <w:r w:rsidRPr="00DC379F">
        <w:rPr>
          <w:rFonts w:asciiTheme="majorBidi" w:hAnsiTheme="majorBidi" w:cstheme="majorBidi"/>
          <w:szCs w:val="24"/>
          <w:shd w:val="clear" w:color="auto" w:fill="FFFFFF"/>
        </w:rPr>
        <w:t>Golongan BTP</w:t>
      </w:r>
      <w:r>
        <w:rPr>
          <w:rFonts w:asciiTheme="majorBidi" w:hAnsiTheme="majorBidi" w:cstheme="majorBidi"/>
          <w:szCs w:val="24"/>
          <w:shd w:val="clear" w:color="auto" w:fill="FFFFFF"/>
        </w:rPr>
        <w:t xml:space="preserve"> </w:t>
      </w:r>
      <w:proofErr w:type="gramStart"/>
      <w:r w:rsidRPr="00DC379F">
        <w:rPr>
          <w:rFonts w:asciiTheme="majorBidi" w:hAnsiTheme="majorBidi" w:cstheme="majorBidi"/>
          <w:szCs w:val="24"/>
          <w:shd w:val="clear" w:color="auto" w:fill="FFFFFF"/>
        </w:rPr>
        <w:t>terdiri  dari</w:t>
      </w:r>
      <w:proofErr w:type="gramEnd"/>
      <w:r w:rsidRPr="00DC379F">
        <w:rPr>
          <w:rFonts w:asciiTheme="majorBidi" w:hAnsiTheme="majorBidi" w:cstheme="majorBidi"/>
          <w:szCs w:val="24"/>
          <w:shd w:val="clear" w:color="auto" w:fill="FFFFFF"/>
        </w:rPr>
        <w:t xml:space="preserve">  27  golongan  dan diantaranya   antioksidan,   pemanis,   pengawet,   dan pewarna. Pengawasan penggunaan BTP pada pelaku usaha pangan </w:t>
      </w:r>
      <w:proofErr w:type="gramStart"/>
      <w:r w:rsidRPr="00DC379F">
        <w:rPr>
          <w:rFonts w:asciiTheme="majorBidi" w:hAnsiTheme="majorBidi" w:cstheme="majorBidi"/>
          <w:szCs w:val="24"/>
          <w:shd w:val="clear" w:color="auto" w:fill="FFFFFF"/>
        </w:rPr>
        <w:t>dan  masyarakat</w:t>
      </w:r>
      <w:proofErr w:type="gramEnd"/>
      <w:r w:rsidRPr="00DC379F">
        <w:rPr>
          <w:rFonts w:asciiTheme="majorBidi" w:hAnsiTheme="majorBidi" w:cstheme="majorBidi"/>
          <w:szCs w:val="24"/>
          <w:shd w:val="clear" w:color="auto" w:fill="FFFFFF"/>
        </w:rPr>
        <w:t xml:space="preserve">  diawasi  oleh  Badan </w:t>
      </w:r>
      <w:r>
        <w:rPr>
          <w:rFonts w:asciiTheme="majorBidi" w:hAnsiTheme="majorBidi" w:cstheme="majorBidi"/>
          <w:szCs w:val="24"/>
          <w:shd w:val="clear" w:color="auto" w:fill="FFFFFF"/>
        </w:rPr>
        <w:t xml:space="preserve"> Pengawas Obat dan </w:t>
      </w:r>
      <w:r w:rsidRPr="00DC379F">
        <w:rPr>
          <w:rFonts w:asciiTheme="majorBidi" w:hAnsiTheme="majorBidi" w:cstheme="majorBidi"/>
          <w:szCs w:val="24"/>
          <w:shd w:val="clear" w:color="auto" w:fill="FFFFFF"/>
        </w:rPr>
        <w:t>Makanan  Republik  Indonesia (BPOM).</w:t>
      </w:r>
      <w:r>
        <w:rPr>
          <w:rFonts w:asciiTheme="majorBidi" w:hAnsiTheme="majorBidi" w:cstheme="majorBidi"/>
          <w:szCs w:val="24"/>
          <w:shd w:val="clear" w:color="auto" w:fill="FFFFFF"/>
        </w:rPr>
        <w:t xml:space="preserve"> </w:t>
      </w:r>
      <w:r w:rsidRPr="00DC379F">
        <w:rPr>
          <w:rFonts w:asciiTheme="majorBidi" w:hAnsiTheme="majorBidi" w:cstheme="majorBidi"/>
          <w:szCs w:val="24"/>
          <w:shd w:val="clear" w:color="auto" w:fill="FFFFFF"/>
        </w:rPr>
        <w:t xml:space="preserve">Penggunaan BTP </w:t>
      </w:r>
      <w:proofErr w:type="gramStart"/>
      <w:r w:rsidRPr="00DC379F">
        <w:rPr>
          <w:rFonts w:asciiTheme="majorBidi" w:hAnsiTheme="majorBidi" w:cstheme="majorBidi"/>
          <w:szCs w:val="24"/>
          <w:shd w:val="clear" w:color="auto" w:fill="FFFFFF"/>
        </w:rPr>
        <w:t>yang  tepat</w:t>
      </w:r>
      <w:proofErr w:type="gramEnd"/>
      <w:r>
        <w:rPr>
          <w:rFonts w:asciiTheme="majorBidi" w:hAnsiTheme="majorBidi" w:cstheme="majorBidi"/>
          <w:szCs w:val="24"/>
          <w:shd w:val="clear" w:color="auto" w:fill="FFFFFF"/>
        </w:rPr>
        <w:t xml:space="preserve"> </w:t>
      </w:r>
      <w:r w:rsidRPr="00DC379F">
        <w:rPr>
          <w:rFonts w:asciiTheme="majorBidi" w:hAnsiTheme="majorBidi" w:cstheme="majorBidi"/>
          <w:szCs w:val="24"/>
          <w:shd w:val="clear" w:color="auto" w:fill="FFFFFF"/>
        </w:rPr>
        <w:t>yaitu pemakaian tidak melewati</w:t>
      </w:r>
      <w:r>
        <w:rPr>
          <w:rFonts w:asciiTheme="majorBidi" w:hAnsiTheme="majorBidi" w:cstheme="majorBidi"/>
          <w:szCs w:val="24"/>
          <w:shd w:val="clear" w:color="auto" w:fill="FFFFFF"/>
        </w:rPr>
        <w:t xml:space="preserve"> </w:t>
      </w:r>
      <w:r w:rsidRPr="00DC379F">
        <w:rPr>
          <w:rFonts w:asciiTheme="majorBidi" w:hAnsiTheme="majorBidi" w:cstheme="majorBidi"/>
          <w:szCs w:val="24"/>
          <w:shd w:val="clear" w:color="auto" w:fill="FFFFFF"/>
        </w:rPr>
        <w:t>batas maksimum</w:t>
      </w:r>
      <w:r>
        <w:rPr>
          <w:rFonts w:asciiTheme="majorBidi" w:hAnsiTheme="majorBidi" w:cstheme="majorBidi"/>
          <w:szCs w:val="24"/>
          <w:shd w:val="clear" w:color="auto" w:fill="FFFFFF"/>
        </w:rPr>
        <w:t xml:space="preserve"> </w:t>
      </w:r>
      <w:r w:rsidRPr="00DC379F">
        <w:rPr>
          <w:rFonts w:asciiTheme="majorBidi" w:hAnsiTheme="majorBidi" w:cstheme="majorBidi"/>
          <w:szCs w:val="24"/>
          <w:shd w:val="clear" w:color="auto" w:fill="FFFFFF"/>
        </w:rPr>
        <w:t>berdasarkan  kategori  pangan  yang  akan diproduksi. Dengan  mengkonsumsi  produk  pangan yang  mengunakan  BTP  tepat  maka  dapat  terhindar dari keracunan makanan.</w:t>
      </w:r>
      <w:r>
        <w:rPr>
          <w:rFonts w:asciiTheme="majorBidi" w:hAnsiTheme="majorBidi" w:cstheme="majorBidi"/>
          <w:szCs w:val="24"/>
          <w:shd w:val="clear" w:color="auto" w:fill="FFFFFF"/>
        </w:rPr>
        <w:t xml:space="preserve"> Salah satu bahan tambahan pangan yang dilarang penggunaanya dalam makanan adalah klorin.</w:t>
      </w:r>
    </w:p>
    <w:p w:rsidR="007A3629" w:rsidRPr="008E10C8" w:rsidRDefault="007A3629" w:rsidP="007A3629">
      <w:pPr>
        <w:pStyle w:val="Heading2"/>
        <w:ind w:left="709" w:hanging="709"/>
      </w:pPr>
      <w:bookmarkStart w:id="5" w:name="_Toc231291367"/>
      <w:r>
        <w:t xml:space="preserve">2.2 </w:t>
      </w:r>
      <w:r>
        <w:tab/>
      </w:r>
      <w:r w:rsidRPr="008E10C8">
        <w:t>Klorin</w:t>
      </w:r>
      <w:bookmarkEnd w:id="5"/>
      <w:r w:rsidRPr="008E10C8">
        <w:t xml:space="preserve"> </w:t>
      </w:r>
    </w:p>
    <w:p w:rsidR="007A3629" w:rsidRDefault="007A3629" w:rsidP="007A3629">
      <w:pPr>
        <w:spacing w:line="480" w:lineRule="auto"/>
        <w:ind w:firstLine="709"/>
        <w:jc w:val="both"/>
      </w:pPr>
      <w:r>
        <w:t xml:space="preserve">Klor (berasal dari bahasa Yunani </w:t>
      </w:r>
      <w:r w:rsidRPr="0047748B">
        <w:rPr>
          <w:i/>
          <w:iCs/>
        </w:rPr>
        <w:t>Chloros</w:t>
      </w:r>
      <w:r>
        <w:t xml:space="preserve"> yang berarti “hijau pucat”), adalah unsur kimia dengan nomor atom 17 dan simbol Cl termasuk dalam golongan halogen </w:t>
      </w:r>
      <w:r>
        <w:fldChar w:fldCharType="begin" w:fldLock="1"/>
      </w:r>
      <w:r>
        <w:instrText>ADDIN CSL_CITATION {"citationItems":[{"id":"ITEM-1","itemData":{"ISSN":"2527-6204","abstract":"This research aimed to investigate the chlorine contents in rice circulation in Pasar Besar of which findings were supposed to be applicable as Biological learning resource. This research was officially conducted at March 29 ± April 6 2016 in Putra Indonesia Malang Laboratory. This research was of descriptively quantitative design since the main aim of this research was to describe the chlorine contents in rice. The sampling technique engaging regarding this research was purposive sampling with two repetitions in total. The sample of rice that was going to be analyzed was originally from Pasar Besar comprised 19 types (considering the brands), they were: Piala, Mentari, Padi Wangi, Bintang Biru, Rosita Super, Kancil, Bintang Mas, Bulan Mas, Puteri, Lombok, Maknyus, Apel, Manggis, Mangga, Cucak Rowo, Beras Padi, Raja Boga dan Monas. In addition, the methods accommodated in terms of testing the reaction included testing the color reaction test, testing the iodometric titration, and measuring the average percentage of chlorine contents in the whole sample. Moreover, this research revealed that the 19 types sample of rice taken from Pasar Besar is 0 % or negative of chlorine contents. Consequently, they were safe to consume.","author":[{"dropping-particle":"","family":"Rosita","given":"Dewi","non-dropping-particle":"","parse-names":false,"suffix":""},{"dropping-particle":"","family":"Zaenab","given":"Siti","non-dropping-particle":"","parse-names":false,"suffix":""},{"dropping-particle":"","family":"Budiyanto","given":"Moch. Agus Krisno","non-dropping-particle":"","parse-names":false,"suffix":""}],"container-title":"Jurnal Pendidikan Biologi Indonesia","id":"ITEM-1","issue":"1","issued":{"date-parts":[["2016"]]},"page":"88-93","title":"Analisis Kandungan Klorin pada Beras yang Beredar di Pasar Besar Kota Malang Sebagai Sumber Belajar Biologi","type":"article-journal","volume":"2"},"uris":["http://www.mendeley.com/documents/?uuid=8a7bed22-63aa-492a-9e4e-3d477957abf8"]}],"mendeley":{"formattedCitation":"(Rosita et al., 2016)","plainTextFormattedCitation":"(Rosita et al., 2016)","previouslyFormattedCitation":"(Rosita et al., 2016)"},"properties":{"noteIndex":0},"schema":"https://github.com/citation-style-language/schema/raw/master/csl-citation.json"}</w:instrText>
      </w:r>
      <w:r>
        <w:fldChar w:fldCharType="separate"/>
      </w:r>
      <w:r w:rsidRPr="00B541B2">
        <w:rPr>
          <w:noProof/>
        </w:rPr>
        <w:t>(Rosita et al., 2016)</w:t>
      </w:r>
      <w:r>
        <w:fldChar w:fldCharType="end"/>
      </w:r>
      <w:r>
        <w:t xml:space="preserve">. </w:t>
      </w:r>
      <w:r w:rsidRPr="00FC3C46">
        <w:rPr>
          <w:rFonts w:asciiTheme="majorBidi" w:hAnsiTheme="majorBidi" w:cstheme="majorBidi"/>
          <w:szCs w:val="24"/>
          <w:shd w:val="clear" w:color="auto" w:fill="FFFFFF"/>
          <w:lang w:val="fi-FI"/>
        </w:rPr>
        <w:t xml:space="preserve">Rumus molekul dari senyawa klorin adalah Cl2 dan klorin memiliki berat molekul sebesar 70,9 g/mol </w:t>
      </w:r>
      <w:r>
        <w:rPr>
          <w:rFonts w:asciiTheme="majorBidi" w:hAnsiTheme="majorBidi" w:cstheme="majorBidi"/>
          <w:szCs w:val="24"/>
          <w:shd w:val="clear" w:color="auto" w:fill="FFFFFF"/>
        </w:rPr>
        <w:fldChar w:fldCharType="begin" w:fldLock="1"/>
      </w:r>
      <w:r w:rsidRPr="00FC3C46">
        <w:rPr>
          <w:rFonts w:asciiTheme="majorBidi" w:hAnsiTheme="majorBidi" w:cstheme="majorBidi"/>
          <w:szCs w:val="24"/>
          <w:shd w:val="clear" w:color="auto" w:fill="FFFFFF"/>
          <w:lang w:val="fi-FI"/>
        </w:rPr>
        <w:instrText>ADDIN CSL_CITATION {"citationItems":[{"id":"ITEM-1","itemData":{"abstract":"Diabetes melitus (DM) merupakan suatu sindroma klinik yang ditandai dengan poliuri, polidipsi, dan polifagi, disertai peningkatan kadar glukosa darah atau hiperglikemia (glukosa puasa ≥ 126 mg/dL atau postprandial ≥ 200 mg/dL atau glukosa sewaktu ≥ 200 mg/dL). Indonesia diperkirakan pada tahun 2030 akan memiliki penderita DM sebanyak 21,3 juta jiwa. Obat yang digunakan untuk masyarakat penderita DM saat ini adalah Meftormin terbukti memiliki efek samping yaitu flatulensi, mual, diare dan nyeri perut. Penelitian ini bertujuan untuk menguji efektivitas dan menetapkan dosis efektif kombinasi ekstrak etanol 96% daun insulin dan daun sirsak sebagai antihiperglikemik pada mencit putih jantan yang diinduksi larutan glukosa. Metode penelitian menggunakan 8 kelompok perlakuan dengan masing masing 4 ulangan, yaitu kelompok kontrol positif metformin (1,3 mg/20 g BB), kontrol negatif (akuades), kontrol normal (pakan), Dosis 1 (ekstrak daun sirsak 2,24 mg/ 20 g BB), Dosis 2 (ekstrak daun insulin 0,7 mg/20 g BB), Dosis 3 ( daun insulin 0,7 mg/ 20 g BB dan sirsak 2,24 mg/20 g BB), Dosis 4 (daun insulin 0,7 mg/ 20 g BB dan 1,12 mg/ 20 g BB), Dosis 5 (daun insulin 0,35 mg/ 20 g BB dan 2,24 mg/20 g BB). Hasil penelitian menunjukkan bahwa dengan pemberian dosis kombinasi daun insulin 0,7 mg/ 20 g BB dan daun sirsak 2,24 mg/20 g BB terbukti efektif menurunkan kadar gula darah dengan rata rata 93,15 mg/dL. Berdasarkan hasil tersebut dapat disimpulkan bahwa dosis kombinasi daun insulin dan daun sirsak berpotensi menurunkan kadar gula darah.","author":[{"dropping-particle":"","family":"Depkes","given":"","non-dropping-particle":"","parse-names":false,"suffix":""}],"container-title":"Fitofarmaka","id":"ITEM-1","issued":{"date-parts":[["2020"]]},"title":"Departemen Kesehatan Republik Indonesia. (2020). Farmakope Indonesia. Edisi VI. Jakarta : Departemen Kesehatan Republik Indonesia","type":"article-journal"},"uris":["http://www.mendeley.com/documents/?uuid=af4ea443-fe38-4d61-a2c4-9b06914da13f"]}],"mendeley":{"formattedCitation":"(Depkes, 2020)","plainTextFormattedCitation":"(Depkes, 2020)","previouslyFormattedCitation":"(Depkes, 2020)"},"properties":{"noteIndex":0},"schema":"https://github.com/citation-style-language/schema/raw/master/csl-citation.json"}</w:instrText>
      </w:r>
      <w:r>
        <w:rPr>
          <w:rFonts w:asciiTheme="majorBidi" w:hAnsiTheme="majorBidi" w:cstheme="majorBidi"/>
          <w:szCs w:val="24"/>
          <w:shd w:val="clear" w:color="auto" w:fill="FFFFFF"/>
        </w:rPr>
        <w:fldChar w:fldCharType="separate"/>
      </w:r>
      <w:r w:rsidRPr="00FC3C46">
        <w:rPr>
          <w:rFonts w:asciiTheme="majorBidi" w:hAnsiTheme="majorBidi" w:cstheme="majorBidi"/>
          <w:noProof/>
          <w:szCs w:val="24"/>
          <w:shd w:val="clear" w:color="auto" w:fill="FFFFFF"/>
          <w:lang w:val="fi-FI"/>
        </w:rPr>
        <w:t>(Depkes, 2020)</w:t>
      </w:r>
      <w:r>
        <w:rPr>
          <w:rFonts w:asciiTheme="majorBidi" w:hAnsiTheme="majorBidi" w:cstheme="majorBidi"/>
          <w:szCs w:val="24"/>
          <w:shd w:val="clear" w:color="auto" w:fill="FFFFFF"/>
        </w:rPr>
        <w:fldChar w:fldCharType="end"/>
      </w:r>
      <w:r w:rsidRPr="00FC3C46">
        <w:rPr>
          <w:rFonts w:asciiTheme="majorBidi" w:hAnsiTheme="majorBidi" w:cstheme="majorBidi"/>
          <w:szCs w:val="24"/>
          <w:shd w:val="clear" w:color="auto" w:fill="FFFFFF"/>
          <w:lang w:val="fi-FI"/>
        </w:rPr>
        <w:t xml:space="preserve">. </w:t>
      </w:r>
      <w:r w:rsidRPr="00FC3C46">
        <w:rPr>
          <w:lang w:val="fi-FI"/>
        </w:rPr>
        <w:t xml:space="preserve">Klorin merupakan unsur kedua dari keluarga halogen, terletak pada halogen VII A periode III. Sifat kimia klorin sangat ditentukan oleh konfigurasi elektron pada kulit terluarnya. </w:t>
      </w:r>
      <w:r>
        <w:t xml:space="preserve">Keadaan ini membuatnya tidak stabil dan sangat reaktif. Hal ini disebabkan karena struktuk electron gas mulia. Disamping itu, klorin juga bersifat sebagai oksidator. Seperti halnya oksigen, klorin juga membantu reaksi pembakaran dengan mengahasilkan panas cahaya. Klorin tidak terbakar di udara, </w:t>
      </w:r>
      <w:r>
        <w:lastRenderedPageBreak/>
        <w:t xml:space="preserve">melainkan bereaksi secara kimia. Klorin ialah unsur yang sangat aktif hampir dengan setiap unsur dapat langsung bersenyawa dan reaksinya besar sekali. Larutan yang mengandung khlor ini mempunyai sifat berbahaya dan sifat korosif terhadap logam dan mudah terdekomposisi menjadi gas khlor pada kondisi keasaman tertentu. Apabila klorin bereaksi dengan air maka </w:t>
      </w:r>
      <w:proofErr w:type="gramStart"/>
      <w:r>
        <w:t>akan</w:t>
      </w:r>
      <w:proofErr w:type="gramEnd"/>
      <w:r>
        <w:t xml:space="preserve"> membentuk asam klorida dan asam hipoklorit (</w:t>
      </w:r>
      <w:r w:rsidRPr="002D0B28">
        <w:t>Cl2​+H2​O</w:t>
      </w:r>
      <w:r w:rsidRPr="002D0B28">
        <w:rPr>
          <w:rFonts w:ascii="Cambria Math" w:hAnsi="Cambria Math" w:cs="Cambria Math"/>
        </w:rPr>
        <w:t>⇌</w:t>
      </w:r>
      <w:r w:rsidRPr="002D0B28">
        <w:t>HCl+HClO</w:t>
      </w:r>
      <w:r>
        <w:t xml:space="preserve">). NaOCl dapat terdekomposisi membentuk gas Cl2, O2 dan HOCl bergantung pada senyawa yang bereaksi dengannya </w:t>
      </w:r>
      <w:r>
        <w:fldChar w:fldCharType="begin" w:fldLock="1"/>
      </w:r>
      <w:r>
        <w:instrText>ADDIN CSL_CITATION {"citationItems":[{"id":"ITEM-1","itemData":{"DOI":"10.24114/ijcst.v4i2.27596","ISSN":"2622-1349","abstract":"Floor cleaning fluid containing a solution of HCl mixed with carbide (CaC2), produces a reaction in the form of gases, air bubbles and there is sedimentation. The resulting gas is acetylene gas. NaClO solution in clothes bleach reacts with HCl in floor cleaning fluid to produce a reaction in the form of an explosion of fire, soot / carbon and produces chlorine gas. This study aims to determine the effect of differences in the concentration of HCl in floor cleaning fluid to produce the reaction of chlorine gas and acetylene gas by mixing floor cleaner with carbide and clothes bleach. In this study, using a floor cleaner with a concentration of 12% HCl and a concentration of 17% as a comparison. The results obtained are that the difference in the concentration of HCl has an effect on explosions, gases.","author":[{"dropping-particle":"","family":"Tambunan","given":"Salsabila","non-dropping-particle":"","parse-names":false,"suffix":""},{"dropping-particle":"","family":"Sari","given":"Maya N","non-dropping-particle":"","parse-names":false,"suffix":""},{"dropping-particle":"","family":"Nasution","given":"Lia M","non-dropping-particle":"","parse-names":false,"suffix":""},{"dropping-particle":"","family":"Rahmah","given":"Siti","non-dropping-particle":"","parse-names":false,"suffix":""},{"dropping-particle":"","family":"Nurfajriani","given":"Nurfajriani","non-dropping-particle":"","parse-names":false,"suffix":""}],"container-title":"Indonesian Journal of Chemical Science and Technology (IJCST)","id":"ITEM-1","issued":{"date-parts":[["2021"]]},"title":"Effect of Differences of HCl Concentration on the Reaction of Chlorine Gas and Acetylene Gas In Clothing Liquids and Floor Cleaning Liquids","type":"article-journal"},"uris":["http://www.mendeley.com/documents/?uuid=4030b72a-f7da-4e2e-b416-0bc74b777bd7"]}],"mendeley":{"formattedCitation":"(Tambunan et al., 2021)","plainTextFormattedCitation":"(Tambunan et al., 2021)","previouslyFormattedCitation":"(Tambunan et al., 2021)"},"properties":{"noteIndex":0},"schema":"https://github.com/citation-style-language/schema/raw/master/csl-citation.json"}</w:instrText>
      </w:r>
      <w:r>
        <w:fldChar w:fldCharType="separate"/>
      </w:r>
      <w:r w:rsidRPr="002173F8">
        <w:rPr>
          <w:noProof/>
        </w:rPr>
        <w:t>(Tambunan et al., 2021)</w:t>
      </w:r>
      <w:r>
        <w:fldChar w:fldCharType="end"/>
      </w:r>
      <w:r>
        <w:t xml:space="preserve">. </w:t>
      </w:r>
    </w:p>
    <w:p w:rsidR="007A3629" w:rsidRPr="00FC3C46" w:rsidRDefault="007A3629" w:rsidP="007A3629">
      <w:pPr>
        <w:spacing w:line="480" w:lineRule="auto"/>
        <w:ind w:firstLine="480"/>
        <w:jc w:val="both"/>
        <w:rPr>
          <w:lang w:val="fi-FI"/>
        </w:rPr>
      </w:pPr>
      <w:r>
        <w:t xml:space="preserve">Salah satu jenis klorin yang sering digunakan dalam industri yakni natrium hipoklorit (NaOCl) yang merupakan bahan utama dalam cairan pemutih. Zat ini biasa digunakan untuk pemutih dalam industri pakaian, industri kertas, dan serbuk kayu. Dalam jumlah yang besar sekitar 70%, natrium hipoklorit biasa digunakan dalam pembuatan pemutih sekitar 5-10% sebagai pembersih dan desinfektan dalam pengolahan air limbah sedangkan dalam industri </w:t>
      </w:r>
      <w:proofErr w:type="gramStart"/>
      <w:r>
        <w:t>kadar</w:t>
      </w:r>
      <w:proofErr w:type="gramEnd"/>
      <w:r>
        <w:t xml:space="preserve"> natrium hipoklorit bisa mencapai 50% sebagai pemutih. Kandungan klor dalam natrium hipoklorit (NaOCl) berkisar antara 5-15% dengan </w:t>
      </w:r>
      <w:proofErr w:type="gramStart"/>
      <w:r>
        <w:t>kadar</w:t>
      </w:r>
      <w:proofErr w:type="gramEnd"/>
      <w:r>
        <w:t xml:space="preserve"> maksimal sebesar 15-17% klor. Konsentrasi dari klor dipengaruhi oleh beberapa faktor diantaranya suhu, cahaya, pH rendah, dan kehadiran kation logam berat seperti tembaga, nikel, kobalt. Sisa klor merupakan sisa akibat adanya reaksi antara senyawa klor dengan senyawa organik atau senyawa anorganik tertentu dalam air. </w:t>
      </w:r>
      <w:r w:rsidRPr="00FC3C46">
        <w:rPr>
          <w:lang w:val="fi-FI"/>
        </w:rPr>
        <w:t xml:space="preserve">Penggunaan klorin juga semakin marak digunakan dalam industri makanan. Jenis makanan yang paling sering ditambahkan klorin  salah satunya yakni beras. Penambahan klorin </w:t>
      </w:r>
      <w:r w:rsidRPr="00FC3C46">
        <w:rPr>
          <w:lang w:val="fi-FI"/>
        </w:rPr>
        <w:lastRenderedPageBreak/>
        <w:t xml:space="preserve">dilakukan sebagai pemutih dalam beras </w:t>
      </w:r>
      <w:r>
        <w:fldChar w:fldCharType="begin" w:fldLock="1"/>
      </w:r>
      <w:r w:rsidRPr="00FC3C46">
        <w:rPr>
          <w:lang w:val="fi-FI"/>
        </w:rPr>
        <w:instrText>ADDIN CSL_CITATION {"citationItems":[{"id":"ITEM-1","itemData":{"author":[{"dropping-particle":"","family":"Shofiyatur Rohmah","given":"","non-dropping-particle":"","parse-names":false,"suffix":""},{"dropping-particle":"","family":"Lilis Sulistyorin","given":"","non-dropping-particle":"","parse-names":false,"suffix":""}],"container-title":"Jurnal Kesehatan Lingkungan","id":"ITEM-1","issue":"1","issued":{"date-parts":[["2017"]]},"page":"57-65","title":"Gambaran Konsumsi Udang Berklorin Terhadap Keluhan Kesehatan Gastrointestinal Pekerja Sub Kontrak Perusahaan X","type":"article-journal","volume":"9"},"uris":["http://www.mendeley.com/documents/?uuid=065c7ba2-34ac-432a-80b2-0a5c8a5c715e"]}],"mendeley":{"formattedCitation":"(Shofiyatur Rohmah &amp; Lilis Sulistyorin, 2017)","plainTextFormattedCitation":"(Shofiyatur Rohmah &amp; Lilis Sulistyorin, 2017)","previouslyFormattedCitation":"(Shofiyatur Rohmah &amp; Lilis Sulistyorin, 2017)"},"properties":{"noteIndex":0},"schema":"https://github.com/citation-style-language/schema/raw/master/csl-citation.json"}</w:instrText>
      </w:r>
      <w:r>
        <w:fldChar w:fldCharType="separate"/>
      </w:r>
      <w:r w:rsidRPr="00FC3C46">
        <w:rPr>
          <w:noProof/>
          <w:lang w:val="fi-FI"/>
        </w:rPr>
        <w:t>(Shofiyatur Rohmah &amp; Lilis Sulistyorin, 2017)</w:t>
      </w:r>
      <w:r>
        <w:fldChar w:fldCharType="end"/>
      </w:r>
      <w:r w:rsidRPr="00FC3C46">
        <w:rPr>
          <w:lang w:val="fi-FI"/>
        </w:rPr>
        <w:t xml:space="preserve">. </w:t>
      </w:r>
    </w:p>
    <w:p w:rsidR="007A3629" w:rsidRPr="005E6635" w:rsidRDefault="007A3629" w:rsidP="007A3629">
      <w:pPr>
        <w:pStyle w:val="Heading2"/>
        <w:ind w:left="709" w:hanging="709"/>
        <w:rPr>
          <w:lang w:val="fi-FI"/>
        </w:rPr>
      </w:pPr>
      <w:bookmarkStart w:id="6" w:name="_Toc231291368"/>
      <w:r w:rsidRPr="005E6635">
        <w:rPr>
          <w:lang w:val="fi-FI"/>
        </w:rPr>
        <w:t xml:space="preserve">2.3 </w:t>
      </w:r>
      <w:r>
        <w:rPr>
          <w:lang w:val="fi-FI"/>
        </w:rPr>
        <w:tab/>
      </w:r>
      <w:r w:rsidRPr="005E6635">
        <w:rPr>
          <w:lang w:val="fi-FI"/>
        </w:rPr>
        <w:t>Bahaya Klorin Terhadap Tubuh</w:t>
      </w:r>
      <w:bookmarkEnd w:id="6"/>
    </w:p>
    <w:p w:rsidR="007A3629" w:rsidRPr="00FC3C46" w:rsidRDefault="007A3629" w:rsidP="007A3629">
      <w:pPr>
        <w:spacing w:line="480" w:lineRule="auto"/>
        <w:ind w:firstLine="720"/>
        <w:jc w:val="both"/>
        <w:rPr>
          <w:lang w:val="fi-FI"/>
        </w:rPr>
      </w:pPr>
      <w:r w:rsidRPr="00FC3C46">
        <w:rPr>
          <w:lang w:val="fi-FI"/>
        </w:rPr>
        <w:t xml:space="preserve">Menurut </w:t>
      </w:r>
      <w:r>
        <w:fldChar w:fldCharType="begin" w:fldLock="1"/>
      </w:r>
      <w:r w:rsidRPr="00FC3C46">
        <w:rPr>
          <w:lang w:val="fi-FI"/>
        </w:rPr>
        <w:instrText>ADDIN CSL_CITATION {"citationItems":[{"id":"ITEM-1","itemData":{"ISBN":"0123456789","ISSN":"12301485","PMID":"31690765","abstract":"The sustainable production of food to feed an increasing world population is a major challenge for plant scientists, especially due to the unpredictable and dynamic nature of global climatic conditions. Heat waves, drought, increased soil salinity, unseasonal cold and flooding are all becoming more common climate-related causes of stress for crop plants, and are already affecting yields and the geographical distributions of optimal growing regions for many crops. Therefore, the development and application of multi-faceted strategies, including sustainable agricultural practices and the development and cultivation of new varieties containing genetic traits associated with abiotic stress tolerance, will either alone or together be essential to sustainably grow high-yielding crops under increasingly stressful environmental conditions. The development of abiotic stress-resilient crops requires an in-depth knowledge of plant development and of the biological processes that enable plants to survive in stressful environments, and this knowledge can be obtained from “omic” studies, such as bioinformatics, genomics, transcriptomics, proteomics and metabolomics. The plant metabolome can provide a snapshot of the physiological and biochemical status of a plant cell under normal or stressful conditions, and thus it is closely related to the plant phenotypes. Analysis of the metabolomes of plants grown under stressful conditions can be used to identify stress resistance-associated metabolites or biomarkers, which can then be used by plant breeders as selective markers to help identify the phenotypes, resulted from the complex interactions between genotype and environment. Osmotic adjustment is an important metabolic adaptation mechanism which helps plants survive abiotic stress and can support higher crop yield under stressful environmental conditions. This review highlights the recent advances in our understanding of the functions of abiotic stress-responsive metabolites, with an emphasis on the use of metabolomic quantitative trait locus mapping and osmotic adjustment agronomic traits, for the improvement of crop yields under environmental stresses.","author":[{"dropping-particle":"","family":"Elfia","given":"Mega","non-dropping-particle":"","parse-names":false,"suffix":""}],"container-title":"Ensiklopedia of Journal","id":"ITEM-1","issued":{"date-parts":[["2020"]]},"title":"Analisis Klorin Pada Bihun Yang Dijual di Pasar Kodim Pekanbaru","type":"article-journal"},"uris":["http://www.mendeley.com/documents/?uuid=a436f50c-37c0-489f-9416-3e36a283f8f2"]}],"mendeley":{"formattedCitation":"(Elfia, 2020)","plainTextFormattedCitation":"(Elfia, 2020)","previouslyFormattedCitation":"(Elfia, 2020)"},"properties":{"noteIndex":0},"schema":"https://github.com/citation-style-language/schema/raw/master/csl-citation.json"}</w:instrText>
      </w:r>
      <w:r>
        <w:fldChar w:fldCharType="separate"/>
      </w:r>
      <w:r w:rsidRPr="00FC3C46">
        <w:rPr>
          <w:noProof/>
          <w:lang w:val="fi-FI"/>
        </w:rPr>
        <w:t>(Elfia, 2020)</w:t>
      </w:r>
      <w:r>
        <w:fldChar w:fldCharType="end"/>
      </w:r>
      <w:r w:rsidRPr="00FC3C46">
        <w:rPr>
          <w:lang w:val="fi-FI"/>
        </w:rPr>
        <w:t xml:space="preserve"> Dampak buruk penggunaan klorin bagi kesehatan tubuh manusia yaitu menimbulkan kanker darah, merusak sel-sel darah, menganggu fungsi hati atau lever, dapat merusak sistem pernapasan dan selaput lendir dalam tubuh beserta batuk-batuk hingga menyebabkan kematian. Menurut </w:t>
      </w:r>
      <w:r>
        <w:fldChar w:fldCharType="begin" w:fldLock="1"/>
      </w:r>
      <w:r w:rsidRPr="00FC3C46">
        <w:rPr>
          <w:lang w:val="fi-FI"/>
        </w:rPr>
        <w:instrText>ADDIN CSL_CITATION {"citationItems":[{"id":"ITEM-1","itemData":{"author":[{"dropping-particle":"","family":"CDC","given":"","non-dropping-particle":"","parse-names":false,"suffix":""}],"id":"ITEM-1","issue":"November","issued":{"date-parts":[["2010"]]},"title":"Publick Health Statement for Chlorine","type":"article-journal"},"uris":["http://www.mendeley.com/documents/?uuid=2608c9fd-df03-4a31-873b-e99bbd940cd9"]}],"mendeley":{"formattedCitation":"(CDC, 2010)","plainTextFormattedCitation":"(CDC, 2010)","previouslyFormattedCitation":"(CDC, 2010)"},"properties":{"noteIndex":0},"schema":"https://github.com/citation-style-language/schema/raw/master/csl-citation.json"}</w:instrText>
      </w:r>
      <w:r>
        <w:fldChar w:fldCharType="separate"/>
      </w:r>
      <w:r w:rsidRPr="00FC3C46">
        <w:rPr>
          <w:noProof/>
          <w:lang w:val="fi-FI"/>
        </w:rPr>
        <w:t>(CDC, 2010)</w:t>
      </w:r>
      <w:r>
        <w:fldChar w:fldCharType="end"/>
      </w:r>
      <w:r w:rsidRPr="00FC3C46">
        <w:rPr>
          <w:lang w:val="fi-FI"/>
        </w:rPr>
        <w:t xml:space="preserve"> larutan hipoklorit menyebabkan iritasi pada esofagus. larutan hipoklorit pekat dapat menghasilkan kerusakan parah pada saluran pencernaan bagian atas dan bahkan kematian. Efek ini kemungkinan besar disebabkan oleh sifat kaustiknya larutan hipoklorit. </w:t>
      </w:r>
      <w:r>
        <w:fldChar w:fldCharType="begin" w:fldLock="1"/>
      </w:r>
      <w:r w:rsidRPr="00FC3C46">
        <w:rPr>
          <w:lang w:val="fi-FI"/>
        </w:rPr>
        <w:instrText>ADDIN CSL_CITATION {"citationItems":[{"id":"ITEM-1","itemData":{"abstract":"Technology and science development influenced the producers to give various innovation in their products. This innovation did not often coincide with the product guarantee quality to …","author":[{"dropping-particle":"","family":"Suyadi","given":"S","non-dropping-particle":"","parse-names":false,"suffix":""}],"container-title":"Sainteks","id":"ITEM-1","issue":"8","issued":{"date-parts":[["2011"]]},"title":"Penerapan Pasal 4 Undang-Undang No. 8 Tahun 1999 Terhadap Produk Beras Yang Mengandung Klorin (Pemutih) Di Kabupaten …","type":"article-journal"},"uris":["http://www.mendeley.com/documents/?uuid=03bd3b72-d9d7-4851-aa78-8d6d3cc856a0"]}],"mendeley":{"formattedCitation":"(Suyadi, 2011)","plainTextFormattedCitation":"(Suyadi, 2011)","previouslyFormattedCitation":"(Suyadi, 2011)"},"properties":{"noteIndex":0},"schema":"https://github.com/citation-style-language/schema/raw/master/csl-citation.json"}</w:instrText>
      </w:r>
      <w:r>
        <w:fldChar w:fldCharType="separate"/>
      </w:r>
      <w:r>
        <w:rPr>
          <w:noProof/>
        </w:rPr>
        <w:t xml:space="preserve">(Suyadi, </w:t>
      </w:r>
      <w:r w:rsidRPr="00573356">
        <w:rPr>
          <w:noProof/>
        </w:rPr>
        <w:t>2011)</w:t>
      </w:r>
      <w:r>
        <w:fldChar w:fldCharType="end"/>
      </w:r>
      <w:r>
        <w:t xml:space="preserve"> juga mengatakan bahwa efek dari mengkonsumsi beras yang menagandung klorin memang tidak </w:t>
      </w:r>
      <w:proofErr w:type="gramStart"/>
      <w:r>
        <w:t>akan</w:t>
      </w:r>
      <w:proofErr w:type="gramEnd"/>
      <w:r>
        <w:t xml:space="preserve"> dirasakan secara langsung, akan tetapi dalam jangka waktu 5-10 tahun klorin yang dikonsumsi akan menimbulkan korosi usus sehingga bisa menyebabkan kanker usus. </w:t>
      </w:r>
      <w:r w:rsidRPr="00FC3C46">
        <w:rPr>
          <w:lang w:val="fi-FI"/>
        </w:rPr>
        <w:t>Klorin juga bisa meyebabkan penyakit asma, kanker, kerusakan paru-paru, hati dan ginjal.</w:t>
      </w:r>
    </w:p>
    <w:p w:rsidR="007A3629" w:rsidRPr="00A2610A" w:rsidRDefault="007A3629" w:rsidP="007A3629">
      <w:pPr>
        <w:pStyle w:val="Heading2"/>
        <w:ind w:left="709" w:hanging="709"/>
        <w:rPr>
          <w:lang w:val="fi-FI"/>
        </w:rPr>
      </w:pPr>
      <w:bookmarkStart w:id="7" w:name="_Toc231291369"/>
      <w:r w:rsidRPr="00A2610A">
        <w:rPr>
          <w:lang w:val="fi-FI"/>
        </w:rPr>
        <w:t xml:space="preserve">2.4 </w:t>
      </w:r>
      <w:r>
        <w:rPr>
          <w:lang w:val="fi-FI"/>
        </w:rPr>
        <w:tab/>
      </w:r>
      <w:r w:rsidRPr="00A2610A">
        <w:rPr>
          <w:lang w:val="fi-FI"/>
        </w:rPr>
        <w:t>Larangan Penambahan Klorin Pada Beras</w:t>
      </w:r>
      <w:bookmarkEnd w:id="7"/>
    </w:p>
    <w:p w:rsidR="007A3629" w:rsidRPr="005E6635" w:rsidRDefault="007A3629" w:rsidP="007A3629">
      <w:pPr>
        <w:spacing w:line="480" w:lineRule="auto"/>
        <w:ind w:firstLine="720"/>
        <w:jc w:val="both"/>
        <w:rPr>
          <w:lang w:val="fi-FI"/>
        </w:rPr>
      </w:pPr>
      <w:r w:rsidRPr="005E6635">
        <w:rPr>
          <w:lang w:val="fi-FI"/>
        </w:rPr>
        <w:t xml:space="preserve">Berdasarkan dampak yang sangat membahayakan kesehatan dan keselamatan  pemerintah selayaknya memberikan ketegasan untuk melarang serta mengawasi standar mutu beras agar layak dikonsumsi. Menurut Peraturan Menteri Kesehatan No. 772/Menkes/Per/IX/1988 baik klorin maupun klorin dioksida tidak tercatat sebagai Bahan Tambahan Pangan (BTP) dalam kelompok pematang tepung ataupun pemutih beras. Berdasarkan Standar Nasional Indonesia (SNI) </w:t>
      </w:r>
      <w:r w:rsidRPr="005E6635">
        <w:rPr>
          <w:lang w:val="fi-FI"/>
        </w:rPr>
        <w:lastRenderedPageBreak/>
        <w:t xml:space="preserve">Nomor 01-6128-1999 tentang Standar Mutu Beras Giling, ditentukan bahwa beras yang aman dikonsumsi konsumen haruslah beras yang bebas dari hama dan penyakit termasuk bahan kimia yang membahayakan. Dalam hal ini, konsumen adalah pihak yang paling dirugikan dengan tidak terjaminnya kesehatan mereka telah mengkonsumsi beras sebagai makanan pokok. Konsumen memiliki hak dasar dalam Guidelines for Consumer Protection of 1985 yang dieluarkan Persatuan Bangsa-Bangsa (PBB) yang menyatakan: Konsumen dimanapun mereka berada dan segala bangsa memiliki hak-hak dasar sosialnya, yang dimaksud hal dasar tersebut adalah hak untuk mendapatkan informasi yang jelas, benar, dan jujur, hak untuk mendapatkan keamanan dan keselamatan </w:t>
      </w:r>
      <w:r>
        <w:fldChar w:fldCharType="begin" w:fldLock="1"/>
      </w:r>
      <w:r w:rsidRPr="005E6635">
        <w:rPr>
          <w:lang w:val="fi-FI"/>
        </w:rPr>
        <w:instrText>ADDIN CSL_CITATION {"citationItems":[{"id":"ITEM-1","itemData":{"abstract":"Technology and science development influenced the producers to give various innovation in their products. This innovation did not often coincide with the product guarantee quality to …","author":[{"dropping-particle":"","family":"Suyadi","given":"S","non-dropping-particle":"","parse-names":false,"suffix":""}],"container-title":"Sainteks","id":"ITEM-1","issue":"8","issued":{"date-parts":[["2011"]]},"title":"Penerapan Pasal 4 Undang-Undang No. 8 Tahun 1999 Terhadap Produk Beras Yang Mengandung Klorin (Pemutih) Di Kabupaten …","type":"article-journal"},"uris":["http://www.mendeley.com/documents/?uuid=03bd3b72-d9d7-4851-aa78-8d6d3cc856a0"]}],"mendeley":{"formattedCitation":"(Suyadi, 2011)","plainTextFormattedCitation":"(Suyadi, 2011)","previouslyFormattedCitation":"(Suyadi, 2011)"},"properties":{"noteIndex":0},"schema":"https://github.com/citation-style-language/schema/raw/master/csl-citation.json"}</w:instrText>
      </w:r>
      <w:r>
        <w:fldChar w:fldCharType="separate"/>
      </w:r>
      <w:r w:rsidRPr="005E6635">
        <w:rPr>
          <w:noProof/>
          <w:lang w:val="fi-FI"/>
        </w:rPr>
        <w:t>(Suyadi, 2011)</w:t>
      </w:r>
      <w:r>
        <w:fldChar w:fldCharType="end"/>
      </w:r>
      <w:r w:rsidRPr="005E6635">
        <w:rPr>
          <w:lang w:val="fi-FI"/>
        </w:rPr>
        <w:t xml:space="preserve">. Ciri-ciri beras yang mengandung klorin adalah warna putih sekali, beras lebih mengkilap, licin dan tercium bau kimia, jika di cuci, warna air hasil cucian beras kelihatan bening, jika beras direndam selama 3 hari tetap bening dan tidak berbau, dan ketika sudah di masak dan ditaruh di dalam penghangat nasi dalam semalam nasi sudah menimbulkan bau tidak sedap </w:t>
      </w:r>
      <w:r>
        <w:fldChar w:fldCharType="begin" w:fldLock="1"/>
      </w:r>
      <w:r w:rsidRPr="005E6635">
        <w:rPr>
          <w:lang w:val="fi-FI"/>
        </w:rPr>
        <w:instrText>ADDIN CSL_CITATION {"citationItems":[{"id":"ITEM-1","itemData":{"ISSN":"2527-6204","abstract":"This research aimed to investigate the chlorine contents in rice circulation in Pasar Besar of which findings were supposed to be applicable as Biological learning resource. This research was officially conducted at March 29 ± April 6 2016 in Putra Indonesia Malang Laboratory. This research was of descriptively quantitative design since the main aim of this research was to describe the chlorine contents in rice. The sampling technique engaging regarding this research was purposive sampling with two repetitions in total. The sample of rice that was going to be analyzed was originally from Pasar Besar comprised 19 types (considering the brands), they were: Piala, Mentari, Padi Wangi, Bintang Biru, Rosita Super, Kancil, Bintang Mas, Bulan Mas, Puteri, Lombok, Maknyus, Apel, Manggis, Mangga, Cucak Rowo, Beras Padi, Raja Boga dan Monas. In addition, the methods accommodated in terms of testing the reaction included testing the color reaction test, testing the iodometric titration, and measuring the average percentage of chlorine contents in the whole sample. Moreover, this research revealed that the 19 types sample of rice taken from Pasar Besar is 0 % or negative of chlorine contents. Consequently, they were safe to consume.","author":[{"dropping-particle":"","family":"Rosita","given":"Dewi","non-dropping-particle":"","parse-names":false,"suffix":""},{"dropping-particle":"","family":"Zaenab","given":"Siti","non-dropping-particle":"","parse-names":false,"suffix":""},{"dropping-particle":"","family":"Budiyanto","given":"Moch. Agus Krisno","non-dropping-particle":"","parse-names":false,"suffix":""}],"container-title":"Jurnal Pendidikan Biologi Indonesia","id":"ITEM-1","issue":"1","issued":{"date-parts":[["2016"]]},"page":"88-93","title":"Analisis Kandungan Klorin pada Beras yang Beredar di Pasar Besar Kota Malang Sebagai Sumber Belajar Biologi","type":"article-journal","volume":"2"},"uris":["http://www.mendeley.com/documents/?uuid=8a7bed22-63aa-492a-9e4e-3d477957abf8"]}],"mendeley":{"formattedCitation":"(Rosita et al., 2016)","plainTextFormattedCitation":"(Rosita et al., 2016)","previouslyFormattedCitation":"(Rosita et al., 2016)"},"properties":{"noteIndex":0},"schema":"https://github.com/citation-style-language/schema/raw/master/csl-citation.json"}</w:instrText>
      </w:r>
      <w:r>
        <w:fldChar w:fldCharType="separate"/>
      </w:r>
      <w:r w:rsidRPr="005E6635">
        <w:rPr>
          <w:noProof/>
          <w:lang w:val="fi-FI"/>
        </w:rPr>
        <w:t>(Rosita et al., 2016)</w:t>
      </w:r>
      <w:r>
        <w:fldChar w:fldCharType="end"/>
      </w:r>
      <w:r w:rsidRPr="005E6635">
        <w:rPr>
          <w:lang w:val="fi-FI"/>
        </w:rPr>
        <w:t>.</w:t>
      </w:r>
    </w:p>
    <w:p w:rsidR="007A3629" w:rsidRPr="005E6635" w:rsidRDefault="007A3629" w:rsidP="007A3629">
      <w:pPr>
        <w:pStyle w:val="Heading2"/>
        <w:ind w:left="709" w:hanging="709"/>
        <w:rPr>
          <w:lang w:val="fi-FI"/>
        </w:rPr>
      </w:pPr>
      <w:bookmarkStart w:id="8" w:name="_Toc231291370"/>
      <w:r w:rsidRPr="005E6635">
        <w:rPr>
          <w:lang w:val="fi-FI"/>
        </w:rPr>
        <w:t xml:space="preserve">2.5 </w:t>
      </w:r>
      <w:r>
        <w:rPr>
          <w:lang w:val="fi-FI"/>
        </w:rPr>
        <w:tab/>
      </w:r>
      <w:r w:rsidRPr="005E6635">
        <w:rPr>
          <w:lang w:val="fi-FI"/>
        </w:rPr>
        <w:t>Beras</w:t>
      </w:r>
      <w:bookmarkEnd w:id="8"/>
      <w:r w:rsidRPr="005E6635">
        <w:rPr>
          <w:lang w:val="fi-FI"/>
        </w:rPr>
        <w:t xml:space="preserve"> </w:t>
      </w:r>
    </w:p>
    <w:p w:rsidR="007A3629" w:rsidRPr="005E6635" w:rsidRDefault="007A3629" w:rsidP="007A3629">
      <w:pPr>
        <w:shd w:val="clear" w:color="auto" w:fill="FFFFFF"/>
        <w:spacing w:line="480" w:lineRule="auto"/>
        <w:ind w:firstLine="720"/>
        <w:jc w:val="both"/>
        <w:rPr>
          <w:lang w:val="fi-FI"/>
        </w:rPr>
      </w:pPr>
      <w:r w:rsidRPr="005E6635">
        <w:rPr>
          <w:lang w:val="fi-FI"/>
        </w:rPr>
        <w:t>Beras (</w:t>
      </w:r>
      <w:r w:rsidRPr="005E6635">
        <w:rPr>
          <w:i/>
          <w:iCs/>
          <w:lang w:val="fi-FI"/>
        </w:rPr>
        <w:t>Oryza sativa</w:t>
      </w:r>
      <w:r w:rsidRPr="005E6635">
        <w:rPr>
          <w:lang w:val="fi-FI"/>
        </w:rPr>
        <w:t xml:space="preserve"> L.) adalah salah satu komoditas dengan konsumsi yang tinggi di dunia. Sekitar 3,5 miliar orang mengonsumsi beras sebagai makanan pokok. USDA memperkirakan produksi global tahunan sekitar 480 juta metrik ton (basis beras giling), dengan rata-rata produksi 4,4 metrik ton per hektar, dan luas panen sekitar 160 juta hektar. </w:t>
      </w:r>
      <w:r w:rsidRPr="00FC3C46">
        <w:rPr>
          <w:lang w:val="fi-FI"/>
        </w:rPr>
        <w:t xml:space="preserve">Fakta ini membuktikan bahwa beras merupakan salah satu tanaman pangan terkemuka di dunia. Beras memiliki kandungan karbohidrat yang meliputi pati sebesar 85-90 % dari bobot kering </w:t>
      </w:r>
      <w:r w:rsidRPr="00FC3C46">
        <w:rPr>
          <w:lang w:val="fi-FI"/>
        </w:rPr>
        <w:lastRenderedPageBreak/>
        <w:t xml:space="preserve">beras, pentosa (2,0–2,5 %), selulosa, hemiselulosa, dan gula (0,6–1,4 % dari beras pecah kulit). Kandungan pati yang tinggi pada beras menyebabkan karakteristik dari pati ini akan memengaruhi sifat fisikokimia beras. Seperti komoditas sumber karbohidrat lainnya, dua polimer karbohidrat yang menjadi penyusun utama pati beras adalah amilosa dan amilopektin. Proporsi kedua jenis polimer ini sangat mempengaruhi tekstur atau tingkat kepulenan nasi </w:t>
      </w:r>
      <w:r>
        <w:fldChar w:fldCharType="begin" w:fldLock="1"/>
      </w:r>
      <w:r w:rsidRPr="00FC3C46">
        <w:rPr>
          <w:lang w:val="fi-FI"/>
        </w:rPr>
        <w:instrText xml:space="preserve">ADDIN CSL_CITATION {"citationItems":[{"id":"ITEM-1","itemData":{"DOI":"10.21107/agrointek.v17i4.15315","abstract":"Carbohydrates in rice (Oryza sativa L.) consist of starch (85-90 % of dry basis), pentose (2.0-2.5 %), cellulose, hemicellulose, and sugar (0.6-1.4 % of brown rice). High starch content in rice affects its physicochemical properties and nutrient content as well as the digestibility. Different starch characteristics are caused by the interaction between constituent compound in each structural level, both in microscopic and macroscopic levels. Hydrogen interactions between amylose and amylopectin can form crystalline and amorf areas, and continuously undergo the growth to form supramacromolecular structure (starch granule blocklets). The composition and interactions of several blocklets, both of large and small sizes, are the key of biopolymer interaction to form macroscopic structure: the whole starch itself. The aim of this review is to discuss the structural levels of rice starch and the mechanism of its changes in gelatinization and retrogradation. The review of this manuscript was performed using the \"narrative review\" method. The overall of starch characterization encompass structure, composition, and its molecular size which can be a determinant to its functional properties related to gelatinization and retrogradation.","author":[{"dropping-particle":"","family":"Syahbanu","given":"Fathma","non-dropping-particle":"","parse-names":false,"suffix":""},{"dropping-particle":"","family":"Napitupulu","given":"Florensia Irena","non-dropping-particle":"","parse-names":false,"suffix":""},{"dropping-particle":"","family":"Septiana","given":"Siska","non-dropping-particle":"","parse-names":false,"suffix":""},{"dropping-particle":"","family":"Aliyah","given":"Nisrina Fauziyah","non-dropping-particle":"","parse-names":false,"suffix":""}],"container-title":"Agrointek","id":"ITEM-1","issue":"4","issued":{"date-parts":[["2023"]]},"page":"755-767","title":"Struktur Pati Beras (Oryza sativa L.) </w:instrText>
      </w:r>
      <w:r w:rsidRPr="005E6635">
        <w:rPr>
          <w:lang w:val="fi-FI"/>
        </w:rPr>
        <w:instrText>dan Mekanisme Perubahannya pada Fenomena Gelatinisasi dan Retrogradasi","type":"article-journal","volume":"17"},"uris":["http://www.mendeley.com/documents/?uuid=e7b04041-b36c-4997-8bac-6adc5e971d99"]}],"mendeley":{"formattedCitation":"(Syahbanu et al., 2023)","plainTextFormattedCitation":"(Syahbanu et al., 2023)","previouslyFormattedCitation":"(Syahbanu et al., 2023)"},"properties":{"noteIndex":0},"schema":"https://github.com/citation-style-language/schema/raw/master/csl-citation.json"}</w:instrText>
      </w:r>
      <w:r>
        <w:fldChar w:fldCharType="separate"/>
      </w:r>
      <w:r w:rsidRPr="005E6635">
        <w:rPr>
          <w:noProof/>
          <w:lang w:val="fi-FI"/>
        </w:rPr>
        <w:t>(Syahbanu et al., 2023)</w:t>
      </w:r>
      <w:r>
        <w:fldChar w:fldCharType="end"/>
      </w:r>
      <w:r w:rsidRPr="005E6635">
        <w:rPr>
          <w:lang w:val="fi-FI"/>
        </w:rPr>
        <w:t xml:space="preserve">. </w:t>
      </w:r>
    </w:p>
    <w:p w:rsidR="007A3629" w:rsidRPr="005E6635" w:rsidRDefault="007A3629" w:rsidP="007A3629">
      <w:pPr>
        <w:shd w:val="clear" w:color="auto" w:fill="FFFFFF"/>
        <w:spacing w:line="480" w:lineRule="auto"/>
        <w:ind w:firstLine="480"/>
        <w:jc w:val="both"/>
        <w:rPr>
          <w:lang w:val="fi-FI"/>
        </w:rPr>
      </w:pPr>
    </w:p>
    <w:p w:rsidR="007A3629" w:rsidRPr="005E6635" w:rsidRDefault="007A3629" w:rsidP="007A3629">
      <w:pPr>
        <w:pStyle w:val="Heading2"/>
        <w:ind w:left="709" w:hanging="709"/>
        <w:rPr>
          <w:lang w:val="fi-FI"/>
        </w:rPr>
      </w:pPr>
      <w:bookmarkStart w:id="9" w:name="_Toc231291371"/>
      <w:r w:rsidRPr="005E6635">
        <w:rPr>
          <w:lang w:val="fi-FI"/>
        </w:rPr>
        <w:t xml:space="preserve">2.6 </w:t>
      </w:r>
      <w:r>
        <w:rPr>
          <w:lang w:val="fi-FI"/>
        </w:rPr>
        <w:tab/>
      </w:r>
      <w:r w:rsidRPr="005E6635">
        <w:rPr>
          <w:lang w:val="fi-FI"/>
        </w:rPr>
        <w:t>Jenis Jenis Beras</w:t>
      </w:r>
      <w:bookmarkEnd w:id="9"/>
    </w:p>
    <w:p w:rsidR="007A3629" w:rsidRDefault="007A3629" w:rsidP="007A3629">
      <w:pPr>
        <w:shd w:val="clear" w:color="auto" w:fill="FFFFFF"/>
        <w:spacing w:line="480" w:lineRule="auto"/>
        <w:ind w:firstLine="720"/>
        <w:jc w:val="both"/>
        <w:rPr>
          <w:rFonts w:asciiTheme="majorBidi" w:eastAsia="Times New Roman" w:hAnsiTheme="majorBidi" w:cstheme="majorBidi"/>
          <w:color w:val="000000"/>
          <w:szCs w:val="24"/>
        </w:rPr>
      </w:pPr>
      <w:r w:rsidRPr="005E6635">
        <w:rPr>
          <w:rFonts w:asciiTheme="majorBidi" w:eastAsia="Times New Roman" w:hAnsiTheme="majorBidi" w:cstheme="majorBidi"/>
          <w:color w:val="000000"/>
          <w:szCs w:val="24"/>
          <w:lang w:val="fi-FI"/>
        </w:rPr>
        <w:t>Padi  (</w:t>
      </w:r>
      <w:r w:rsidRPr="005E6635">
        <w:rPr>
          <w:rFonts w:asciiTheme="majorBidi" w:eastAsia="Times New Roman" w:hAnsiTheme="majorBidi" w:cstheme="majorBidi"/>
          <w:i/>
          <w:iCs/>
          <w:color w:val="000000"/>
          <w:szCs w:val="24"/>
          <w:lang w:val="fi-FI"/>
        </w:rPr>
        <w:t>Oryza  sativa</w:t>
      </w:r>
      <w:r w:rsidRPr="005E6635">
        <w:rPr>
          <w:rFonts w:asciiTheme="majorBidi" w:eastAsia="Times New Roman" w:hAnsiTheme="majorBidi" w:cstheme="majorBidi"/>
          <w:color w:val="000000"/>
          <w:szCs w:val="24"/>
          <w:lang w:val="fi-FI"/>
        </w:rPr>
        <w:t xml:space="preserve">  L.) memiliki  bentuk  dan  warna  yang beragam,  baik  tanman  maupun berasnya.  </w:t>
      </w:r>
      <w:r w:rsidRPr="000B7E8C">
        <w:rPr>
          <w:rFonts w:asciiTheme="majorBidi" w:eastAsia="Times New Roman" w:hAnsiTheme="majorBidi" w:cstheme="majorBidi"/>
          <w:color w:val="000000"/>
          <w:szCs w:val="24"/>
        </w:rPr>
        <w:t xml:space="preserve">Di  Indonesia,  antara  lain terdapat  padi  yang  warna  berasnya </w:t>
      </w:r>
      <w:r>
        <w:rPr>
          <w:rFonts w:asciiTheme="majorBidi" w:eastAsia="Times New Roman" w:hAnsiTheme="majorBidi" w:cstheme="majorBidi"/>
          <w:color w:val="000000"/>
          <w:szCs w:val="24"/>
        </w:rPr>
        <w:t xml:space="preserve">bermacam </w:t>
      </w:r>
      <w:r w:rsidRPr="000B7E8C">
        <w:rPr>
          <w:rFonts w:asciiTheme="majorBidi" w:eastAsia="Times New Roman" w:hAnsiTheme="majorBidi" w:cstheme="majorBidi"/>
          <w:color w:val="000000"/>
          <w:szCs w:val="24"/>
        </w:rPr>
        <w:t xml:space="preserve">macam  antara  lain  beras </w:t>
      </w:r>
      <w:r>
        <w:rPr>
          <w:rFonts w:asciiTheme="majorBidi" w:eastAsia="Times New Roman" w:hAnsiTheme="majorBidi" w:cstheme="majorBidi"/>
          <w:color w:val="000000"/>
          <w:szCs w:val="24"/>
        </w:rPr>
        <w:t xml:space="preserve">putih, </w:t>
      </w:r>
      <w:r w:rsidRPr="000B7E8C">
        <w:rPr>
          <w:rFonts w:asciiTheme="majorBidi" w:eastAsia="Times New Roman" w:hAnsiTheme="majorBidi" w:cstheme="majorBidi"/>
          <w:color w:val="000000"/>
          <w:szCs w:val="24"/>
        </w:rPr>
        <w:t>beras</w:t>
      </w:r>
      <w:r>
        <w:rPr>
          <w:rFonts w:asciiTheme="majorBidi" w:eastAsia="Times New Roman" w:hAnsiTheme="majorBidi" w:cstheme="majorBidi"/>
          <w:color w:val="000000"/>
          <w:szCs w:val="24"/>
        </w:rPr>
        <w:t xml:space="preserve"> merah dan beras hitam. </w:t>
      </w:r>
      <w:r w:rsidRPr="00FC3C46">
        <w:rPr>
          <w:rFonts w:asciiTheme="majorBidi" w:eastAsia="Times New Roman" w:hAnsiTheme="majorBidi" w:cstheme="majorBidi"/>
          <w:color w:val="000000"/>
          <w:szCs w:val="24"/>
          <w:lang w:val="fi-FI"/>
        </w:rPr>
        <w:t xml:space="preserve">Beras merupakan  makanan  sumber  energi yang memiliki kandungan karbohidrat tinggi  namun  proteinnya  rendah. </w:t>
      </w:r>
      <w:r w:rsidRPr="000B7E8C">
        <w:rPr>
          <w:rFonts w:asciiTheme="majorBidi" w:eastAsia="Times New Roman" w:hAnsiTheme="majorBidi" w:cstheme="majorBidi"/>
          <w:color w:val="000000"/>
          <w:szCs w:val="24"/>
        </w:rPr>
        <w:t xml:space="preserve">Kandungan  gizi  beras  per  100  gr bahan adalah 360 kkal energy, 6,6  gr protein,  0,58  gr  lemak,  dan 79,34  </w:t>
      </w:r>
      <w:r>
        <w:rPr>
          <w:rFonts w:asciiTheme="majorBidi" w:eastAsia="Times New Roman" w:hAnsiTheme="majorBidi" w:cstheme="majorBidi"/>
          <w:color w:val="000000"/>
          <w:szCs w:val="24"/>
        </w:rPr>
        <w:t>gr karbohidrat.</w:t>
      </w:r>
    </w:p>
    <w:p w:rsidR="007A3629" w:rsidRDefault="007A3629" w:rsidP="007A3629">
      <w:pPr>
        <w:pStyle w:val="Heading3"/>
        <w:ind w:left="709" w:hanging="709"/>
      </w:pPr>
      <w:bookmarkStart w:id="10" w:name="_Toc231291372"/>
      <w:r w:rsidRPr="00A53C60">
        <w:t>2.6.1</w:t>
      </w:r>
      <w:r>
        <w:t xml:space="preserve"> </w:t>
      </w:r>
      <w:r>
        <w:tab/>
      </w:r>
      <w:r w:rsidRPr="00A53C60">
        <w:t xml:space="preserve">Beras Putih </w:t>
      </w:r>
      <w:r w:rsidRPr="000B7E8C">
        <w:t>(</w:t>
      </w:r>
      <w:proofErr w:type="gramStart"/>
      <w:r w:rsidRPr="00577D0A">
        <w:rPr>
          <w:i/>
          <w:iCs/>
        </w:rPr>
        <w:t>Oryza  Sativa</w:t>
      </w:r>
      <w:proofErr w:type="gramEnd"/>
      <w:r w:rsidRPr="00A53C60">
        <w:t xml:space="preserve"> </w:t>
      </w:r>
      <w:r w:rsidRPr="000B7E8C">
        <w:t>L.)</w:t>
      </w:r>
      <w:bookmarkEnd w:id="10"/>
    </w:p>
    <w:p w:rsidR="007A3629" w:rsidRPr="00FC3C46" w:rsidRDefault="007A3629" w:rsidP="007A3629">
      <w:pPr>
        <w:shd w:val="clear" w:color="auto" w:fill="FFFFFF"/>
        <w:spacing w:line="480" w:lineRule="auto"/>
        <w:ind w:firstLine="720"/>
        <w:jc w:val="both"/>
        <w:rPr>
          <w:rFonts w:asciiTheme="majorBidi" w:eastAsia="Times New Roman" w:hAnsiTheme="majorBidi" w:cstheme="majorBidi"/>
          <w:color w:val="000000"/>
          <w:szCs w:val="24"/>
          <w:lang w:val="fi-FI"/>
        </w:rPr>
      </w:pPr>
      <w:r w:rsidRPr="005E6635">
        <w:rPr>
          <w:rFonts w:asciiTheme="majorBidi" w:eastAsia="Times New Roman" w:hAnsiTheme="majorBidi" w:cstheme="majorBidi"/>
          <w:color w:val="000000"/>
          <w:szCs w:val="24"/>
        </w:rPr>
        <w:t>Beras putih (</w:t>
      </w:r>
      <w:proofErr w:type="gramStart"/>
      <w:r w:rsidRPr="005E6635">
        <w:rPr>
          <w:rFonts w:asciiTheme="majorBidi" w:eastAsia="Times New Roman" w:hAnsiTheme="majorBidi" w:cstheme="majorBidi"/>
          <w:i/>
          <w:iCs/>
          <w:color w:val="000000"/>
          <w:szCs w:val="24"/>
        </w:rPr>
        <w:t>Oryza  sativa</w:t>
      </w:r>
      <w:proofErr w:type="gramEnd"/>
      <w:r w:rsidRPr="005E6635">
        <w:rPr>
          <w:rFonts w:asciiTheme="majorBidi" w:eastAsia="Times New Roman" w:hAnsiTheme="majorBidi" w:cstheme="majorBidi"/>
          <w:color w:val="000000"/>
          <w:szCs w:val="24"/>
        </w:rPr>
        <w:t xml:space="preserve"> L.) merupakan  bahan  makanan  pokok sebagian besar masyarakat Indonesia. </w:t>
      </w:r>
      <w:r w:rsidRPr="000B7E8C">
        <w:rPr>
          <w:rFonts w:asciiTheme="majorBidi" w:eastAsia="Times New Roman" w:hAnsiTheme="majorBidi" w:cstheme="majorBidi"/>
          <w:color w:val="000000"/>
          <w:szCs w:val="24"/>
        </w:rPr>
        <w:t xml:space="preserve">Penelitian  menunjukkan  bahwa peningkatan  konsumsi  beras  putih berkaitan  dengan  peningkatan  resiko diabetes  </w:t>
      </w:r>
      <w:r>
        <w:rPr>
          <w:rFonts w:asciiTheme="majorBidi" w:eastAsia="Times New Roman" w:hAnsiTheme="majorBidi" w:cstheme="majorBidi"/>
          <w:color w:val="000000"/>
          <w:szCs w:val="24"/>
        </w:rPr>
        <w:t xml:space="preserve">tipee 2. </w:t>
      </w:r>
      <w:r w:rsidRPr="00FC3C46">
        <w:rPr>
          <w:rFonts w:asciiTheme="majorBidi" w:eastAsia="Times New Roman" w:hAnsiTheme="majorBidi" w:cstheme="majorBidi"/>
          <w:color w:val="000000"/>
          <w:szCs w:val="24"/>
          <w:lang w:val="fi-FI"/>
        </w:rPr>
        <w:t xml:space="preserve">Beras  putih memiliki  sedikit  aleuron,  dan kandungan  amilosa  umumnya sekitar 20%.  Beras  putih  umumnya dimanfaatkan  terutama  untuk  diolah menjadi  nasi,  makanan  pokok </w:t>
      </w:r>
      <w:r w:rsidRPr="00FC3C46">
        <w:rPr>
          <w:rFonts w:asciiTheme="majorBidi" w:hAnsiTheme="majorBidi" w:cstheme="majorBidi"/>
          <w:color w:val="000000"/>
          <w:szCs w:val="24"/>
          <w:shd w:val="clear" w:color="auto" w:fill="FFFFFF"/>
          <w:lang w:val="fi-FI"/>
        </w:rPr>
        <w:t xml:space="preserve">terpenting </w:t>
      </w:r>
      <w:r w:rsidRPr="00FC3C46">
        <w:rPr>
          <w:rStyle w:val="a"/>
          <w:rFonts w:asciiTheme="majorBidi" w:hAnsiTheme="majorBidi" w:cstheme="majorBidi"/>
          <w:shd w:val="clear" w:color="auto" w:fill="FFFFFF"/>
          <w:lang w:val="fi-FI"/>
        </w:rPr>
        <w:t xml:space="preserve"> </w:t>
      </w:r>
      <w:r w:rsidRPr="00FC3C46">
        <w:rPr>
          <w:rFonts w:asciiTheme="majorBidi" w:hAnsiTheme="majorBidi" w:cstheme="majorBidi"/>
          <w:color w:val="000000"/>
          <w:szCs w:val="24"/>
          <w:shd w:val="clear" w:color="auto" w:fill="FFFFFF"/>
          <w:lang w:val="fi-FI"/>
        </w:rPr>
        <w:t xml:space="preserve">warga </w:t>
      </w:r>
      <w:r w:rsidRPr="00FC3C46">
        <w:rPr>
          <w:rStyle w:val="a"/>
          <w:rFonts w:asciiTheme="majorBidi" w:hAnsiTheme="majorBidi" w:cstheme="majorBidi"/>
          <w:shd w:val="clear" w:color="auto" w:fill="FFFFFF"/>
          <w:lang w:val="fi-FI"/>
        </w:rPr>
        <w:t xml:space="preserve"> </w:t>
      </w:r>
      <w:r w:rsidRPr="00FC3C46">
        <w:rPr>
          <w:rFonts w:asciiTheme="majorBidi" w:hAnsiTheme="majorBidi" w:cstheme="majorBidi"/>
          <w:color w:val="000000"/>
          <w:szCs w:val="24"/>
          <w:shd w:val="clear" w:color="auto" w:fill="FFFFFF"/>
          <w:lang w:val="fi-FI"/>
        </w:rPr>
        <w:t>dunia.</w:t>
      </w:r>
    </w:p>
    <w:p w:rsidR="007A3629" w:rsidRPr="00FC3C46" w:rsidRDefault="007A3629" w:rsidP="007A3629">
      <w:pPr>
        <w:pStyle w:val="Heading3"/>
        <w:ind w:left="709" w:hanging="709"/>
        <w:rPr>
          <w:lang w:val="fi-FI"/>
        </w:rPr>
      </w:pPr>
      <w:bookmarkStart w:id="11" w:name="_Toc231291373"/>
      <w:r w:rsidRPr="00FC3C46">
        <w:rPr>
          <w:lang w:val="fi-FI"/>
        </w:rPr>
        <w:t xml:space="preserve">2.6.2 </w:t>
      </w:r>
      <w:r>
        <w:rPr>
          <w:lang w:val="fi-FI"/>
        </w:rPr>
        <w:tab/>
      </w:r>
      <w:r w:rsidRPr="00FC3C46">
        <w:rPr>
          <w:lang w:val="fi-FI"/>
        </w:rPr>
        <w:t>Beras Merah (</w:t>
      </w:r>
      <w:r w:rsidRPr="00FC3C46">
        <w:rPr>
          <w:i/>
          <w:iCs/>
          <w:lang w:val="fi-FI"/>
        </w:rPr>
        <w:t>Oryza  Nivara</w:t>
      </w:r>
      <w:r w:rsidRPr="00FC3C46">
        <w:rPr>
          <w:spacing w:val="-5"/>
          <w:lang w:val="fi-FI"/>
        </w:rPr>
        <w:t>)</w:t>
      </w:r>
      <w:bookmarkEnd w:id="11"/>
    </w:p>
    <w:p w:rsidR="007A3629" w:rsidRPr="00FC3C46" w:rsidRDefault="007A3629" w:rsidP="007A3629">
      <w:pPr>
        <w:shd w:val="clear" w:color="auto" w:fill="FFFFFF"/>
        <w:spacing w:line="480" w:lineRule="auto"/>
        <w:ind w:firstLine="720"/>
        <w:jc w:val="both"/>
        <w:rPr>
          <w:rFonts w:asciiTheme="majorBidi" w:eastAsia="Times New Roman" w:hAnsiTheme="majorBidi" w:cstheme="majorBidi"/>
          <w:color w:val="000000"/>
          <w:szCs w:val="24"/>
          <w:lang w:val="fi-FI"/>
        </w:rPr>
      </w:pPr>
      <w:r w:rsidRPr="00FC3C46">
        <w:rPr>
          <w:rFonts w:asciiTheme="majorBidi" w:eastAsia="Times New Roman" w:hAnsiTheme="majorBidi" w:cstheme="majorBidi"/>
          <w:color w:val="000000"/>
          <w:szCs w:val="24"/>
          <w:lang w:val="fi-FI"/>
        </w:rPr>
        <w:lastRenderedPageBreak/>
        <w:t>Beras  merah  (</w:t>
      </w:r>
      <w:r w:rsidRPr="00FC3C46">
        <w:rPr>
          <w:rFonts w:asciiTheme="majorBidi" w:eastAsia="Times New Roman" w:hAnsiTheme="majorBidi" w:cstheme="majorBidi"/>
          <w:i/>
          <w:iCs/>
          <w:color w:val="000000"/>
          <w:szCs w:val="24"/>
          <w:lang w:val="fi-FI"/>
        </w:rPr>
        <w:t>Oryza  nivara</w:t>
      </w:r>
      <w:r w:rsidRPr="00FC3C46">
        <w:rPr>
          <w:rFonts w:asciiTheme="majorBidi" w:eastAsia="Times New Roman" w:hAnsiTheme="majorBidi" w:cstheme="majorBidi"/>
          <w:color w:val="000000"/>
          <w:spacing w:val="-5"/>
          <w:szCs w:val="24"/>
          <w:lang w:val="fi-FI"/>
        </w:rPr>
        <w:t xml:space="preserve">) </w:t>
      </w:r>
      <w:r w:rsidRPr="00FC3C46">
        <w:rPr>
          <w:rFonts w:asciiTheme="majorBidi" w:eastAsia="Times New Roman" w:hAnsiTheme="majorBidi" w:cstheme="majorBidi"/>
          <w:color w:val="000000"/>
          <w:szCs w:val="24"/>
          <w:lang w:val="fi-FI"/>
        </w:rPr>
        <w:t>merupakan  bahan pangan  pokok  lain di  Indonesia  selain  beras  putih yang bernilai kesehatan  tinggi.  Selain  mengandung karbohidrat, lemak,  protein, serat dan mineral,  beras  merah  juga mengandung  antosianin. Antosianin merupakan  pigmen  merah  yang terkandung pada pericarp dan tegmen (lapisan  kulit)  beras,  atau  dijumpai pula pada setiap bagian gabah Kandungan antosianin  yang  terdapat  pada  beras merah  berfungsi  sebagai  antioksidan.</w:t>
      </w:r>
    </w:p>
    <w:p w:rsidR="007A3629" w:rsidRPr="00FC3C46" w:rsidRDefault="007A3629" w:rsidP="007A3629">
      <w:pPr>
        <w:shd w:val="clear" w:color="auto" w:fill="FFFFFF"/>
        <w:spacing w:line="480" w:lineRule="auto"/>
        <w:jc w:val="both"/>
        <w:rPr>
          <w:rFonts w:asciiTheme="majorBidi" w:eastAsia="Times New Roman" w:hAnsiTheme="majorBidi" w:cstheme="majorBidi"/>
          <w:b/>
          <w:bCs/>
          <w:color w:val="000000"/>
          <w:szCs w:val="24"/>
          <w:lang w:val="fi-FI"/>
        </w:rPr>
      </w:pPr>
    </w:p>
    <w:p w:rsidR="007A3629" w:rsidRPr="00080DA4" w:rsidRDefault="007A3629" w:rsidP="007A3629">
      <w:pPr>
        <w:pStyle w:val="Heading3"/>
        <w:ind w:left="709" w:hanging="709"/>
        <w:rPr>
          <w:rFonts w:eastAsia="Times New Roman"/>
          <w:color w:val="000000"/>
        </w:rPr>
      </w:pPr>
      <w:bookmarkStart w:id="12" w:name="_Toc231291374"/>
      <w:r w:rsidRPr="00080DA4">
        <w:rPr>
          <w:rFonts w:eastAsia="Times New Roman"/>
          <w:color w:val="000000"/>
        </w:rPr>
        <w:t xml:space="preserve">2.6.3 </w:t>
      </w:r>
      <w:r>
        <w:rPr>
          <w:rFonts w:eastAsia="Times New Roman"/>
          <w:color w:val="000000"/>
        </w:rPr>
        <w:tab/>
      </w:r>
      <w:r w:rsidRPr="00080DA4">
        <w:rPr>
          <w:rFonts w:eastAsia="Times New Roman"/>
          <w:color w:val="000000"/>
        </w:rPr>
        <w:t>Beras Hitam (</w:t>
      </w:r>
      <w:r w:rsidRPr="00577D0A">
        <w:rPr>
          <w:i/>
          <w:iCs/>
          <w:shd w:val="clear" w:color="auto" w:fill="FFFFFF"/>
        </w:rPr>
        <w:t>Oryza Sativa</w:t>
      </w:r>
      <w:r w:rsidRPr="00080DA4">
        <w:rPr>
          <w:shd w:val="clear" w:color="auto" w:fill="FFFFFF"/>
        </w:rPr>
        <w:t xml:space="preserve"> L. Indica)</w:t>
      </w:r>
      <w:bookmarkEnd w:id="12"/>
    </w:p>
    <w:p w:rsidR="007A3629" w:rsidRPr="005E6635" w:rsidRDefault="007A3629" w:rsidP="007A3629">
      <w:pPr>
        <w:shd w:val="clear" w:color="auto" w:fill="FFFFFF"/>
        <w:spacing w:line="480" w:lineRule="auto"/>
        <w:ind w:firstLine="720"/>
        <w:jc w:val="both"/>
        <w:rPr>
          <w:rFonts w:asciiTheme="majorBidi" w:eastAsia="Times New Roman" w:hAnsiTheme="majorBidi" w:cstheme="majorBidi"/>
          <w:color w:val="000000"/>
          <w:szCs w:val="24"/>
          <w:lang w:val="fi-FI"/>
        </w:rPr>
      </w:pPr>
      <w:r w:rsidRPr="000B7E8C">
        <w:rPr>
          <w:rFonts w:asciiTheme="majorBidi" w:eastAsia="Times New Roman" w:hAnsiTheme="majorBidi" w:cstheme="majorBidi"/>
          <w:color w:val="000000"/>
          <w:szCs w:val="24"/>
        </w:rPr>
        <w:t xml:space="preserve">Beras hitam </w:t>
      </w:r>
      <w:r w:rsidRPr="00080DA4">
        <w:rPr>
          <w:rFonts w:asciiTheme="majorBidi" w:eastAsia="Times New Roman" w:hAnsiTheme="majorBidi" w:cstheme="majorBidi"/>
          <w:color w:val="000000"/>
          <w:szCs w:val="24"/>
        </w:rPr>
        <w:t>(</w:t>
      </w:r>
      <w:r w:rsidRPr="00577D0A">
        <w:rPr>
          <w:rFonts w:asciiTheme="majorBidi" w:hAnsiTheme="majorBidi" w:cstheme="majorBidi"/>
          <w:i/>
          <w:iCs/>
          <w:color w:val="111111"/>
          <w:szCs w:val="24"/>
          <w:shd w:val="clear" w:color="auto" w:fill="FFFFFF"/>
        </w:rPr>
        <w:t>Oryza sativa</w:t>
      </w:r>
      <w:r w:rsidRPr="00080DA4">
        <w:rPr>
          <w:rFonts w:asciiTheme="majorBidi" w:hAnsiTheme="majorBidi" w:cstheme="majorBidi"/>
          <w:color w:val="111111"/>
          <w:szCs w:val="24"/>
          <w:shd w:val="clear" w:color="auto" w:fill="FFFFFF"/>
        </w:rPr>
        <w:t xml:space="preserve"> L. Indica)</w:t>
      </w:r>
      <w:r>
        <w:rPr>
          <w:rFonts w:asciiTheme="majorBidi" w:hAnsiTheme="majorBidi" w:cstheme="majorBidi"/>
          <w:b/>
          <w:bCs/>
          <w:color w:val="111111"/>
          <w:szCs w:val="24"/>
          <w:shd w:val="clear" w:color="auto" w:fill="FFFFFF"/>
        </w:rPr>
        <w:t xml:space="preserve"> </w:t>
      </w:r>
      <w:r w:rsidRPr="000B7E8C">
        <w:rPr>
          <w:rFonts w:asciiTheme="majorBidi" w:eastAsia="Times New Roman" w:hAnsiTheme="majorBidi" w:cstheme="majorBidi"/>
          <w:color w:val="000000"/>
          <w:szCs w:val="24"/>
        </w:rPr>
        <w:t xml:space="preserve">merupakan varietas  lokal  yang  mengandung pigmen,  berbeda  dengan  beras  putih atau  beras  warna  </w:t>
      </w:r>
      <w:r>
        <w:rPr>
          <w:rFonts w:asciiTheme="majorBidi" w:eastAsia="Times New Roman" w:hAnsiTheme="majorBidi" w:cstheme="majorBidi"/>
          <w:color w:val="000000"/>
          <w:szCs w:val="24"/>
        </w:rPr>
        <w:t>lain b</w:t>
      </w:r>
      <w:r w:rsidRPr="000B7E8C">
        <w:rPr>
          <w:rFonts w:asciiTheme="majorBidi" w:eastAsia="Times New Roman" w:hAnsiTheme="majorBidi" w:cstheme="majorBidi"/>
          <w:color w:val="000000"/>
          <w:szCs w:val="24"/>
        </w:rPr>
        <w:t>eras hitam memiliki pericarp, aleuron dan endosperm yang berwarna yang  berwarna  merah-biru-ungu pekat,  warna  tersebut  menunjukkan adanya  kandungan  antosianin.  Beras hitam  mempunyai  kandungan  serat pangan  (dietary  fiber)  dan hemiselulosa  masing-masing  sebesar 7,5%dan 5,8%, sedangkan beras putih hanya sebesar  5,4% dan  2,2%</w:t>
      </w:r>
      <w:r>
        <w:rPr>
          <w:rFonts w:asciiTheme="majorBidi" w:eastAsia="Times New Roman" w:hAnsiTheme="majorBidi" w:cstheme="majorBidi"/>
          <w:color w:val="000000"/>
          <w:szCs w:val="24"/>
        </w:rPr>
        <w:t xml:space="preserve"> </w:t>
      </w:r>
      <w:r>
        <w:rPr>
          <w:rFonts w:asciiTheme="majorBidi" w:eastAsia="Times New Roman" w:hAnsiTheme="majorBidi" w:cstheme="majorBidi"/>
          <w:color w:val="000000"/>
          <w:szCs w:val="24"/>
        </w:rPr>
        <w:fldChar w:fldCharType="begin" w:fldLock="1"/>
      </w:r>
      <w:r>
        <w:rPr>
          <w:rFonts w:asciiTheme="majorBidi" w:eastAsia="Times New Roman" w:hAnsiTheme="majorBidi" w:cstheme="majorBidi"/>
          <w:color w:val="000000"/>
          <w:szCs w:val="24"/>
        </w:rPr>
        <w:instrText>ADDIN CSL_CITATION {"citationItems":[{"id":"ITEM-1","itemData":{"DOI":"10.36465/jkbth.v15i1.154","ISSN":"1979-004X","abstract":"Beras merupakan makanan pokok orang Indonesia dan beberapa negara lain. Di Idonesia terdapat beberapa varietas beras antara lain beras putih (Oryza sativa L.), beras merah (Oryza nirvara), dan beras hitam (Oryza sativa L.). Masing-masing varietas beras memiliki karakteristik fisikokimia yang berbeda, bahkan untuk jenis yang sama berasal dari daerah yang berbeda. Tujuan penelitian ini antara lain adalah menganalisis karakteristik fisikokimia pada beras putih (Oryza sativa L.), beras merah (Oryza nirvara), dan beras hitam (Oryza sativa L. indica) dan memberikan informasi mengenai karakteristik fisikokimia pada beras putih (Oryza sativa L.), beras merah (Oryza nirvara), dan beras hitam (Oryza sativa L. indica). Metode yang digunakan pada penelitian ini adalah metode eksperimen dimana ke enam sampel yang diperoleh di analisis secara fisik dan kimia melalui suatu percobaan. Hasil dari penelitian ini secara fisik kekerasan beras terendah dimiliki oleh sampel beras hitam organik (6,00 Kgf) sedangkan nilai terbesar dimiliki oleh beras putih non organik (6.99 Kgf). Nilai yang terendah dimiliki oleh sampel beras merah organik (15.7 g) sedangkan yang tertinggi dimiliki oleh beras putih non organik (22.0 g). Suhu gelatinisasi yang tertinggi dimiliki oleh sampel beras hitam organik (90◦C), sedangkan suhu gelatinisasi yang terendah dimiliki oleh sampel beras merah non organik (83 ◦C). Di sisi lain, secara kimia beras hitam organik memiliki kandungan serat yang paling tinggi sebesar 7,6970% b/b, sedangkan beras putih non organik memiliki kandungan serat paling rendah (0,42008% b/b). Kadar protein tertinggi dimiliki oleh samp</w:instrText>
      </w:r>
      <w:r w:rsidRPr="005D6FA4">
        <w:rPr>
          <w:rFonts w:asciiTheme="majorBidi" w:eastAsia="Times New Roman" w:hAnsiTheme="majorBidi" w:cstheme="majorBidi"/>
          <w:color w:val="000000"/>
          <w:szCs w:val="24"/>
          <w:lang w:val="fi-FI"/>
        </w:rPr>
        <w:instrText>el beras putih organik (8.7049 %) sedangkan nilai kadar protein terendah dimiliki oleh sampel beras merah organik (6,9325%). Nilai gula reduksi yang tertinggi dimiliki oleh sampel beras putih non organik (0.1395%) sedangkan nilai gula reduksi yang terendah dimiliki oleh sampel beras hitam organik (0.0893%). Sehingga dapat disimpulkan bahwa karakteristik sifat fisikokimia pada beras putih (Oryza sativa L.), beras merah (Oryza nirvara), dan beras hitam (Oryza sativa L. indica) berbeda","author":[{"dropping-particle":"","family":"Hernawan","given":"Edi","non-dropping-particle":"","parse-names":false,"suffix":""},{"dropping-particle":"","family":"Meylani","given":"Vita","non-dropping-particle":"","parse-names":false,"suffix":""}],"container-</w:instrText>
      </w:r>
      <w:r w:rsidRPr="005E6635">
        <w:rPr>
          <w:rFonts w:asciiTheme="majorBidi" w:eastAsia="Times New Roman" w:hAnsiTheme="majorBidi" w:cstheme="majorBidi"/>
          <w:color w:val="000000"/>
          <w:szCs w:val="24"/>
          <w:lang w:val="fi-FI"/>
        </w:rPr>
        <w:instrText>title":"Jurnal Kesehatan Bakti Tunas Husada: Jurnal Ilmu-ilmu Keperawatan, Analis Kesehatan dan Farmasi","id":"ITEM-1","issue":"1","issued":{"date-parts":[["2016"]]},"page":"79","title":"ANALISIS KARAKTERISTIK FISIKOKIMIA BERAS PUTIH, BERAS MERAH, DAN BERAS HITAM (Oryza sativa L., Oryza nivara dan Oryza sativa L. indica)","type":"article-journal","volume":"15"},"uris":["http://www.mendeley.com/documents/?uuid=9e5e892e-d7c4-4aca-9e48-bf3c80d23633"]}],"mendeley":{"formattedCitation":"(Hernawan &amp; Meylani, 2016)","plainTextFormattedCitation":"(Hernawan &amp; Meylani, 2016)","previouslyFormattedCitation":"(Hernawan &amp; Meylani, 2016)"},"properties":{"noteIndex":0},"schema":"https://github.com/citation-style-language/schema/raw/master/csl-citation.json"}</w:instrText>
      </w:r>
      <w:r>
        <w:rPr>
          <w:rFonts w:asciiTheme="majorBidi" w:eastAsia="Times New Roman" w:hAnsiTheme="majorBidi" w:cstheme="majorBidi"/>
          <w:color w:val="000000"/>
          <w:szCs w:val="24"/>
        </w:rPr>
        <w:fldChar w:fldCharType="separate"/>
      </w:r>
      <w:r w:rsidRPr="005E6635">
        <w:rPr>
          <w:rFonts w:asciiTheme="majorBidi" w:eastAsia="Times New Roman" w:hAnsiTheme="majorBidi" w:cstheme="majorBidi"/>
          <w:noProof/>
          <w:color w:val="000000"/>
          <w:szCs w:val="24"/>
          <w:lang w:val="fi-FI"/>
        </w:rPr>
        <w:t>(Hernawan &amp; Meylani, 2016)</w:t>
      </w:r>
      <w:r>
        <w:rPr>
          <w:rFonts w:asciiTheme="majorBidi" w:eastAsia="Times New Roman" w:hAnsiTheme="majorBidi" w:cstheme="majorBidi"/>
          <w:color w:val="000000"/>
          <w:szCs w:val="24"/>
        </w:rPr>
        <w:fldChar w:fldCharType="end"/>
      </w:r>
      <w:r w:rsidRPr="005E6635">
        <w:rPr>
          <w:rFonts w:asciiTheme="majorBidi" w:eastAsia="Times New Roman" w:hAnsiTheme="majorBidi" w:cstheme="majorBidi"/>
          <w:color w:val="000000"/>
          <w:szCs w:val="24"/>
          <w:lang w:val="fi-FI"/>
        </w:rPr>
        <w:t xml:space="preserve">. </w:t>
      </w:r>
    </w:p>
    <w:p w:rsidR="007A3629" w:rsidRPr="005E6635" w:rsidRDefault="007A3629" w:rsidP="007A3629">
      <w:pPr>
        <w:pStyle w:val="Heading2"/>
        <w:ind w:left="709" w:hanging="709"/>
        <w:rPr>
          <w:lang w:val="fi-FI"/>
        </w:rPr>
      </w:pPr>
      <w:bookmarkStart w:id="13" w:name="_Toc231291375"/>
      <w:r w:rsidRPr="005E6635">
        <w:rPr>
          <w:lang w:val="fi-FI"/>
        </w:rPr>
        <w:t xml:space="preserve">2.7 </w:t>
      </w:r>
      <w:r>
        <w:rPr>
          <w:lang w:val="fi-FI"/>
        </w:rPr>
        <w:tab/>
      </w:r>
      <w:r w:rsidRPr="005E6635">
        <w:rPr>
          <w:lang w:val="fi-FI"/>
        </w:rPr>
        <w:t>Klasifikasi Dan Morfologi Tanaman Padi</w:t>
      </w:r>
      <w:bookmarkEnd w:id="13"/>
      <w:r w:rsidRPr="005E6635">
        <w:rPr>
          <w:lang w:val="fi-FI"/>
        </w:rPr>
        <w:t xml:space="preserve"> </w:t>
      </w:r>
    </w:p>
    <w:p w:rsidR="007A3629" w:rsidRPr="005E6635" w:rsidRDefault="007A3629" w:rsidP="007A3629">
      <w:pPr>
        <w:pStyle w:val="Heading3"/>
        <w:ind w:left="709" w:hanging="709"/>
        <w:rPr>
          <w:lang w:val="fi-FI"/>
        </w:rPr>
      </w:pPr>
      <w:bookmarkStart w:id="14" w:name="_Toc231291376"/>
      <w:r w:rsidRPr="005E6635">
        <w:rPr>
          <w:lang w:val="fi-FI"/>
        </w:rPr>
        <w:t xml:space="preserve">2.7.1 </w:t>
      </w:r>
      <w:r>
        <w:rPr>
          <w:lang w:val="fi-FI"/>
        </w:rPr>
        <w:tab/>
      </w:r>
      <w:r w:rsidRPr="005E6635">
        <w:rPr>
          <w:lang w:val="fi-FI"/>
        </w:rPr>
        <w:t>Klasifikasi Tanaman Padi</w:t>
      </w:r>
      <w:bookmarkEnd w:id="14"/>
    </w:p>
    <w:p w:rsidR="007A3629" w:rsidRPr="005E6635" w:rsidRDefault="007A3629" w:rsidP="007A3629">
      <w:pPr>
        <w:pStyle w:val="ListParagraph"/>
        <w:shd w:val="clear" w:color="auto" w:fill="FFFFFF"/>
        <w:spacing w:line="480" w:lineRule="auto"/>
        <w:ind w:left="480"/>
        <w:jc w:val="both"/>
        <w:rPr>
          <w:lang w:val="fi-FI"/>
        </w:rPr>
      </w:pPr>
      <w:r w:rsidRPr="005E6635">
        <w:rPr>
          <w:lang w:val="fi-FI"/>
        </w:rPr>
        <w:t xml:space="preserve"> Kingdom </w:t>
      </w:r>
      <w:r w:rsidRPr="005E6635">
        <w:rPr>
          <w:lang w:val="fi-FI"/>
        </w:rPr>
        <w:tab/>
        <w:t xml:space="preserve"> : Plantae (Tumbuhan) </w:t>
      </w:r>
    </w:p>
    <w:p w:rsidR="007A3629" w:rsidRDefault="007A3629" w:rsidP="007A3629">
      <w:pPr>
        <w:pStyle w:val="ListParagraph"/>
        <w:shd w:val="clear" w:color="auto" w:fill="FFFFFF"/>
        <w:spacing w:line="480" w:lineRule="auto"/>
        <w:ind w:left="480"/>
        <w:jc w:val="both"/>
      </w:pPr>
      <w:r>
        <w:t xml:space="preserve">Subkingdom </w:t>
      </w:r>
      <w:r>
        <w:tab/>
        <w:t xml:space="preserve"> : Tracheobionta (Tumbuhan berpembuluh) </w:t>
      </w:r>
    </w:p>
    <w:p w:rsidR="007A3629" w:rsidRDefault="007A3629" w:rsidP="007A3629">
      <w:pPr>
        <w:pStyle w:val="ListParagraph"/>
        <w:shd w:val="clear" w:color="auto" w:fill="FFFFFF"/>
        <w:spacing w:line="480" w:lineRule="auto"/>
        <w:ind w:left="480"/>
        <w:jc w:val="both"/>
      </w:pPr>
      <w:r>
        <w:t>Super Divisi</w:t>
      </w:r>
      <w:r>
        <w:tab/>
        <w:t xml:space="preserve"> : Spermatophyta (Menghasilkan biji) </w:t>
      </w:r>
    </w:p>
    <w:p w:rsidR="007A3629" w:rsidRDefault="007A3629" w:rsidP="007A3629">
      <w:pPr>
        <w:pStyle w:val="ListParagraph"/>
        <w:shd w:val="clear" w:color="auto" w:fill="FFFFFF"/>
        <w:spacing w:line="480" w:lineRule="auto"/>
        <w:ind w:left="480"/>
        <w:jc w:val="both"/>
      </w:pPr>
      <w:r>
        <w:t>Divisi</w:t>
      </w:r>
      <w:r>
        <w:tab/>
      </w:r>
      <w:r>
        <w:tab/>
        <w:t xml:space="preserve"> : Magnoliophyta (Tumbuhan berbunga) </w:t>
      </w:r>
    </w:p>
    <w:p w:rsidR="007A3629" w:rsidRDefault="007A3629" w:rsidP="007A3629">
      <w:pPr>
        <w:pStyle w:val="ListParagraph"/>
        <w:shd w:val="clear" w:color="auto" w:fill="FFFFFF"/>
        <w:spacing w:line="480" w:lineRule="auto"/>
        <w:ind w:left="480"/>
        <w:jc w:val="both"/>
      </w:pPr>
      <w:r>
        <w:t xml:space="preserve">Kelas </w:t>
      </w:r>
      <w:r>
        <w:tab/>
      </w:r>
      <w:r>
        <w:tab/>
        <w:t xml:space="preserve"> : Liliopsida </w:t>
      </w:r>
      <w:proofErr w:type="gramStart"/>
      <w:r>
        <w:t>( Tumbuhan</w:t>
      </w:r>
      <w:proofErr w:type="gramEnd"/>
      <w:r>
        <w:t xml:space="preserve"> berkeping satu / monokotil)</w:t>
      </w:r>
    </w:p>
    <w:p w:rsidR="007A3629" w:rsidRDefault="007A3629" w:rsidP="007A3629">
      <w:pPr>
        <w:pStyle w:val="ListParagraph"/>
        <w:shd w:val="clear" w:color="auto" w:fill="FFFFFF"/>
        <w:spacing w:line="480" w:lineRule="auto"/>
        <w:ind w:left="480"/>
        <w:jc w:val="both"/>
      </w:pPr>
      <w:r>
        <w:lastRenderedPageBreak/>
        <w:t>Sub Kelas</w:t>
      </w:r>
      <w:r>
        <w:tab/>
        <w:t xml:space="preserve"> : Commelinidae </w:t>
      </w:r>
    </w:p>
    <w:p w:rsidR="007A3629" w:rsidRDefault="007A3629" w:rsidP="007A3629">
      <w:pPr>
        <w:pStyle w:val="ListParagraph"/>
        <w:shd w:val="clear" w:color="auto" w:fill="FFFFFF"/>
        <w:spacing w:line="480" w:lineRule="auto"/>
        <w:ind w:left="480"/>
        <w:jc w:val="both"/>
      </w:pPr>
      <w:r>
        <w:t>Ordo</w:t>
      </w:r>
      <w:r>
        <w:tab/>
      </w:r>
      <w:r>
        <w:tab/>
        <w:t xml:space="preserve"> : Poales </w:t>
      </w:r>
    </w:p>
    <w:p w:rsidR="007A3629" w:rsidRDefault="007A3629" w:rsidP="007A3629">
      <w:pPr>
        <w:pStyle w:val="ListParagraph"/>
        <w:shd w:val="clear" w:color="auto" w:fill="FFFFFF"/>
        <w:spacing w:line="480" w:lineRule="auto"/>
        <w:ind w:left="480"/>
        <w:jc w:val="both"/>
      </w:pPr>
      <w:r>
        <w:t xml:space="preserve">Famili </w:t>
      </w:r>
      <w:r>
        <w:tab/>
      </w:r>
      <w:r>
        <w:tab/>
        <w:t xml:space="preserve"> : Poaceae (rumput-rumputan) </w:t>
      </w:r>
    </w:p>
    <w:p w:rsidR="007A3629" w:rsidRDefault="007A3629" w:rsidP="007A3629">
      <w:pPr>
        <w:pStyle w:val="ListParagraph"/>
        <w:shd w:val="clear" w:color="auto" w:fill="FFFFFF"/>
        <w:spacing w:line="480" w:lineRule="auto"/>
        <w:ind w:left="480"/>
        <w:jc w:val="both"/>
      </w:pPr>
      <w:r>
        <w:t>Genus</w:t>
      </w:r>
      <w:r>
        <w:tab/>
      </w:r>
      <w:r>
        <w:tab/>
        <w:t xml:space="preserve"> : Oryza </w:t>
      </w:r>
    </w:p>
    <w:p w:rsidR="007A3629" w:rsidRDefault="007A3629" w:rsidP="007A3629">
      <w:pPr>
        <w:pStyle w:val="ListParagraph"/>
        <w:shd w:val="clear" w:color="auto" w:fill="FFFFFF"/>
        <w:spacing w:line="480" w:lineRule="auto"/>
        <w:ind w:left="480"/>
        <w:jc w:val="both"/>
      </w:pPr>
      <w:r>
        <w:t>Spesies</w:t>
      </w:r>
      <w:r>
        <w:tab/>
      </w:r>
      <w:r>
        <w:tab/>
        <w:t xml:space="preserve"> : Oryza sativa L. </w:t>
      </w:r>
    </w:p>
    <w:p w:rsidR="007A3629" w:rsidRDefault="007A3629" w:rsidP="007A3629">
      <w:pPr>
        <w:shd w:val="clear" w:color="auto" w:fill="FFFFFF"/>
        <w:spacing w:line="480" w:lineRule="auto"/>
        <w:jc w:val="both"/>
        <w:rPr>
          <w:b/>
          <w:bCs/>
        </w:rPr>
      </w:pPr>
    </w:p>
    <w:p w:rsidR="007A3629" w:rsidRDefault="007A3629" w:rsidP="007A3629">
      <w:pPr>
        <w:shd w:val="clear" w:color="auto" w:fill="FFFFFF"/>
        <w:spacing w:line="480" w:lineRule="auto"/>
        <w:jc w:val="both"/>
        <w:rPr>
          <w:b/>
          <w:bCs/>
        </w:rPr>
      </w:pPr>
    </w:p>
    <w:p w:rsidR="007A3629" w:rsidRDefault="007A3629" w:rsidP="007A3629">
      <w:pPr>
        <w:shd w:val="clear" w:color="auto" w:fill="FFFFFF"/>
        <w:spacing w:line="480" w:lineRule="auto"/>
        <w:jc w:val="both"/>
        <w:rPr>
          <w:b/>
          <w:bCs/>
        </w:rPr>
      </w:pPr>
    </w:p>
    <w:p w:rsidR="007A3629" w:rsidRDefault="007A3629" w:rsidP="007A3629">
      <w:pPr>
        <w:shd w:val="clear" w:color="auto" w:fill="FFFFFF"/>
        <w:spacing w:line="480" w:lineRule="auto"/>
        <w:jc w:val="both"/>
        <w:rPr>
          <w:b/>
          <w:bCs/>
        </w:rPr>
      </w:pPr>
    </w:p>
    <w:p w:rsidR="007A3629" w:rsidRPr="004D42FE" w:rsidRDefault="007A3629" w:rsidP="007A3629">
      <w:pPr>
        <w:pStyle w:val="Heading3"/>
        <w:ind w:left="709" w:hanging="709"/>
      </w:pPr>
      <w:bookmarkStart w:id="15" w:name="_Toc231291377"/>
      <w:r w:rsidRPr="00F85D7E">
        <w:t xml:space="preserve">2.7.2 </w:t>
      </w:r>
      <w:r>
        <w:tab/>
      </w:r>
      <w:r w:rsidRPr="00F85D7E">
        <w:t>Morfologi Tanaman Padi</w:t>
      </w:r>
      <w:bookmarkEnd w:id="15"/>
      <w:r w:rsidRPr="00F85D7E">
        <w:t xml:space="preserve"> </w:t>
      </w:r>
    </w:p>
    <w:p w:rsidR="007A3629" w:rsidRDefault="007A3629" w:rsidP="007A3629">
      <w:pPr>
        <w:shd w:val="clear" w:color="auto" w:fill="FFFFFF"/>
        <w:spacing w:line="480" w:lineRule="auto"/>
        <w:jc w:val="both"/>
      </w:pPr>
      <w:r>
        <w:t>A. Akar</w:t>
      </w:r>
    </w:p>
    <w:p w:rsidR="007A3629" w:rsidRDefault="007A3629" w:rsidP="007A3629">
      <w:pPr>
        <w:pStyle w:val="ListParagraph"/>
        <w:shd w:val="clear" w:color="auto" w:fill="FFFFFF"/>
        <w:spacing w:line="480" w:lineRule="auto"/>
        <w:ind w:left="0" w:firstLine="720"/>
        <w:jc w:val="both"/>
      </w:pPr>
      <w:r>
        <w:t xml:space="preserve">Akar adalah bagian tanaman yang berfungsi menyerap air dan zat makanan dari dalam tanah, kemudian diangkut ke bagian atas tanaman. Akar tanaman padi dapat dibedakan </w:t>
      </w:r>
      <w:proofErr w:type="gramStart"/>
      <w:r>
        <w:t>atas :</w:t>
      </w:r>
      <w:proofErr w:type="gramEnd"/>
      <w:r>
        <w:t xml:space="preserve"> </w:t>
      </w:r>
    </w:p>
    <w:p w:rsidR="007A3629" w:rsidRDefault="007A3629" w:rsidP="007A3629">
      <w:pPr>
        <w:pStyle w:val="ListParagraph"/>
        <w:numPr>
          <w:ilvl w:val="0"/>
          <w:numId w:val="45"/>
        </w:numPr>
        <w:shd w:val="clear" w:color="auto" w:fill="FFFFFF"/>
        <w:spacing w:line="480" w:lineRule="auto"/>
        <w:ind w:hanging="436"/>
        <w:jc w:val="both"/>
      </w:pPr>
      <w:r>
        <w:t xml:space="preserve">Radikula; akar yang tumbuh pada saat benih berkecambah. Pada benih yang sedang berkecambah timbul calon akar dan batang. </w:t>
      </w:r>
    </w:p>
    <w:p w:rsidR="007A3629" w:rsidRDefault="007A3629" w:rsidP="007A3629">
      <w:pPr>
        <w:pStyle w:val="ListParagraph"/>
        <w:numPr>
          <w:ilvl w:val="0"/>
          <w:numId w:val="45"/>
        </w:numPr>
        <w:shd w:val="clear" w:color="auto" w:fill="FFFFFF"/>
        <w:spacing w:line="480" w:lineRule="auto"/>
        <w:ind w:hanging="436"/>
        <w:jc w:val="both"/>
      </w:pPr>
      <w:r>
        <w:t xml:space="preserve">Akar serabut (akaradventif); setelah 5-6 hari terbentuk akar tunggang, akar serabut </w:t>
      </w:r>
      <w:proofErr w:type="gramStart"/>
      <w:r>
        <w:t>akan</w:t>
      </w:r>
      <w:proofErr w:type="gramEnd"/>
      <w:r>
        <w:t xml:space="preserve"> tumbuh. </w:t>
      </w:r>
    </w:p>
    <w:p w:rsidR="007A3629" w:rsidRPr="00C61AC0" w:rsidRDefault="007A3629" w:rsidP="007A3629">
      <w:pPr>
        <w:pStyle w:val="ListParagraph"/>
        <w:numPr>
          <w:ilvl w:val="0"/>
          <w:numId w:val="45"/>
        </w:numPr>
        <w:shd w:val="clear" w:color="auto" w:fill="FFFFFF"/>
        <w:spacing w:line="480" w:lineRule="auto"/>
        <w:ind w:hanging="436"/>
        <w:jc w:val="both"/>
        <w:rPr>
          <w:lang w:val="fi-FI"/>
        </w:rPr>
      </w:pPr>
      <w:r>
        <w:t xml:space="preserve">Akar </w:t>
      </w:r>
      <w:proofErr w:type="gramStart"/>
      <w:r>
        <w:t>rambut ;</w:t>
      </w:r>
      <w:proofErr w:type="gramEnd"/>
      <w:r>
        <w:t xml:space="preserve"> merupakan bagian akar yang keluar dari akar tunggang dan akar serabut. </w:t>
      </w:r>
      <w:r w:rsidRPr="00C61AC0">
        <w:rPr>
          <w:lang w:val="fi-FI"/>
        </w:rPr>
        <w:t xml:space="preserve">Akar ini merupakan saluran pada kulit akar yang berada diluar, dan ini penting dalam pengisapan air maupun zat-zat makanan. </w:t>
      </w:r>
    </w:p>
    <w:p w:rsidR="007A3629" w:rsidRPr="00C61AC0" w:rsidRDefault="007A3629" w:rsidP="007A3629">
      <w:pPr>
        <w:pStyle w:val="ListParagraph"/>
        <w:numPr>
          <w:ilvl w:val="0"/>
          <w:numId w:val="45"/>
        </w:numPr>
        <w:shd w:val="clear" w:color="auto" w:fill="FFFFFF"/>
        <w:spacing w:line="480" w:lineRule="auto"/>
        <w:ind w:hanging="436"/>
        <w:jc w:val="both"/>
        <w:rPr>
          <w:lang w:val="fi-FI"/>
        </w:rPr>
      </w:pPr>
      <w:r w:rsidRPr="00C61AC0">
        <w:rPr>
          <w:lang w:val="fi-FI"/>
        </w:rPr>
        <w:t xml:space="preserve">Akar tajuk (crown roots) ;adalah akar yang tumbuh dari ruas batang terendah. Akar tajuk ini dibedakan lagi berdasarkan letak kedalaman akar </w:t>
      </w:r>
      <w:r w:rsidRPr="00C61AC0">
        <w:rPr>
          <w:lang w:val="fi-FI"/>
        </w:rPr>
        <w:lastRenderedPageBreak/>
        <w:t>di tanah yaitu akar yang dangkal dan akar yang dalam. Apabila kandungan udara di dalam tanah rendah,maka akar-akar dangkal mudah berkembang.</w:t>
      </w:r>
    </w:p>
    <w:p w:rsidR="007A3629" w:rsidRDefault="007A3629" w:rsidP="007A3629">
      <w:pPr>
        <w:pStyle w:val="ListParagraph"/>
        <w:shd w:val="clear" w:color="auto" w:fill="FFFFFF"/>
        <w:spacing w:line="480" w:lineRule="auto"/>
        <w:ind w:left="1920" w:firstLine="240"/>
        <w:jc w:val="both"/>
        <w:rPr>
          <w:rFonts w:asciiTheme="majorBidi" w:eastAsia="Times New Roman" w:hAnsiTheme="majorBidi" w:cstheme="majorBidi"/>
          <w:b/>
          <w:bCs/>
          <w:color w:val="000000"/>
          <w:szCs w:val="24"/>
        </w:rPr>
      </w:pPr>
      <w:r w:rsidRPr="00570C7B">
        <w:rPr>
          <w:rFonts w:asciiTheme="majorBidi" w:eastAsia="Times New Roman" w:hAnsiTheme="majorBidi" w:cstheme="majorBidi"/>
          <w:b/>
          <w:bCs/>
          <w:noProof/>
          <w:color w:val="000000"/>
          <w:szCs w:val="24"/>
        </w:rPr>
        <w:drawing>
          <wp:inline distT="0" distB="0" distL="0" distR="0" wp14:anchorId="3B948482" wp14:editId="4BAC3E93">
            <wp:extent cx="2095500" cy="23774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095500" cy="2377440"/>
                    </a:xfrm>
                    <a:prstGeom prst="rect">
                      <a:avLst/>
                    </a:prstGeom>
                  </pic:spPr>
                </pic:pic>
              </a:graphicData>
            </a:graphic>
          </wp:inline>
        </w:drawing>
      </w:r>
    </w:p>
    <w:p w:rsidR="007A3629" w:rsidRPr="00C61AC0" w:rsidRDefault="007A3629" w:rsidP="007A3629">
      <w:pPr>
        <w:pStyle w:val="Caption"/>
        <w:jc w:val="center"/>
        <w:rPr>
          <w:color w:val="0D0D0D" w:themeColor="text1" w:themeTint="F2"/>
          <w:sz w:val="24"/>
          <w:szCs w:val="24"/>
        </w:rPr>
      </w:pPr>
      <w:bookmarkStart w:id="16" w:name="_Toc231291693"/>
      <w:r w:rsidRPr="00C61AC0">
        <w:rPr>
          <w:color w:val="0D0D0D" w:themeColor="text1" w:themeTint="F2"/>
          <w:sz w:val="24"/>
          <w:szCs w:val="24"/>
        </w:rPr>
        <w:t xml:space="preserve">Gambar 2. </w:t>
      </w:r>
      <w:r w:rsidRPr="00C61AC0">
        <w:rPr>
          <w:color w:val="0D0D0D" w:themeColor="text1" w:themeTint="F2"/>
          <w:sz w:val="24"/>
          <w:szCs w:val="24"/>
        </w:rPr>
        <w:fldChar w:fldCharType="begin"/>
      </w:r>
      <w:r w:rsidRPr="00C61AC0">
        <w:rPr>
          <w:color w:val="0D0D0D" w:themeColor="text1" w:themeTint="F2"/>
          <w:sz w:val="24"/>
          <w:szCs w:val="24"/>
        </w:rPr>
        <w:instrText xml:space="preserve"> SEQ Gambar_2. \* ARABIC </w:instrText>
      </w:r>
      <w:r w:rsidRPr="00C61AC0">
        <w:rPr>
          <w:color w:val="0D0D0D" w:themeColor="text1" w:themeTint="F2"/>
          <w:sz w:val="24"/>
          <w:szCs w:val="24"/>
        </w:rPr>
        <w:fldChar w:fldCharType="separate"/>
      </w:r>
      <w:r>
        <w:rPr>
          <w:noProof/>
          <w:color w:val="0D0D0D" w:themeColor="text1" w:themeTint="F2"/>
          <w:sz w:val="24"/>
          <w:szCs w:val="24"/>
        </w:rPr>
        <w:t>1</w:t>
      </w:r>
      <w:r w:rsidRPr="00C61AC0">
        <w:rPr>
          <w:color w:val="0D0D0D" w:themeColor="text1" w:themeTint="F2"/>
          <w:sz w:val="24"/>
          <w:szCs w:val="24"/>
        </w:rPr>
        <w:fldChar w:fldCharType="end"/>
      </w:r>
      <w:r w:rsidRPr="00C61AC0">
        <w:rPr>
          <w:color w:val="0D0D0D" w:themeColor="text1" w:themeTint="F2"/>
          <w:sz w:val="24"/>
          <w:szCs w:val="24"/>
        </w:rPr>
        <w:t xml:space="preserve">  </w:t>
      </w:r>
      <w:r w:rsidRPr="00C61AC0">
        <w:rPr>
          <w:b w:val="0"/>
          <w:color w:val="0D0D0D" w:themeColor="text1" w:themeTint="F2"/>
          <w:sz w:val="24"/>
          <w:szCs w:val="24"/>
        </w:rPr>
        <w:t>Akar Tanaman Padi</w:t>
      </w:r>
      <w:bookmarkEnd w:id="16"/>
    </w:p>
    <w:p w:rsidR="007A3629" w:rsidRDefault="007A3629" w:rsidP="007A3629">
      <w:pPr>
        <w:shd w:val="clear" w:color="auto" w:fill="FFFFFF"/>
        <w:spacing w:line="480" w:lineRule="auto"/>
        <w:jc w:val="both"/>
      </w:pPr>
      <w:r>
        <w:t xml:space="preserve">Bagian akar yang telah dewasa (lebih tua) dan telah mengalami perkembangan </w:t>
      </w:r>
      <w:proofErr w:type="gramStart"/>
      <w:r>
        <w:t>akan</w:t>
      </w:r>
      <w:proofErr w:type="gramEnd"/>
      <w:r>
        <w:t xml:space="preserve"> berwarna coklat, sedangkan akar yangbaru atau bagian akar yangmasih muda berwarna putih. </w:t>
      </w:r>
    </w:p>
    <w:p w:rsidR="007A3629" w:rsidRDefault="007A3629" w:rsidP="007A3629">
      <w:pPr>
        <w:shd w:val="clear" w:color="auto" w:fill="FFFFFF"/>
        <w:spacing w:line="480" w:lineRule="auto"/>
        <w:jc w:val="both"/>
      </w:pPr>
      <w:r>
        <w:t xml:space="preserve">B. Batang </w:t>
      </w:r>
    </w:p>
    <w:p w:rsidR="007A3629" w:rsidRDefault="007A3629" w:rsidP="007A3629">
      <w:pPr>
        <w:shd w:val="clear" w:color="auto" w:fill="FFFFFF"/>
        <w:spacing w:line="480" w:lineRule="auto"/>
        <w:ind w:firstLine="720"/>
        <w:jc w:val="both"/>
      </w:pPr>
      <w:r>
        <w:t xml:space="preserve">Padi termasuk golongan tumbuhan Graminae dengan batang yang tersusun dari beberapa ruas. Ruas-ruas itu merupakan bubung kosong. Pada kedua ujung bubung kosong itu bubungnya ditutup oleh buku. Panjangnya ruas tidak </w:t>
      </w:r>
      <w:proofErr w:type="gramStart"/>
      <w:r>
        <w:t>sama</w:t>
      </w:r>
      <w:proofErr w:type="gramEnd"/>
      <w:r>
        <w:t xml:space="preserve">. Ruas yang terpendek terdapat pada pangkal batang. Ruas yang kedua, ruas yang ketiga, dan seterusnya adalah lebih panjang daripada ruas yang didahuluinya. Pertumbuhan batang tanaman padi adalah merumpun, dimana terdapat satu batang tunggal/batang utama yang mempunyai 6 mata atau sukma, yaitu sukma 1, 3, 5 sebelah kanan dan sukma 2, 4, 6 sebelah kiri. Dari tiap-tiap sukma ini timbul </w:t>
      </w:r>
      <w:proofErr w:type="gramStart"/>
      <w:r>
        <w:t>tunas</w:t>
      </w:r>
      <w:proofErr w:type="gramEnd"/>
      <w:r>
        <w:t xml:space="preserve"> yang disebut tunasorde pertama. </w:t>
      </w:r>
    </w:p>
    <w:p w:rsidR="007A3629" w:rsidRDefault="007A3629" w:rsidP="007A3629">
      <w:pPr>
        <w:shd w:val="clear" w:color="auto" w:fill="FFFFFF"/>
        <w:spacing w:line="480" w:lineRule="auto"/>
        <w:ind w:firstLine="720"/>
        <w:jc w:val="both"/>
      </w:pPr>
      <w:proofErr w:type="gramStart"/>
      <w:r>
        <w:lastRenderedPageBreak/>
        <w:t>Tunas</w:t>
      </w:r>
      <w:proofErr w:type="gramEnd"/>
      <w:r>
        <w:t xml:space="preserve"> orde pertama tumbuhnya didahului oleh tunas yang tumbuh dari sukma pertama, kemudian diikuti oleh sukma kedua, disusul oleh tunas yang timbul dari sukma ketiga dan seterusnya sampai kepad apembentukan tunas terakhir yang keenam pada batang tunggal.Tunas-tunas yang timbul dari tunas orde pertama disebu ttunas orde kedua. Biasanya dari tunas-tunas orde pertama ini yang menghasilkan tunas-tunas orde kedua ialah </w:t>
      </w:r>
      <w:proofErr w:type="gramStart"/>
      <w:r>
        <w:t>tunas</w:t>
      </w:r>
      <w:proofErr w:type="gramEnd"/>
      <w:r>
        <w:t xml:space="preserve"> orde pertama yang terbawah sekali pada batang tunggal/ utama. Pembentukan </w:t>
      </w:r>
      <w:proofErr w:type="gramStart"/>
      <w:r>
        <w:t>tunas</w:t>
      </w:r>
      <w:proofErr w:type="gramEnd"/>
      <w:r>
        <w:t xml:space="preserve"> dari orde ketiga pada umunya tidak terjadi, oleh karena tunas-tunas dari orde ketiga tidak mempunyai ruang hidup dalam kesesakan dengan tunas-tunas dari orde pertama dan kedua.</w:t>
      </w:r>
    </w:p>
    <w:p w:rsidR="007A3629" w:rsidRPr="00570C7B" w:rsidRDefault="007A3629" w:rsidP="007A3629">
      <w:pPr>
        <w:shd w:val="clear" w:color="auto" w:fill="FFFFFF"/>
        <w:spacing w:line="480" w:lineRule="auto"/>
        <w:ind w:left="1440"/>
        <w:jc w:val="both"/>
        <w:rPr>
          <w:rFonts w:asciiTheme="majorBidi" w:eastAsia="Times New Roman" w:hAnsiTheme="majorBidi" w:cstheme="majorBidi"/>
          <w:b/>
          <w:bCs/>
          <w:color w:val="000000"/>
          <w:szCs w:val="24"/>
        </w:rPr>
      </w:pPr>
      <w:r w:rsidRPr="00570C7B">
        <w:rPr>
          <w:rFonts w:asciiTheme="majorBidi" w:eastAsia="Times New Roman" w:hAnsiTheme="majorBidi" w:cstheme="majorBidi"/>
          <w:b/>
          <w:bCs/>
          <w:noProof/>
          <w:color w:val="000000"/>
          <w:szCs w:val="24"/>
        </w:rPr>
        <w:drawing>
          <wp:inline distT="0" distB="0" distL="0" distR="0" wp14:anchorId="0626646C" wp14:editId="09E7477F">
            <wp:extent cx="2887980" cy="2468880"/>
            <wp:effectExtent l="0" t="0" r="762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87980" cy="2468880"/>
                    </a:xfrm>
                    <a:prstGeom prst="rect">
                      <a:avLst/>
                    </a:prstGeom>
                  </pic:spPr>
                </pic:pic>
              </a:graphicData>
            </a:graphic>
          </wp:inline>
        </w:drawing>
      </w:r>
    </w:p>
    <w:p w:rsidR="007A3629" w:rsidRPr="00C61AC0" w:rsidRDefault="007A3629" w:rsidP="007A3629">
      <w:pPr>
        <w:pStyle w:val="Caption"/>
        <w:jc w:val="center"/>
        <w:rPr>
          <w:color w:val="0D0D0D" w:themeColor="text1" w:themeTint="F2"/>
          <w:sz w:val="24"/>
          <w:szCs w:val="24"/>
        </w:rPr>
      </w:pPr>
      <w:bookmarkStart w:id="17" w:name="_Toc231291694"/>
      <w:r w:rsidRPr="00C61AC0">
        <w:rPr>
          <w:color w:val="0D0D0D" w:themeColor="text1" w:themeTint="F2"/>
          <w:sz w:val="24"/>
          <w:szCs w:val="24"/>
        </w:rPr>
        <w:t xml:space="preserve">Gambar 2. </w:t>
      </w:r>
      <w:r w:rsidRPr="00C61AC0">
        <w:rPr>
          <w:color w:val="0D0D0D" w:themeColor="text1" w:themeTint="F2"/>
          <w:sz w:val="24"/>
          <w:szCs w:val="24"/>
        </w:rPr>
        <w:fldChar w:fldCharType="begin"/>
      </w:r>
      <w:r w:rsidRPr="00C61AC0">
        <w:rPr>
          <w:color w:val="0D0D0D" w:themeColor="text1" w:themeTint="F2"/>
          <w:sz w:val="24"/>
          <w:szCs w:val="24"/>
        </w:rPr>
        <w:instrText xml:space="preserve"> SEQ Gambar_2. \* ARABIC </w:instrText>
      </w:r>
      <w:r w:rsidRPr="00C61AC0">
        <w:rPr>
          <w:color w:val="0D0D0D" w:themeColor="text1" w:themeTint="F2"/>
          <w:sz w:val="24"/>
          <w:szCs w:val="24"/>
        </w:rPr>
        <w:fldChar w:fldCharType="separate"/>
      </w:r>
      <w:r>
        <w:rPr>
          <w:noProof/>
          <w:color w:val="0D0D0D" w:themeColor="text1" w:themeTint="F2"/>
          <w:sz w:val="24"/>
          <w:szCs w:val="24"/>
        </w:rPr>
        <w:t>2</w:t>
      </w:r>
      <w:r w:rsidRPr="00C61AC0">
        <w:rPr>
          <w:color w:val="0D0D0D" w:themeColor="text1" w:themeTint="F2"/>
          <w:sz w:val="24"/>
          <w:szCs w:val="24"/>
        </w:rPr>
        <w:fldChar w:fldCharType="end"/>
      </w:r>
      <w:r w:rsidRPr="00C61AC0">
        <w:rPr>
          <w:color w:val="0D0D0D" w:themeColor="text1" w:themeTint="F2"/>
          <w:sz w:val="24"/>
          <w:szCs w:val="24"/>
        </w:rPr>
        <w:t xml:space="preserve"> </w:t>
      </w:r>
      <w:r w:rsidRPr="00C61AC0">
        <w:rPr>
          <w:b w:val="0"/>
          <w:color w:val="0D0D0D" w:themeColor="text1" w:themeTint="F2"/>
          <w:sz w:val="24"/>
          <w:szCs w:val="24"/>
        </w:rPr>
        <w:t>Batang Tanaman Padi</w:t>
      </w:r>
      <w:bookmarkEnd w:id="17"/>
    </w:p>
    <w:p w:rsidR="007A3629" w:rsidRDefault="007A3629" w:rsidP="007A3629">
      <w:pPr>
        <w:shd w:val="clear" w:color="auto" w:fill="FFFFFF"/>
        <w:spacing w:line="480" w:lineRule="auto"/>
        <w:jc w:val="both"/>
      </w:pPr>
      <w:r>
        <w:t xml:space="preserve">C. Daun </w:t>
      </w:r>
    </w:p>
    <w:p w:rsidR="007A3629" w:rsidRPr="00FC3C46" w:rsidRDefault="007A3629" w:rsidP="007A3629">
      <w:pPr>
        <w:shd w:val="clear" w:color="auto" w:fill="FFFFFF"/>
        <w:spacing w:line="480" w:lineRule="auto"/>
        <w:ind w:firstLine="720"/>
        <w:jc w:val="both"/>
        <w:rPr>
          <w:lang w:val="fi-FI"/>
        </w:rPr>
      </w:pPr>
      <w:r>
        <w:t xml:space="preserve">Padi termasuk tanaman jenis rumput-rumputan mempunyai daun yang berbeda-beda, baik bentuk, susunan, atau bagian bagiannya. </w:t>
      </w:r>
      <w:r w:rsidRPr="00FC3C46">
        <w:rPr>
          <w:lang w:val="fi-FI"/>
        </w:rPr>
        <w:t xml:space="preserve">Ciri khas daun padi adalah adanya sisik dan telinga daun. Hal inilah yang menyebabkan daun padi </w:t>
      </w:r>
      <w:r w:rsidRPr="00FC3C46">
        <w:rPr>
          <w:lang w:val="fi-FI"/>
        </w:rPr>
        <w:lastRenderedPageBreak/>
        <w:t xml:space="preserve">dapat dibedakan dari jenis rumput yang lain. Adapun bagian-bagian daun padi adalah : </w:t>
      </w:r>
    </w:p>
    <w:p w:rsidR="007A3629" w:rsidRPr="00C61AC0" w:rsidRDefault="007A3629" w:rsidP="007A3629">
      <w:pPr>
        <w:pStyle w:val="ListParagraph"/>
        <w:numPr>
          <w:ilvl w:val="0"/>
          <w:numId w:val="46"/>
        </w:numPr>
        <w:shd w:val="clear" w:color="auto" w:fill="FFFFFF"/>
        <w:spacing w:line="480" w:lineRule="auto"/>
        <w:jc w:val="both"/>
        <w:rPr>
          <w:lang w:val="fi-FI"/>
        </w:rPr>
      </w:pPr>
      <w:r w:rsidRPr="00C61AC0">
        <w:rPr>
          <w:lang w:val="fi-FI"/>
        </w:rPr>
        <w:t>Helaian daun ; terletak pada batang padi dan selalu ada. Bentuknya memanjang seperti pita. Panjangdan lebar helaian daun tergantung varietas padi yang bersangkutan.</w:t>
      </w:r>
    </w:p>
    <w:p w:rsidR="007A3629" w:rsidRPr="00C61AC0" w:rsidRDefault="007A3629" w:rsidP="007A3629">
      <w:pPr>
        <w:pStyle w:val="ListParagraph"/>
        <w:numPr>
          <w:ilvl w:val="0"/>
          <w:numId w:val="46"/>
        </w:numPr>
        <w:shd w:val="clear" w:color="auto" w:fill="FFFFFF"/>
        <w:spacing w:line="480" w:lineRule="auto"/>
        <w:jc w:val="both"/>
        <w:rPr>
          <w:lang w:val="fi-FI"/>
        </w:rPr>
      </w:pPr>
      <w:r w:rsidRPr="00C61AC0">
        <w:rPr>
          <w:lang w:val="fi-FI"/>
        </w:rPr>
        <w:t xml:space="preserve">Pelepah daun (upih) ;merupakan bagian daun yang menyelubungi batang, pelepah daun ini berfungsi memberi dukungan pada bagian ruas yang jaringannya lunak, dan hal ini selalu terjadi. </w:t>
      </w:r>
    </w:p>
    <w:p w:rsidR="007A3629" w:rsidRDefault="007A3629" w:rsidP="007A3629">
      <w:pPr>
        <w:pStyle w:val="ListParagraph"/>
        <w:numPr>
          <w:ilvl w:val="0"/>
          <w:numId w:val="46"/>
        </w:numPr>
        <w:shd w:val="clear" w:color="auto" w:fill="FFFFFF"/>
        <w:spacing w:line="480" w:lineRule="auto"/>
        <w:jc w:val="both"/>
      </w:pPr>
      <w:r w:rsidRPr="00C61AC0">
        <w:rPr>
          <w:lang w:val="fi-FI"/>
        </w:rPr>
        <w:t xml:space="preserve">Lidah daun ; lidah daun terletak pada perbatasan antara helai daun dan upih. Panjang lidah daun berbeda-beda, tergantung pada varietas padi. Lidah daun duduknya melekat pada batang. </w:t>
      </w:r>
      <w:r>
        <w:t xml:space="preserve">Fungsi lidah daun adalah mencegah masuknya air hujan diantara batang dan pelepah daun (upih). Pertumbuhan daun yang satu dengan daun berikutnya (daun baru) mempunyai selang waktu 7 hari, dan 7 hari berikutnya </w:t>
      </w:r>
      <w:proofErr w:type="gramStart"/>
      <w:r>
        <w:t>akan</w:t>
      </w:r>
      <w:proofErr w:type="gramEnd"/>
      <w:r>
        <w:t xml:space="preserve"> muncul daun baru lainnya.</w:t>
      </w:r>
    </w:p>
    <w:p w:rsidR="007A3629" w:rsidRDefault="007A3629" w:rsidP="007A3629">
      <w:pPr>
        <w:shd w:val="clear" w:color="auto" w:fill="FFFFFF"/>
        <w:spacing w:line="480" w:lineRule="auto"/>
        <w:ind w:left="720"/>
        <w:jc w:val="both"/>
      </w:pPr>
      <w:r>
        <w:t xml:space="preserve">       </w:t>
      </w:r>
      <w:r w:rsidRPr="004E083A">
        <w:rPr>
          <w:noProof/>
        </w:rPr>
        <w:drawing>
          <wp:inline distT="0" distB="0" distL="0" distR="0" wp14:anchorId="1525060A" wp14:editId="48655EDC">
            <wp:extent cx="3436620" cy="17373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436620" cy="1737360"/>
                    </a:xfrm>
                    <a:prstGeom prst="rect">
                      <a:avLst/>
                    </a:prstGeom>
                  </pic:spPr>
                </pic:pic>
              </a:graphicData>
            </a:graphic>
          </wp:inline>
        </w:drawing>
      </w:r>
    </w:p>
    <w:p w:rsidR="007A3629" w:rsidRPr="00C61AC0" w:rsidRDefault="007A3629" w:rsidP="007A3629">
      <w:pPr>
        <w:pStyle w:val="Caption"/>
        <w:jc w:val="center"/>
        <w:rPr>
          <w:color w:val="0D0D0D" w:themeColor="text1" w:themeTint="F2"/>
          <w:sz w:val="24"/>
          <w:szCs w:val="24"/>
        </w:rPr>
      </w:pPr>
      <w:bookmarkStart w:id="18" w:name="_Toc231291695"/>
      <w:r w:rsidRPr="00C61AC0">
        <w:rPr>
          <w:color w:val="0D0D0D" w:themeColor="text1" w:themeTint="F2"/>
          <w:sz w:val="24"/>
          <w:szCs w:val="24"/>
        </w:rPr>
        <w:t xml:space="preserve">Gambar 2. </w:t>
      </w:r>
      <w:r w:rsidRPr="00C61AC0">
        <w:rPr>
          <w:color w:val="0D0D0D" w:themeColor="text1" w:themeTint="F2"/>
          <w:sz w:val="24"/>
          <w:szCs w:val="24"/>
        </w:rPr>
        <w:fldChar w:fldCharType="begin"/>
      </w:r>
      <w:r w:rsidRPr="00C61AC0">
        <w:rPr>
          <w:color w:val="0D0D0D" w:themeColor="text1" w:themeTint="F2"/>
          <w:sz w:val="24"/>
          <w:szCs w:val="24"/>
        </w:rPr>
        <w:instrText xml:space="preserve"> SEQ Gambar_2. \* ARABIC </w:instrText>
      </w:r>
      <w:r w:rsidRPr="00C61AC0">
        <w:rPr>
          <w:color w:val="0D0D0D" w:themeColor="text1" w:themeTint="F2"/>
          <w:sz w:val="24"/>
          <w:szCs w:val="24"/>
        </w:rPr>
        <w:fldChar w:fldCharType="separate"/>
      </w:r>
      <w:r>
        <w:rPr>
          <w:noProof/>
          <w:color w:val="0D0D0D" w:themeColor="text1" w:themeTint="F2"/>
          <w:sz w:val="24"/>
          <w:szCs w:val="24"/>
        </w:rPr>
        <w:t>3</w:t>
      </w:r>
      <w:r w:rsidRPr="00C61AC0">
        <w:rPr>
          <w:color w:val="0D0D0D" w:themeColor="text1" w:themeTint="F2"/>
          <w:sz w:val="24"/>
          <w:szCs w:val="24"/>
        </w:rPr>
        <w:fldChar w:fldCharType="end"/>
      </w:r>
      <w:r w:rsidRPr="00C61AC0">
        <w:rPr>
          <w:color w:val="0D0D0D" w:themeColor="text1" w:themeTint="F2"/>
          <w:sz w:val="24"/>
          <w:szCs w:val="24"/>
        </w:rPr>
        <w:t xml:space="preserve"> </w:t>
      </w:r>
      <w:r w:rsidRPr="00C61AC0">
        <w:rPr>
          <w:b w:val="0"/>
          <w:color w:val="0D0D0D" w:themeColor="text1" w:themeTint="F2"/>
          <w:sz w:val="24"/>
          <w:szCs w:val="24"/>
        </w:rPr>
        <w:t>Daun Tanaman Padi</w:t>
      </w:r>
      <w:bookmarkEnd w:id="18"/>
    </w:p>
    <w:p w:rsidR="007A3629" w:rsidRDefault="007A3629" w:rsidP="007A3629">
      <w:pPr>
        <w:shd w:val="clear" w:color="auto" w:fill="FFFFFF"/>
        <w:spacing w:line="480" w:lineRule="auto"/>
        <w:jc w:val="both"/>
      </w:pPr>
      <w:r>
        <w:t xml:space="preserve">D. Bunga </w:t>
      </w:r>
    </w:p>
    <w:p w:rsidR="007A3629" w:rsidRDefault="007A3629" w:rsidP="007A3629">
      <w:pPr>
        <w:shd w:val="clear" w:color="auto" w:fill="FFFFFF"/>
        <w:spacing w:line="480" w:lineRule="auto"/>
        <w:ind w:firstLine="720"/>
        <w:jc w:val="both"/>
      </w:pPr>
      <w:r>
        <w:lastRenderedPageBreak/>
        <w:t xml:space="preserve">Sekumpulan bunga padi (spikelet) yang keluar dari buku paling atas dinamakan malai. Bulir-bulir padi terletak pada cabang pertama dan cabang kedua, sedangkan sumbu utama malai adalah ruas buku yang terakhir pada batang. </w:t>
      </w:r>
    </w:p>
    <w:p w:rsidR="007A3629" w:rsidRDefault="007A3629" w:rsidP="007A3629">
      <w:pPr>
        <w:shd w:val="clear" w:color="auto" w:fill="FFFFFF"/>
        <w:spacing w:line="480" w:lineRule="auto"/>
        <w:ind w:left="720" w:firstLine="720"/>
        <w:jc w:val="both"/>
      </w:pPr>
      <w:r>
        <w:t xml:space="preserve">       </w:t>
      </w:r>
      <w:r w:rsidRPr="00880CBC">
        <w:rPr>
          <w:noProof/>
        </w:rPr>
        <w:drawing>
          <wp:inline distT="0" distB="0" distL="0" distR="0" wp14:anchorId="770A0F8C" wp14:editId="58035C61">
            <wp:extent cx="2241550" cy="1890874"/>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r="22418"/>
                    <a:stretch/>
                  </pic:blipFill>
                  <pic:spPr bwMode="auto">
                    <a:xfrm>
                      <a:off x="0" y="0"/>
                      <a:ext cx="2241102" cy="1890496"/>
                    </a:xfrm>
                    <a:prstGeom prst="rect">
                      <a:avLst/>
                    </a:prstGeom>
                    <a:ln>
                      <a:noFill/>
                    </a:ln>
                    <a:extLst>
                      <a:ext uri="{53640926-AAD7-44D8-BBD7-CCE9431645EC}">
                        <a14:shadowObscured xmlns:a14="http://schemas.microsoft.com/office/drawing/2010/main"/>
                      </a:ext>
                    </a:extLst>
                  </pic:spPr>
                </pic:pic>
              </a:graphicData>
            </a:graphic>
          </wp:inline>
        </w:drawing>
      </w:r>
    </w:p>
    <w:p w:rsidR="007A3629" w:rsidRPr="00C61AC0" w:rsidRDefault="007A3629" w:rsidP="007A3629">
      <w:pPr>
        <w:pStyle w:val="Caption"/>
        <w:jc w:val="center"/>
        <w:rPr>
          <w:color w:val="0D0D0D" w:themeColor="text1" w:themeTint="F2"/>
          <w:sz w:val="24"/>
          <w:szCs w:val="24"/>
        </w:rPr>
      </w:pPr>
      <w:bookmarkStart w:id="19" w:name="_Toc231291696"/>
      <w:r w:rsidRPr="00C61AC0">
        <w:rPr>
          <w:color w:val="0D0D0D" w:themeColor="text1" w:themeTint="F2"/>
          <w:sz w:val="24"/>
          <w:szCs w:val="24"/>
        </w:rPr>
        <w:t xml:space="preserve">Gambar 2. </w:t>
      </w:r>
      <w:r w:rsidRPr="00C61AC0">
        <w:rPr>
          <w:color w:val="0D0D0D" w:themeColor="text1" w:themeTint="F2"/>
          <w:sz w:val="24"/>
          <w:szCs w:val="24"/>
        </w:rPr>
        <w:fldChar w:fldCharType="begin"/>
      </w:r>
      <w:r w:rsidRPr="00C61AC0">
        <w:rPr>
          <w:color w:val="0D0D0D" w:themeColor="text1" w:themeTint="F2"/>
          <w:sz w:val="24"/>
          <w:szCs w:val="24"/>
        </w:rPr>
        <w:instrText xml:space="preserve"> SEQ Gambar_2. \* ARABIC </w:instrText>
      </w:r>
      <w:r w:rsidRPr="00C61AC0">
        <w:rPr>
          <w:color w:val="0D0D0D" w:themeColor="text1" w:themeTint="F2"/>
          <w:sz w:val="24"/>
          <w:szCs w:val="24"/>
        </w:rPr>
        <w:fldChar w:fldCharType="separate"/>
      </w:r>
      <w:r>
        <w:rPr>
          <w:noProof/>
          <w:color w:val="0D0D0D" w:themeColor="text1" w:themeTint="F2"/>
          <w:sz w:val="24"/>
          <w:szCs w:val="24"/>
        </w:rPr>
        <w:t>4</w:t>
      </w:r>
      <w:r w:rsidRPr="00C61AC0">
        <w:rPr>
          <w:color w:val="0D0D0D" w:themeColor="text1" w:themeTint="F2"/>
          <w:sz w:val="24"/>
          <w:szCs w:val="24"/>
        </w:rPr>
        <w:fldChar w:fldCharType="end"/>
      </w:r>
      <w:r w:rsidRPr="00C61AC0">
        <w:rPr>
          <w:color w:val="0D0D0D" w:themeColor="text1" w:themeTint="F2"/>
          <w:sz w:val="24"/>
          <w:szCs w:val="24"/>
        </w:rPr>
        <w:t xml:space="preserve"> </w:t>
      </w:r>
      <w:r w:rsidRPr="00C61AC0">
        <w:rPr>
          <w:b w:val="0"/>
          <w:color w:val="0D0D0D" w:themeColor="text1" w:themeTint="F2"/>
          <w:sz w:val="24"/>
          <w:szCs w:val="24"/>
        </w:rPr>
        <w:t>Bunga Tanaman Padi</w:t>
      </w:r>
      <w:bookmarkEnd w:id="19"/>
    </w:p>
    <w:p w:rsidR="007A3629" w:rsidRDefault="007A3629" w:rsidP="007A3629">
      <w:pPr>
        <w:shd w:val="clear" w:color="auto" w:fill="FFFFFF"/>
        <w:spacing w:line="480" w:lineRule="auto"/>
        <w:ind w:firstLine="720"/>
        <w:jc w:val="both"/>
      </w:pPr>
      <w:r>
        <w:t>Bunga padi adalah bunga telanjang artinya mempunyai perhiasan bunga. Berkelamin dua jenis dengan bakal buah yang diatas. Jumlah benang sari ada 6 buah, tangkai sarinya pendek dan tipis, kepala sari besar serta mempunyai dua kandung serbuk. Putik mempunyai dua tangkai putik, dengan dua buah kepala putik yang berbentuk malai dengan warna pada umumnya putih atau ungu Komponen-komponen (bagian) bunga padi adalah: kepala sari, tangkai sari, palea (belahan yang besar)</w:t>
      </w:r>
      <w:proofErr w:type="gramStart"/>
      <w:r>
        <w:t>,  lemma</w:t>
      </w:r>
      <w:proofErr w:type="gramEnd"/>
      <w:r>
        <w:t xml:space="preserve"> (belahan yang kecil), kepala putik, tangkai bunga. </w:t>
      </w:r>
    </w:p>
    <w:p w:rsidR="007A3629" w:rsidRDefault="007A3629" w:rsidP="007A3629">
      <w:pPr>
        <w:shd w:val="clear" w:color="auto" w:fill="FFFFFF"/>
        <w:spacing w:line="480" w:lineRule="auto"/>
        <w:jc w:val="both"/>
      </w:pPr>
      <w:r>
        <w:t xml:space="preserve">E. Buah </w:t>
      </w:r>
    </w:p>
    <w:p w:rsidR="007A3629" w:rsidRPr="000B7E8C" w:rsidRDefault="007A3629" w:rsidP="007A3629">
      <w:pPr>
        <w:shd w:val="clear" w:color="auto" w:fill="FFFFFF"/>
        <w:spacing w:line="480" w:lineRule="auto"/>
        <w:ind w:firstLine="720"/>
        <w:jc w:val="both"/>
      </w:pPr>
      <w:r>
        <w:t xml:space="preserve">Buah padi yang sehari-hari kita sebut biji padi atau butir/gabah, sebenarnya bukan biji melainkan buah padi yang tertutup oleh lemma dan palea. Buah ini terjadi setelah selesai penyerbukkan dan pembuahan. Lemma dan palea serta bagian lain yang membentuk sekam atau kulit gabah. Jika bunga padi telah dewasa, kedua belahan kembang mahkota (palea dan lemmanya) yang semula bersatu </w:t>
      </w:r>
      <w:proofErr w:type="gramStart"/>
      <w:r>
        <w:t>akan</w:t>
      </w:r>
      <w:proofErr w:type="gramEnd"/>
      <w:r>
        <w:t xml:space="preserve"> membuka dengan sendirinya sedemikian rupa sehingga antara lemma </w:t>
      </w:r>
      <w:r>
        <w:lastRenderedPageBreak/>
        <w:t>dan palea terjadi siku/sudut sebesar 30-600. Membukanya kedua belahan kembang mahkota itu terjadi pada umumnya pada hari-hari cerah antara jam 10-12, dimana suhu kira-kira 30-32</w:t>
      </w:r>
      <w:r>
        <w:rPr>
          <w:rFonts w:cs="Times New Roman"/>
        </w:rPr>
        <w:t>°</w:t>
      </w:r>
      <w:r>
        <w:t>C. Di dalam dua daun mahkota palea dan lemma itu terdapat bagian dalam dari bunga padi yang terdiri dari bakal buah (biasa disebut karyiopsis).</w:t>
      </w:r>
    </w:p>
    <w:p w:rsidR="007A3629" w:rsidRDefault="007A3629" w:rsidP="007A3629">
      <w:pPr>
        <w:pStyle w:val="ListParagraph"/>
        <w:spacing w:line="480" w:lineRule="auto"/>
        <w:ind w:left="1920" w:firstLine="240"/>
        <w:jc w:val="both"/>
        <w:rPr>
          <w:b/>
          <w:bCs/>
        </w:rPr>
      </w:pPr>
      <w:r>
        <w:rPr>
          <w:noProof/>
        </w:rPr>
        <w:drawing>
          <wp:inline distT="0" distB="0" distL="0" distR="0" wp14:anchorId="01D07B06" wp14:editId="360C5120">
            <wp:extent cx="2334491" cy="1579418"/>
            <wp:effectExtent l="0" t="0" r="8890" b="1905"/>
            <wp:docPr id="30" name="Picture 30" descr="100 Percent Pure And Natural Indian Origin Long Grain Brown Paddy R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0 Percent Pure And Natural Indian Origin Long Grain Brown Paddy Rice ..."/>
                    <pic:cNvPicPr>
                      <a:picLocks noChangeAspect="1" noChangeArrowheads="1"/>
                    </pic:cNvPicPr>
                  </pic:nvPicPr>
                  <pic:blipFill rotWithShape="1">
                    <a:blip r:embed="rId11">
                      <a:extLst>
                        <a:ext uri="{28A0092B-C50C-407E-A947-70E740481C1C}">
                          <a14:useLocalDpi xmlns:a14="http://schemas.microsoft.com/office/drawing/2010/main" val="0"/>
                        </a:ext>
                      </a:extLst>
                    </a:blip>
                    <a:srcRect t="12081" b="11409"/>
                    <a:stretch/>
                  </pic:blipFill>
                  <pic:spPr bwMode="auto">
                    <a:xfrm>
                      <a:off x="0" y="0"/>
                      <a:ext cx="2331240" cy="1577219"/>
                    </a:xfrm>
                    <a:prstGeom prst="rect">
                      <a:avLst/>
                    </a:prstGeom>
                    <a:noFill/>
                    <a:ln>
                      <a:noFill/>
                    </a:ln>
                    <a:extLst>
                      <a:ext uri="{53640926-AAD7-44D8-BBD7-CCE9431645EC}">
                        <a14:shadowObscured xmlns:a14="http://schemas.microsoft.com/office/drawing/2010/main"/>
                      </a:ext>
                    </a:extLst>
                  </pic:spPr>
                </pic:pic>
              </a:graphicData>
            </a:graphic>
          </wp:inline>
        </w:drawing>
      </w:r>
    </w:p>
    <w:p w:rsidR="007A3629" w:rsidRPr="00C61AC0" w:rsidRDefault="007A3629" w:rsidP="007A3629">
      <w:pPr>
        <w:pStyle w:val="Caption"/>
        <w:jc w:val="center"/>
        <w:rPr>
          <w:b w:val="0"/>
          <w:bCs w:val="0"/>
          <w:color w:val="0D0D0D" w:themeColor="text1" w:themeTint="F2"/>
          <w:sz w:val="24"/>
          <w:szCs w:val="24"/>
        </w:rPr>
      </w:pPr>
      <w:bookmarkStart w:id="20" w:name="_Toc231291697"/>
      <w:r w:rsidRPr="00C61AC0">
        <w:rPr>
          <w:color w:val="0D0D0D" w:themeColor="text1" w:themeTint="F2"/>
          <w:sz w:val="24"/>
          <w:szCs w:val="24"/>
        </w:rPr>
        <w:t xml:space="preserve">Gambar 2. </w:t>
      </w:r>
      <w:r w:rsidRPr="00C61AC0">
        <w:rPr>
          <w:color w:val="0D0D0D" w:themeColor="text1" w:themeTint="F2"/>
          <w:sz w:val="24"/>
          <w:szCs w:val="24"/>
        </w:rPr>
        <w:fldChar w:fldCharType="begin"/>
      </w:r>
      <w:r w:rsidRPr="00C61AC0">
        <w:rPr>
          <w:color w:val="0D0D0D" w:themeColor="text1" w:themeTint="F2"/>
          <w:sz w:val="24"/>
          <w:szCs w:val="24"/>
        </w:rPr>
        <w:instrText xml:space="preserve"> SEQ Gambar_2. \* ARABIC </w:instrText>
      </w:r>
      <w:r w:rsidRPr="00C61AC0">
        <w:rPr>
          <w:color w:val="0D0D0D" w:themeColor="text1" w:themeTint="F2"/>
          <w:sz w:val="24"/>
          <w:szCs w:val="24"/>
        </w:rPr>
        <w:fldChar w:fldCharType="separate"/>
      </w:r>
      <w:r>
        <w:rPr>
          <w:noProof/>
          <w:color w:val="0D0D0D" w:themeColor="text1" w:themeTint="F2"/>
          <w:sz w:val="24"/>
          <w:szCs w:val="24"/>
        </w:rPr>
        <w:t>5</w:t>
      </w:r>
      <w:r w:rsidRPr="00C61AC0">
        <w:rPr>
          <w:color w:val="0D0D0D" w:themeColor="text1" w:themeTint="F2"/>
          <w:sz w:val="24"/>
          <w:szCs w:val="24"/>
        </w:rPr>
        <w:fldChar w:fldCharType="end"/>
      </w:r>
      <w:r w:rsidRPr="00C61AC0">
        <w:rPr>
          <w:color w:val="0D0D0D" w:themeColor="text1" w:themeTint="F2"/>
          <w:sz w:val="24"/>
          <w:szCs w:val="24"/>
        </w:rPr>
        <w:t xml:space="preserve"> </w:t>
      </w:r>
      <w:r w:rsidRPr="00C61AC0">
        <w:rPr>
          <w:b w:val="0"/>
          <w:color w:val="0D0D0D" w:themeColor="text1" w:themeTint="F2"/>
          <w:sz w:val="24"/>
          <w:szCs w:val="24"/>
        </w:rPr>
        <w:t>Buah Padi</w:t>
      </w:r>
      <w:bookmarkEnd w:id="20"/>
    </w:p>
    <w:p w:rsidR="007A3629" w:rsidRDefault="007A3629" w:rsidP="007A3629">
      <w:pPr>
        <w:spacing w:line="480" w:lineRule="auto"/>
        <w:ind w:firstLine="720"/>
        <w:jc w:val="both"/>
      </w:pPr>
      <w:r>
        <w:t xml:space="preserve">Jika buah padi telah masak, kedua belahan daun mahkota bunga itulah yang menjadi pembungkus berasnya (sekam). Diatas karyiopsis terdapat dua kepala putik yang dipikul oleh masing-masing tangkainya. Lodicula yang berjumlah dua buah, sebenarnya merupakan daun mahkota yang telah berubah bentuk. Pada waktu padi hendak berbunga, lodicula menjad imengembang karena menghisap cairan dari bakal buah. Pengembangan ini mendorong lemma dan palea terpisah dan terbuka </w:t>
      </w:r>
      <w:r>
        <w:fldChar w:fldCharType="begin" w:fldLock="1"/>
      </w:r>
      <w:r>
        <w:instrText>ADDIN CSL_CITATION {"citationItems":[{"id":"ITEM-1","itemData":{"author":[{"dropping-particle":"","family":"Siregar","given":"Mahardi","non-dropping-particle":"","parse-names":false,"suffix":""},{"dropping-particle":"","family":"Sulardi","given":"","non-dropping-particle":"","parse-names":false,"suffix":""}],"id":"ITEM-1","issue":"October","issued":{"date-parts":[["2022"]]},"page":"1-147","title":"Buku Budidaya Padi 2019","type":"article-journal"},"uris":["http://www.mendeley.com/documents/?uuid=d631271c-1ff6-48c1-9a8d-adf63944fee0"]}],"mendeley":{"formattedCitation":"(Siregar &amp; Sulardi, 2022)","plainTextFormattedCitation":"(Siregar &amp; Sulardi, 2022)","previouslyFormattedCitation":"(Siregar &amp; Sulardi, 2022)"},"properties":{"noteIndex":0},"schema":"https://github.com/citation-style-language/schema/raw/master/csl-citation.json"}</w:instrText>
      </w:r>
      <w:r>
        <w:fldChar w:fldCharType="separate"/>
      </w:r>
      <w:r w:rsidRPr="00545B67">
        <w:rPr>
          <w:noProof/>
        </w:rPr>
        <w:t>(Siregar &amp; Sulardi, 2022)</w:t>
      </w:r>
      <w:r>
        <w:fldChar w:fldCharType="end"/>
      </w:r>
    </w:p>
    <w:p w:rsidR="007A3629" w:rsidRDefault="007A3629" w:rsidP="007A3629">
      <w:pPr>
        <w:pStyle w:val="Heading2"/>
        <w:ind w:left="709" w:hanging="709"/>
      </w:pPr>
      <w:bookmarkStart w:id="21" w:name="_Toc231291378"/>
      <w:r>
        <w:t xml:space="preserve">2.8 </w:t>
      </w:r>
      <w:r>
        <w:tab/>
        <w:t>I</w:t>
      </w:r>
      <w:r w:rsidRPr="006139EC">
        <w:t>dentifikasi ku</w:t>
      </w:r>
      <w:r>
        <w:t>al</w:t>
      </w:r>
      <w:r w:rsidRPr="006139EC">
        <w:t>itatif</w:t>
      </w:r>
      <w:bookmarkEnd w:id="21"/>
      <w:r w:rsidRPr="006139EC">
        <w:t xml:space="preserve"> </w:t>
      </w:r>
    </w:p>
    <w:p w:rsidR="007A3629" w:rsidRDefault="007A3629" w:rsidP="007A3629">
      <w:pPr>
        <w:pStyle w:val="ListParagraph"/>
        <w:spacing w:line="480" w:lineRule="auto"/>
        <w:ind w:left="0" w:firstLine="720"/>
        <w:jc w:val="both"/>
      </w:pPr>
      <w:r>
        <w:t xml:space="preserve">Untuk melakukan identifikasi kulitatif pada beras yang terpapar cemaran klorin dapat dilakukan dengan menggunakan uji warna dengan menggunakan beberapa pereaksi diantaranya </w:t>
      </w:r>
      <w:proofErr w:type="gramStart"/>
      <w:r>
        <w:t>yaitu ;</w:t>
      </w:r>
      <w:proofErr w:type="gramEnd"/>
    </w:p>
    <w:p w:rsidR="007A3629" w:rsidRPr="006139EC" w:rsidRDefault="007A3629" w:rsidP="007A3629">
      <w:pPr>
        <w:pStyle w:val="ListParagraph"/>
        <w:numPr>
          <w:ilvl w:val="0"/>
          <w:numId w:val="48"/>
        </w:numPr>
        <w:spacing w:line="480" w:lineRule="auto"/>
        <w:ind w:hanging="436"/>
        <w:jc w:val="both"/>
      </w:pPr>
      <w:r>
        <w:lastRenderedPageBreak/>
        <w:t>Larutan AgNO</w:t>
      </w:r>
      <w:r>
        <w:rPr>
          <w:vertAlign w:val="subscript"/>
        </w:rPr>
        <w:t>3</w:t>
      </w:r>
      <w:r>
        <w:t xml:space="preserve">, Perak nitrat (AgNO₃) adalah senyawa anorganik yang berbentuk </w:t>
      </w:r>
      <w:proofErr w:type="gramStart"/>
      <w:r>
        <w:t>kristal</w:t>
      </w:r>
      <w:proofErr w:type="gramEnd"/>
      <w:r>
        <w:t xml:space="preserve"> putih dan sangat larut dalam air. Senyawa ini dikenal sebagai salah satu garam perak yang paling stabil dan banyak digunakan dalam analisis kimia maupun aplikasi industri dan medis. Dalam bentuk padatnya, perak nitrat bersifat higroskopis dan mudah </w:t>
      </w:r>
      <w:proofErr w:type="gramStart"/>
      <w:r>
        <w:t>meleleh .</w:t>
      </w:r>
      <w:proofErr w:type="gramEnd"/>
      <w:r>
        <w:t xml:space="preserve"> Ketika dilarutkan dalam air, senyawa ini terdisosiasi sempurna menghasilkan ion perak (Ag⁺) dan ion nitrat (NO₃⁻), yang menjadikannya sangat reaktif dalam reaksi pengendapan (presipitasi) </w:t>
      </w:r>
      <w:r>
        <w:fldChar w:fldCharType="begin" w:fldLock="1"/>
      </w:r>
      <w:r>
        <w:instrText>ADDIN CSL_CITATION {"citationItems":[{"id":"ITEM-1","itemData":{"abstract":"Diabetes melitus (DM) merupakan suatu sindroma klinik yang ditandai dengan poliuri, polidipsi, dan polifagi, disertai peningkatan kadar glukosa darah atau hiperglikemia (glukosa puasa ≥ 126 mg/dL atau postprandial ≥ 200 mg/dL atau glukosa sewaktu ≥ 200 mg/dL). Indonesia diperkirakan pada tahun 2030 akan memiliki penderita DM sebanyak 21,3 juta jiwa. Obat yang digunakan untuk masyarakat penderita DM saat ini adalah Meftormin terbukti memiliki efek samping yaitu flatulensi, mual, diare dan nyeri perut. Penelitian ini bertujuan untuk menguji efektivitas dan menetapkan dosis efektif kombinasi ekstrak etanol 96% daun insulin dan daun sirsak sebagai antihiperglikemik pada mencit putih jantan yang diinduksi larutan glukosa. Metode penelitian menggunakan 8 kelompok perlakuan dengan masing masing 4 ulangan, yaitu kelompok kontrol positif metformin (1,3 mg/20 g BB), kontrol negatif (akuades), kontrol normal (pakan), Dosis 1 (ekstrak daun sirsak 2,24 mg/ 20 g BB), Dosis 2 (ekstrak daun insulin 0,7 mg/20 g BB), Dosis 3 ( daun insulin 0,7 mg/ 20 g BB dan sirsak 2,24 mg/20 g BB), Dosis 4 (daun insulin 0,7 mg/ 20 g BB dan 1,12 mg/ 20 g BB), Dosis 5 (daun insulin 0,35 mg/ 20 g BB dan 2,24 mg/20 g BB). Hasil penelitian menunjukkan bahwa dengan pemberian dosis kombinasi daun insulin 0,7 mg/ 20 g BB dan daun sirsak 2,24 mg/20 g BB terbukti efektif menurunkan kadar gula darah dengan rata rata 93,15 mg/dL. Berdasarkan hasil tersebut dapat disimpulkan bahwa dosis kombinasi daun insulin dan daun sirsak berpotensi menurunkan kadar gula darah.","author":[{"dropping-particle":"","family":"Depkes","given":"","non-dropping-particle":"","parse-names":false,"suffix":""}],"container-title":"Fitofarmaka","id":"ITEM-1","issued":{"date-parts":[["2020"]]},"title":"Departemen Kesehatan Republik Indonesia. (2020). Farmakope Indonesia. Edisi VI. Jakarta : Departemen Kesehatan Republik Indonesia","type":"article-journal"},"uris":["http://www.mendeley.com/documents/?uuid=af4ea443-fe38-4d61-a2c4-9b06914da13f"]}],"mendeley":{"formattedCitation":"(Depkes, 2020)","plainTextFormattedCitation":"(Depkes, 2020)","previouslyFormattedCitation":"(Depkes, 2020)"},"properties":{"noteIndex":0},"schema":"https://github.com/citation-style-language/schema/raw/master/csl-citation.json"}</w:instrText>
      </w:r>
      <w:r>
        <w:fldChar w:fldCharType="separate"/>
      </w:r>
      <w:r w:rsidRPr="00BA5269">
        <w:rPr>
          <w:noProof/>
        </w:rPr>
        <w:t>(Depkes, 2020)</w:t>
      </w:r>
      <w:r>
        <w:fldChar w:fldCharType="end"/>
      </w:r>
      <w:r>
        <w:t xml:space="preserve">. Dalam konteks analisis kualitatif, perak nitrat digunakan secara luas sebagai pereaksi pengidentifikasi ion halida, khususnya ion klorida (Cl⁻), bromida (Br⁻), dan iodida (I⁻). Ketika AgNO₃ direaksikan dengan larutan yang mengandung ion klorida, </w:t>
      </w:r>
      <w:proofErr w:type="gramStart"/>
      <w:r>
        <w:t>akan</w:t>
      </w:r>
      <w:proofErr w:type="gramEnd"/>
      <w:r>
        <w:t xml:space="preserve"> terbentuk endapan putih perak klorida (AgCl) </w:t>
      </w:r>
      <w:r w:rsidRPr="00B30772">
        <w:t>(Vogel, 1989)</w:t>
      </w:r>
      <w:r>
        <w:t>.</w:t>
      </w:r>
    </w:p>
    <w:p w:rsidR="007A3629" w:rsidRDefault="007A3629" w:rsidP="007A3629">
      <w:pPr>
        <w:pStyle w:val="ListParagraph"/>
        <w:numPr>
          <w:ilvl w:val="0"/>
          <w:numId w:val="48"/>
        </w:numPr>
        <w:spacing w:line="480" w:lineRule="auto"/>
        <w:ind w:hanging="436"/>
        <w:jc w:val="both"/>
      </w:pPr>
      <w:r>
        <w:t>Larutan KI 10</w:t>
      </w:r>
      <w:proofErr w:type="gramStart"/>
      <w:r>
        <w:t>% ,</w:t>
      </w:r>
      <w:proofErr w:type="gramEnd"/>
      <w:r>
        <w:t xml:space="preserve"> Kalium iodida (KI) merupakan senyawa ionik yang tersusun dari ion kalium (K⁺) dan ion iodida (I⁻). Dalam bentuk larutan, KI banyak digunakan dalam berbagai bidang, termasuk kimia analitik, farmasi, kedokteran, dan pendidikan. Salah satu konsentrasi yang umum digunakan adalah larutan KI 10%, yang berarti terdapat 10 gram KI dalam setiap 100 mL larutan. Larutan KI 10% bersifat larut sempurna dalam air dan membentuk larutan bening tidak berwarna </w:t>
      </w:r>
      <w:r>
        <w:fldChar w:fldCharType="begin" w:fldLock="1"/>
      </w:r>
      <w:r>
        <w:instrText>ADDIN CSL_CITATION {"citationItems":[{"id":"ITEM-1","itemData":{"abstract":"Diabetes melitus (DM) merupakan suatu sindroma klinik yang ditandai dengan poliuri, polidipsi, dan polifagi, disertai peningkatan kadar glukosa darah atau hiperglikemia (glukosa puasa ≥ 126 mg/dL atau postprandial ≥ 200 mg/dL atau glukosa sewaktu ≥ 200 mg/dL). Indonesia diperkirakan pada tahun 2030 akan memiliki penderita DM sebanyak 21,3 juta jiwa. Obat yang digunakan untuk masyarakat penderita DM saat ini adalah Meftormin terbukti memiliki efek samping yaitu flatulensi, mual, diare dan nyeri perut. Penelitian ini bertujuan untuk menguji efektivitas dan menetapkan dosis efektif kombinasi ekstrak etanol 96% daun insulin dan daun sirsak sebagai antihiperglikemik pada mencit putih jantan yang diinduksi larutan glukosa. Metode penelitian menggunakan 8 kelompok perlakuan dengan masing masing 4 ulangan, yaitu kelompok kontrol positif metformin (1,3 mg/20 g BB), kontrol negatif (akuades), kontrol normal (pakan), Dosis 1 (ekstrak daun sirsak 2,24 mg/ 20 g BB), Dosis 2 (ekstrak daun insulin 0,7 mg/20 g BB), Dosis 3 ( daun insulin 0,7 mg/ 20 g BB dan sirsak 2,24 mg/20 g BB), Dosis 4 (daun insulin 0,7 mg/ 20 g BB dan 1,12 mg/ 20 g BB), Dosis 5 (daun insulin 0,35 mg/ 20 g BB dan 2,24 mg/20 g BB). Hasil penelitian menunjukkan bahwa dengan pemberian dosis kombinasi daun insulin 0,7 mg/ 20 g BB dan daun sirsak 2,24 mg/20 g BB terbukti efektif menurunkan kadar gula darah dengan rata rata 93,15 mg/dL. Berdasarkan hasil tersebut dapat disimpulkan bahwa dosis kombinasi daun insulin dan daun sirsak berpotensi menurunkan kadar gula darah.","author":[{"dropping-particle":"","family":"Depkes","given":"","non-dropping-particle":"","parse-names":false,"suffix":""}],"container-title":"Fitofarmaka","id":"ITEM-1","issued":{"date-parts":[["2020"]]},"title":"Departemen Kesehatan Republik Indonesia. (2020). Farmakope Indonesia. Edisi VI. Jakarta : Departemen Kesehatan Republik Indonesia","type":"article-journal"},"uris":["http://www.mendeley.com/documents/?uuid=af4ea443-fe38-4d61-a2c4-9b06914da13f"]}],"mendeley":{"formattedCitation":"(Depkes, 2020)","plainTextFormattedCitation":"(Depkes, 2020)","previouslyFormattedCitation":"(Depkes, 2020)"},"properties":{"noteIndex":0},"schema":"https://github.com/citation-style-language/schema/raw/master/csl-citation.json"}</w:instrText>
      </w:r>
      <w:r>
        <w:fldChar w:fldCharType="separate"/>
      </w:r>
      <w:r w:rsidRPr="00BA5269">
        <w:rPr>
          <w:noProof/>
        </w:rPr>
        <w:t>(Depkes, 2020)</w:t>
      </w:r>
      <w:r>
        <w:fldChar w:fldCharType="end"/>
      </w:r>
      <w:r>
        <w:t xml:space="preserve">. Dalam konteks analisis kimia, larutan ini sering digunakan sebagai pereaksi untuk mendeteksi keberadaan senyawa oksidator, seperti klorin (Cl₂), karena iodida akan bereaksi dengan senyawa oksidator tersebut membentuk iodin </w:t>
      </w:r>
      <w:r>
        <w:lastRenderedPageBreak/>
        <w:t xml:space="preserve">(I₂), yang ditandai dengan perubahan warna menjadi kuning kecokelatan atau ungu (dalam pelarut organik seperti kloroform) </w:t>
      </w:r>
      <w:r w:rsidRPr="00B30772">
        <w:t>(Vogel, 1989)</w:t>
      </w:r>
      <w:r>
        <w:t>.</w:t>
      </w:r>
    </w:p>
    <w:p w:rsidR="007A3629" w:rsidRDefault="007A3629" w:rsidP="007A3629">
      <w:pPr>
        <w:pStyle w:val="ListParagraph"/>
        <w:numPr>
          <w:ilvl w:val="0"/>
          <w:numId w:val="48"/>
        </w:numPr>
        <w:spacing w:line="480" w:lineRule="auto"/>
        <w:ind w:hanging="436"/>
        <w:jc w:val="both"/>
      </w:pPr>
      <w:r>
        <w:t xml:space="preserve">Larutan Amilum 1%, Amilum atau pati adalah polisakarida alami yang tersusun dari dua komponen utama, yaitu amilosa dan amilopektin. Dalam bidang kimia analitik, larutan amilum 1% sering digunakan sebagai indikator dalam reaksi iodometri atau iodimetri, terutama untuk mendeteksi keberadaan iodin (I₂) secara kualitatif. Larutan amilum 1% dibuat dengan </w:t>
      </w:r>
      <w:proofErr w:type="gramStart"/>
      <w:r>
        <w:t>cara</w:t>
      </w:r>
      <w:proofErr w:type="gramEnd"/>
      <w:r>
        <w:t xml:space="preserve"> memanaskan serbuk amilum dalam air hingga larut sempurna dan membentuk larutan koloid berwarna bening. Konsentrasi 1% merujuk pada penggunaan 1 gram serbuk amilum dalam 100 mL air. Dalam uji reaksi redoks, iodin (I₂) yang terbentuk </w:t>
      </w:r>
      <w:proofErr w:type="gramStart"/>
      <w:r>
        <w:t>akan</w:t>
      </w:r>
      <w:proofErr w:type="gramEnd"/>
      <w:r>
        <w:t xml:space="preserve"> bereaksi dengan amilosa dalam larutan amilum membentuk kompleks berwarna biru tua. Warna ini muncul karena terbentuknya kompleks inklusi antara rantai lurus amilosa dengan molekul I₂, di mana iodin berada di dalam heliks amilosa </w:t>
      </w:r>
      <w:r w:rsidRPr="00B30772">
        <w:t>(Vogel, 1989)</w:t>
      </w:r>
      <w:r>
        <w:t>.</w:t>
      </w:r>
    </w:p>
    <w:p w:rsidR="007A3629" w:rsidRDefault="007A3629" w:rsidP="007A3629">
      <w:pPr>
        <w:pStyle w:val="ListParagraph"/>
        <w:numPr>
          <w:ilvl w:val="0"/>
          <w:numId w:val="48"/>
        </w:numPr>
        <w:spacing w:line="480" w:lineRule="auto"/>
        <w:ind w:hanging="436"/>
        <w:jc w:val="both"/>
      </w:pPr>
      <w:r>
        <w:t>DPD (N</w:t>
      </w:r>
      <w:proofErr w:type="gramStart"/>
      <w:r>
        <w:t>,N</w:t>
      </w:r>
      <w:proofErr w:type="gramEnd"/>
      <w:r>
        <w:t xml:space="preserve">-diethyl-p-phenylenediamine) merupakan senyawa organik aromatik yang umum digunakan sebagai indikator kolorimetri dalam analisis kadar klorin di air minum, kolam renang, serta lingkungan. DPD bekerja dengan </w:t>
      </w:r>
      <w:proofErr w:type="gramStart"/>
      <w:r>
        <w:t>cara</w:t>
      </w:r>
      <w:proofErr w:type="gramEnd"/>
      <w:r>
        <w:t xml:space="preserve"> membentuk kompleks berwarna saat bereaksi dengan klorin, sehingga memudahkan analisis kadar klorin secara visual maupun dengan spektrofotometer. Dalam bentuk pereaksi DPD, senyawa ini biasanya tersedia dalam bentuk tablet, bubuk, atau larutan, dan digunakan </w:t>
      </w:r>
      <w:r>
        <w:lastRenderedPageBreak/>
        <w:t xml:space="preserve">dalam metode uji kolorimetri yang dikembangkan oleh American Public Health Association (APHA) </w:t>
      </w:r>
    </w:p>
    <w:p w:rsidR="007A3629" w:rsidRDefault="007A3629" w:rsidP="007A3629">
      <w:pPr>
        <w:pStyle w:val="ListParagraph"/>
        <w:numPr>
          <w:ilvl w:val="0"/>
          <w:numId w:val="48"/>
        </w:numPr>
        <w:spacing w:line="480" w:lineRule="auto"/>
        <w:ind w:hanging="436"/>
        <w:jc w:val="both"/>
      </w:pPr>
      <w:r>
        <w:t xml:space="preserve">Povidon iodin (juga dikenal sebagai iodopovidone) adalah senyawa kompleks antara polivinilpirolidon (PVP) dan iodin (I₂) yang umum digunakan sebagai antiseptik. Selain fungsinya di bidang medis, povidon iodin juga dapat dimanfaatkan dalam analisis kualitatif sebagai indikator keberadaan senyawa oksidator, termasuk klorin (Cl₂). Dalam pengujian bahan pangan seperti beras atau sayuran, povidon iodin digunakan sebagai pereaksi klorin karena kemampuannya menunjukkan perubahan warna ketika terjadi reaksi redoks antara senyawa iodin dan zat oksidator </w:t>
      </w:r>
      <w:r>
        <w:fldChar w:fldCharType="begin" w:fldLock="1"/>
      </w:r>
      <w:r>
        <w:instrText>ADDIN CSL_CITATION {"citationItems":[{"id":"ITEM-1","itemData":{"DOI":"10.36376/bmj.v5i2.32","ISSN":"2615-7047","abstract":"Klorin  merupakan salah satu penggunaan Bahan Makanan Tambahan yang dilarang. Menurut Peraturan Menteri Kesehatan Republik Indonesia No.033/Menkes/Per/IX/2012, bahwa klorin tidak tercatat sebagai Bahan Tambahan Pangan (BTP) dalam kelompok pemutihan dan pematang tepung.  Klorin digunakan sebagai pemutih beras yang dimaksudkan agar beras memiliki kualitas super dengan harga yang tinggi. Masyarakat akan kesulitan membedakan beras yang mengandung klorin atau tidak sehingga perlu dilakukan uji sederhana yang dapat dilakukan oleh masyarakat luas. Povidon iodine atau dikenal dengan betadine yang merupakan bahan antiseptik luka merupakan salah satu alternatif  digunakan untuk identifikasi secara kualitatif kandungan klorin baik pada makanan maupun air. Tujuan dari penelitian ini adalah untuk mengetahui apakah betadine dapat digunakan sebagai alternatif untuk identifikasi klorin pada sampel beras bermerk maupun non merk. Hasil penelitian menunjukkan bahwa betadine dapat digunakan sebagai indikator identifikasi klorin pada sampel beras yang dijual di pasaran.  Sepuluh  sampel beras yang diidentifikasi dua diantaranya  terindikasi positif mengandung pemutih klorin. Sampel beras positif mengandung klorin jika setelah penambahan dengan betadine menghasilkan warna putih keruh. Uji penegasan dilakukan dengan menambahkan larutan amilum dan KI 10%  pada sampel beras dan menghasilkan warna biru kehitaman.\r  \r Kata kunci : beras, pemutih, klor, betadine\r  \r  \r ABSTRACT\r Chlorine is one of the prohibited uses of Foodstuffs. According to the Regulation of the Minister of Health of the Republic of Indonesia No.033 / Menkes / Per / IX / 2012, that chlorine is not recorded as a Food Additives (BTP) in the bleaching and flour milling group. Chlorine is used as rice bleach which is intended to have a super quality rice at a high price. The community will find it difficult to distinguish whether or not rice contains chlorine or not, so a simple test can be carried out by the community. Povidon iodine, also known as betadine, which is an antiseptic wound, is one alternative used to qualitative identify chlorine content in food and water. The purpose of this study was to determine whether betadine can be used as an alternative for identification of chlorine in samples of branded and non-branded rice. The results showed that betadine could be used as an indicator of chlorine identification in rice samples sold in the market. Ten rice samples were identified, two of which were indica…","author":[{"dropping-particle":"","family":"Sudarma","given":"Nyoman","non-dropping-particle":"","parse-names":false,"suffix":""},{"dropping-particle":"","family":"Idayani","given":"Sri","non-dropping-particle":"","parse-names":false,"suffix":""},{"dropping-particle":"","family":"Setiawan","given":"Didik","non-dropping-particle":"","parse-names":false,"suffix":""},{"dropping-particle":"","family":"Dharmawan","given":"Putu Oka","non-dropping-particle":"","parse-names":false,"suffix":""}],"container-title":"Bali Medika Jurnal","id":"ITEM-1","issue":"2","issued":{"date-parts":[["2018"]]},"page":"157-164","title":"Pemanfaatan Betadine Sebagai Indikator Uji Klorin Pada Beras Berpemutih","type":"article-journal","volume":"5"},"uris":["http://www.mendeley.com/documents/?uuid=0dafd771-57a9-4ea9-b8a3-7e1af4b5b708"]}],"mendeley":{"formattedCitation":"(Sudarma et al., 2018)","plainTextFormattedCitation":"(Sudarma et al., 2018)","previouslyFormattedCitation":"(Sudarma et al., 2018)"},"properties":{"noteIndex":0},"schema":"https://github.com/citation-style-language/schema/raw/master/csl-citation.json"}</w:instrText>
      </w:r>
      <w:r>
        <w:fldChar w:fldCharType="separate"/>
      </w:r>
      <w:r w:rsidRPr="00042157">
        <w:rPr>
          <w:noProof/>
        </w:rPr>
        <w:t>(Sudarma et al., 2018)</w:t>
      </w:r>
      <w:r>
        <w:fldChar w:fldCharType="end"/>
      </w:r>
    </w:p>
    <w:p w:rsidR="007A3629" w:rsidRPr="00861BFB" w:rsidRDefault="007A3629" w:rsidP="007A3629">
      <w:pPr>
        <w:pStyle w:val="Heading2"/>
        <w:ind w:left="709" w:hanging="709"/>
      </w:pPr>
      <w:bookmarkStart w:id="22" w:name="_Toc231291379"/>
      <w:r>
        <w:t xml:space="preserve">2.9 </w:t>
      </w:r>
      <w:r>
        <w:tab/>
        <w:t>Spektrofotomet</w:t>
      </w:r>
      <w:r w:rsidRPr="00861BFB">
        <w:t>ri</w:t>
      </w:r>
      <w:bookmarkEnd w:id="22"/>
      <w:r w:rsidRPr="00861BFB">
        <w:t xml:space="preserve"> </w:t>
      </w:r>
    </w:p>
    <w:p w:rsidR="007A3629" w:rsidRDefault="007A3629" w:rsidP="007A3629">
      <w:pPr>
        <w:pStyle w:val="ListParagraph"/>
        <w:spacing w:line="480" w:lineRule="auto"/>
        <w:ind w:left="0" w:firstLine="709"/>
        <w:jc w:val="both"/>
      </w:pPr>
      <w:r>
        <w:t xml:space="preserve">Spektrofotometri merupakan suatu metoda analisa yang didasarkan pada pengukuran serapan sinar monokromatis oleh suatu lajur larutan berwarna pada panjang gelombang spesifik dengan menggunakan monokromator prisma atau </w:t>
      </w:r>
      <w:proofErr w:type="gramStart"/>
      <w:r>
        <w:t>kisi</w:t>
      </w:r>
      <w:proofErr w:type="gramEnd"/>
      <w:r>
        <w:t xml:space="preserve"> difraksi dengan detektor fototube. Seperti spektrometri, spektrofotometri juga merupakan teknik pengukuran jumlah zat yang juga berdasar spektroskopi. Namun lebih spesifik pada panjang gelombang tertentu, misalnya: UV (Ultraviolet), visible, dan infra merah. </w:t>
      </w:r>
    </w:p>
    <w:p w:rsidR="007A3629" w:rsidRDefault="007A3629" w:rsidP="007A3629">
      <w:pPr>
        <w:pStyle w:val="ListParagraph"/>
        <w:spacing w:line="480" w:lineRule="auto"/>
        <w:ind w:left="0" w:firstLine="709"/>
        <w:jc w:val="both"/>
      </w:pPr>
      <w:r>
        <w:t xml:space="preserve">Spektrofotometri dimasukkan ke dalam elektromagnetik spektroskopi. Alat yang digunakan dalam spektrofotometri disebut spektrofotometer. Alat ini termasuk ke dalam jenis fotometer, suatu alat untuk mengukur intensitas cahaya. Spektrofotometer dapat mengukur intensitas sebagai fungsi dari warna, atau </w:t>
      </w:r>
      <w:r>
        <w:lastRenderedPageBreak/>
        <w:t xml:space="preserve">secara lebih khusus, fungsi panjang gelombang. Itulah sebabnya untuk spektro UV/Vis disebut spektrofotometer UV-Vis, tidak Spektrometer Uv-Vis. Sebetulnya tidak salah juga menggunakan istilah spektrometer untuk Uv-Vis. Namun kurang tepat, kata spektrometer mengandung makna lebih luas daripada spektrofotometer </w:t>
      </w:r>
      <w:r>
        <w:fldChar w:fldCharType="begin" w:fldLock="1"/>
      </w:r>
      <w: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approach.","author":[{"dropping-particle":"","family":"Yudono","given":"Bambang","non-dropping-particle":"","parse-names":false,"suffix":""}],"container-title":"Sustainability (Switzerland)","id":"ITEM-1","issue":"1","issued":{"date-parts":[["2019"]]},"number-of-pages":"1-14","title":"spektrometri","type":"book","volume":"11"},"uris":["http://www.mendeley.com/documents/?uuid=6bf1754f-b83d-4267-9f81-21eab8f79440"]}],"mendeley":{"formattedCitation":"(Yudono, 2019)","plainTextFormattedCitation":"(Yudono, 2019)","previouslyFormattedCitation":"(Yudono, 2019)"},"properties":{"noteIndex":0},"schema":"https://github.com/citation-style-language/schema/raw/master/csl-citation.json"}</w:instrText>
      </w:r>
      <w:r>
        <w:fldChar w:fldCharType="separate"/>
      </w:r>
      <w:r w:rsidRPr="006D5D9F">
        <w:rPr>
          <w:noProof/>
        </w:rPr>
        <w:t>(Yudono, 2019)</w:t>
      </w:r>
      <w:r>
        <w:fldChar w:fldCharType="end"/>
      </w:r>
      <w:r>
        <w:t xml:space="preserve">. </w:t>
      </w:r>
    </w:p>
    <w:p w:rsidR="007A3629" w:rsidRDefault="007A3629" w:rsidP="007A3629">
      <w:pPr>
        <w:pStyle w:val="Heading3"/>
        <w:ind w:left="709" w:hanging="709"/>
      </w:pPr>
      <w:bookmarkStart w:id="23" w:name="_Toc231291380"/>
      <w:r>
        <w:t>2.9</w:t>
      </w:r>
      <w:r w:rsidRPr="00C517AE">
        <w:t xml:space="preserve">.1 </w:t>
      </w:r>
      <w:r>
        <w:tab/>
      </w:r>
      <w:proofErr w:type="gramStart"/>
      <w:r w:rsidRPr="00C517AE">
        <w:t>spekt</w:t>
      </w:r>
      <w:r>
        <w:t>r</w:t>
      </w:r>
      <w:r w:rsidRPr="00C517AE">
        <w:t>ofotometer</w:t>
      </w:r>
      <w:proofErr w:type="gramEnd"/>
      <w:r w:rsidRPr="00C517AE">
        <w:t xml:space="preserve"> Uv-Vis</w:t>
      </w:r>
      <w:bookmarkEnd w:id="23"/>
    </w:p>
    <w:p w:rsidR="007A3629" w:rsidRDefault="007A3629" w:rsidP="007A3629">
      <w:pPr>
        <w:spacing w:line="480" w:lineRule="auto"/>
        <w:ind w:firstLine="709"/>
        <w:jc w:val="both"/>
        <w:rPr>
          <w:lang w:val="fi-FI"/>
        </w:rPr>
      </w:pPr>
      <w:r>
        <w:t xml:space="preserve">Ultraviolet jauh memiliki rentang panjang gelombang ± 10 – 200 nm, sedangkan ultraviolet dekat memiliki rentang panjang gelombang ± 200-400 nm. Cahaya UV tidak bisa dilihat oleh manusia, namun beberapa hewan, termasuk burung, reptil dan serangga seperti lebah dapat melihat sinar pada panjang gelombang UV. </w:t>
      </w:r>
      <w:r w:rsidRPr="00FC3C46">
        <w:rPr>
          <w:lang w:val="fi-FI"/>
        </w:rPr>
        <w:t xml:space="preserve">Interaksi senyawa organik dengan sinar ultraviolet dan sinar tampak, dapat digunakan untuk menentukan struktur molekul senyawa organik. Bagian dari molekul yang paling cepat bereaksi dengan sinar tersebut adalah elektron-elektron ikatan dan elektron-elektron nonikatan (elektron bebas). Sinar ultralembayung dan sinar tampak merupakan energi, yang bila mengenai elektron-elektron tersebut, maka elektron akan tereksitasi dari keadaan dasar ke tingkat energi yang lebih tinggi, eksitasi elektron-elektron ini direkam dalam bentuk spektrum yang dinyatakan sebagai panjang gelombang dan absorbansi, sesuai dengan jenis elektron-elektron yang terdapat dalam molekul yang dianalisis  </w:t>
      </w:r>
      <w:r>
        <w:fldChar w:fldCharType="begin" w:fldLock="1"/>
      </w:r>
      <w:r w:rsidRPr="00FC3C46">
        <w:rPr>
          <w:lang w:val="fi-FI"/>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instrText>α</w:instrText>
      </w:r>
      <w:r w:rsidRPr="00FC3C46">
        <w:rPr>
          <w:lang w:val="fi-FI"/>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approach.","author":[{"dropping-particle":"","family":"suhartati","given":"tati","non-dropping-particle":"","parse-names":false,"suffix":""}],"container-title":"Sustainability (Switzerland)","id":"ITEM-1","issue":"1","issued":{"date-parts":[["2019"]]},"page":"1-14","title":"Dasar dasar spektrofotometri uv-vis dan spektrometri massa untuk penentuan struktur senyawa oragnik","type":"article-journal","volume":"11"},"uris":["http://www.mendeley.com/documents/?uuid=cbfeee68-85e8-41ed-a236-44b260a1876a"]}],"mendeley":{"formattedCitation":"(suhartati, 2019)","plainTextFormattedCitation":"(suhartati, 2019)","previouslyFormattedCitation":"(suhartati, 2019)"},"properties":{"noteIndex":0},"schema":"https://github.com/citation-style-language/schema/raw/master/csl-citation.json"}</w:instrText>
      </w:r>
      <w:r>
        <w:fldChar w:fldCharType="separate"/>
      </w:r>
      <w:r w:rsidRPr="00FC3C46">
        <w:rPr>
          <w:noProof/>
          <w:lang w:val="fi-FI"/>
        </w:rPr>
        <w:t>(suhartati, 2019)</w:t>
      </w:r>
      <w:r>
        <w:fldChar w:fldCharType="end"/>
      </w:r>
      <w:r w:rsidRPr="00FC3C46">
        <w:rPr>
          <w:lang w:val="fi-FI"/>
        </w:rPr>
        <w:t xml:space="preserve">. </w:t>
      </w:r>
    </w:p>
    <w:p w:rsidR="007A3629" w:rsidRPr="00D84F35" w:rsidRDefault="007A3629" w:rsidP="007A3629">
      <w:pPr>
        <w:spacing w:line="480" w:lineRule="auto"/>
        <w:ind w:firstLine="709"/>
        <w:jc w:val="both"/>
        <w:rPr>
          <w:lang w:val="fi-FI"/>
        </w:rPr>
      </w:pPr>
      <w:r w:rsidRPr="00FC3C46">
        <w:rPr>
          <w:lang w:val="fi-FI"/>
        </w:rPr>
        <w:t xml:space="preserve">Semakin mudah elektron-elektron bereksitasi makin besar panjang gelombang yang diabsorbsi, makin banyak elektron yang bereksitasi makin tinggi absorban. Pada spektrofotometri UV-Vis ada beberapa istilah yang digunakan </w:t>
      </w:r>
      <w:r w:rsidRPr="00FC3C46">
        <w:rPr>
          <w:lang w:val="fi-FI"/>
        </w:rPr>
        <w:lastRenderedPageBreak/>
        <w:t xml:space="preserve">terkait dengan molekul, yaitu kromofor, auksokrom, efek batokromik atau pergeseran merah, efek hipokromik atau pergeseran biru, hipsokromik, dan hipokromik. Kromofor adalah molekul atau bagian molekul yang mengabsorbsi sinar dengan kuat di daerah UV-Vis, misalnya heksana, aseton, asetilen, benzena, karbonil, karbondioksida, karbonmonooksida, gas nitrogen. Auksokrom adalah gugus fungsi yang mengandung pasangan elektron bebas berikatan kovalen tunggal, yang terikat pada kromofor yang mengintensifkan absorbsi sinar UV-Vis pada kromofor tersebut, baik panjang gelombang maupun intensitasnya, misalnya gugus hidroksi, amina, halida, alkoksi  </w:t>
      </w:r>
      <w:r>
        <w:fldChar w:fldCharType="begin" w:fldLock="1"/>
      </w:r>
      <w:r w:rsidRPr="00FC3C46">
        <w:rPr>
          <w:lang w:val="fi-FI"/>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instrText>α</w:instrText>
      </w:r>
      <w:r w:rsidRPr="00FC3C46">
        <w:rPr>
          <w:lang w:val="fi-FI"/>
        </w:rPr>
        <w:instrText xml:space="preserve">-helical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w:instrText>
      </w:r>
      <w:r w:rsidRPr="00B21B09">
        <w:rPr>
          <w:lang w:val="fi-FI"/>
        </w:rPr>
        <w:instrText>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approach.","author":[{"dropping-particle":"","family":"suhartati","given":"tati","non-dropping-particle":"","parse-names":false,"suffix":""}],"container-title":"Sustainability (Switzerland)","id":"ITEM-1","issue":"1","issued":{"date-parts":[["2019"]]},"page":"1-14","title":"Dasar dasar spektrofotometri uv-vis dan spektrometri massa untuk penentuan struktur senyawa oragnik","type":"article-journal","volume":"11"},"uris":["http://www.mendeley.com/documents/?uuid=cbfeee68-85e8-41ed-a236-44b260a1876a"]}],"mendeley":{"formattedCitation":"(suhartati, 2019)","plainTextFormattedCitation":"(suhartati, 2019)","previouslyFormattedCitation":"(suhartati, 2019)"</w:instrText>
      </w:r>
      <w:r>
        <w:instrText>},"properties":{"noteIndex":0},"schema":"https://github.com/citation-style-language/schema/raw/master/csl-citation.json"}</w:instrText>
      </w:r>
      <w:r>
        <w:fldChar w:fldCharType="separate"/>
      </w:r>
      <w:r w:rsidRPr="00BF0573">
        <w:rPr>
          <w:noProof/>
        </w:rPr>
        <w:t>(suhartati, 2019)</w:t>
      </w:r>
      <w:r>
        <w:fldChar w:fldCharType="end"/>
      </w:r>
      <w:r>
        <w:t>.</w:t>
      </w:r>
    </w:p>
    <w:p w:rsidR="007A3629" w:rsidRDefault="007A3629" w:rsidP="007A3629">
      <w:pPr>
        <w:pStyle w:val="Heading3"/>
        <w:spacing w:line="360" w:lineRule="auto"/>
        <w:ind w:left="709" w:hanging="709"/>
      </w:pPr>
      <w:bookmarkStart w:id="24" w:name="_Toc231291381"/>
      <w:r>
        <w:t xml:space="preserve">2.9.2 </w:t>
      </w:r>
      <w:r>
        <w:tab/>
      </w:r>
      <w:r w:rsidRPr="009C27EF">
        <w:t>Tipe-tipe Spektrofotometer UV-Vis</w:t>
      </w:r>
      <w:bookmarkEnd w:id="24"/>
    </w:p>
    <w:p w:rsidR="007A3629" w:rsidRPr="009A1B6B" w:rsidRDefault="007A3629" w:rsidP="007A3629">
      <w:pPr>
        <w:spacing w:line="480" w:lineRule="auto"/>
        <w:ind w:firstLine="709"/>
        <w:jc w:val="both"/>
        <w:rPr>
          <w:b/>
          <w:bCs/>
        </w:rPr>
      </w:pPr>
      <w:r>
        <w:t xml:space="preserve">Pada umumnya terdapat dua tipe instrumen spektrofotometer, yaitu single-beam dan double-beam. </w:t>
      </w:r>
    </w:p>
    <w:p w:rsidR="007A3629" w:rsidRPr="009A1B6B" w:rsidRDefault="007A3629" w:rsidP="007A3629">
      <w:pPr>
        <w:pStyle w:val="ListParagraph"/>
        <w:numPr>
          <w:ilvl w:val="0"/>
          <w:numId w:val="13"/>
        </w:numPr>
        <w:spacing w:line="360" w:lineRule="auto"/>
        <w:jc w:val="both"/>
        <w:rPr>
          <w:b/>
          <w:bCs/>
        </w:rPr>
      </w:pPr>
      <w:r>
        <w:t xml:space="preserve">Single-beam instrument </w:t>
      </w:r>
    </w:p>
    <w:p w:rsidR="007A3629" w:rsidRDefault="007A3629" w:rsidP="007A3629">
      <w:pPr>
        <w:pStyle w:val="ListParagraph"/>
        <w:spacing w:line="480" w:lineRule="auto"/>
        <w:ind w:left="0" w:firstLine="720"/>
        <w:jc w:val="both"/>
      </w:pPr>
      <w:r>
        <w:t xml:space="preserve">Single-beam instrument, dapat digunakan untuk kuantitatif dengan mengukur absorbansi pada panjang gelombang tunggal. Single-beam instrument mempunyai beberapa keuntungan yaitu sederhana, harganya murah, dan mengurangi biaya yang ada merupakan keuntungan yang nyata. Beberapa instrumen menghasilkan single-beam instrument untuk pengukuran sinar ultra violet dan sinar tampak. Panjang gelombang paling rendah adalah 190 sampai 210 nm dan paling tinggi adalah 800 sampai 1000 nm  </w:t>
      </w:r>
      <w:r>
        <w:fldChar w:fldCharType="begin" w:fldLock="1"/>
      </w:r>
      <w: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approach.","author":[{"dropping-particle":"","family":"suhartati","given":"tati","non-dropping-particle":"","parse-names":false,"suffix":""}],"container-title":"Sustainability (Switzerland)","id":"ITEM-1","issue":"1","issued":{"date-parts":[["2019"]]},"page":"1-14","title":"Dasar dasar spektrofotometri uv-vis dan spektrometri massa untuk penentuan struktur senyawa oragnik","type":"article-journal","volume":"11"},"uris":["http://www.mendeley.com/documents/?uuid=cbfeee68-85e8-41ed-a236-44b260a1876a"]}],"mendeley":{"formattedCitation":"(suhartati, 2019)","plainTextFormattedCitation":"(suhartati, 2019)","previouslyFormattedCitation":"(suhartati, 2019)"},"properties":{"noteIndex":0},"schema":"https://github.com/citation-style-language/schema/raw/master/csl-citation.json"}</w:instrText>
      </w:r>
      <w:r>
        <w:fldChar w:fldCharType="separate"/>
      </w:r>
      <w:r w:rsidRPr="00BF0573">
        <w:rPr>
          <w:noProof/>
        </w:rPr>
        <w:t>(suhartati, 2019)</w:t>
      </w:r>
      <w:r>
        <w:fldChar w:fldCharType="end"/>
      </w:r>
      <w:r>
        <w:t>.</w:t>
      </w:r>
    </w:p>
    <w:p w:rsidR="007A3629" w:rsidRPr="009A1B6B" w:rsidRDefault="007A3629" w:rsidP="007A3629">
      <w:pPr>
        <w:pStyle w:val="ListParagraph"/>
        <w:ind w:left="0"/>
        <w:jc w:val="both"/>
        <w:rPr>
          <w:b/>
          <w:bCs/>
        </w:rPr>
      </w:pPr>
      <w:r>
        <w:rPr>
          <w:b/>
          <w:bCs/>
        </w:rPr>
        <w:lastRenderedPageBreak/>
        <w:t xml:space="preserve">        </w:t>
      </w:r>
      <w:r w:rsidRPr="009A1B6B">
        <w:rPr>
          <w:b/>
          <w:bCs/>
          <w:noProof/>
        </w:rPr>
        <w:drawing>
          <wp:inline distT="0" distB="0" distL="0" distR="0" wp14:anchorId="3E456120" wp14:editId="06ABCE2A">
            <wp:extent cx="4342788" cy="1787856"/>
            <wp:effectExtent l="0" t="0" r="63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348954" cy="1790394"/>
                    </a:xfrm>
                    <a:prstGeom prst="rect">
                      <a:avLst/>
                    </a:prstGeom>
                  </pic:spPr>
                </pic:pic>
              </a:graphicData>
            </a:graphic>
          </wp:inline>
        </w:drawing>
      </w:r>
    </w:p>
    <w:p w:rsidR="007A3629" w:rsidRDefault="007A3629" w:rsidP="007A3629">
      <w:pPr>
        <w:pStyle w:val="Caption"/>
        <w:jc w:val="center"/>
        <w:rPr>
          <w:color w:val="0D0D0D" w:themeColor="text1" w:themeTint="F2"/>
          <w:sz w:val="24"/>
          <w:szCs w:val="24"/>
        </w:rPr>
      </w:pPr>
    </w:p>
    <w:p w:rsidR="007A3629" w:rsidRPr="00C61AC0" w:rsidRDefault="007A3629" w:rsidP="007A3629">
      <w:pPr>
        <w:pStyle w:val="Caption"/>
        <w:jc w:val="center"/>
        <w:rPr>
          <w:color w:val="0D0D0D" w:themeColor="text1" w:themeTint="F2"/>
          <w:sz w:val="24"/>
          <w:szCs w:val="24"/>
        </w:rPr>
      </w:pPr>
      <w:bookmarkStart w:id="25" w:name="_Toc231291698"/>
      <w:r w:rsidRPr="00C61AC0">
        <w:rPr>
          <w:color w:val="0D0D0D" w:themeColor="text1" w:themeTint="F2"/>
          <w:sz w:val="24"/>
          <w:szCs w:val="24"/>
        </w:rPr>
        <w:t xml:space="preserve">Gambar 2. </w:t>
      </w:r>
      <w:r w:rsidRPr="00C61AC0">
        <w:rPr>
          <w:color w:val="0D0D0D" w:themeColor="text1" w:themeTint="F2"/>
          <w:sz w:val="24"/>
          <w:szCs w:val="24"/>
        </w:rPr>
        <w:fldChar w:fldCharType="begin"/>
      </w:r>
      <w:r w:rsidRPr="00C61AC0">
        <w:rPr>
          <w:color w:val="0D0D0D" w:themeColor="text1" w:themeTint="F2"/>
          <w:sz w:val="24"/>
          <w:szCs w:val="24"/>
        </w:rPr>
        <w:instrText xml:space="preserve"> SEQ Gambar_2. \* ARABIC </w:instrText>
      </w:r>
      <w:r w:rsidRPr="00C61AC0">
        <w:rPr>
          <w:color w:val="0D0D0D" w:themeColor="text1" w:themeTint="F2"/>
          <w:sz w:val="24"/>
          <w:szCs w:val="24"/>
        </w:rPr>
        <w:fldChar w:fldCharType="separate"/>
      </w:r>
      <w:r>
        <w:rPr>
          <w:noProof/>
          <w:color w:val="0D0D0D" w:themeColor="text1" w:themeTint="F2"/>
          <w:sz w:val="24"/>
          <w:szCs w:val="24"/>
        </w:rPr>
        <w:t>6</w:t>
      </w:r>
      <w:r w:rsidRPr="00C61AC0">
        <w:rPr>
          <w:color w:val="0D0D0D" w:themeColor="text1" w:themeTint="F2"/>
          <w:sz w:val="24"/>
          <w:szCs w:val="24"/>
        </w:rPr>
        <w:fldChar w:fldCharType="end"/>
      </w:r>
      <w:r w:rsidRPr="00C61AC0">
        <w:rPr>
          <w:color w:val="0D0D0D" w:themeColor="text1" w:themeTint="F2"/>
          <w:sz w:val="24"/>
          <w:szCs w:val="24"/>
        </w:rPr>
        <w:t xml:space="preserve"> </w:t>
      </w:r>
      <w:r w:rsidRPr="00C61AC0">
        <w:rPr>
          <w:b w:val="0"/>
          <w:color w:val="0D0D0D" w:themeColor="text1" w:themeTint="F2"/>
          <w:sz w:val="24"/>
          <w:szCs w:val="24"/>
        </w:rPr>
        <w:t>Diagram alat spektrofotometer UV-Vis (single beam)</w:t>
      </w:r>
      <w:r>
        <w:rPr>
          <w:b w:val="0"/>
          <w:color w:val="0D0D0D" w:themeColor="text1" w:themeTint="F2"/>
          <w:sz w:val="24"/>
          <w:szCs w:val="24"/>
        </w:rPr>
        <w:t xml:space="preserve"> </w:t>
      </w:r>
      <w:r w:rsidRPr="00C61AC0">
        <w:rPr>
          <w:b w:val="0"/>
          <w:color w:val="0D0D0D" w:themeColor="text1" w:themeTint="F2"/>
          <w:sz w:val="24"/>
          <w:szCs w:val="24"/>
        </w:rPr>
        <w:fldChar w:fldCharType="begin" w:fldLock="1"/>
      </w:r>
      <w:r w:rsidRPr="00C61AC0">
        <w:rPr>
          <w:b w:val="0"/>
          <w:color w:val="0D0D0D" w:themeColor="text1" w:themeTint="F2"/>
          <w:sz w:val="24"/>
          <w:szCs w:val="24"/>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approach.","author":[{"dropping-particle":"","family":"suhartati","given":"tati","non-dropping-particle":"","parse-names":false,"suffix":""}],"container-title":"Sustainability (Switzerland)","id":"ITEM-1","issue":"1","issued":{"date-parts":[["2019"]]},"page":"1-14","title":"Dasar dasar spektrofotometri uv-vis dan spektrometri massa untuk penentuan struktur senyawa oragnik","type":"article-journal","volume":"11"},"uris":["http://www.mendeley.com/documents/?uuid=cbfeee68-85e8-41ed-a236-44b260a1876a"]}],"mendeley":{"formattedCitation":"(suhartati, 2019)","plainTextFormattedCitation":"(suhartati, 2019)","previouslyFormattedCitation":"(suhartati, 2019)"},"properties":{"noteIndex":0},"schema":"https://github.com/citation-style-language/schema/raw/master/csl-citation.json"}</w:instrText>
      </w:r>
      <w:r w:rsidRPr="00C61AC0">
        <w:rPr>
          <w:b w:val="0"/>
          <w:color w:val="0D0D0D" w:themeColor="text1" w:themeTint="F2"/>
          <w:sz w:val="24"/>
          <w:szCs w:val="24"/>
        </w:rPr>
        <w:fldChar w:fldCharType="separate"/>
      </w:r>
      <w:r w:rsidRPr="00C61AC0">
        <w:rPr>
          <w:b w:val="0"/>
          <w:noProof/>
          <w:color w:val="0D0D0D" w:themeColor="text1" w:themeTint="F2"/>
          <w:sz w:val="24"/>
          <w:szCs w:val="24"/>
        </w:rPr>
        <w:t>(suhartati, 2019)</w:t>
      </w:r>
      <w:r w:rsidRPr="00C61AC0">
        <w:rPr>
          <w:b w:val="0"/>
          <w:color w:val="0D0D0D" w:themeColor="text1" w:themeTint="F2"/>
          <w:sz w:val="24"/>
          <w:szCs w:val="24"/>
        </w:rPr>
        <w:fldChar w:fldCharType="end"/>
      </w:r>
      <w:r w:rsidRPr="00C61AC0">
        <w:rPr>
          <w:b w:val="0"/>
          <w:color w:val="0D0D0D" w:themeColor="text1" w:themeTint="F2"/>
          <w:sz w:val="24"/>
          <w:szCs w:val="24"/>
        </w:rPr>
        <w:t>.</w:t>
      </w:r>
      <w:bookmarkEnd w:id="25"/>
    </w:p>
    <w:p w:rsidR="007A3629" w:rsidRDefault="007A3629" w:rsidP="007A3629">
      <w:pPr>
        <w:pStyle w:val="ListParagraph"/>
        <w:numPr>
          <w:ilvl w:val="0"/>
          <w:numId w:val="13"/>
        </w:numPr>
        <w:spacing w:line="480" w:lineRule="auto"/>
        <w:jc w:val="both"/>
      </w:pPr>
      <w:r>
        <w:t xml:space="preserve">Double-beam instrument </w:t>
      </w:r>
    </w:p>
    <w:p w:rsidR="007A3629" w:rsidRDefault="007A3629" w:rsidP="007A3629">
      <w:pPr>
        <w:spacing w:line="480" w:lineRule="auto"/>
        <w:ind w:firstLine="720"/>
        <w:jc w:val="both"/>
      </w:pPr>
      <w:proofErr w:type="gramStart"/>
      <w:r>
        <w:t>mempunyai</w:t>
      </w:r>
      <w:proofErr w:type="gramEnd"/>
      <w:r>
        <w:t xml:space="preserve"> dua sinar yang dibentuk oleh potongan cermin yang berbentuk V yang disebut pemecah sinar. </w:t>
      </w:r>
      <w:r w:rsidRPr="00FC3C46">
        <w:rPr>
          <w:lang w:val="fi-FI"/>
        </w:rPr>
        <w:t xml:space="preserve">Sinar pertama melewati larutan blanko dan sinar kedua secara serentak melewati sampel. Sumber sinar polikromatis untuk sinar UV adalah lampu deuterium, sedangkan sinar Visibel atau sinar tampak adalah lampu wolfram. Monokromator pada spektrometer UV-Vis menggunakan lensa prisma dan filter optik. Wadah sampel berupa kuvet yang terbuat dari kuarsa atau gelas dengan lebar yang bervariasi. Detektor berupa detektor foto atau detektor panas atau detektor dioda foto, berfungsi menangkap cahaya yang diteruskan dari sampel dan mengubahnya menjadi arus listrik. </w:t>
      </w:r>
      <w:r>
        <w:t xml:space="preserve">Doublebeam dibuat untuk digunakan pada panjang gelombang 190 sampai 750 nm  </w:t>
      </w:r>
      <w:r>
        <w:fldChar w:fldCharType="begin" w:fldLock="1"/>
      </w:r>
      <w: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approach.","author":[{"dropping-particle":"","family":"suhartati","given":"tati","non-dropping-particle":"","parse-names":false,"suffix":""}],"container-title":"Sustainability (Switzerland)","id":"ITEM-1","issue":"1","issued":{"date-parts":[["2019"]]},"page":"1-14","title":"Dasar dasar spektrofotometri uv-vis dan spektrometri massa untuk penentuan struktur senyawa oragnik","type":"article-journal","volume":"11"},"uris":["http://www.mendeley.com/documents/?uuid=cbfeee68-85e8-41ed-a236-44b260a1876a"]}],"mendeley":{"formattedCitation":"(suhartati, 2019)","plainTextFormattedCitation":"(suhartati, 2019)","previouslyFormattedCitation":"(suhartati, 2019)"},"properties":{"noteIndex":0},"schema":"https://github.com/citation-style-language/schema/raw/master/csl-citation.json"}</w:instrText>
      </w:r>
      <w:r>
        <w:fldChar w:fldCharType="separate"/>
      </w:r>
      <w:r w:rsidRPr="00BF0573">
        <w:rPr>
          <w:noProof/>
        </w:rPr>
        <w:t>(suhartati, 2019)</w:t>
      </w:r>
      <w:r>
        <w:fldChar w:fldCharType="end"/>
      </w:r>
      <w:r>
        <w:t>.</w:t>
      </w:r>
    </w:p>
    <w:p w:rsidR="007A3629" w:rsidRDefault="007A3629" w:rsidP="007A3629">
      <w:pPr>
        <w:spacing w:line="480" w:lineRule="auto"/>
        <w:ind w:firstLine="720"/>
        <w:jc w:val="both"/>
      </w:pPr>
      <w:r w:rsidRPr="00C50B47">
        <w:rPr>
          <w:noProof/>
        </w:rPr>
        <w:lastRenderedPageBreak/>
        <w:drawing>
          <wp:inline distT="0" distB="0" distL="0" distR="0" wp14:anchorId="0140560F" wp14:editId="1C321BF3">
            <wp:extent cx="3893820" cy="2202180"/>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893820" cy="2202180"/>
                    </a:xfrm>
                    <a:prstGeom prst="rect">
                      <a:avLst/>
                    </a:prstGeom>
                  </pic:spPr>
                </pic:pic>
              </a:graphicData>
            </a:graphic>
          </wp:inline>
        </w:drawing>
      </w:r>
    </w:p>
    <w:p w:rsidR="007A3629" w:rsidRPr="00C61AC0" w:rsidRDefault="007A3629" w:rsidP="007A3629">
      <w:pPr>
        <w:pStyle w:val="Caption"/>
        <w:jc w:val="center"/>
        <w:rPr>
          <w:color w:val="0D0D0D" w:themeColor="text1" w:themeTint="F2"/>
          <w:sz w:val="24"/>
          <w:szCs w:val="24"/>
        </w:rPr>
      </w:pPr>
      <w:bookmarkStart w:id="26" w:name="_Toc231291699"/>
      <w:r w:rsidRPr="00C61AC0">
        <w:rPr>
          <w:color w:val="0D0D0D" w:themeColor="text1" w:themeTint="F2"/>
          <w:sz w:val="24"/>
          <w:szCs w:val="24"/>
        </w:rPr>
        <w:t xml:space="preserve">Gambar 2. </w:t>
      </w:r>
      <w:r w:rsidRPr="00C61AC0">
        <w:rPr>
          <w:color w:val="0D0D0D" w:themeColor="text1" w:themeTint="F2"/>
          <w:sz w:val="24"/>
          <w:szCs w:val="24"/>
        </w:rPr>
        <w:fldChar w:fldCharType="begin"/>
      </w:r>
      <w:r w:rsidRPr="00C61AC0">
        <w:rPr>
          <w:color w:val="0D0D0D" w:themeColor="text1" w:themeTint="F2"/>
          <w:sz w:val="24"/>
          <w:szCs w:val="24"/>
        </w:rPr>
        <w:instrText xml:space="preserve"> SEQ Gambar_2. \* ARABIC </w:instrText>
      </w:r>
      <w:r w:rsidRPr="00C61AC0">
        <w:rPr>
          <w:color w:val="0D0D0D" w:themeColor="text1" w:themeTint="F2"/>
          <w:sz w:val="24"/>
          <w:szCs w:val="24"/>
        </w:rPr>
        <w:fldChar w:fldCharType="separate"/>
      </w:r>
      <w:r>
        <w:rPr>
          <w:noProof/>
          <w:color w:val="0D0D0D" w:themeColor="text1" w:themeTint="F2"/>
          <w:sz w:val="24"/>
          <w:szCs w:val="24"/>
        </w:rPr>
        <w:t>7</w:t>
      </w:r>
      <w:r w:rsidRPr="00C61AC0">
        <w:rPr>
          <w:color w:val="0D0D0D" w:themeColor="text1" w:themeTint="F2"/>
          <w:sz w:val="24"/>
          <w:szCs w:val="24"/>
        </w:rPr>
        <w:fldChar w:fldCharType="end"/>
      </w:r>
      <w:r w:rsidRPr="00C61AC0">
        <w:rPr>
          <w:color w:val="0D0D0D" w:themeColor="text1" w:themeTint="F2"/>
          <w:sz w:val="24"/>
          <w:szCs w:val="24"/>
        </w:rPr>
        <w:t xml:space="preserve"> </w:t>
      </w:r>
      <w:r w:rsidRPr="00C61AC0">
        <w:rPr>
          <w:i/>
          <w:color w:val="0D0D0D" w:themeColor="text1" w:themeTint="F2"/>
          <w:sz w:val="24"/>
          <w:szCs w:val="24"/>
        </w:rPr>
        <w:t>Skema spektrofotometer UV-Vis (Double-beam)</w:t>
      </w:r>
      <w:r w:rsidRPr="00C61AC0">
        <w:rPr>
          <w:color w:val="0D0D0D" w:themeColor="text1" w:themeTint="F2"/>
          <w:sz w:val="24"/>
          <w:szCs w:val="24"/>
        </w:rPr>
        <w:t xml:space="preserve"> </w:t>
      </w:r>
      <w:r w:rsidRPr="00C61AC0">
        <w:rPr>
          <w:color w:val="0D0D0D" w:themeColor="text1" w:themeTint="F2"/>
          <w:sz w:val="24"/>
          <w:szCs w:val="24"/>
        </w:rPr>
        <w:fldChar w:fldCharType="begin" w:fldLock="1"/>
      </w:r>
      <w:r w:rsidRPr="00C61AC0">
        <w:rPr>
          <w:color w:val="0D0D0D" w:themeColor="text1" w:themeTint="F2"/>
          <w:sz w:val="24"/>
          <w:szCs w:val="24"/>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approach.","author":[{"dropping-particle":"","family":"suhartati","given":"tati","non-dropping-particle":"","parse-names":false,"suffix":""}],"container-title":"Sustainability (Switzerland)","id":"ITEM-1","issue":"1","issued":{"date-parts":[["2019"]]},"page":"1-14","title":"Dasar dasar spektrofotometri uv-vis dan spektrometri massa untuk penentuan struktur senyawa oragnik","type":"article-journal","volume":"11"},"uris":["http://www.mendeley.com/documents/?uuid=cbfeee68-85e8-41ed-a236-44b260a1876a"]}],"mendeley":{"formattedCitation":"(suhartati, 2019)","plainTextFormattedCitation":"(suhartati, 2019)","previouslyFormattedCitation":"(suhartati, 2019)"},"properties":{"noteIndex":0},"schema":"https://github.com/citation-style-language/schema/raw/master/csl-citation.json"}</w:instrText>
      </w:r>
      <w:r w:rsidRPr="00C61AC0">
        <w:rPr>
          <w:color w:val="0D0D0D" w:themeColor="text1" w:themeTint="F2"/>
          <w:sz w:val="24"/>
          <w:szCs w:val="24"/>
        </w:rPr>
        <w:fldChar w:fldCharType="separate"/>
      </w:r>
      <w:r w:rsidRPr="00C61AC0">
        <w:rPr>
          <w:noProof/>
          <w:color w:val="0D0D0D" w:themeColor="text1" w:themeTint="F2"/>
          <w:sz w:val="24"/>
          <w:szCs w:val="24"/>
        </w:rPr>
        <w:t>(suhartati, 2019)</w:t>
      </w:r>
      <w:r w:rsidRPr="00C61AC0">
        <w:rPr>
          <w:color w:val="0D0D0D" w:themeColor="text1" w:themeTint="F2"/>
          <w:sz w:val="24"/>
          <w:szCs w:val="24"/>
        </w:rPr>
        <w:fldChar w:fldCharType="end"/>
      </w:r>
      <w:r w:rsidRPr="00C61AC0">
        <w:rPr>
          <w:color w:val="0D0D0D" w:themeColor="text1" w:themeTint="F2"/>
          <w:sz w:val="24"/>
          <w:szCs w:val="24"/>
        </w:rPr>
        <w:t>.</w:t>
      </w:r>
      <w:bookmarkEnd w:id="26"/>
    </w:p>
    <w:p w:rsidR="007A3629" w:rsidRDefault="007A3629" w:rsidP="007A3629">
      <w:pPr>
        <w:jc w:val="both"/>
      </w:pPr>
    </w:p>
    <w:p w:rsidR="007A3629" w:rsidRPr="001007E5" w:rsidRDefault="007A3629" w:rsidP="007A3629">
      <w:pPr>
        <w:pStyle w:val="Heading3"/>
        <w:ind w:left="709" w:hanging="709"/>
      </w:pPr>
      <w:bookmarkStart w:id="27" w:name="_Toc231291382"/>
      <w:r>
        <w:t xml:space="preserve">2.9.3 </w:t>
      </w:r>
      <w:r>
        <w:tab/>
      </w:r>
      <w:r w:rsidRPr="001007E5">
        <w:t>Komponen Spektrofotometer UV-Vis</w:t>
      </w:r>
      <w:bookmarkEnd w:id="27"/>
      <w:r w:rsidRPr="001007E5">
        <w:t xml:space="preserve"> </w:t>
      </w:r>
    </w:p>
    <w:p w:rsidR="007A3629" w:rsidRDefault="007A3629" w:rsidP="007A3629">
      <w:pPr>
        <w:spacing w:line="480" w:lineRule="auto"/>
        <w:ind w:firstLine="720"/>
        <w:jc w:val="both"/>
      </w:pPr>
      <w:r>
        <w:t xml:space="preserve">Komponen Spektrofotometer UV-Vis Menurut Zackiyah, komponen yang berada pada spektrofotometer UV-Vis adalah sebagai </w:t>
      </w:r>
      <w:proofErr w:type="gramStart"/>
      <w:r>
        <w:t>berikut :</w:t>
      </w:r>
      <w:proofErr w:type="gramEnd"/>
      <w:r>
        <w:t xml:space="preserve"> </w:t>
      </w:r>
    </w:p>
    <w:p w:rsidR="007A3629" w:rsidRDefault="007A3629" w:rsidP="007A3629">
      <w:pPr>
        <w:pStyle w:val="ListParagraph"/>
        <w:numPr>
          <w:ilvl w:val="0"/>
          <w:numId w:val="50"/>
        </w:numPr>
        <w:spacing w:line="480" w:lineRule="auto"/>
        <w:ind w:hanging="436"/>
        <w:jc w:val="both"/>
      </w:pPr>
      <w:r>
        <w:t xml:space="preserve">Sumber cahaya. Sebagai sumber radiasi UV, lampu hidrogen (H) atau deuterium (D) digunakan. Sedangkan sumber radiasi tampak juga menghasilkan cahaya inframerah dekat (IR) dengan menggunakan lampu filamen tungsten yang dapat menghasilkan daya pancar 350-3500 nm. </w:t>
      </w:r>
    </w:p>
    <w:p w:rsidR="007A3629" w:rsidRDefault="007A3629" w:rsidP="007A3629">
      <w:pPr>
        <w:pStyle w:val="ListParagraph"/>
        <w:numPr>
          <w:ilvl w:val="0"/>
          <w:numId w:val="50"/>
        </w:numPr>
        <w:spacing w:line="480" w:lineRule="auto"/>
        <w:ind w:hanging="436"/>
        <w:jc w:val="both"/>
      </w:pPr>
      <w:r>
        <w:t xml:space="preserve">Monokromator. Radiasi yang diperoleh dari sumber radiasi yang berbeda adalah cahaya polikromatik (beberapa panjang gelombang). Fungsi monokromator adalah untuk menguraikan cahaya menjadi monokrom yang diinginkan. Monokromator terbuat dari bahan optik berbentuk prisma. </w:t>
      </w:r>
    </w:p>
    <w:p w:rsidR="007A3629" w:rsidRDefault="007A3629" w:rsidP="007A3629">
      <w:pPr>
        <w:pStyle w:val="ListParagraph"/>
        <w:numPr>
          <w:ilvl w:val="0"/>
          <w:numId w:val="50"/>
        </w:numPr>
        <w:spacing w:line="480" w:lineRule="auto"/>
        <w:ind w:hanging="436"/>
        <w:jc w:val="both"/>
      </w:pPr>
      <w:r>
        <w:t xml:space="preserve">Tempat Sampel. Dalam bahasa umum, tempat sampel (sel penyerap) disebut kuvet. Beberapa kuvet berbentuk silinder, tetapi ada juga yang berbentuk kotak. Persyaratan bahan yang dapat digunakan sebagai kuvet </w:t>
      </w:r>
      <w:r>
        <w:lastRenderedPageBreak/>
        <w:t xml:space="preserve">adalah tidak menyerap cahaya yang ditransmisikan sebagai sumber radiasi dan tidak bereaksi dengan sampel dan pelarut. </w:t>
      </w:r>
    </w:p>
    <w:p w:rsidR="007A3629" w:rsidRDefault="007A3629" w:rsidP="007A3629">
      <w:pPr>
        <w:pStyle w:val="ListParagraph"/>
        <w:numPr>
          <w:ilvl w:val="0"/>
          <w:numId w:val="50"/>
        </w:numPr>
        <w:spacing w:line="480" w:lineRule="auto"/>
        <w:ind w:hanging="436"/>
        <w:jc w:val="both"/>
      </w:pPr>
      <w:r>
        <w:t xml:space="preserve">Detektor. Detektor berfungsi mengubah energi pancaran menjadi arus listrik atau alat penukar panas lainnya dan biasanya terintegrasi dengan perekam (printer). Energi cahaya yang diubah menjadi listrik secara kuantitatif akan merekam energi cahaya </w:t>
      </w:r>
      <w:r>
        <w:fldChar w:fldCharType="begin" w:fldLock="1"/>
      </w:r>
      <w:r>
        <w:instrText>ADDIN CSL_CITATION {"citationItems":[{"id":"ITEM-1","itemData":{"abstract":"Pemakaian jamu yang semakin banyak membuat beberapa produsen menambahkan BKO untuk mempercepat penyembuhan. Namun, penambahan BKO dalam jamu tidak diperbolehkan sesuai dengan Peraturan Menteri Kesehatan Nomor 7 Tahun 2012 tentang Registrasi Obat Tradisional pasal (7). Penelitian ini bertujuan untuk mengidentifikasi adanya BKO fenilbutazon dalam sediaan jamu pegal linu yang beredar di Jakarta Timur dengan uji kualitatif menggunakan metode KLT dan uji kuantitatif dengan menggunakan metode Spektrofotometri UV-Vis. Penetapan sampel dilakukan dengan cara mengambil 13 sampel uji dengan merek yang berbeda pada beberapa toko obat dan jamu yang berada di Jakarta Timur. Dilakukan optimasi fase gerak dengan menggunakan kloroform, etil asetat, metanol, n-heksan, dan ammonia dengan perbandingan yang beragam. Dari ke-5 fase gerak yang digunakan, terdapat 3 fase gerak yang selanjutnya akan digunakan pada sampel jamu uji yaitu etil asetat : n-heksan (1:4), n-heksan : kloroform : metanol (6:3:1), dan etil asetat : kloroform (4:1). Hasil penelitian yaitu diduga terdapat sampel yang mengandung BKO fenilbutazon yaitu sampel H dengan nilai Rf yang dilihat pada UV 254 nm di tiga fase gerak berturut-turut sebesar 0,46; 0,66; dan 0,62. Sampel diidentifikasi lebih lanjut menggunakan spektrofotometri UV-Vis pada panjang gelombang fenilbutazon 267 nm, diperoleh hasil pengukuran kadar sebesar 0,2462%. Dalam analisis kuantitatif fenilbutazon, didapatkan beberapa data diantaranya yaitu nilai dari r sebesar 0,9998, SD sebesar 0.006589, RSD sebesar 0,132%, %recovery sebesar 95,964%, LOD sebesar 0,09666 μg⁄mL dan LOQ sebesar 0,3222 μg⁄mL. Kata","author":[{"dropping-particle":"","family":"Arumningtyas","given":"Mutiara","non-dropping-particle":"","parse-names":false,"suffix":""}],"container-title":"Skripsitekn","id":"ITEM-1","issue":"6","issued":{"date-parts":[["2022"]]},"page":"28-31","title":"Identifikasi Kandungan Fenilbutazon Dalam Sediaan Jamu Yang Beredar Di Daerah Jakarta Timur Dengan Menggunakan Metode KLT dan Spektrofotometri UV-VIS","type":"article-journal","volume":"8"},"uris":["http://www.mendeley.com/documents/?uuid=4eedfa81-c455-4a2b-ac09-28ebabf43dad"]}],"mendeley":{"formattedCitation":"(Arumningtyas, 2022)","plainTextFormattedCitation":"(Arumningtyas, 2022)","previouslyFormattedCitation":"(Arumningtyas, 2022)"},"properties":{"noteIndex":0},"schema":"https://github.com/citation-style-language/schema/raw/master/csl-citation.json"}</w:instrText>
      </w:r>
      <w:r>
        <w:fldChar w:fldCharType="separate"/>
      </w:r>
      <w:r w:rsidRPr="0035189B">
        <w:rPr>
          <w:noProof/>
        </w:rPr>
        <w:t>(Arumningtyas, 2022)</w:t>
      </w:r>
      <w:r>
        <w:fldChar w:fldCharType="end"/>
      </w:r>
      <w:r>
        <w:t>.</w:t>
      </w:r>
    </w:p>
    <w:p w:rsidR="007A3629" w:rsidRPr="005A63DF" w:rsidRDefault="007A3629" w:rsidP="007A3629">
      <w:pPr>
        <w:pStyle w:val="Heading2"/>
        <w:ind w:left="709" w:hanging="709"/>
      </w:pPr>
      <w:bookmarkStart w:id="28" w:name="_Toc231291383"/>
      <w:r>
        <w:t>2.10</w:t>
      </w:r>
      <w:r w:rsidRPr="005A63DF">
        <w:t xml:space="preserve"> </w:t>
      </w:r>
      <w:r>
        <w:tab/>
      </w:r>
      <w:r w:rsidRPr="005A63DF">
        <w:t>Hukum Lambert-Beer</w:t>
      </w:r>
      <w:bookmarkEnd w:id="28"/>
    </w:p>
    <w:p w:rsidR="007A3629" w:rsidRDefault="007A3629" w:rsidP="007A3629">
      <w:pPr>
        <w:spacing w:line="480" w:lineRule="auto"/>
        <w:jc w:val="both"/>
      </w:pPr>
      <w:r>
        <w:t xml:space="preserve"> </w:t>
      </w:r>
      <w:r>
        <w:tab/>
        <w:t xml:space="preserve">Hukum Lambert-Beer menyatakan bahwa intensitas yang ditransmisikan melalui larutan oleh larutan adsorben berbanding lurus dengan ketebalan dan konsentrasi larutan. Dalam Lambert-Beer terdapat beberapa keterbatasan, yaitu cahaya yang digunakan dianggap monokromatik, penyerapan terjadi pada volume dengan luas penampang yang </w:t>
      </w:r>
      <w:proofErr w:type="gramStart"/>
      <w:r>
        <w:t>sama</w:t>
      </w:r>
      <w:proofErr w:type="gramEnd"/>
      <w:r>
        <w:t xml:space="preserve">, senyawa penyerap dalam larutan tidak bergantung pada senyawa lain dalam larutan, tanpa insiden. </w:t>
      </w:r>
      <w:proofErr w:type="gramStart"/>
      <w:r>
        <w:t>fluoresensi</w:t>
      </w:r>
      <w:proofErr w:type="gramEnd"/>
      <w:r>
        <w:t xml:space="preserve"> atau pendar, dan indeks bias tidak tergantung pada konsentrasi larutan. Hukum beer dapat dinyatakan sebagai berikut </w:t>
      </w:r>
      <w:r>
        <w:fldChar w:fldCharType="begin" w:fldLock="1"/>
      </w:r>
      <w:r>
        <w:instrText>ADDIN CSL_CITATION {"citationItems":[{"id":"ITEM-1","itemData":{"abstract":"Pemakaian jamu yang semakin banyak membuat beberapa produsen menambahkan BKO untuk mempercepat penyembuhan. Namun, penambahan BKO dalam jamu tidak diperbolehkan sesuai dengan Peraturan Menteri Kesehatan Nomor 7 Tahun 2012 tentang Registrasi Obat Tradisional pasal (7). Penelitian ini bertujuan untuk mengidentifikasi adanya BKO fenilbutazon dalam sediaan jamu pegal linu yang beredar di Jakarta Timur dengan uji kualitatif menggunakan metode KLT dan uji kuantitatif dengan menggunakan metode Spektrofotometri UV-Vis. Penetapan sampel dilakukan dengan cara mengambil 13 sampel uji dengan merek yang berbeda pada beberapa toko obat dan jamu yang berada di Jakarta Timur. Dilakukan optimasi fase gerak dengan menggunakan kloroform, etil asetat, metanol, n-heksan, dan ammonia dengan perbandingan yang beragam. Dari ke-5 fase gerak yang digunakan, terdapat 3 fase gerak yang selanjutnya akan digunakan pada sampel jamu uji yaitu etil asetat : n-heksan (1:4), n-heksan : kloroform : metanol (6:3:1), dan etil asetat : kloroform (4:1). Hasil penelitian yaitu diduga terdapat sampel yang mengandung BKO fenilbutazon yaitu sampel H dengan nilai Rf yang dilihat pada UV 254 nm di tiga fase gerak berturut-turut sebesar 0,46; 0,66; dan 0,62. Sampel diidentifikasi lebih lanjut menggunakan spektrofotometri UV-Vis pada panjang gelombang fenilbutazon 267 nm, diperoleh hasil pengukuran kadar sebesar 0,2462%. Dalam analisis kuantitatif fenilbutazon, didapatkan beberapa data diantaranya yaitu nilai dari r sebesar 0,9998, SD sebesar 0.006589, RSD sebesar 0,132%, %recovery sebesar 95,964%, LOD sebesar 0,09666 μg⁄mL dan LOQ sebesar 0,3222 μg⁄mL. Kata","author":[{"dropping-particle":"","family":"Arumningtyas","given":"Mutiara","non-dropping-particle":"","parse-names":false,"suffix":""}],"container-title":"Skripsitekn","id":"ITEM-1","issue":"6","issued":{"date-parts":[["2022"]]},"page":"28-31","title":"Identifikasi Kandungan Fenilbutazon Dalam Sediaan Jamu Yang Beredar Di Daerah Jakarta Timur Dengan Menggunakan Metode KLT dan Spektrofotometri UV-VIS","type":"article-journal","volume":"8"},"uris":["http://www.mendeley.com/documents/?uuid=4eedfa81-c455-4a2b-ac09-28ebabf43dad"]}],"mendeley":{"formattedCitation":"(Arumningtyas, 2022)","plainTextFormattedCitation":"(Arumningtyas, 2022)","previouslyFormattedCitation":"(Arumningtyas, 2022)"},"properties":{"noteIndex":0},"schema":"https://github.com/citation-style-language/schema/raw/master/csl-citation.json"}</w:instrText>
      </w:r>
      <w:r>
        <w:fldChar w:fldCharType="separate"/>
      </w:r>
      <w:r w:rsidRPr="0035189B">
        <w:rPr>
          <w:noProof/>
        </w:rPr>
        <w:t>(Arumningtyas, 2022)</w:t>
      </w:r>
      <w:r>
        <w:fldChar w:fldCharType="end"/>
      </w:r>
      <w:r>
        <w:t xml:space="preserve">: A=a.b.c </w:t>
      </w:r>
    </w:p>
    <w:p w:rsidR="007A3629" w:rsidRDefault="007A3629" w:rsidP="007A3629">
      <w:pPr>
        <w:spacing w:line="480" w:lineRule="auto"/>
        <w:jc w:val="both"/>
      </w:pPr>
      <w:proofErr w:type="gramStart"/>
      <w:r>
        <w:t>Keterangan :</w:t>
      </w:r>
      <w:proofErr w:type="gramEnd"/>
    </w:p>
    <w:p w:rsidR="007A3629" w:rsidRDefault="007A3629" w:rsidP="007A3629">
      <w:pPr>
        <w:spacing w:line="480" w:lineRule="auto"/>
        <w:jc w:val="both"/>
      </w:pPr>
      <w:r>
        <w:t xml:space="preserve">A = resapan </w:t>
      </w:r>
    </w:p>
    <w:p w:rsidR="007A3629" w:rsidRDefault="007A3629" w:rsidP="007A3629">
      <w:pPr>
        <w:spacing w:line="480" w:lineRule="auto"/>
        <w:jc w:val="both"/>
      </w:pPr>
      <w:r>
        <w:t xml:space="preserve">a = daya serap </w:t>
      </w:r>
    </w:p>
    <w:p w:rsidR="007A3629" w:rsidRDefault="007A3629" w:rsidP="007A3629">
      <w:pPr>
        <w:spacing w:line="480" w:lineRule="auto"/>
        <w:jc w:val="both"/>
      </w:pPr>
      <w:r>
        <w:t xml:space="preserve">b = tebal larutan (cm) </w:t>
      </w:r>
    </w:p>
    <w:p w:rsidR="007A3629" w:rsidRDefault="007A3629" w:rsidP="007A3629">
      <w:pPr>
        <w:spacing w:line="480" w:lineRule="auto"/>
        <w:jc w:val="both"/>
      </w:pPr>
      <w:r>
        <w:t>c = konsentrasi (g/L)</w:t>
      </w:r>
    </w:p>
    <w:p w:rsidR="007A3629" w:rsidRPr="00C517AE" w:rsidRDefault="007A3629" w:rsidP="007A3629">
      <w:pPr>
        <w:spacing w:line="480" w:lineRule="auto"/>
        <w:jc w:val="both"/>
        <w:rPr>
          <w:b/>
          <w:bCs/>
        </w:rPr>
      </w:pPr>
    </w:p>
    <w:p w:rsidR="00653891" w:rsidRPr="007A3629" w:rsidRDefault="00653891" w:rsidP="007A3629"/>
    <w:sectPr w:rsidR="00653891" w:rsidRPr="007A3629" w:rsidSect="00C73EF3">
      <w:headerReference w:type="even" r:id="rId14"/>
      <w:headerReference w:type="default" r:id="rId15"/>
      <w:footerReference w:type="default" r:id="rId16"/>
      <w:headerReference w:type="first" r:id="rId17"/>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3FC8" w:rsidRDefault="00583FC8">
      <w:r>
        <w:separator/>
      </w:r>
    </w:p>
  </w:endnote>
  <w:endnote w:type="continuationSeparator" w:id="0">
    <w:p w:rsidR="00583FC8" w:rsidRDefault="00583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095006"/>
      <w:docPartObj>
        <w:docPartGallery w:val="Page Numbers (Bottom of Page)"/>
        <w:docPartUnique/>
      </w:docPartObj>
    </w:sdtPr>
    <w:sdtEndPr>
      <w:rPr>
        <w:noProof/>
      </w:rPr>
    </w:sdtEndPr>
    <w:sdtContent>
      <w:p w:rsidR="002A4180" w:rsidRDefault="007A3629">
        <w:pPr>
          <w:pStyle w:val="Footer"/>
          <w:jc w:val="center"/>
        </w:pPr>
        <w:r>
          <w:fldChar w:fldCharType="begin"/>
        </w:r>
        <w:r>
          <w:instrText xml:space="preserve"> PAGE   \* MERGEFORMAT </w:instrText>
        </w:r>
        <w:r>
          <w:fldChar w:fldCharType="separate"/>
        </w:r>
        <w:r w:rsidR="00A212F0">
          <w:rPr>
            <w:noProof/>
          </w:rPr>
          <w:t>11</w:t>
        </w:r>
        <w:r>
          <w:rPr>
            <w:noProof/>
          </w:rPr>
          <w:fldChar w:fldCharType="end"/>
        </w:r>
      </w:p>
    </w:sdtContent>
  </w:sdt>
  <w:p w:rsidR="002A4180" w:rsidRDefault="00583F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3FC8" w:rsidRDefault="00583FC8">
      <w:r>
        <w:separator/>
      </w:r>
    </w:p>
  </w:footnote>
  <w:footnote w:type="continuationSeparator" w:id="0">
    <w:p w:rsidR="00583FC8" w:rsidRDefault="00583F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753" w:rsidRDefault="00583FC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4085" o:spid="_x0000_s2056" type="#_x0000_t75" style="position:absolute;margin-left:0;margin-top:0;width:396.95pt;height:391.15pt;z-index:-25165004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753" w:rsidRDefault="00583FC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4086" o:spid="_x0000_s2057" type="#_x0000_t75" style="position:absolute;margin-left:0;margin-top:0;width:396.95pt;height:391.15pt;z-index:-25164902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753" w:rsidRDefault="00583FC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4084" o:spid="_x0000_s2055" type="#_x0000_t75" style="position:absolute;margin-left:0;margin-top:0;width:396.95pt;height:391.15pt;z-index:-251651072;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436E2"/>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29705B4"/>
    <w:multiLevelType w:val="hybridMultilevel"/>
    <w:tmpl w:val="72E8CE5C"/>
    <w:lvl w:ilvl="0" w:tplc="0C5800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
    <w:nsid w:val="070A4D2B"/>
    <w:multiLevelType w:val="hybridMultilevel"/>
    <w:tmpl w:val="643A9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339CC"/>
    <w:multiLevelType w:val="multilevel"/>
    <w:tmpl w:val="608679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977074"/>
    <w:multiLevelType w:val="hybridMultilevel"/>
    <w:tmpl w:val="EA8ECD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nsid w:val="0B0F5F1E"/>
    <w:multiLevelType w:val="hybridMultilevel"/>
    <w:tmpl w:val="AB266A2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nsid w:val="0BE03DBE"/>
    <w:multiLevelType w:val="multilevel"/>
    <w:tmpl w:val="7736CB08"/>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E034DC6"/>
    <w:multiLevelType w:val="multilevel"/>
    <w:tmpl w:val="C428CC06"/>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0F387A1F"/>
    <w:multiLevelType w:val="multilevel"/>
    <w:tmpl w:val="5732849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FB11E47"/>
    <w:multiLevelType w:val="hybridMultilevel"/>
    <w:tmpl w:val="627A5F76"/>
    <w:lvl w:ilvl="0" w:tplc="C29C81CE">
      <w:numFmt w:val="bullet"/>
      <w:lvlText w:val=""/>
      <w:lvlJc w:val="left"/>
      <w:pPr>
        <w:ind w:left="521" w:hanging="112"/>
      </w:pPr>
      <w:rPr>
        <w:rFonts w:ascii="Symbol" w:eastAsia="Symbol" w:hAnsi="Symbol" w:cs="Symbol" w:hint="default"/>
        <w:b w:val="0"/>
        <w:bCs w:val="0"/>
        <w:i w:val="0"/>
        <w:iCs w:val="0"/>
        <w:spacing w:val="0"/>
        <w:w w:val="100"/>
        <w:sz w:val="22"/>
        <w:szCs w:val="22"/>
        <w:lang w:eastAsia="en-US" w:bidi="ar-SA"/>
      </w:rPr>
    </w:lvl>
    <w:lvl w:ilvl="1" w:tplc="1DDABAD2">
      <w:numFmt w:val="bullet"/>
      <w:lvlText w:val="•"/>
      <w:lvlJc w:val="left"/>
      <w:pPr>
        <w:ind w:left="536" w:hanging="112"/>
      </w:pPr>
      <w:rPr>
        <w:lang w:eastAsia="en-US" w:bidi="ar-SA"/>
      </w:rPr>
    </w:lvl>
    <w:lvl w:ilvl="2" w:tplc="9EE0A2BE">
      <w:numFmt w:val="bullet"/>
      <w:lvlText w:val="•"/>
      <w:lvlJc w:val="left"/>
      <w:pPr>
        <w:ind w:left="552" w:hanging="112"/>
      </w:pPr>
      <w:rPr>
        <w:lang w:eastAsia="en-US" w:bidi="ar-SA"/>
      </w:rPr>
    </w:lvl>
    <w:lvl w:ilvl="3" w:tplc="C588AA18">
      <w:numFmt w:val="bullet"/>
      <w:lvlText w:val="•"/>
      <w:lvlJc w:val="left"/>
      <w:pPr>
        <w:ind w:left="568" w:hanging="112"/>
      </w:pPr>
      <w:rPr>
        <w:lang w:eastAsia="en-US" w:bidi="ar-SA"/>
      </w:rPr>
    </w:lvl>
    <w:lvl w:ilvl="4" w:tplc="E1840E8A">
      <w:numFmt w:val="bullet"/>
      <w:lvlText w:val="•"/>
      <w:lvlJc w:val="left"/>
      <w:pPr>
        <w:ind w:left="584" w:hanging="112"/>
      </w:pPr>
      <w:rPr>
        <w:lang w:eastAsia="en-US" w:bidi="ar-SA"/>
      </w:rPr>
    </w:lvl>
    <w:lvl w:ilvl="5" w:tplc="1B285142">
      <w:numFmt w:val="bullet"/>
      <w:lvlText w:val="•"/>
      <w:lvlJc w:val="left"/>
      <w:pPr>
        <w:ind w:left="600" w:hanging="112"/>
      </w:pPr>
      <w:rPr>
        <w:lang w:eastAsia="en-US" w:bidi="ar-SA"/>
      </w:rPr>
    </w:lvl>
    <w:lvl w:ilvl="6" w:tplc="AF26BBE0">
      <w:numFmt w:val="bullet"/>
      <w:lvlText w:val="•"/>
      <w:lvlJc w:val="left"/>
      <w:pPr>
        <w:ind w:left="616" w:hanging="112"/>
      </w:pPr>
      <w:rPr>
        <w:lang w:eastAsia="en-US" w:bidi="ar-SA"/>
      </w:rPr>
    </w:lvl>
    <w:lvl w:ilvl="7" w:tplc="18025ACC">
      <w:numFmt w:val="bullet"/>
      <w:lvlText w:val="•"/>
      <w:lvlJc w:val="left"/>
      <w:pPr>
        <w:ind w:left="632" w:hanging="112"/>
      </w:pPr>
      <w:rPr>
        <w:lang w:eastAsia="en-US" w:bidi="ar-SA"/>
      </w:rPr>
    </w:lvl>
    <w:lvl w:ilvl="8" w:tplc="CC2659F6">
      <w:numFmt w:val="bullet"/>
      <w:lvlText w:val="•"/>
      <w:lvlJc w:val="left"/>
      <w:pPr>
        <w:ind w:left="648" w:hanging="112"/>
      </w:pPr>
      <w:rPr>
        <w:lang w:eastAsia="en-US" w:bidi="ar-SA"/>
      </w:rPr>
    </w:lvl>
  </w:abstractNum>
  <w:abstractNum w:abstractNumId="10">
    <w:nsid w:val="114E077D"/>
    <w:multiLevelType w:val="hybridMultilevel"/>
    <w:tmpl w:val="D996F160"/>
    <w:lvl w:ilvl="0" w:tplc="A872CE02">
      <w:numFmt w:val="bullet"/>
      <w:lvlText w:val=""/>
      <w:lvlJc w:val="left"/>
      <w:pPr>
        <w:ind w:left="521" w:hanging="112"/>
      </w:pPr>
      <w:rPr>
        <w:rFonts w:ascii="Symbol" w:eastAsia="Symbol" w:hAnsi="Symbol" w:cs="Symbol" w:hint="default"/>
        <w:b w:val="0"/>
        <w:bCs w:val="0"/>
        <w:i w:val="0"/>
        <w:iCs w:val="0"/>
        <w:spacing w:val="0"/>
        <w:w w:val="100"/>
        <w:sz w:val="22"/>
        <w:szCs w:val="22"/>
        <w:lang w:eastAsia="en-US" w:bidi="ar-SA"/>
      </w:rPr>
    </w:lvl>
    <w:lvl w:ilvl="1" w:tplc="A4746828">
      <w:numFmt w:val="bullet"/>
      <w:lvlText w:val="•"/>
      <w:lvlJc w:val="left"/>
      <w:pPr>
        <w:ind w:left="536" w:hanging="112"/>
      </w:pPr>
      <w:rPr>
        <w:lang w:eastAsia="en-US" w:bidi="ar-SA"/>
      </w:rPr>
    </w:lvl>
    <w:lvl w:ilvl="2" w:tplc="49C204CC">
      <w:numFmt w:val="bullet"/>
      <w:lvlText w:val="•"/>
      <w:lvlJc w:val="left"/>
      <w:pPr>
        <w:ind w:left="552" w:hanging="112"/>
      </w:pPr>
      <w:rPr>
        <w:lang w:eastAsia="en-US" w:bidi="ar-SA"/>
      </w:rPr>
    </w:lvl>
    <w:lvl w:ilvl="3" w:tplc="60423116">
      <w:numFmt w:val="bullet"/>
      <w:lvlText w:val="•"/>
      <w:lvlJc w:val="left"/>
      <w:pPr>
        <w:ind w:left="568" w:hanging="112"/>
      </w:pPr>
      <w:rPr>
        <w:lang w:eastAsia="en-US" w:bidi="ar-SA"/>
      </w:rPr>
    </w:lvl>
    <w:lvl w:ilvl="4" w:tplc="7610CDC2">
      <w:numFmt w:val="bullet"/>
      <w:lvlText w:val="•"/>
      <w:lvlJc w:val="left"/>
      <w:pPr>
        <w:ind w:left="584" w:hanging="112"/>
      </w:pPr>
      <w:rPr>
        <w:lang w:eastAsia="en-US" w:bidi="ar-SA"/>
      </w:rPr>
    </w:lvl>
    <w:lvl w:ilvl="5" w:tplc="44EA5374">
      <w:numFmt w:val="bullet"/>
      <w:lvlText w:val="•"/>
      <w:lvlJc w:val="left"/>
      <w:pPr>
        <w:ind w:left="600" w:hanging="112"/>
      </w:pPr>
      <w:rPr>
        <w:lang w:eastAsia="en-US" w:bidi="ar-SA"/>
      </w:rPr>
    </w:lvl>
    <w:lvl w:ilvl="6" w:tplc="05B06E90">
      <w:numFmt w:val="bullet"/>
      <w:lvlText w:val="•"/>
      <w:lvlJc w:val="left"/>
      <w:pPr>
        <w:ind w:left="616" w:hanging="112"/>
      </w:pPr>
      <w:rPr>
        <w:lang w:eastAsia="en-US" w:bidi="ar-SA"/>
      </w:rPr>
    </w:lvl>
    <w:lvl w:ilvl="7" w:tplc="04FC8592">
      <w:numFmt w:val="bullet"/>
      <w:lvlText w:val="•"/>
      <w:lvlJc w:val="left"/>
      <w:pPr>
        <w:ind w:left="632" w:hanging="112"/>
      </w:pPr>
      <w:rPr>
        <w:lang w:eastAsia="en-US" w:bidi="ar-SA"/>
      </w:rPr>
    </w:lvl>
    <w:lvl w:ilvl="8" w:tplc="96722F0C">
      <w:numFmt w:val="bullet"/>
      <w:lvlText w:val="•"/>
      <w:lvlJc w:val="left"/>
      <w:pPr>
        <w:ind w:left="648" w:hanging="112"/>
      </w:pPr>
      <w:rPr>
        <w:lang w:eastAsia="en-US" w:bidi="ar-SA"/>
      </w:rPr>
    </w:lvl>
  </w:abstractNum>
  <w:abstractNum w:abstractNumId="11">
    <w:nsid w:val="1DF3175F"/>
    <w:multiLevelType w:val="hybridMultilevel"/>
    <w:tmpl w:val="A3A0A552"/>
    <w:lvl w:ilvl="0" w:tplc="E9A61C5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nsid w:val="200C2780"/>
    <w:multiLevelType w:val="multilevel"/>
    <w:tmpl w:val="47B42EE8"/>
    <w:lvl w:ilvl="0">
      <w:start w:val="1"/>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20273C95"/>
    <w:multiLevelType w:val="hybridMultilevel"/>
    <w:tmpl w:val="CEAAE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973EC3"/>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A7F75C8"/>
    <w:multiLevelType w:val="hybridMultilevel"/>
    <w:tmpl w:val="4CAA6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6C6D8E"/>
    <w:multiLevelType w:val="hybridMultilevel"/>
    <w:tmpl w:val="C4AA4ADE"/>
    <w:lvl w:ilvl="0" w:tplc="7CDEC602">
      <w:start w:val="73"/>
      <w:numFmt w:val="bullet"/>
      <w:lvlText w:val="-"/>
      <w:lvlJc w:val="left"/>
      <w:pPr>
        <w:ind w:left="902" w:hanging="360"/>
      </w:pPr>
      <w:rPr>
        <w:rFonts w:ascii="Times New Roman" w:eastAsia="Times New Roman" w:hAnsi="Times New Roman" w:cs="Times New Roman" w:hint="default"/>
      </w:rPr>
    </w:lvl>
    <w:lvl w:ilvl="1" w:tplc="38090003" w:tentative="1">
      <w:start w:val="1"/>
      <w:numFmt w:val="bullet"/>
      <w:lvlText w:val="o"/>
      <w:lvlJc w:val="left"/>
      <w:pPr>
        <w:ind w:left="1622" w:hanging="360"/>
      </w:pPr>
      <w:rPr>
        <w:rFonts w:ascii="Courier New" w:hAnsi="Courier New" w:cs="Courier New" w:hint="default"/>
      </w:rPr>
    </w:lvl>
    <w:lvl w:ilvl="2" w:tplc="38090005" w:tentative="1">
      <w:start w:val="1"/>
      <w:numFmt w:val="bullet"/>
      <w:lvlText w:val=""/>
      <w:lvlJc w:val="left"/>
      <w:pPr>
        <w:ind w:left="2342" w:hanging="360"/>
      </w:pPr>
      <w:rPr>
        <w:rFonts w:ascii="Wingdings" w:hAnsi="Wingdings" w:hint="default"/>
      </w:rPr>
    </w:lvl>
    <w:lvl w:ilvl="3" w:tplc="38090001" w:tentative="1">
      <w:start w:val="1"/>
      <w:numFmt w:val="bullet"/>
      <w:lvlText w:val=""/>
      <w:lvlJc w:val="left"/>
      <w:pPr>
        <w:ind w:left="3062" w:hanging="360"/>
      </w:pPr>
      <w:rPr>
        <w:rFonts w:ascii="Symbol" w:hAnsi="Symbol" w:hint="default"/>
      </w:rPr>
    </w:lvl>
    <w:lvl w:ilvl="4" w:tplc="38090003" w:tentative="1">
      <w:start w:val="1"/>
      <w:numFmt w:val="bullet"/>
      <w:lvlText w:val="o"/>
      <w:lvlJc w:val="left"/>
      <w:pPr>
        <w:ind w:left="3782" w:hanging="360"/>
      </w:pPr>
      <w:rPr>
        <w:rFonts w:ascii="Courier New" w:hAnsi="Courier New" w:cs="Courier New" w:hint="default"/>
      </w:rPr>
    </w:lvl>
    <w:lvl w:ilvl="5" w:tplc="38090005" w:tentative="1">
      <w:start w:val="1"/>
      <w:numFmt w:val="bullet"/>
      <w:lvlText w:val=""/>
      <w:lvlJc w:val="left"/>
      <w:pPr>
        <w:ind w:left="4502" w:hanging="360"/>
      </w:pPr>
      <w:rPr>
        <w:rFonts w:ascii="Wingdings" w:hAnsi="Wingdings" w:hint="default"/>
      </w:rPr>
    </w:lvl>
    <w:lvl w:ilvl="6" w:tplc="38090001" w:tentative="1">
      <w:start w:val="1"/>
      <w:numFmt w:val="bullet"/>
      <w:lvlText w:val=""/>
      <w:lvlJc w:val="left"/>
      <w:pPr>
        <w:ind w:left="5222" w:hanging="360"/>
      </w:pPr>
      <w:rPr>
        <w:rFonts w:ascii="Symbol" w:hAnsi="Symbol" w:hint="default"/>
      </w:rPr>
    </w:lvl>
    <w:lvl w:ilvl="7" w:tplc="38090003" w:tentative="1">
      <w:start w:val="1"/>
      <w:numFmt w:val="bullet"/>
      <w:lvlText w:val="o"/>
      <w:lvlJc w:val="left"/>
      <w:pPr>
        <w:ind w:left="5942" w:hanging="360"/>
      </w:pPr>
      <w:rPr>
        <w:rFonts w:ascii="Courier New" w:hAnsi="Courier New" w:cs="Courier New" w:hint="default"/>
      </w:rPr>
    </w:lvl>
    <w:lvl w:ilvl="8" w:tplc="38090005" w:tentative="1">
      <w:start w:val="1"/>
      <w:numFmt w:val="bullet"/>
      <w:lvlText w:val=""/>
      <w:lvlJc w:val="left"/>
      <w:pPr>
        <w:ind w:left="6662" w:hanging="360"/>
      </w:pPr>
      <w:rPr>
        <w:rFonts w:ascii="Wingdings" w:hAnsi="Wingdings" w:hint="default"/>
      </w:rPr>
    </w:lvl>
  </w:abstractNum>
  <w:abstractNum w:abstractNumId="17">
    <w:nsid w:val="32551D6B"/>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336F708D"/>
    <w:multiLevelType w:val="multilevel"/>
    <w:tmpl w:val="608679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50A036A"/>
    <w:multiLevelType w:val="multilevel"/>
    <w:tmpl w:val="5732849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BE21FDB"/>
    <w:multiLevelType w:val="hybridMultilevel"/>
    <w:tmpl w:val="BAA4B6F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8A6CB0"/>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0343F75"/>
    <w:multiLevelType w:val="hybridMultilevel"/>
    <w:tmpl w:val="5998A416"/>
    <w:lvl w:ilvl="0" w:tplc="51E08ADC">
      <w:numFmt w:val="bullet"/>
      <w:lvlText w:val=""/>
      <w:lvlJc w:val="left"/>
      <w:pPr>
        <w:ind w:left="521" w:hanging="112"/>
      </w:pPr>
      <w:rPr>
        <w:rFonts w:ascii="Symbol" w:eastAsia="Symbol" w:hAnsi="Symbol" w:cs="Symbol" w:hint="default"/>
        <w:b w:val="0"/>
        <w:bCs w:val="0"/>
        <w:i w:val="0"/>
        <w:iCs w:val="0"/>
        <w:spacing w:val="0"/>
        <w:w w:val="100"/>
        <w:sz w:val="22"/>
        <w:szCs w:val="22"/>
        <w:lang w:eastAsia="en-US" w:bidi="ar-SA"/>
      </w:rPr>
    </w:lvl>
    <w:lvl w:ilvl="1" w:tplc="7E504ECC">
      <w:numFmt w:val="bullet"/>
      <w:lvlText w:val="•"/>
      <w:lvlJc w:val="left"/>
      <w:pPr>
        <w:ind w:left="536" w:hanging="112"/>
      </w:pPr>
      <w:rPr>
        <w:lang w:eastAsia="en-US" w:bidi="ar-SA"/>
      </w:rPr>
    </w:lvl>
    <w:lvl w:ilvl="2" w:tplc="7786B35A">
      <w:numFmt w:val="bullet"/>
      <w:lvlText w:val="•"/>
      <w:lvlJc w:val="left"/>
      <w:pPr>
        <w:ind w:left="552" w:hanging="112"/>
      </w:pPr>
      <w:rPr>
        <w:lang w:eastAsia="en-US" w:bidi="ar-SA"/>
      </w:rPr>
    </w:lvl>
    <w:lvl w:ilvl="3" w:tplc="F408A260">
      <w:numFmt w:val="bullet"/>
      <w:lvlText w:val="•"/>
      <w:lvlJc w:val="left"/>
      <w:pPr>
        <w:ind w:left="568" w:hanging="112"/>
      </w:pPr>
      <w:rPr>
        <w:lang w:eastAsia="en-US" w:bidi="ar-SA"/>
      </w:rPr>
    </w:lvl>
    <w:lvl w:ilvl="4" w:tplc="CDC6C5C4">
      <w:numFmt w:val="bullet"/>
      <w:lvlText w:val="•"/>
      <w:lvlJc w:val="left"/>
      <w:pPr>
        <w:ind w:left="584" w:hanging="112"/>
      </w:pPr>
      <w:rPr>
        <w:lang w:eastAsia="en-US" w:bidi="ar-SA"/>
      </w:rPr>
    </w:lvl>
    <w:lvl w:ilvl="5" w:tplc="A846F64C">
      <w:numFmt w:val="bullet"/>
      <w:lvlText w:val="•"/>
      <w:lvlJc w:val="left"/>
      <w:pPr>
        <w:ind w:left="600" w:hanging="112"/>
      </w:pPr>
      <w:rPr>
        <w:lang w:eastAsia="en-US" w:bidi="ar-SA"/>
      </w:rPr>
    </w:lvl>
    <w:lvl w:ilvl="6" w:tplc="61CAEB7A">
      <w:numFmt w:val="bullet"/>
      <w:lvlText w:val="•"/>
      <w:lvlJc w:val="left"/>
      <w:pPr>
        <w:ind w:left="616" w:hanging="112"/>
      </w:pPr>
      <w:rPr>
        <w:lang w:eastAsia="en-US" w:bidi="ar-SA"/>
      </w:rPr>
    </w:lvl>
    <w:lvl w:ilvl="7" w:tplc="48F2D1C6">
      <w:numFmt w:val="bullet"/>
      <w:lvlText w:val="•"/>
      <w:lvlJc w:val="left"/>
      <w:pPr>
        <w:ind w:left="632" w:hanging="112"/>
      </w:pPr>
      <w:rPr>
        <w:lang w:eastAsia="en-US" w:bidi="ar-SA"/>
      </w:rPr>
    </w:lvl>
    <w:lvl w:ilvl="8" w:tplc="3208D63C">
      <w:numFmt w:val="bullet"/>
      <w:lvlText w:val="•"/>
      <w:lvlJc w:val="left"/>
      <w:pPr>
        <w:ind w:left="648" w:hanging="112"/>
      </w:pPr>
      <w:rPr>
        <w:lang w:eastAsia="en-US" w:bidi="ar-SA"/>
      </w:rPr>
    </w:lvl>
  </w:abstractNum>
  <w:abstractNum w:abstractNumId="23">
    <w:nsid w:val="406C3B95"/>
    <w:multiLevelType w:val="multilevel"/>
    <w:tmpl w:val="E7400BC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64505A8"/>
    <w:multiLevelType w:val="hybridMultilevel"/>
    <w:tmpl w:val="F95A95D4"/>
    <w:lvl w:ilvl="0" w:tplc="E00269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C2E54D9"/>
    <w:multiLevelType w:val="hybridMultilevel"/>
    <w:tmpl w:val="BE381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BB6293"/>
    <w:multiLevelType w:val="hybridMultilevel"/>
    <w:tmpl w:val="2F1A5ED2"/>
    <w:lvl w:ilvl="0" w:tplc="5792F36C">
      <w:start w:val="1"/>
      <w:numFmt w:val="decimal"/>
      <w:lvlText w:val="%1."/>
      <w:lvlJc w:val="left"/>
      <w:pPr>
        <w:ind w:left="218" w:hanging="360"/>
      </w:pPr>
      <w:rPr>
        <w:rFonts w:ascii="Times New Roman" w:eastAsiaTheme="minorHAnsi" w:hAnsi="Times New Roman" w:cstheme="minorBidi"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7">
    <w:nsid w:val="4D9926C9"/>
    <w:multiLevelType w:val="hybridMultilevel"/>
    <w:tmpl w:val="132E0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930EDF"/>
    <w:multiLevelType w:val="hybridMultilevel"/>
    <w:tmpl w:val="4E684122"/>
    <w:lvl w:ilvl="0" w:tplc="3809000F">
      <w:start w:val="1"/>
      <w:numFmt w:val="decimal"/>
      <w:lvlText w:val="%1."/>
      <w:lvlJc w:val="left"/>
      <w:pPr>
        <w:ind w:left="1080" w:hanging="360"/>
      </w:pPr>
    </w:lvl>
    <w:lvl w:ilvl="1" w:tplc="FFFFFFFF">
      <w:start w:val="1"/>
      <w:numFmt w:val="decimal"/>
      <w:lvlText w:val="%2."/>
      <w:lvlJc w:val="left"/>
      <w:pPr>
        <w:ind w:left="1800" w:hanging="360"/>
      </w:pPr>
      <w:rPr>
        <w:color w:val="0D0D0D" w:themeColor="text1" w:themeTint="F2"/>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9">
    <w:nsid w:val="51032642"/>
    <w:multiLevelType w:val="hybridMultilevel"/>
    <w:tmpl w:val="EA8ECD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nsid w:val="55C94F4F"/>
    <w:multiLevelType w:val="hybridMultilevel"/>
    <w:tmpl w:val="26CA65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076A07"/>
    <w:multiLevelType w:val="hybridMultilevel"/>
    <w:tmpl w:val="D08AB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B67615"/>
    <w:multiLevelType w:val="hybridMultilevel"/>
    <w:tmpl w:val="EA8ECD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nsid w:val="5B564ED4"/>
    <w:multiLevelType w:val="multilevel"/>
    <w:tmpl w:val="5732849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5B7734A9"/>
    <w:multiLevelType w:val="hybridMultilevel"/>
    <w:tmpl w:val="08143C7A"/>
    <w:lvl w:ilvl="0" w:tplc="9B14EE9E">
      <w:numFmt w:val="bullet"/>
      <w:lvlText w:val=""/>
      <w:lvlJc w:val="left"/>
      <w:pPr>
        <w:ind w:left="521" w:hanging="112"/>
      </w:pPr>
      <w:rPr>
        <w:rFonts w:ascii="Symbol" w:eastAsia="Symbol" w:hAnsi="Symbol" w:cs="Symbol" w:hint="default"/>
        <w:b w:val="0"/>
        <w:bCs w:val="0"/>
        <w:i w:val="0"/>
        <w:iCs w:val="0"/>
        <w:spacing w:val="0"/>
        <w:w w:val="100"/>
        <w:sz w:val="22"/>
        <w:szCs w:val="22"/>
        <w:lang w:eastAsia="en-US" w:bidi="ar-SA"/>
      </w:rPr>
    </w:lvl>
    <w:lvl w:ilvl="1" w:tplc="B36836EC">
      <w:numFmt w:val="bullet"/>
      <w:lvlText w:val="•"/>
      <w:lvlJc w:val="left"/>
      <w:pPr>
        <w:ind w:left="536" w:hanging="112"/>
      </w:pPr>
      <w:rPr>
        <w:lang w:eastAsia="en-US" w:bidi="ar-SA"/>
      </w:rPr>
    </w:lvl>
    <w:lvl w:ilvl="2" w:tplc="56EAA476">
      <w:numFmt w:val="bullet"/>
      <w:lvlText w:val="•"/>
      <w:lvlJc w:val="left"/>
      <w:pPr>
        <w:ind w:left="552" w:hanging="112"/>
      </w:pPr>
      <w:rPr>
        <w:lang w:eastAsia="en-US" w:bidi="ar-SA"/>
      </w:rPr>
    </w:lvl>
    <w:lvl w:ilvl="3" w:tplc="C284DAF2">
      <w:numFmt w:val="bullet"/>
      <w:lvlText w:val="•"/>
      <w:lvlJc w:val="left"/>
      <w:pPr>
        <w:ind w:left="568" w:hanging="112"/>
      </w:pPr>
      <w:rPr>
        <w:lang w:eastAsia="en-US" w:bidi="ar-SA"/>
      </w:rPr>
    </w:lvl>
    <w:lvl w:ilvl="4" w:tplc="0B669694">
      <w:numFmt w:val="bullet"/>
      <w:lvlText w:val="•"/>
      <w:lvlJc w:val="left"/>
      <w:pPr>
        <w:ind w:left="584" w:hanging="112"/>
      </w:pPr>
      <w:rPr>
        <w:lang w:eastAsia="en-US" w:bidi="ar-SA"/>
      </w:rPr>
    </w:lvl>
    <w:lvl w:ilvl="5" w:tplc="55E0D20A">
      <w:numFmt w:val="bullet"/>
      <w:lvlText w:val="•"/>
      <w:lvlJc w:val="left"/>
      <w:pPr>
        <w:ind w:left="600" w:hanging="112"/>
      </w:pPr>
      <w:rPr>
        <w:lang w:eastAsia="en-US" w:bidi="ar-SA"/>
      </w:rPr>
    </w:lvl>
    <w:lvl w:ilvl="6" w:tplc="4C548310">
      <w:numFmt w:val="bullet"/>
      <w:lvlText w:val="•"/>
      <w:lvlJc w:val="left"/>
      <w:pPr>
        <w:ind w:left="616" w:hanging="112"/>
      </w:pPr>
      <w:rPr>
        <w:lang w:eastAsia="en-US" w:bidi="ar-SA"/>
      </w:rPr>
    </w:lvl>
    <w:lvl w:ilvl="7" w:tplc="6B4846E0">
      <w:numFmt w:val="bullet"/>
      <w:lvlText w:val="•"/>
      <w:lvlJc w:val="left"/>
      <w:pPr>
        <w:ind w:left="632" w:hanging="112"/>
      </w:pPr>
      <w:rPr>
        <w:lang w:eastAsia="en-US" w:bidi="ar-SA"/>
      </w:rPr>
    </w:lvl>
    <w:lvl w:ilvl="8" w:tplc="506212FC">
      <w:numFmt w:val="bullet"/>
      <w:lvlText w:val="•"/>
      <w:lvlJc w:val="left"/>
      <w:pPr>
        <w:ind w:left="648" w:hanging="112"/>
      </w:pPr>
      <w:rPr>
        <w:lang w:eastAsia="en-US" w:bidi="ar-SA"/>
      </w:rPr>
    </w:lvl>
  </w:abstractNum>
  <w:abstractNum w:abstractNumId="35">
    <w:nsid w:val="5D2E7464"/>
    <w:multiLevelType w:val="multilevel"/>
    <w:tmpl w:val="97D2CEA6"/>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5E3C5F88"/>
    <w:multiLevelType w:val="hybridMultilevel"/>
    <w:tmpl w:val="EA8ECD2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7">
    <w:nsid w:val="5EB340D6"/>
    <w:multiLevelType w:val="hybridMultilevel"/>
    <w:tmpl w:val="DBF4E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3B1892"/>
    <w:multiLevelType w:val="hybridMultilevel"/>
    <w:tmpl w:val="BFF00344"/>
    <w:lvl w:ilvl="0" w:tplc="1FBCEE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AE323D"/>
    <w:multiLevelType w:val="hybridMultilevel"/>
    <w:tmpl w:val="53961998"/>
    <w:lvl w:ilvl="0" w:tplc="B816CB7E">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nsid w:val="651E6F86"/>
    <w:multiLevelType w:val="multilevel"/>
    <w:tmpl w:val="5D58604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90958B4"/>
    <w:multiLevelType w:val="hybridMultilevel"/>
    <w:tmpl w:val="EA8ECD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nsid w:val="6FCA76B3"/>
    <w:multiLevelType w:val="hybridMultilevel"/>
    <w:tmpl w:val="352C5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C13E23"/>
    <w:multiLevelType w:val="hybridMultilevel"/>
    <w:tmpl w:val="FF723BFA"/>
    <w:lvl w:ilvl="0" w:tplc="A1801E98">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nsid w:val="74D9682C"/>
    <w:multiLevelType w:val="hybridMultilevel"/>
    <w:tmpl w:val="C7686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58199F"/>
    <w:multiLevelType w:val="hybridMultilevel"/>
    <w:tmpl w:val="715C5062"/>
    <w:lvl w:ilvl="0" w:tplc="E00A726E">
      <w:start w:val="1"/>
      <w:numFmt w:val="decimal"/>
      <w:lvlText w:val="%1."/>
      <w:lvlJc w:val="left"/>
      <w:pPr>
        <w:ind w:left="720" w:hanging="360"/>
      </w:pPr>
      <w:rPr>
        <w:rFonts w:asciiTheme="majorBidi" w:eastAsiaTheme="minorHAns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E63EB8"/>
    <w:multiLevelType w:val="hybridMultilevel"/>
    <w:tmpl w:val="EA8ECD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nsid w:val="7AAE4A3E"/>
    <w:multiLevelType w:val="multilevel"/>
    <w:tmpl w:val="E0EC425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nsid w:val="7B1A66C1"/>
    <w:multiLevelType w:val="hybridMultilevel"/>
    <w:tmpl w:val="2924C422"/>
    <w:lvl w:ilvl="0" w:tplc="1FBCEE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8"/>
  </w:num>
  <w:num w:numId="3">
    <w:abstractNumId w:val="8"/>
  </w:num>
  <w:num w:numId="4">
    <w:abstractNumId w:val="6"/>
  </w:num>
  <w:num w:numId="5">
    <w:abstractNumId w:val="47"/>
  </w:num>
  <w:num w:numId="6">
    <w:abstractNumId w:val="35"/>
  </w:num>
  <w:num w:numId="7">
    <w:abstractNumId w:val="33"/>
  </w:num>
  <w:num w:numId="8">
    <w:abstractNumId w:val="19"/>
  </w:num>
  <w:num w:numId="9">
    <w:abstractNumId w:val="3"/>
  </w:num>
  <w:num w:numId="10">
    <w:abstractNumId w:val="25"/>
  </w:num>
  <w:num w:numId="11">
    <w:abstractNumId w:val="11"/>
  </w:num>
  <w:num w:numId="12">
    <w:abstractNumId w:val="23"/>
  </w:num>
  <w:num w:numId="13">
    <w:abstractNumId w:val="20"/>
  </w:num>
  <w:num w:numId="14">
    <w:abstractNumId w:val="40"/>
  </w:num>
  <w:num w:numId="15">
    <w:abstractNumId w:val="28"/>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22"/>
  </w:num>
  <w:num w:numId="19">
    <w:abstractNumId w:val="9"/>
  </w:num>
  <w:num w:numId="20">
    <w:abstractNumId w:val="10"/>
  </w:num>
  <w:num w:numId="21">
    <w:abstractNumId w:val="5"/>
  </w:num>
  <w:num w:numId="22">
    <w:abstractNumId w:val="36"/>
  </w:num>
  <w:num w:numId="23">
    <w:abstractNumId w:val="32"/>
  </w:num>
  <w:num w:numId="24">
    <w:abstractNumId w:val="29"/>
  </w:num>
  <w:num w:numId="25">
    <w:abstractNumId w:val="46"/>
  </w:num>
  <w:num w:numId="26">
    <w:abstractNumId w:val="4"/>
  </w:num>
  <w:num w:numId="27">
    <w:abstractNumId w:val="41"/>
  </w:num>
  <w:num w:numId="28">
    <w:abstractNumId w:val="16"/>
  </w:num>
  <w:num w:numId="29">
    <w:abstractNumId w:val="43"/>
  </w:num>
  <w:num w:numId="30">
    <w:abstractNumId w:val="21"/>
  </w:num>
  <w:num w:numId="31">
    <w:abstractNumId w:val="14"/>
  </w:num>
  <w:num w:numId="32">
    <w:abstractNumId w:val="0"/>
  </w:num>
  <w:num w:numId="33">
    <w:abstractNumId w:val="42"/>
  </w:num>
  <w:num w:numId="34">
    <w:abstractNumId w:val="26"/>
  </w:num>
  <w:num w:numId="35">
    <w:abstractNumId w:val="39"/>
  </w:num>
  <w:num w:numId="36">
    <w:abstractNumId w:val="1"/>
  </w:num>
  <w:num w:numId="37">
    <w:abstractNumId w:val="15"/>
  </w:num>
  <w:num w:numId="38">
    <w:abstractNumId w:val="45"/>
  </w:num>
  <w:num w:numId="39">
    <w:abstractNumId w:val="24"/>
  </w:num>
  <w:num w:numId="40">
    <w:abstractNumId w:val="27"/>
  </w:num>
  <w:num w:numId="41">
    <w:abstractNumId w:val="17"/>
  </w:num>
  <w:num w:numId="42">
    <w:abstractNumId w:val="7"/>
  </w:num>
  <w:num w:numId="43">
    <w:abstractNumId w:val="12"/>
  </w:num>
  <w:num w:numId="44">
    <w:abstractNumId w:val="2"/>
  </w:num>
  <w:num w:numId="45">
    <w:abstractNumId w:val="48"/>
  </w:num>
  <w:num w:numId="46">
    <w:abstractNumId w:val="38"/>
  </w:num>
  <w:num w:numId="47">
    <w:abstractNumId w:val="13"/>
  </w:num>
  <w:num w:numId="48">
    <w:abstractNumId w:val="44"/>
  </w:num>
  <w:num w:numId="49">
    <w:abstractNumId w:val="31"/>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forms" w:enforcement="1" w:cryptProviderType="rsaAES" w:cryptAlgorithmClass="hash" w:cryptAlgorithmType="typeAny" w:cryptAlgorithmSid="14" w:cryptSpinCount="100000" w:hash="s3OZQUmQUlzVZGPahXeOksb12ETdqcBpxQ+WH4w16eXtiXM+m25vmbfJ9ZlOuGslM2bKVCtq8KkN24NtUQpCbw==" w:salt="mtGBqiNFKrW3DwJ3mcCZSg=="/>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EF3"/>
    <w:rsid w:val="0001408C"/>
    <w:rsid w:val="000206E4"/>
    <w:rsid w:val="00072A73"/>
    <w:rsid w:val="000A0074"/>
    <w:rsid w:val="000E6E1D"/>
    <w:rsid w:val="000E72A7"/>
    <w:rsid w:val="000F3289"/>
    <w:rsid w:val="001132E2"/>
    <w:rsid w:val="00115792"/>
    <w:rsid w:val="00124D68"/>
    <w:rsid w:val="0014567D"/>
    <w:rsid w:val="001576F3"/>
    <w:rsid w:val="00163D73"/>
    <w:rsid w:val="00170B7E"/>
    <w:rsid w:val="0017491C"/>
    <w:rsid w:val="00186330"/>
    <w:rsid w:val="001937E2"/>
    <w:rsid w:val="001A5A22"/>
    <w:rsid w:val="001B43E0"/>
    <w:rsid w:val="001B4B26"/>
    <w:rsid w:val="001C42BA"/>
    <w:rsid w:val="001D7752"/>
    <w:rsid w:val="001E17B9"/>
    <w:rsid w:val="001E505F"/>
    <w:rsid w:val="002033EF"/>
    <w:rsid w:val="0022031B"/>
    <w:rsid w:val="00231FD0"/>
    <w:rsid w:val="002368CA"/>
    <w:rsid w:val="00297D76"/>
    <w:rsid w:val="002D36CB"/>
    <w:rsid w:val="002E0E2D"/>
    <w:rsid w:val="00311966"/>
    <w:rsid w:val="00312990"/>
    <w:rsid w:val="00393BB9"/>
    <w:rsid w:val="00394114"/>
    <w:rsid w:val="003D5F01"/>
    <w:rsid w:val="003E1FF4"/>
    <w:rsid w:val="003F2E9C"/>
    <w:rsid w:val="00402B3F"/>
    <w:rsid w:val="004278E2"/>
    <w:rsid w:val="004323EF"/>
    <w:rsid w:val="00444BA0"/>
    <w:rsid w:val="004506C3"/>
    <w:rsid w:val="00461C41"/>
    <w:rsid w:val="0046416A"/>
    <w:rsid w:val="00486121"/>
    <w:rsid w:val="004923DF"/>
    <w:rsid w:val="004A01B7"/>
    <w:rsid w:val="004A3D14"/>
    <w:rsid w:val="004E15FA"/>
    <w:rsid w:val="004E7304"/>
    <w:rsid w:val="004F3AEC"/>
    <w:rsid w:val="00521361"/>
    <w:rsid w:val="00522666"/>
    <w:rsid w:val="0052485C"/>
    <w:rsid w:val="00524D10"/>
    <w:rsid w:val="00526956"/>
    <w:rsid w:val="00531B99"/>
    <w:rsid w:val="00544FC3"/>
    <w:rsid w:val="005552EF"/>
    <w:rsid w:val="00563072"/>
    <w:rsid w:val="005737D3"/>
    <w:rsid w:val="00573D14"/>
    <w:rsid w:val="0058387C"/>
    <w:rsid w:val="00583FC8"/>
    <w:rsid w:val="00587B46"/>
    <w:rsid w:val="005968F5"/>
    <w:rsid w:val="005A47DE"/>
    <w:rsid w:val="005A4AA8"/>
    <w:rsid w:val="005B25FF"/>
    <w:rsid w:val="005C69DC"/>
    <w:rsid w:val="005E2B32"/>
    <w:rsid w:val="005F1D88"/>
    <w:rsid w:val="006038FB"/>
    <w:rsid w:val="006246E5"/>
    <w:rsid w:val="006403CC"/>
    <w:rsid w:val="00644BB9"/>
    <w:rsid w:val="00647A95"/>
    <w:rsid w:val="00653891"/>
    <w:rsid w:val="00693FAF"/>
    <w:rsid w:val="006973EB"/>
    <w:rsid w:val="006A1F6A"/>
    <w:rsid w:val="006A7444"/>
    <w:rsid w:val="006B48A2"/>
    <w:rsid w:val="006D7051"/>
    <w:rsid w:val="006F4508"/>
    <w:rsid w:val="00712BA0"/>
    <w:rsid w:val="00713015"/>
    <w:rsid w:val="00715FC5"/>
    <w:rsid w:val="00716CFD"/>
    <w:rsid w:val="00717FCB"/>
    <w:rsid w:val="00725D4D"/>
    <w:rsid w:val="007376F4"/>
    <w:rsid w:val="007718E3"/>
    <w:rsid w:val="00783571"/>
    <w:rsid w:val="00796CF1"/>
    <w:rsid w:val="007A3629"/>
    <w:rsid w:val="00803D6A"/>
    <w:rsid w:val="00804A04"/>
    <w:rsid w:val="008125BD"/>
    <w:rsid w:val="00813C1C"/>
    <w:rsid w:val="008447ED"/>
    <w:rsid w:val="008508F0"/>
    <w:rsid w:val="008C37A2"/>
    <w:rsid w:val="008C3A97"/>
    <w:rsid w:val="008C52C7"/>
    <w:rsid w:val="008F0063"/>
    <w:rsid w:val="008F57B3"/>
    <w:rsid w:val="0095693A"/>
    <w:rsid w:val="00957EF3"/>
    <w:rsid w:val="0096792E"/>
    <w:rsid w:val="009732FB"/>
    <w:rsid w:val="0097760C"/>
    <w:rsid w:val="0098722B"/>
    <w:rsid w:val="009B412E"/>
    <w:rsid w:val="009C01E0"/>
    <w:rsid w:val="009C2430"/>
    <w:rsid w:val="009D6AA4"/>
    <w:rsid w:val="009D77CB"/>
    <w:rsid w:val="00A212F0"/>
    <w:rsid w:val="00A37C15"/>
    <w:rsid w:val="00A67D67"/>
    <w:rsid w:val="00A83081"/>
    <w:rsid w:val="00A87C80"/>
    <w:rsid w:val="00A91531"/>
    <w:rsid w:val="00AC24D2"/>
    <w:rsid w:val="00AE34B9"/>
    <w:rsid w:val="00AE39B6"/>
    <w:rsid w:val="00B067B1"/>
    <w:rsid w:val="00B11630"/>
    <w:rsid w:val="00B43376"/>
    <w:rsid w:val="00B6386D"/>
    <w:rsid w:val="00B70598"/>
    <w:rsid w:val="00B76CF4"/>
    <w:rsid w:val="00B91889"/>
    <w:rsid w:val="00BB7945"/>
    <w:rsid w:val="00BE5474"/>
    <w:rsid w:val="00C12AFD"/>
    <w:rsid w:val="00C2355E"/>
    <w:rsid w:val="00C24E16"/>
    <w:rsid w:val="00C34845"/>
    <w:rsid w:val="00C45B26"/>
    <w:rsid w:val="00C73EF3"/>
    <w:rsid w:val="00C812F6"/>
    <w:rsid w:val="00CA0770"/>
    <w:rsid w:val="00CA6428"/>
    <w:rsid w:val="00CC2580"/>
    <w:rsid w:val="00CF0136"/>
    <w:rsid w:val="00CF12E0"/>
    <w:rsid w:val="00D167C4"/>
    <w:rsid w:val="00D2736F"/>
    <w:rsid w:val="00D54749"/>
    <w:rsid w:val="00D67E81"/>
    <w:rsid w:val="00D83200"/>
    <w:rsid w:val="00DA085F"/>
    <w:rsid w:val="00DA2041"/>
    <w:rsid w:val="00DA770F"/>
    <w:rsid w:val="00DB4103"/>
    <w:rsid w:val="00DD1E44"/>
    <w:rsid w:val="00DD249C"/>
    <w:rsid w:val="00DD767D"/>
    <w:rsid w:val="00DE73CA"/>
    <w:rsid w:val="00DF1087"/>
    <w:rsid w:val="00DF39C8"/>
    <w:rsid w:val="00E205CB"/>
    <w:rsid w:val="00E459F5"/>
    <w:rsid w:val="00E479C9"/>
    <w:rsid w:val="00E57FAA"/>
    <w:rsid w:val="00E70194"/>
    <w:rsid w:val="00E7288E"/>
    <w:rsid w:val="00E77B9C"/>
    <w:rsid w:val="00E80E8A"/>
    <w:rsid w:val="00E81668"/>
    <w:rsid w:val="00EA0DD5"/>
    <w:rsid w:val="00F059F5"/>
    <w:rsid w:val="00F2784B"/>
    <w:rsid w:val="00F5325A"/>
    <w:rsid w:val="00F53B84"/>
    <w:rsid w:val="00F734F6"/>
    <w:rsid w:val="00FA5ACB"/>
    <w:rsid w:val="00FA7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docId w15:val="{867EAA9F-D1CA-4B68-BC59-A520A6302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EF3"/>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C73EF3"/>
    <w:pPr>
      <w:spacing w:line="480" w:lineRule="auto"/>
      <w:jc w:val="center"/>
      <w:outlineLvl w:val="0"/>
    </w:pPr>
    <w:rPr>
      <w:b/>
      <w:bCs/>
      <w:color w:val="000000" w:themeColor="text1"/>
    </w:rPr>
  </w:style>
  <w:style w:type="paragraph" w:styleId="Heading2">
    <w:name w:val="heading 2"/>
    <w:basedOn w:val="Normal"/>
    <w:link w:val="Heading2Char"/>
    <w:uiPriority w:val="9"/>
    <w:unhideWhenUsed/>
    <w:qFormat/>
    <w:rsid w:val="00DA085F"/>
    <w:pPr>
      <w:spacing w:line="480" w:lineRule="auto"/>
      <w:jc w:val="both"/>
      <w:outlineLvl w:val="1"/>
    </w:pPr>
    <w:rPr>
      <w:rFonts w:cs="Times New Roman"/>
      <w:b/>
      <w:bCs/>
      <w:color w:val="000000" w:themeColor="text1"/>
      <w:szCs w:val="24"/>
    </w:rPr>
  </w:style>
  <w:style w:type="paragraph" w:styleId="Heading3">
    <w:name w:val="heading 3"/>
    <w:basedOn w:val="Normal"/>
    <w:next w:val="Normal"/>
    <w:link w:val="Heading3Char"/>
    <w:uiPriority w:val="9"/>
    <w:unhideWhenUsed/>
    <w:qFormat/>
    <w:rsid w:val="00DA085F"/>
    <w:pPr>
      <w:spacing w:line="480" w:lineRule="auto"/>
      <w:jc w:val="both"/>
      <w:outlineLvl w:val="2"/>
    </w:pPr>
    <w:rPr>
      <w:rFonts w:cs="Times New Roman"/>
      <w:b/>
      <w:bCs/>
      <w:color w:val="000000" w:themeColor="text1"/>
      <w:szCs w:val="24"/>
    </w:rPr>
  </w:style>
  <w:style w:type="paragraph" w:styleId="Heading4">
    <w:name w:val="heading 4"/>
    <w:basedOn w:val="Normal"/>
    <w:next w:val="Normal"/>
    <w:link w:val="Heading4Char"/>
    <w:uiPriority w:val="9"/>
    <w:unhideWhenUsed/>
    <w:qFormat/>
    <w:rsid w:val="00DA085F"/>
    <w:pPr>
      <w:shd w:val="clear" w:color="auto" w:fill="FFFFFF"/>
      <w:spacing w:line="480" w:lineRule="auto"/>
      <w:jc w:val="both"/>
      <w:outlineLvl w:val="3"/>
    </w:pPr>
    <w:rPr>
      <w:rFonts w:cs="Times New Roman"/>
      <w:b/>
      <w:bCs/>
      <w:color w:val="0D0D0D" w:themeColor="text1" w:themeTint="F2"/>
      <w:szCs w:val="24"/>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EF3"/>
    <w:rPr>
      <w:rFonts w:ascii="Times New Roman" w:hAnsi="Times New Roman"/>
      <w:b/>
      <w:bCs/>
      <w:color w:val="000000" w:themeColor="text1"/>
      <w:sz w:val="24"/>
    </w:rPr>
  </w:style>
  <w:style w:type="paragraph" w:styleId="BodyText">
    <w:name w:val="Body Text"/>
    <w:basedOn w:val="Normal"/>
    <w:link w:val="BodyTextChar"/>
    <w:uiPriority w:val="1"/>
    <w:rsid w:val="00C73EF3"/>
    <w:pPr>
      <w:widowControl w:val="0"/>
      <w:autoSpaceDE w:val="0"/>
      <w:autoSpaceDN w:val="0"/>
    </w:pPr>
    <w:rPr>
      <w:rFonts w:eastAsia="Times New Roman" w:cs="Times New Roman"/>
      <w:szCs w:val="24"/>
      <w:lang w:val="id"/>
    </w:rPr>
  </w:style>
  <w:style w:type="character" w:customStyle="1" w:styleId="BodyTextChar">
    <w:name w:val="Body Text Char"/>
    <w:basedOn w:val="DefaultParagraphFont"/>
    <w:link w:val="BodyText"/>
    <w:uiPriority w:val="1"/>
    <w:rsid w:val="00C73EF3"/>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C73EF3"/>
    <w:pPr>
      <w:tabs>
        <w:tab w:val="center" w:pos="4513"/>
        <w:tab w:val="right" w:pos="9026"/>
      </w:tabs>
    </w:pPr>
  </w:style>
  <w:style w:type="character" w:customStyle="1" w:styleId="HeaderChar">
    <w:name w:val="Header Char"/>
    <w:basedOn w:val="DefaultParagraphFont"/>
    <w:link w:val="Header"/>
    <w:uiPriority w:val="99"/>
    <w:rsid w:val="00C73EF3"/>
    <w:rPr>
      <w:rFonts w:ascii="Times New Roman" w:hAnsi="Times New Roman"/>
      <w:sz w:val="24"/>
    </w:rPr>
  </w:style>
  <w:style w:type="paragraph" w:styleId="Footer">
    <w:name w:val="footer"/>
    <w:basedOn w:val="Normal"/>
    <w:link w:val="FooterChar"/>
    <w:uiPriority w:val="99"/>
    <w:unhideWhenUsed/>
    <w:rsid w:val="00C73EF3"/>
    <w:pPr>
      <w:tabs>
        <w:tab w:val="center" w:pos="4513"/>
        <w:tab w:val="right" w:pos="9026"/>
      </w:tabs>
    </w:pPr>
  </w:style>
  <w:style w:type="character" w:customStyle="1" w:styleId="FooterChar">
    <w:name w:val="Footer Char"/>
    <w:basedOn w:val="DefaultParagraphFont"/>
    <w:link w:val="Footer"/>
    <w:uiPriority w:val="99"/>
    <w:rsid w:val="00C73EF3"/>
    <w:rPr>
      <w:rFonts w:ascii="Times New Roman" w:hAnsi="Times New Roman"/>
      <w:sz w:val="24"/>
    </w:rPr>
  </w:style>
  <w:style w:type="paragraph" w:styleId="BalloonText">
    <w:name w:val="Balloon Text"/>
    <w:basedOn w:val="Normal"/>
    <w:link w:val="BalloonTextChar"/>
    <w:uiPriority w:val="99"/>
    <w:semiHidden/>
    <w:unhideWhenUsed/>
    <w:rsid w:val="00C73EF3"/>
    <w:rPr>
      <w:rFonts w:ascii="Tahoma" w:hAnsi="Tahoma" w:cs="Tahoma"/>
      <w:sz w:val="16"/>
      <w:szCs w:val="16"/>
    </w:rPr>
  </w:style>
  <w:style w:type="character" w:customStyle="1" w:styleId="BalloonTextChar">
    <w:name w:val="Balloon Text Char"/>
    <w:basedOn w:val="DefaultParagraphFont"/>
    <w:link w:val="BalloonText"/>
    <w:uiPriority w:val="99"/>
    <w:semiHidden/>
    <w:rsid w:val="00C73EF3"/>
    <w:rPr>
      <w:rFonts w:ascii="Tahoma" w:hAnsi="Tahoma" w:cs="Tahoma"/>
      <w:sz w:val="16"/>
      <w:szCs w:val="16"/>
    </w:rPr>
  </w:style>
  <w:style w:type="character" w:customStyle="1" w:styleId="Heading2Char">
    <w:name w:val="Heading 2 Char"/>
    <w:basedOn w:val="DefaultParagraphFont"/>
    <w:link w:val="Heading2"/>
    <w:uiPriority w:val="9"/>
    <w:rsid w:val="00DA085F"/>
    <w:rPr>
      <w:rFonts w:ascii="Times New Roman" w:hAnsi="Times New Roman" w:cs="Times New Roman"/>
      <w:b/>
      <w:bCs/>
      <w:color w:val="000000" w:themeColor="text1"/>
      <w:sz w:val="24"/>
      <w:szCs w:val="24"/>
    </w:rPr>
  </w:style>
  <w:style w:type="character" w:customStyle="1" w:styleId="Heading3Char">
    <w:name w:val="Heading 3 Char"/>
    <w:basedOn w:val="DefaultParagraphFont"/>
    <w:link w:val="Heading3"/>
    <w:uiPriority w:val="9"/>
    <w:rsid w:val="00DA085F"/>
    <w:rPr>
      <w:rFonts w:ascii="Times New Roman" w:hAnsi="Times New Roman" w:cs="Times New Roman"/>
      <w:b/>
      <w:bCs/>
      <w:color w:val="000000" w:themeColor="text1"/>
      <w:sz w:val="24"/>
      <w:szCs w:val="24"/>
    </w:rPr>
  </w:style>
  <w:style w:type="character" w:customStyle="1" w:styleId="Heading4Char">
    <w:name w:val="Heading 4 Char"/>
    <w:basedOn w:val="DefaultParagraphFont"/>
    <w:link w:val="Heading4"/>
    <w:uiPriority w:val="9"/>
    <w:rsid w:val="00DA085F"/>
    <w:rPr>
      <w:rFonts w:ascii="Times New Roman" w:hAnsi="Times New Roman" w:cs="Times New Roman"/>
      <w:b/>
      <w:bCs/>
      <w:color w:val="0D0D0D" w:themeColor="text1" w:themeTint="F2"/>
      <w:sz w:val="24"/>
      <w:szCs w:val="24"/>
      <w:shd w:val="clear" w:color="auto" w:fill="FFFFFF"/>
      <w:lang w:val="fi-FI"/>
    </w:rPr>
  </w:style>
  <w:style w:type="paragraph" w:styleId="ListParagraph">
    <w:name w:val="List Paragraph"/>
    <w:aliases w:val="PARAGRAPH"/>
    <w:basedOn w:val="Normal"/>
    <w:link w:val="ListParagraphChar"/>
    <w:uiPriority w:val="1"/>
    <w:rsid w:val="00DA085F"/>
    <w:pPr>
      <w:ind w:left="720"/>
      <w:contextualSpacing/>
    </w:pPr>
  </w:style>
  <w:style w:type="character" w:customStyle="1" w:styleId="ListParagraphChar">
    <w:name w:val="List Paragraph Char"/>
    <w:aliases w:val="PARAGRAPH Char"/>
    <w:link w:val="ListParagraph"/>
    <w:uiPriority w:val="1"/>
    <w:rsid w:val="00DA085F"/>
    <w:rPr>
      <w:rFonts w:ascii="Times New Roman" w:hAnsi="Times New Roman"/>
      <w:sz w:val="24"/>
    </w:rPr>
  </w:style>
  <w:style w:type="table" w:styleId="TableGrid">
    <w:name w:val="Table Grid"/>
    <w:basedOn w:val="TableNormal"/>
    <w:uiPriority w:val="59"/>
    <w:rsid w:val="00DA08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DA085F"/>
  </w:style>
  <w:style w:type="character" w:customStyle="1" w:styleId="HTMLPreformattedChar">
    <w:name w:val="HTML Preformatted Char"/>
    <w:basedOn w:val="DefaultParagraphFont"/>
    <w:link w:val="HTMLPreformatted"/>
    <w:uiPriority w:val="99"/>
    <w:semiHidden/>
    <w:rsid w:val="00DA085F"/>
    <w:rPr>
      <w:rFonts w:ascii="Courier New" w:eastAsia="Times New Roman" w:hAnsi="Courier New" w:cs="Courier New"/>
      <w:sz w:val="20"/>
      <w:szCs w:val="20"/>
      <w:lang w:val="en-ID" w:eastAsia="en-ID"/>
    </w:rPr>
  </w:style>
  <w:style w:type="paragraph" w:styleId="HTMLPreformatted">
    <w:name w:val="HTML Preformatted"/>
    <w:basedOn w:val="Normal"/>
    <w:link w:val="HTMLPreformattedChar"/>
    <w:uiPriority w:val="99"/>
    <w:semiHidden/>
    <w:unhideWhenUsed/>
    <w:rsid w:val="00DA0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eastAsia="en-ID"/>
    </w:rPr>
  </w:style>
  <w:style w:type="character" w:customStyle="1" w:styleId="HTMLPreformattedChar1">
    <w:name w:val="HTML Preformatted Char1"/>
    <w:basedOn w:val="DefaultParagraphFont"/>
    <w:uiPriority w:val="99"/>
    <w:semiHidden/>
    <w:rsid w:val="00DA085F"/>
    <w:rPr>
      <w:rFonts w:ascii="Consolas" w:hAnsi="Consolas" w:cs="Consolas"/>
      <w:sz w:val="20"/>
      <w:szCs w:val="20"/>
    </w:rPr>
  </w:style>
  <w:style w:type="paragraph" w:customStyle="1" w:styleId="msonormal0">
    <w:name w:val="msonormal"/>
    <w:basedOn w:val="Normal"/>
    <w:rsid w:val="00DA085F"/>
    <w:pPr>
      <w:spacing w:before="100" w:beforeAutospacing="1" w:after="100" w:afterAutospacing="1"/>
    </w:pPr>
    <w:rPr>
      <w:rFonts w:eastAsia="Times New Roman" w:cs="Times New Roman"/>
      <w:szCs w:val="24"/>
      <w:lang w:val="en-ID" w:eastAsia="en-ID"/>
    </w:rPr>
  </w:style>
  <w:style w:type="paragraph" w:customStyle="1" w:styleId="TableParagraph">
    <w:name w:val="Table Paragraph"/>
    <w:basedOn w:val="Normal"/>
    <w:uiPriority w:val="1"/>
    <w:rsid w:val="00DA085F"/>
    <w:pPr>
      <w:widowControl w:val="0"/>
      <w:autoSpaceDE w:val="0"/>
      <w:autoSpaceDN w:val="0"/>
      <w:jc w:val="center"/>
    </w:pPr>
    <w:rPr>
      <w:rFonts w:eastAsia="Times New Roman" w:cs="Times New Roman"/>
      <w:sz w:val="22"/>
      <w:lang w:val="en-ID"/>
    </w:rPr>
  </w:style>
  <w:style w:type="character" w:customStyle="1" w:styleId="y2iqfc">
    <w:name w:val="y2iqfc"/>
    <w:basedOn w:val="DefaultParagraphFont"/>
    <w:rsid w:val="00DA085F"/>
  </w:style>
  <w:style w:type="character" w:styleId="PlaceholderText">
    <w:name w:val="Placeholder Text"/>
    <w:basedOn w:val="DefaultParagraphFont"/>
    <w:uiPriority w:val="99"/>
    <w:semiHidden/>
    <w:rsid w:val="00DA085F"/>
    <w:rPr>
      <w:color w:val="808080"/>
    </w:rPr>
  </w:style>
  <w:style w:type="paragraph" w:styleId="NoSpacing">
    <w:name w:val="No Spacing"/>
    <w:uiPriority w:val="1"/>
    <w:rsid w:val="00DA085F"/>
    <w:pPr>
      <w:spacing w:after="0" w:line="240" w:lineRule="auto"/>
    </w:pPr>
    <w:rPr>
      <w:rFonts w:ascii="Times New Roman" w:hAnsi="Times New Roman"/>
      <w:sz w:val="24"/>
    </w:rPr>
  </w:style>
  <w:style w:type="character" w:styleId="Emphasis">
    <w:name w:val="Emphasis"/>
    <w:basedOn w:val="DefaultParagraphFont"/>
    <w:uiPriority w:val="20"/>
    <w:qFormat/>
    <w:rsid w:val="00DA085F"/>
    <w:rPr>
      <w:i/>
      <w:iCs/>
    </w:rPr>
  </w:style>
  <w:style w:type="character" w:styleId="PageNumber">
    <w:name w:val="page number"/>
    <w:basedOn w:val="DefaultParagraphFont"/>
    <w:uiPriority w:val="99"/>
    <w:semiHidden/>
    <w:unhideWhenUsed/>
    <w:rsid w:val="00DA085F"/>
  </w:style>
  <w:style w:type="paragraph" w:styleId="TOC1">
    <w:name w:val="toc 1"/>
    <w:basedOn w:val="Normal"/>
    <w:next w:val="Normal"/>
    <w:autoRedefine/>
    <w:uiPriority w:val="39"/>
    <w:unhideWhenUsed/>
    <w:rsid w:val="00DA085F"/>
    <w:pPr>
      <w:tabs>
        <w:tab w:val="right" w:leader="dot" w:pos="7928"/>
      </w:tabs>
      <w:spacing w:line="360" w:lineRule="auto"/>
      <w:ind w:left="1134" w:hanging="1134"/>
    </w:pPr>
    <w:rPr>
      <w:rFonts w:cs="Times New Roman"/>
      <w:b/>
      <w:bCs/>
      <w:noProof/>
      <w:color w:val="000000" w:themeColor="text1"/>
      <w:lang w:val="fi-FI"/>
    </w:rPr>
  </w:style>
  <w:style w:type="paragraph" w:styleId="TOC2">
    <w:name w:val="toc 2"/>
    <w:basedOn w:val="Normal"/>
    <w:next w:val="Normal"/>
    <w:autoRedefine/>
    <w:uiPriority w:val="39"/>
    <w:unhideWhenUsed/>
    <w:rsid w:val="00DA085F"/>
    <w:pPr>
      <w:spacing w:after="100"/>
      <w:ind w:left="240"/>
    </w:pPr>
  </w:style>
  <w:style w:type="paragraph" w:styleId="TOC3">
    <w:name w:val="toc 3"/>
    <w:basedOn w:val="Normal"/>
    <w:next w:val="Normal"/>
    <w:autoRedefine/>
    <w:uiPriority w:val="39"/>
    <w:unhideWhenUsed/>
    <w:rsid w:val="00DA085F"/>
    <w:pPr>
      <w:tabs>
        <w:tab w:val="right" w:leader="dot" w:pos="7928"/>
      </w:tabs>
      <w:spacing w:line="360" w:lineRule="auto"/>
      <w:ind w:left="2410" w:hanging="709"/>
    </w:pPr>
  </w:style>
  <w:style w:type="paragraph" w:styleId="TOC4">
    <w:name w:val="toc 4"/>
    <w:basedOn w:val="Normal"/>
    <w:next w:val="Normal"/>
    <w:autoRedefine/>
    <w:uiPriority w:val="39"/>
    <w:unhideWhenUsed/>
    <w:rsid w:val="00DA085F"/>
    <w:pPr>
      <w:spacing w:after="100"/>
      <w:ind w:left="720"/>
    </w:pPr>
  </w:style>
  <w:style w:type="paragraph" w:styleId="TOC5">
    <w:name w:val="toc 5"/>
    <w:basedOn w:val="Normal"/>
    <w:next w:val="Normal"/>
    <w:autoRedefine/>
    <w:uiPriority w:val="39"/>
    <w:unhideWhenUsed/>
    <w:rsid w:val="00DA085F"/>
    <w:pPr>
      <w:spacing w:after="100" w:line="278" w:lineRule="auto"/>
      <w:ind w:left="960"/>
    </w:pPr>
    <w:rPr>
      <w:rFonts w:asciiTheme="minorHAnsi" w:eastAsiaTheme="minorEastAsia" w:hAnsiTheme="minorHAnsi"/>
      <w:kern w:val="2"/>
      <w:szCs w:val="24"/>
      <w:lang w:val="en-ID" w:eastAsia="en-ID"/>
      <w14:ligatures w14:val="standardContextual"/>
    </w:rPr>
  </w:style>
  <w:style w:type="paragraph" w:styleId="TOC6">
    <w:name w:val="toc 6"/>
    <w:basedOn w:val="Normal"/>
    <w:next w:val="Normal"/>
    <w:autoRedefine/>
    <w:uiPriority w:val="39"/>
    <w:unhideWhenUsed/>
    <w:rsid w:val="00DA085F"/>
    <w:pPr>
      <w:spacing w:after="100" w:line="278" w:lineRule="auto"/>
      <w:ind w:left="1200"/>
    </w:pPr>
    <w:rPr>
      <w:rFonts w:asciiTheme="minorHAnsi" w:eastAsiaTheme="minorEastAsia" w:hAnsiTheme="minorHAnsi"/>
      <w:kern w:val="2"/>
      <w:szCs w:val="24"/>
      <w:lang w:val="en-ID" w:eastAsia="en-ID"/>
      <w14:ligatures w14:val="standardContextual"/>
    </w:rPr>
  </w:style>
  <w:style w:type="paragraph" w:styleId="TOC7">
    <w:name w:val="toc 7"/>
    <w:basedOn w:val="Normal"/>
    <w:next w:val="Normal"/>
    <w:autoRedefine/>
    <w:uiPriority w:val="39"/>
    <w:unhideWhenUsed/>
    <w:rsid w:val="00DA085F"/>
    <w:pPr>
      <w:spacing w:after="100" w:line="278" w:lineRule="auto"/>
      <w:ind w:left="1440"/>
    </w:pPr>
    <w:rPr>
      <w:rFonts w:asciiTheme="minorHAnsi" w:eastAsiaTheme="minorEastAsia" w:hAnsiTheme="minorHAnsi"/>
      <w:kern w:val="2"/>
      <w:szCs w:val="24"/>
      <w:lang w:val="en-ID" w:eastAsia="en-ID"/>
      <w14:ligatures w14:val="standardContextual"/>
    </w:rPr>
  </w:style>
  <w:style w:type="paragraph" w:styleId="TOC8">
    <w:name w:val="toc 8"/>
    <w:basedOn w:val="Normal"/>
    <w:next w:val="Normal"/>
    <w:autoRedefine/>
    <w:uiPriority w:val="39"/>
    <w:unhideWhenUsed/>
    <w:rsid w:val="00DA085F"/>
    <w:pPr>
      <w:spacing w:after="100" w:line="278" w:lineRule="auto"/>
      <w:ind w:left="1680"/>
    </w:pPr>
    <w:rPr>
      <w:rFonts w:asciiTheme="minorHAnsi" w:eastAsiaTheme="minorEastAsia" w:hAnsiTheme="minorHAnsi"/>
      <w:kern w:val="2"/>
      <w:szCs w:val="24"/>
      <w:lang w:val="en-ID" w:eastAsia="en-ID"/>
      <w14:ligatures w14:val="standardContextual"/>
    </w:rPr>
  </w:style>
  <w:style w:type="paragraph" w:styleId="TOC9">
    <w:name w:val="toc 9"/>
    <w:basedOn w:val="Normal"/>
    <w:next w:val="Normal"/>
    <w:autoRedefine/>
    <w:uiPriority w:val="39"/>
    <w:unhideWhenUsed/>
    <w:rsid w:val="00DA085F"/>
    <w:pPr>
      <w:spacing w:after="100" w:line="278" w:lineRule="auto"/>
      <w:ind w:left="1920"/>
    </w:pPr>
    <w:rPr>
      <w:rFonts w:asciiTheme="minorHAnsi" w:eastAsiaTheme="minorEastAsia" w:hAnsiTheme="minorHAnsi"/>
      <w:kern w:val="2"/>
      <w:szCs w:val="24"/>
      <w:lang w:val="en-ID" w:eastAsia="en-ID"/>
      <w14:ligatures w14:val="standardContextual"/>
    </w:rPr>
  </w:style>
  <w:style w:type="character" w:styleId="Hyperlink">
    <w:name w:val="Hyperlink"/>
    <w:basedOn w:val="DefaultParagraphFont"/>
    <w:uiPriority w:val="99"/>
    <w:unhideWhenUsed/>
    <w:rsid w:val="00DA085F"/>
    <w:rPr>
      <w:color w:val="0000FF" w:themeColor="hyperlink"/>
      <w:u w:val="single"/>
    </w:rPr>
  </w:style>
  <w:style w:type="character" w:customStyle="1" w:styleId="UnresolvedMention1">
    <w:name w:val="Unresolved Mention1"/>
    <w:basedOn w:val="DefaultParagraphFont"/>
    <w:uiPriority w:val="99"/>
    <w:semiHidden/>
    <w:unhideWhenUsed/>
    <w:rsid w:val="00DA085F"/>
    <w:rPr>
      <w:color w:val="605E5C"/>
      <w:shd w:val="clear" w:color="auto" w:fill="E1DFDD"/>
    </w:rPr>
  </w:style>
  <w:style w:type="character" w:customStyle="1" w:styleId="UnresolvedMention2">
    <w:name w:val="Unresolved Mention2"/>
    <w:basedOn w:val="DefaultParagraphFont"/>
    <w:uiPriority w:val="99"/>
    <w:semiHidden/>
    <w:unhideWhenUsed/>
    <w:rsid w:val="00DA085F"/>
    <w:rPr>
      <w:color w:val="605E5C"/>
      <w:shd w:val="clear" w:color="auto" w:fill="E1DFDD"/>
    </w:rPr>
  </w:style>
  <w:style w:type="paragraph" w:styleId="Caption">
    <w:name w:val="caption"/>
    <w:basedOn w:val="Normal"/>
    <w:next w:val="Normal"/>
    <w:uiPriority w:val="35"/>
    <w:unhideWhenUsed/>
    <w:qFormat/>
    <w:rsid w:val="00DA085F"/>
    <w:pPr>
      <w:spacing w:after="200"/>
    </w:pPr>
    <w:rPr>
      <w:b/>
      <w:bCs/>
      <w:color w:val="4F81BD" w:themeColor="accent1"/>
      <w:sz w:val="18"/>
      <w:szCs w:val="18"/>
    </w:rPr>
  </w:style>
  <w:style w:type="paragraph" w:styleId="TableofFigures">
    <w:name w:val="table of figures"/>
    <w:basedOn w:val="Normal"/>
    <w:next w:val="Normal"/>
    <w:uiPriority w:val="99"/>
    <w:unhideWhenUsed/>
    <w:rsid w:val="00DA0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13606</Words>
  <Characters>77555</Characters>
  <Application>Microsoft Office Word</Application>
  <DocSecurity>0</DocSecurity>
  <Lines>646</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user</cp:lastModifiedBy>
  <cp:revision>2</cp:revision>
  <dcterms:created xsi:type="dcterms:W3CDTF">2026-08-20T07:34:00Z</dcterms:created>
  <dcterms:modified xsi:type="dcterms:W3CDTF">2026-08-20T07:34:00Z</dcterms:modified>
</cp:coreProperties>
</file>