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7A8E7D">
      <w:pPr>
        <w:pStyle w:val="2"/>
        <w:spacing w:line="360" w:lineRule="auto"/>
        <w:ind w:right="19"/>
        <w:jc w:val="center"/>
        <w:rPr>
          <w:rFonts w:ascii="Times New Roman" w:hAnsi="Times New Roman" w:cs="Times New Roman"/>
          <w:b/>
          <w:color w:val="000000" w:themeColor="text1"/>
          <w:sz w:val="24"/>
          <w:lang w:val="en-US"/>
          <w14:textFill>
            <w14:solidFill>
              <w14:schemeClr w14:val="tx1"/>
            </w14:solidFill>
          </w14:textFill>
        </w:rPr>
      </w:pPr>
      <w:bookmarkStart w:id="48" w:name="_GoBack"/>
      <w:bookmarkEnd w:id="48"/>
      <w:bookmarkStart w:id="0" w:name="_Toc230017504"/>
      <w:bookmarkStart w:id="1" w:name="_Toc230017837"/>
      <w:r>
        <w:rPr>
          <w:rFonts w:ascii="Times New Roman" w:hAnsi="Times New Roman" w:cs="Times New Roman"/>
          <w:b/>
          <w:color w:val="000000" w:themeColor="text1"/>
          <w:sz w:val="24"/>
          <w:lang w:val="en-US"/>
          <w14:textFill>
            <w14:solidFill>
              <w14:schemeClr w14:val="tx1"/>
            </w14:solidFill>
          </w14:textFill>
        </w:rPr>
        <w:t>PERTANGGUNGJAWABAN TINDAK PIDANA PEMILIHAN UMUM YANG DILAKUKAN PANITIA PEMILIHAN KECAMATAN (PPK)</w:t>
      </w:r>
      <w:bookmarkEnd w:id="0"/>
      <w:bookmarkEnd w:id="1"/>
    </w:p>
    <w:p w14:paraId="497A8E7E">
      <w:pPr>
        <w:jc w:val="center"/>
        <w:rPr>
          <w:lang w:val="en-US"/>
        </w:rPr>
      </w:pPr>
      <w:r>
        <w:rPr>
          <w:b/>
          <w:sz w:val="24"/>
          <w:lang w:val="en-US"/>
        </w:rPr>
        <w:t>( Studi putusan Pengadilan Negeri Medan No 1/Pid.s/2024/PN Mdn)</w:t>
      </w:r>
    </w:p>
    <w:p w14:paraId="497A8E7F">
      <w:pPr>
        <w:pStyle w:val="14"/>
        <w:jc w:val="center"/>
        <w:rPr>
          <w:b/>
        </w:rPr>
      </w:pPr>
    </w:p>
    <w:p w14:paraId="497A8E80">
      <w:pPr>
        <w:pStyle w:val="14"/>
        <w:rPr>
          <w:b/>
        </w:rPr>
      </w:pPr>
    </w:p>
    <w:p w14:paraId="497A8E81">
      <w:pPr>
        <w:pStyle w:val="14"/>
        <w:spacing w:before="138"/>
        <w:rPr>
          <w:b/>
        </w:rPr>
      </w:pPr>
    </w:p>
    <w:p w14:paraId="497A8E82">
      <w:pPr>
        <w:ind w:left="428"/>
        <w:jc w:val="center"/>
        <w:rPr>
          <w:b/>
          <w:spacing w:val="-2"/>
          <w:sz w:val="24"/>
        </w:rPr>
      </w:pPr>
      <w:r>
        <w:rPr>
          <w:b/>
          <w:spacing w:val="-2"/>
          <w:sz w:val="24"/>
        </w:rPr>
        <w:t>SKRIPSI</w:t>
      </w:r>
    </w:p>
    <w:p w14:paraId="5CF2FF0F">
      <w:pPr>
        <w:ind w:left="428"/>
        <w:jc w:val="center"/>
        <w:rPr>
          <w:b/>
          <w:spacing w:val="-2"/>
          <w:sz w:val="24"/>
        </w:rPr>
      </w:pPr>
    </w:p>
    <w:p w14:paraId="537904F6">
      <w:pPr>
        <w:ind w:left="428"/>
        <w:jc w:val="center"/>
        <w:rPr>
          <w:rFonts w:ascii="Arial" w:hAnsi="Arial" w:cs="Arial"/>
          <w:bCs/>
          <w:i/>
          <w:iCs/>
          <w:spacing w:val="-2"/>
          <w:sz w:val="24"/>
        </w:rPr>
      </w:pPr>
      <w:r>
        <w:rPr>
          <w:rFonts w:ascii="Arial" w:hAnsi="Arial" w:cs="Arial"/>
          <w:bCs/>
          <w:i/>
          <w:iCs/>
          <w:spacing w:val="-2"/>
          <w:sz w:val="24"/>
        </w:rPr>
        <w:t xml:space="preserve">Diajukan untuk memperoleh gelar Sarjana Hukum pada Program Studi Ilmu Hukum </w:t>
      </w:r>
    </w:p>
    <w:p w14:paraId="2F11884F">
      <w:pPr>
        <w:ind w:left="428"/>
        <w:jc w:val="center"/>
        <w:rPr>
          <w:rFonts w:ascii="Arial" w:hAnsi="Arial" w:cs="Arial"/>
          <w:bCs/>
          <w:i/>
          <w:iCs/>
          <w:sz w:val="24"/>
        </w:rPr>
      </w:pPr>
      <w:r>
        <w:rPr>
          <w:rFonts w:ascii="Arial" w:hAnsi="Arial" w:cs="Arial"/>
          <w:bCs/>
          <w:i/>
          <w:iCs/>
          <w:spacing w:val="-2"/>
          <w:sz w:val="24"/>
        </w:rPr>
        <w:t>Fakultas Hukum Universitas Muslim Nusantara Al - Washliyah</w:t>
      </w:r>
    </w:p>
    <w:p w14:paraId="497A8E83">
      <w:pPr>
        <w:pStyle w:val="14"/>
        <w:rPr>
          <w:rFonts w:ascii="Arial" w:hAnsi="Arial" w:cs="Arial"/>
          <w:bCs/>
          <w:i/>
          <w:iCs/>
        </w:rPr>
      </w:pPr>
    </w:p>
    <w:p w14:paraId="497A8E84">
      <w:pPr>
        <w:pStyle w:val="14"/>
        <w:rPr>
          <w:b/>
        </w:rPr>
      </w:pPr>
    </w:p>
    <w:p w14:paraId="497A8E85">
      <w:pPr>
        <w:pStyle w:val="14"/>
        <w:spacing w:before="138"/>
        <w:rPr>
          <w:b/>
        </w:rPr>
      </w:pPr>
    </w:p>
    <w:p w14:paraId="497A8E86">
      <w:pPr>
        <w:ind w:left="428" w:right="2"/>
        <w:jc w:val="center"/>
        <w:rPr>
          <w:b/>
          <w:sz w:val="24"/>
        </w:rPr>
      </w:pPr>
      <w:r>
        <w:rPr>
          <w:b/>
          <w:spacing w:val="-2"/>
          <w:sz w:val="24"/>
        </w:rPr>
        <w:t>OLEH:</w:t>
      </w:r>
    </w:p>
    <w:p w14:paraId="497A8E87">
      <w:pPr>
        <w:spacing w:before="138"/>
        <w:ind w:left="1822" w:right="2112" w:firstLine="338"/>
        <w:rPr>
          <w:b/>
          <w:sz w:val="24"/>
        </w:rPr>
      </w:pPr>
      <w:r>
        <w:rPr>
          <w:b/>
          <w:sz w:val="24"/>
        </w:rPr>
        <w:t xml:space="preserve">    </w:t>
      </w:r>
      <w:r>
        <w:rPr>
          <w:b/>
          <w:sz w:val="24"/>
          <w:u w:val="single"/>
        </w:rPr>
        <w:t>TUNGGUL</w:t>
      </w:r>
      <w:r>
        <w:rPr>
          <w:b/>
          <w:spacing w:val="-15"/>
          <w:sz w:val="24"/>
          <w:u w:val="single"/>
        </w:rPr>
        <w:t xml:space="preserve"> </w:t>
      </w:r>
      <w:r>
        <w:rPr>
          <w:b/>
          <w:sz w:val="24"/>
          <w:u w:val="single"/>
        </w:rPr>
        <w:t>PRASETIA</w:t>
      </w:r>
      <w:r>
        <w:rPr>
          <w:b/>
          <w:spacing w:val="-15"/>
          <w:sz w:val="24"/>
          <w:u w:val="single"/>
        </w:rPr>
        <w:t xml:space="preserve"> </w:t>
      </w:r>
      <w:r>
        <w:rPr>
          <w:b/>
          <w:sz w:val="24"/>
          <w:u w:val="single"/>
        </w:rPr>
        <w:t>RAMBE</w:t>
      </w:r>
      <w:r>
        <w:rPr>
          <w:b/>
          <w:sz w:val="24"/>
        </w:rPr>
        <w:t xml:space="preserve"> </w:t>
      </w:r>
    </w:p>
    <w:p w14:paraId="497A8E88">
      <w:pPr>
        <w:spacing w:before="138"/>
        <w:ind w:left="2542" w:right="2112"/>
        <w:jc w:val="center"/>
        <w:rPr>
          <w:b/>
          <w:sz w:val="24"/>
        </w:rPr>
      </w:pPr>
      <w:r>
        <w:rPr>
          <w:b/>
          <w:sz w:val="24"/>
        </w:rPr>
        <w:t>NPM: 245114155</w:t>
      </w:r>
    </w:p>
    <w:p w14:paraId="497A8E89">
      <w:pPr>
        <w:pStyle w:val="14"/>
        <w:rPr>
          <w:b/>
          <w:sz w:val="20"/>
        </w:rPr>
      </w:pPr>
    </w:p>
    <w:p w14:paraId="497A8E8B">
      <w:pPr>
        <w:pStyle w:val="14"/>
        <w:rPr>
          <w:b/>
          <w:sz w:val="20"/>
        </w:rPr>
      </w:pPr>
    </w:p>
    <w:p w14:paraId="497A8E8E">
      <w:pPr>
        <w:pStyle w:val="14"/>
        <w:rPr>
          <w:b/>
          <w:sz w:val="20"/>
        </w:rPr>
      </w:pPr>
    </w:p>
    <w:p w14:paraId="497A8E8F">
      <w:pPr>
        <w:pStyle w:val="14"/>
        <w:rPr>
          <w:b/>
          <w:sz w:val="20"/>
        </w:rPr>
      </w:pPr>
    </w:p>
    <w:p w14:paraId="497A8E90">
      <w:pPr>
        <w:pStyle w:val="14"/>
        <w:spacing w:before="77"/>
        <w:rPr>
          <w:b/>
          <w:sz w:val="20"/>
        </w:rPr>
      </w:pPr>
      <w:r>
        <w:rPr>
          <w:b/>
          <w:sz w:val="20"/>
          <w:lang w:val="en-US"/>
        </w:rPr>
        <w:drawing>
          <wp:anchor distT="0" distB="0" distL="0" distR="0" simplePos="0" relativeHeight="251660288" behindDoc="1" locked="0" layoutInCell="1" allowOverlap="1">
            <wp:simplePos x="0" y="0"/>
            <wp:positionH relativeFrom="page">
              <wp:posOffset>2982595</wp:posOffset>
            </wp:positionH>
            <wp:positionV relativeFrom="paragraph">
              <wp:posOffset>210185</wp:posOffset>
            </wp:positionV>
            <wp:extent cx="2108835" cy="2081530"/>
            <wp:effectExtent l="0" t="0" r="0" b="0"/>
            <wp:wrapTopAndBottom/>
            <wp:docPr id="1" name="Image 1" descr="Description: D:\DOWNLOAD\Untitled.png"/>
            <wp:cNvGraphicFramePr/>
            <a:graphic xmlns:a="http://schemas.openxmlformats.org/drawingml/2006/main">
              <a:graphicData uri="http://schemas.openxmlformats.org/drawingml/2006/picture">
                <pic:pic xmlns:pic="http://schemas.openxmlformats.org/drawingml/2006/picture">
                  <pic:nvPicPr>
                    <pic:cNvPr id="1" name="Image 1" descr="Description: D:\DOWNLOAD\Untitled.png"/>
                    <pic:cNvPicPr/>
                  </pic:nvPicPr>
                  <pic:blipFill>
                    <a:blip r:embed="rId58" cstate="print"/>
                    <a:stretch>
                      <a:fillRect/>
                    </a:stretch>
                  </pic:blipFill>
                  <pic:spPr>
                    <a:xfrm>
                      <a:off x="0" y="0"/>
                      <a:ext cx="2109033" cy="2081593"/>
                    </a:xfrm>
                    <a:prstGeom prst="rect">
                      <a:avLst/>
                    </a:prstGeom>
                  </pic:spPr>
                </pic:pic>
              </a:graphicData>
            </a:graphic>
          </wp:anchor>
        </w:drawing>
      </w:r>
    </w:p>
    <w:p w14:paraId="497A8E91">
      <w:pPr>
        <w:pStyle w:val="14"/>
        <w:rPr>
          <w:b/>
        </w:rPr>
      </w:pPr>
    </w:p>
    <w:p w14:paraId="497A8E92">
      <w:pPr>
        <w:pStyle w:val="14"/>
        <w:rPr>
          <w:b/>
        </w:rPr>
      </w:pPr>
    </w:p>
    <w:p w14:paraId="497A8E94">
      <w:pPr>
        <w:pStyle w:val="14"/>
        <w:rPr>
          <w:b/>
        </w:rPr>
      </w:pPr>
    </w:p>
    <w:p w14:paraId="497A8E95">
      <w:pPr>
        <w:pStyle w:val="14"/>
        <w:spacing w:before="164"/>
        <w:rPr>
          <w:b/>
        </w:rPr>
      </w:pPr>
    </w:p>
    <w:p w14:paraId="497A8E96">
      <w:pPr>
        <w:ind w:left="428" w:right="1"/>
        <w:jc w:val="center"/>
        <w:rPr>
          <w:b/>
          <w:sz w:val="24"/>
        </w:rPr>
      </w:pPr>
      <w:r>
        <w:rPr>
          <w:b/>
          <w:sz w:val="24"/>
        </w:rPr>
        <w:t xml:space="preserve">FAKULTAS </w:t>
      </w:r>
      <w:r>
        <w:rPr>
          <w:b/>
          <w:spacing w:val="-2"/>
          <w:sz w:val="24"/>
        </w:rPr>
        <w:t>HUKUM</w:t>
      </w:r>
    </w:p>
    <w:p w14:paraId="497A8E97">
      <w:pPr>
        <w:spacing w:before="138" w:line="357" w:lineRule="auto"/>
        <w:ind w:left="1002" w:right="572"/>
        <w:jc w:val="center"/>
        <w:rPr>
          <w:b/>
          <w:sz w:val="24"/>
        </w:rPr>
      </w:pPr>
      <w:r>
        <w:rPr>
          <w:b/>
          <w:sz w:val="24"/>
        </w:rPr>
        <w:t>UNIVERSITAS</w:t>
      </w:r>
      <w:r>
        <w:rPr>
          <w:b/>
          <w:spacing w:val="-9"/>
          <w:sz w:val="24"/>
        </w:rPr>
        <w:t xml:space="preserve"> </w:t>
      </w:r>
      <w:r>
        <w:rPr>
          <w:b/>
          <w:sz w:val="24"/>
        </w:rPr>
        <w:t>MUSLIM</w:t>
      </w:r>
      <w:r>
        <w:rPr>
          <w:b/>
          <w:spacing w:val="-9"/>
          <w:sz w:val="24"/>
        </w:rPr>
        <w:t xml:space="preserve"> </w:t>
      </w:r>
      <w:r>
        <w:rPr>
          <w:b/>
          <w:sz w:val="24"/>
        </w:rPr>
        <w:t>NUSANTARA</w:t>
      </w:r>
      <w:r>
        <w:rPr>
          <w:b/>
          <w:spacing w:val="-8"/>
          <w:sz w:val="24"/>
        </w:rPr>
        <w:t xml:space="preserve"> </w:t>
      </w:r>
      <w:r>
        <w:rPr>
          <w:b/>
          <w:sz w:val="24"/>
        </w:rPr>
        <w:t>AL</w:t>
      </w:r>
      <w:r>
        <w:rPr>
          <w:b/>
          <w:spacing w:val="-9"/>
          <w:sz w:val="24"/>
        </w:rPr>
        <w:t xml:space="preserve"> </w:t>
      </w:r>
      <w:r>
        <w:rPr>
          <w:b/>
          <w:sz w:val="24"/>
        </w:rPr>
        <w:t xml:space="preserve">WASHLIYAH </w:t>
      </w:r>
      <w:r>
        <w:rPr>
          <w:b/>
          <w:spacing w:val="-2"/>
          <w:sz w:val="24"/>
        </w:rPr>
        <w:t>MEDAN</w:t>
      </w:r>
    </w:p>
    <w:p w14:paraId="497A8E98">
      <w:pPr>
        <w:spacing w:before="4"/>
        <w:ind w:left="428" w:right="1"/>
        <w:jc w:val="center"/>
        <w:rPr>
          <w:b/>
          <w:spacing w:val="-4"/>
          <w:sz w:val="24"/>
        </w:rPr>
        <w:sectPr>
          <w:headerReference r:id="rId5" w:type="first"/>
          <w:footerReference r:id="rId8" w:type="first"/>
          <w:headerReference r:id="rId3" w:type="default"/>
          <w:footerReference r:id="rId6" w:type="default"/>
          <w:headerReference r:id="rId4" w:type="even"/>
          <w:footerReference r:id="rId7" w:type="even"/>
          <w:pgSz w:w="11910" w:h="16840"/>
          <w:pgMar w:top="1701" w:right="1701" w:bottom="1701" w:left="2268" w:header="720" w:footer="720" w:gutter="0"/>
          <w:cols w:space="720" w:num="1"/>
        </w:sectPr>
      </w:pPr>
      <w:r>
        <w:rPr>
          <w:b/>
          <w:spacing w:val="-4"/>
          <w:sz w:val="24"/>
        </w:rPr>
        <w:t>2026</w:t>
      </w:r>
    </w:p>
    <w:p w14:paraId="497A8EC1">
      <w:pPr>
        <w:tabs>
          <w:tab w:val="left" w:pos="142"/>
          <w:tab w:val="left" w:pos="630"/>
          <w:tab w:val="left" w:pos="1695"/>
          <w:tab w:val="left" w:pos="4253"/>
        </w:tabs>
        <w:ind w:left="142" w:hanging="142"/>
        <w:rPr>
          <w:b/>
          <w:bCs/>
          <w:sz w:val="24"/>
          <w:szCs w:val="24"/>
        </w:rPr>
      </w:pPr>
      <w:bookmarkStart w:id="2" w:name="_TOC_250004"/>
      <w:r>
        <w:rPr>
          <w:sz w:val="24"/>
          <w:lang w:val="en-US"/>
        </w:rPr>
        <w:drawing>
          <wp:anchor distT="0" distB="0" distL="114300" distR="114300" simplePos="0" relativeHeight="251662336" behindDoc="0" locked="0" layoutInCell="1" allowOverlap="1">
            <wp:simplePos x="0" y="0"/>
            <wp:positionH relativeFrom="column">
              <wp:posOffset>-354330</wp:posOffset>
            </wp:positionH>
            <wp:positionV relativeFrom="paragraph">
              <wp:posOffset>5715</wp:posOffset>
            </wp:positionV>
            <wp:extent cx="5749925" cy="8458200"/>
            <wp:effectExtent l="0" t="0" r="3175" b="0"/>
            <wp:wrapNone/>
            <wp:docPr id="7" name="Picture 7" descr="C:\Users\OPERATOR\Pictures\2026-09-09\2026-09-09 12-36-24_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OPERATOR\Pictures\2026-09-09\2026-09-09 12-36-24_0032.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rot="10800000">
                      <a:off x="0" y="0"/>
                      <a:ext cx="5750227" cy="8458200"/>
                    </a:xfrm>
                    <a:prstGeom prst="rect">
                      <a:avLst/>
                    </a:prstGeom>
                    <a:noFill/>
                    <a:ln>
                      <a:noFill/>
                    </a:ln>
                  </pic:spPr>
                </pic:pic>
              </a:graphicData>
            </a:graphic>
          </wp:anchor>
        </w:drawing>
      </w:r>
    </w:p>
    <w:p w14:paraId="497A8EC2">
      <w:pPr>
        <w:tabs>
          <w:tab w:val="left" w:pos="709"/>
          <w:tab w:val="left" w:pos="1985"/>
          <w:tab w:val="left" w:pos="4962"/>
        </w:tabs>
        <w:rPr>
          <w:sz w:val="24"/>
          <w:lang w:val="id-ID"/>
        </w:rPr>
      </w:pPr>
    </w:p>
    <w:p w14:paraId="0A974872">
      <w:pPr>
        <w:tabs>
          <w:tab w:val="left" w:pos="709"/>
          <w:tab w:val="left" w:pos="1985"/>
          <w:tab w:val="left" w:pos="4962"/>
        </w:tabs>
        <w:rPr>
          <w:sz w:val="24"/>
          <w:lang w:val="id-ID"/>
        </w:rPr>
        <w:sectPr>
          <w:headerReference r:id="rId11" w:type="first"/>
          <w:headerReference r:id="rId9" w:type="default"/>
          <w:footerReference r:id="rId12" w:type="default"/>
          <w:headerReference r:id="rId10" w:type="even"/>
          <w:pgSz w:w="11910" w:h="16840"/>
          <w:pgMar w:top="1701" w:right="1701" w:bottom="1701" w:left="2268" w:header="0" w:footer="1050" w:gutter="0"/>
          <w:pgNumType w:fmt="lowerRoman" w:start="1"/>
          <w:cols w:space="720" w:num="1"/>
        </w:sectPr>
      </w:pPr>
    </w:p>
    <w:p w14:paraId="08304CE2">
      <w:pPr>
        <w:tabs>
          <w:tab w:val="left" w:pos="709"/>
          <w:tab w:val="left" w:pos="1985"/>
          <w:tab w:val="left" w:pos="4962"/>
        </w:tabs>
        <w:rPr>
          <w:sz w:val="24"/>
          <w:lang w:val="id-ID"/>
        </w:rPr>
        <w:sectPr>
          <w:pgSz w:w="11910" w:h="16840"/>
          <w:pgMar w:top="1701" w:right="1701" w:bottom="1701" w:left="2268" w:header="0" w:footer="1050" w:gutter="0"/>
          <w:pgNumType w:fmt="lowerRoman" w:start="1"/>
          <w:cols w:space="720" w:num="1"/>
        </w:sectPr>
      </w:pPr>
      <w:r>
        <w:rPr>
          <w:sz w:val="24"/>
          <w:lang w:val="en-US"/>
        </w:rPr>
        <w:drawing>
          <wp:anchor distT="0" distB="0" distL="114300" distR="114300" simplePos="0" relativeHeight="251663360" behindDoc="0" locked="0" layoutInCell="1" allowOverlap="1">
            <wp:simplePos x="0" y="0"/>
            <wp:positionH relativeFrom="column">
              <wp:posOffset>-354330</wp:posOffset>
            </wp:positionH>
            <wp:positionV relativeFrom="paragraph">
              <wp:posOffset>5080</wp:posOffset>
            </wp:positionV>
            <wp:extent cx="5801360" cy="8534400"/>
            <wp:effectExtent l="0" t="0" r="9525" b="0"/>
            <wp:wrapNone/>
            <wp:docPr id="4" name="Picture 4" descr="C:\Users\OPERATOR\Pictures\2026-09-09\2026-09-09 12-36-44_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OPERATOR\Pictures\2026-09-09\2026-09-09 12-36-44_0033.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rot="10800000">
                      <a:off x="0" y="0"/>
                      <a:ext cx="5807613" cy="8543710"/>
                    </a:xfrm>
                    <a:prstGeom prst="rect">
                      <a:avLst/>
                    </a:prstGeom>
                    <a:noFill/>
                    <a:ln>
                      <a:noFill/>
                    </a:ln>
                  </pic:spPr>
                </pic:pic>
              </a:graphicData>
            </a:graphic>
          </wp:anchor>
        </w:drawing>
      </w:r>
    </w:p>
    <w:p w14:paraId="497A8EC5">
      <w:pPr>
        <w:pStyle w:val="2"/>
        <w:spacing w:before="0" w:after="0" w:line="360" w:lineRule="auto"/>
        <w:jc w:val="center"/>
        <w:rPr>
          <w:rFonts w:ascii="Times New Roman" w:hAnsi="Times New Roman" w:cs="Times New Roman"/>
          <w:b/>
          <w:sz w:val="24"/>
          <w:lang w:val="id-ID"/>
        </w:rPr>
      </w:pPr>
      <w:bookmarkStart w:id="3" w:name="_Toc230017838"/>
      <w:r>
        <w:rPr>
          <w:rFonts w:ascii="Times New Roman" w:hAnsi="Times New Roman" w:cs="Times New Roman"/>
          <w:b/>
          <w:bCs/>
          <w:color w:val="auto"/>
          <w:sz w:val="24"/>
          <w:szCs w:val="24"/>
        </w:rPr>
        <w:t xml:space="preserve">KATA </w:t>
      </w:r>
      <w:bookmarkEnd w:id="2"/>
      <w:r>
        <w:rPr>
          <w:rFonts w:ascii="Times New Roman" w:hAnsi="Times New Roman" w:cs="Times New Roman"/>
          <w:b/>
          <w:bCs/>
          <w:color w:val="auto"/>
          <w:spacing w:val="-2"/>
          <w:sz w:val="24"/>
          <w:szCs w:val="24"/>
        </w:rPr>
        <w:t>PENGANTAR</w:t>
      </w:r>
      <w:bookmarkEnd w:id="3"/>
    </w:p>
    <w:p w14:paraId="497A8EC6">
      <w:pPr>
        <w:spacing w:line="360" w:lineRule="auto"/>
      </w:pPr>
    </w:p>
    <w:p w14:paraId="497A8EC7">
      <w:pPr>
        <w:spacing w:line="360" w:lineRule="auto"/>
        <w:jc w:val="both"/>
        <w:rPr>
          <w:i/>
          <w:sz w:val="24"/>
        </w:rPr>
      </w:pPr>
      <w:r>
        <w:rPr>
          <w:i/>
          <w:sz w:val="24"/>
        </w:rPr>
        <w:t>Assalamu’alaikum</w:t>
      </w:r>
      <w:r>
        <w:rPr>
          <w:i/>
          <w:spacing w:val="-1"/>
          <w:sz w:val="24"/>
        </w:rPr>
        <w:t xml:space="preserve"> </w:t>
      </w:r>
      <w:r>
        <w:rPr>
          <w:i/>
          <w:spacing w:val="-2"/>
          <w:sz w:val="24"/>
        </w:rPr>
        <w:t>Wr.Wb.</w:t>
      </w:r>
    </w:p>
    <w:p w14:paraId="497A8EC8">
      <w:pPr>
        <w:pStyle w:val="14"/>
        <w:spacing w:before="34"/>
        <w:rPr>
          <w:i/>
          <w:sz w:val="20"/>
        </w:rPr>
      </w:pPr>
      <w:r>
        <w:rPr>
          <w:i/>
          <w:sz w:val="20"/>
          <w:lang w:val="en-US"/>
        </w:rPr>
        <w:drawing>
          <wp:anchor distT="0" distB="0" distL="0" distR="0" simplePos="0" relativeHeight="251661312" behindDoc="0" locked="0" layoutInCell="1" allowOverlap="1">
            <wp:simplePos x="0" y="0"/>
            <wp:positionH relativeFrom="page">
              <wp:posOffset>1454785</wp:posOffset>
            </wp:positionH>
            <wp:positionV relativeFrom="paragraph">
              <wp:posOffset>61595</wp:posOffset>
            </wp:positionV>
            <wp:extent cx="5017135" cy="97663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1" cstate="print"/>
                    <a:stretch>
                      <a:fillRect/>
                    </a:stretch>
                  </pic:blipFill>
                  <pic:spPr>
                    <a:xfrm>
                      <a:off x="0" y="0"/>
                      <a:ext cx="5023950" cy="978047"/>
                    </a:xfrm>
                    <a:prstGeom prst="rect">
                      <a:avLst/>
                    </a:prstGeom>
                  </pic:spPr>
                </pic:pic>
              </a:graphicData>
            </a:graphic>
          </wp:anchor>
        </w:drawing>
      </w:r>
    </w:p>
    <w:p w14:paraId="497A8EC9">
      <w:pPr>
        <w:pStyle w:val="14"/>
        <w:spacing w:before="49"/>
        <w:rPr>
          <w:i/>
          <w:sz w:val="20"/>
        </w:rPr>
      </w:pPr>
    </w:p>
    <w:p w14:paraId="497A8ECA">
      <w:pPr>
        <w:pStyle w:val="14"/>
        <w:spacing w:before="49"/>
        <w:rPr>
          <w:i/>
          <w:sz w:val="20"/>
        </w:rPr>
      </w:pPr>
    </w:p>
    <w:p w14:paraId="497A8ECB">
      <w:pPr>
        <w:pStyle w:val="14"/>
        <w:spacing w:before="49"/>
        <w:rPr>
          <w:i/>
          <w:sz w:val="20"/>
        </w:rPr>
      </w:pPr>
    </w:p>
    <w:p w14:paraId="497A8ECC">
      <w:pPr>
        <w:pStyle w:val="14"/>
        <w:spacing w:before="49"/>
        <w:rPr>
          <w:i/>
          <w:sz w:val="20"/>
        </w:rPr>
      </w:pPr>
    </w:p>
    <w:p w14:paraId="497A8ECD">
      <w:pPr>
        <w:pStyle w:val="14"/>
        <w:spacing w:before="49"/>
        <w:rPr>
          <w:i/>
          <w:sz w:val="20"/>
        </w:rPr>
      </w:pPr>
    </w:p>
    <w:p w14:paraId="497A8ECE">
      <w:pPr>
        <w:pStyle w:val="14"/>
        <w:spacing w:before="49"/>
        <w:rPr>
          <w:i/>
          <w:sz w:val="20"/>
        </w:rPr>
      </w:pPr>
    </w:p>
    <w:p w14:paraId="497A8ECF">
      <w:pPr>
        <w:spacing w:line="480" w:lineRule="auto"/>
        <w:ind w:right="3" w:firstLine="709"/>
        <w:jc w:val="both"/>
        <w:rPr>
          <w:i/>
          <w:sz w:val="24"/>
          <w:szCs w:val="24"/>
        </w:rPr>
      </w:pPr>
      <w:r>
        <w:rPr>
          <w:sz w:val="24"/>
          <w:szCs w:val="24"/>
        </w:rPr>
        <w:t xml:space="preserve">Artinya : </w:t>
      </w:r>
      <w:r>
        <w:rPr>
          <w:i/>
          <w:sz w:val="24"/>
          <w:szCs w:val="24"/>
        </w:rPr>
        <w:t>“Hai orang-orang yang beriman, sukakah kamu aku tunjukkan suatu perniagaan yang dapat menyelamatkanmu dari azab yang pedih?, (yaitu) kamu beriman kepada Allah dan</w:t>
      </w:r>
      <w:r>
        <w:rPr>
          <w:i/>
          <w:spacing w:val="40"/>
          <w:sz w:val="24"/>
          <w:szCs w:val="24"/>
        </w:rPr>
        <w:t xml:space="preserve"> </w:t>
      </w:r>
      <w:r>
        <w:rPr>
          <w:i/>
          <w:sz w:val="24"/>
          <w:szCs w:val="24"/>
        </w:rPr>
        <w:t>RasulNya dan berjihad di jalan Allah dengan harta dan jiwamu. Itulah yang lebih baik bagimu</w:t>
      </w:r>
      <w:r>
        <w:rPr>
          <w:i/>
          <w:spacing w:val="40"/>
          <w:sz w:val="24"/>
          <w:szCs w:val="24"/>
        </w:rPr>
        <w:t xml:space="preserve"> </w:t>
      </w:r>
      <w:r>
        <w:rPr>
          <w:i/>
          <w:sz w:val="24"/>
          <w:szCs w:val="24"/>
        </w:rPr>
        <w:t>jika kamu mengetahui”.</w:t>
      </w:r>
    </w:p>
    <w:p w14:paraId="497A8ED0">
      <w:pPr>
        <w:spacing w:line="480" w:lineRule="auto"/>
        <w:ind w:right="3" w:firstLine="709"/>
        <w:jc w:val="both"/>
        <w:rPr>
          <w:b/>
          <w:sz w:val="24"/>
          <w:szCs w:val="24"/>
        </w:rPr>
      </w:pPr>
      <w:r>
        <w:rPr>
          <w:sz w:val="24"/>
          <w:szCs w:val="24"/>
        </w:rPr>
        <w:t>Syukur</w:t>
      </w:r>
      <w:r>
        <w:rPr>
          <w:spacing w:val="-3"/>
          <w:sz w:val="24"/>
          <w:szCs w:val="24"/>
        </w:rPr>
        <w:t xml:space="preserve"> </w:t>
      </w:r>
      <w:r>
        <w:rPr>
          <w:sz w:val="24"/>
          <w:szCs w:val="24"/>
        </w:rPr>
        <w:t>Alhamdulillah</w:t>
      </w:r>
      <w:r>
        <w:rPr>
          <w:spacing w:val="-3"/>
          <w:sz w:val="24"/>
          <w:szCs w:val="24"/>
        </w:rPr>
        <w:t xml:space="preserve"> </w:t>
      </w:r>
      <w:r>
        <w:rPr>
          <w:sz w:val="24"/>
          <w:szCs w:val="24"/>
        </w:rPr>
        <w:t>penulis</w:t>
      </w:r>
      <w:r>
        <w:rPr>
          <w:spacing w:val="-3"/>
          <w:sz w:val="24"/>
          <w:szCs w:val="24"/>
        </w:rPr>
        <w:t xml:space="preserve"> </w:t>
      </w:r>
      <w:r>
        <w:rPr>
          <w:sz w:val="24"/>
          <w:szCs w:val="24"/>
        </w:rPr>
        <w:t>ucapkan</w:t>
      </w:r>
      <w:r>
        <w:rPr>
          <w:spacing w:val="-3"/>
          <w:sz w:val="24"/>
          <w:szCs w:val="24"/>
        </w:rPr>
        <w:t xml:space="preserve"> </w:t>
      </w:r>
      <w:r>
        <w:rPr>
          <w:sz w:val="24"/>
          <w:szCs w:val="24"/>
        </w:rPr>
        <w:t>terhadap</w:t>
      </w:r>
      <w:r>
        <w:rPr>
          <w:spacing w:val="-3"/>
          <w:sz w:val="24"/>
          <w:szCs w:val="24"/>
        </w:rPr>
        <w:t xml:space="preserve"> </w:t>
      </w:r>
      <w:r>
        <w:rPr>
          <w:sz w:val="24"/>
          <w:szCs w:val="24"/>
        </w:rPr>
        <w:t>Kehadirat</w:t>
      </w:r>
      <w:r>
        <w:rPr>
          <w:spacing w:val="-4"/>
          <w:sz w:val="24"/>
          <w:szCs w:val="24"/>
        </w:rPr>
        <w:t xml:space="preserve"> </w:t>
      </w:r>
      <w:r>
        <w:rPr>
          <w:sz w:val="24"/>
          <w:szCs w:val="24"/>
        </w:rPr>
        <w:t>Allah</w:t>
      </w:r>
      <w:r>
        <w:rPr>
          <w:spacing w:val="-3"/>
          <w:sz w:val="24"/>
          <w:szCs w:val="24"/>
        </w:rPr>
        <w:t xml:space="preserve"> </w:t>
      </w:r>
      <w:r>
        <w:rPr>
          <w:sz w:val="24"/>
          <w:szCs w:val="24"/>
        </w:rPr>
        <w:t>SWT, yang</w:t>
      </w:r>
      <w:r>
        <w:rPr>
          <w:spacing w:val="-3"/>
          <w:sz w:val="24"/>
          <w:szCs w:val="24"/>
        </w:rPr>
        <w:t xml:space="preserve"> </w:t>
      </w:r>
      <w:r>
        <w:rPr>
          <w:sz w:val="24"/>
          <w:szCs w:val="24"/>
        </w:rPr>
        <w:t>telah melimpahkan rahmat hidayah,</w:t>
      </w:r>
      <w:r>
        <w:rPr>
          <w:spacing w:val="40"/>
          <w:sz w:val="24"/>
          <w:szCs w:val="24"/>
        </w:rPr>
        <w:t xml:space="preserve"> </w:t>
      </w:r>
      <w:r>
        <w:rPr>
          <w:sz w:val="24"/>
          <w:szCs w:val="24"/>
        </w:rPr>
        <w:t xml:space="preserve">dan karunianya pada penulis hingga penulis dapat menyelesaikan penulisan Skripsi ini. Judul yang penulis pilih dalam penulisan Skripsi ini adalah : </w:t>
      </w:r>
      <w:r>
        <w:rPr>
          <w:b/>
          <w:sz w:val="24"/>
          <w:szCs w:val="24"/>
        </w:rPr>
        <w:t>“</w:t>
      </w:r>
      <w:r>
        <w:rPr>
          <w:b/>
          <w:sz w:val="24"/>
          <w:szCs w:val="24"/>
          <w:lang w:val="en-US"/>
        </w:rPr>
        <w:t xml:space="preserve"> PERTANGGUNGJAWABAN TINDAK PIDANA PEMILIHAN UMUM  YANG DILAKUKAN PANITIA PEMILHAN KECAMATAN ( PPK)</w:t>
      </w:r>
      <w:r>
        <w:rPr>
          <w:b/>
          <w:spacing w:val="-2"/>
          <w:sz w:val="24"/>
          <w:szCs w:val="24"/>
        </w:rPr>
        <w:t>”</w:t>
      </w:r>
      <w:r>
        <w:rPr>
          <w:spacing w:val="-2"/>
          <w:sz w:val="24"/>
          <w:szCs w:val="24"/>
        </w:rPr>
        <w:t>.</w:t>
      </w:r>
    </w:p>
    <w:p w14:paraId="497A8ED1">
      <w:pPr>
        <w:pStyle w:val="14"/>
        <w:spacing w:line="480" w:lineRule="auto"/>
        <w:ind w:right="3" w:firstLine="709"/>
        <w:jc w:val="both"/>
      </w:pPr>
      <w:r>
        <w:t>Fungsi skripsi ini adalah untuk melengkapi tugas-tugas dan untuk memenuhi persyaratan memperoleh gelar Sarjana Hukum Jurusan Hukum Program Studi Ilmu Hukum.</w:t>
      </w:r>
    </w:p>
    <w:p w14:paraId="497A8ED2">
      <w:pPr>
        <w:pStyle w:val="14"/>
        <w:spacing w:line="480" w:lineRule="auto"/>
        <w:ind w:right="3" w:firstLine="709"/>
        <w:jc w:val="both"/>
      </w:pPr>
      <w:r>
        <w:t>Dalam penyelesaian skripsi ini penulis banyak sekali mendapatkan</w:t>
      </w:r>
      <w:r>
        <w:rPr>
          <w:spacing w:val="40"/>
        </w:rPr>
        <w:t xml:space="preserve"> </w:t>
      </w:r>
      <w:r>
        <w:t>bantuan dari berbagai pihak, baik itu dalam bentuk material maupun moril. Untuk itu penulis mengucapkan terima kasih terutama kepada:</w:t>
      </w:r>
    </w:p>
    <w:p w14:paraId="497A8ED3">
      <w:pPr>
        <w:pStyle w:val="38"/>
        <w:numPr>
          <w:ilvl w:val="0"/>
          <w:numId w:val="1"/>
        </w:numPr>
        <w:spacing w:line="360" w:lineRule="auto"/>
        <w:ind w:left="426" w:right="3" w:hanging="426"/>
        <w:contextualSpacing w:val="0"/>
        <w:jc w:val="both"/>
        <w:rPr>
          <w:sz w:val="24"/>
        </w:rPr>
      </w:pPr>
      <w:r>
        <w:rPr>
          <w:sz w:val="24"/>
        </w:rPr>
        <w:t>Bapak</w:t>
      </w:r>
      <w:r>
        <w:rPr>
          <w:spacing w:val="80"/>
          <w:w w:val="150"/>
          <w:sz w:val="24"/>
        </w:rPr>
        <w:t xml:space="preserve"> </w:t>
      </w:r>
      <w:r>
        <w:rPr>
          <w:b/>
          <w:bCs/>
          <w:spacing w:val="40"/>
          <w:sz w:val="24"/>
          <w:lang w:val="en-US"/>
        </w:rPr>
        <w:t>Prof</w:t>
      </w:r>
      <w:r>
        <w:rPr>
          <w:b/>
          <w:bCs/>
          <w:spacing w:val="80"/>
          <w:w w:val="150"/>
          <w:sz w:val="24"/>
          <w:lang w:val="en-US"/>
        </w:rPr>
        <w:t>.</w:t>
      </w:r>
      <w:r>
        <w:rPr>
          <w:b/>
          <w:sz w:val="24"/>
        </w:rPr>
        <w:t>Dr.</w:t>
      </w:r>
      <w:r>
        <w:rPr>
          <w:b/>
          <w:spacing w:val="80"/>
          <w:w w:val="150"/>
          <w:sz w:val="24"/>
        </w:rPr>
        <w:t xml:space="preserve"> </w:t>
      </w:r>
      <w:r>
        <w:rPr>
          <w:b/>
          <w:sz w:val="24"/>
        </w:rPr>
        <w:t>Firmansyah,</w:t>
      </w:r>
      <w:r>
        <w:rPr>
          <w:b/>
          <w:spacing w:val="80"/>
          <w:w w:val="150"/>
          <w:sz w:val="24"/>
        </w:rPr>
        <w:t xml:space="preserve"> </w:t>
      </w:r>
      <w:r>
        <w:rPr>
          <w:b/>
          <w:sz w:val="24"/>
        </w:rPr>
        <w:t>M.Si</w:t>
      </w:r>
      <w:r>
        <w:rPr>
          <w:b/>
          <w:spacing w:val="80"/>
          <w:w w:val="150"/>
          <w:sz w:val="24"/>
        </w:rPr>
        <w:t xml:space="preserve"> </w:t>
      </w:r>
      <w:r>
        <w:rPr>
          <w:sz w:val="24"/>
        </w:rPr>
        <w:t>selaku</w:t>
      </w:r>
      <w:r>
        <w:rPr>
          <w:spacing w:val="80"/>
          <w:w w:val="150"/>
          <w:sz w:val="24"/>
        </w:rPr>
        <w:t xml:space="preserve"> </w:t>
      </w:r>
      <w:r>
        <w:rPr>
          <w:sz w:val="24"/>
        </w:rPr>
        <w:t>Rektor</w:t>
      </w:r>
      <w:r>
        <w:rPr>
          <w:spacing w:val="80"/>
          <w:w w:val="150"/>
          <w:sz w:val="24"/>
        </w:rPr>
        <w:t xml:space="preserve"> </w:t>
      </w:r>
      <w:r>
        <w:rPr>
          <w:sz w:val="24"/>
        </w:rPr>
        <w:t>Universitas</w:t>
      </w:r>
      <w:r>
        <w:rPr>
          <w:spacing w:val="80"/>
          <w:w w:val="150"/>
          <w:sz w:val="24"/>
        </w:rPr>
        <w:t xml:space="preserve"> </w:t>
      </w:r>
      <w:r>
        <w:rPr>
          <w:sz w:val="24"/>
        </w:rPr>
        <w:t>Muslim Nusantara Al Washliyah Medan;</w:t>
      </w:r>
    </w:p>
    <w:p w14:paraId="497A8ED4">
      <w:pPr>
        <w:pStyle w:val="38"/>
        <w:numPr>
          <w:ilvl w:val="0"/>
          <w:numId w:val="1"/>
        </w:numPr>
        <w:tabs>
          <w:tab w:val="left" w:pos="5988"/>
        </w:tabs>
        <w:spacing w:before="1" w:line="360" w:lineRule="auto"/>
        <w:ind w:left="426" w:right="3" w:hanging="426"/>
        <w:contextualSpacing w:val="0"/>
        <w:jc w:val="both"/>
        <w:rPr>
          <w:sz w:val="24"/>
        </w:rPr>
      </w:pPr>
      <w:r>
        <w:rPr>
          <w:sz w:val="24"/>
        </w:rPr>
        <w:t>Bapak</w:t>
      </w:r>
      <w:r>
        <w:rPr>
          <w:spacing w:val="80"/>
          <w:sz w:val="24"/>
        </w:rPr>
        <w:t xml:space="preserve"> </w:t>
      </w:r>
      <w:r>
        <w:rPr>
          <w:b/>
          <w:bCs/>
          <w:spacing w:val="40"/>
          <w:sz w:val="24"/>
          <w:lang w:val="en-US"/>
        </w:rPr>
        <w:t>Prof</w:t>
      </w:r>
      <w:r>
        <w:rPr>
          <w:b/>
          <w:bCs/>
          <w:spacing w:val="80"/>
          <w:sz w:val="24"/>
          <w:lang w:val="en-US"/>
        </w:rPr>
        <w:t>.</w:t>
      </w:r>
      <w:r>
        <w:rPr>
          <w:b/>
          <w:sz w:val="24"/>
        </w:rPr>
        <w:t>Dr.</w:t>
      </w:r>
      <w:r>
        <w:rPr>
          <w:b/>
          <w:spacing w:val="80"/>
          <w:sz w:val="24"/>
        </w:rPr>
        <w:t xml:space="preserve"> </w:t>
      </w:r>
      <w:r>
        <w:rPr>
          <w:b/>
          <w:sz w:val="24"/>
        </w:rPr>
        <w:t>Anwar</w:t>
      </w:r>
      <w:r>
        <w:rPr>
          <w:b/>
          <w:spacing w:val="80"/>
          <w:sz w:val="24"/>
        </w:rPr>
        <w:t xml:space="preserve"> </w:t>
      </w:r>
      <w:r>
        <w:rPr>
          <w:b/>
          <w:sz w:val="24"/>
        </w:rPr>
        <w:t>Sadat,</w:t>
      </w:r>
      <w:r>
        <w:rPr>
          <w:b/>
          <w:spacing w:val="80"/>
          <w:sz w:val="24"/>
        </w:rPr>
        <w:t xml:space="preserve"> </w:t>
      </w:r>
      <w:r>
        <w:rPr>
          <w:b/>
          <w:sz w:val="24"/>
        </w:rPr>
        <w:t>S.Ag.,M.Hum</w:t>
      </w:r>
      <w:r>
        <w:rPr>
          <w:b/>
          <w:sz w:val="24"/>
          <w:lang w:val="id-ID"/>
        </w:rPr>
        <w:t xml:space="preserve"> </w:t>
      </w:r>
      <w:r>
        <w:rPr>
          <w:sz w:val="24"/>
        </w:rPr>
        <w:t>selaku</w:t>
      </w:r>
      <w:r>
        <w:rPr>
          <w:spacing w:val="80"/>
          <w:sz w:val="24"/>
        </w:rPr>
        <w:t xml:space="preserve"> </w:t>
      </w:r>
      <w:r>
        <w:rPr>
          <w:sz w:val="24"/>
        </w:rPr>
        <w:t>Wakil</w:t>
      </w:r>
      <w:r>
        <w:rPr>
          <w:spacing w:val="80"/>
          <w:sz w:val="24"/>
        </w:rPr>
        <w:t xml:space="preserve"> </w:t>
      </w:r>
      <w:r>
        <w:rPr>
          <w:sz w:val="24"/>
        </w:rPr>
        <w:t>Rektor</w:t>
      </w:r>
      <w:r>
        <w:rPr>
          <w:spacing w:val="80"/>
          <w:sz w:val="24"/>
        </w:rPr>
        <w:t xml:space="preserve"> </w:t>
      </w:r>
      <w:r>
        <w:rPr>
          <w:sz w:val="24"/>
        </w:rPr>
        <w:t>I Universitas Muslim Nusantara Al Washliyah Medan;</w:t>
      </w:r>
    </w:p>
    <w:p w14:paraId="497A8ED5">
      <w:pPr>
        <w:pStyle w:val="38"/>
        <w:numPr>
          <w:ilvl w:val="0"/>
          <w:numId w:val="1"/>
        </w:numPr>
        <w:spacing w:line="360" w:lineRule="auto"/>
        <w:ind w:left="426" w:right="3" w:hanging="426"/>
        <w:contextualSpacing w:val="0"/>
        <w:jc w:val="both"/>
        <w:rPr>
          <w:sz w:val="24"/>
        </w:rPr>
      </w:pPr>
      <w:r>
        <w:rPr>
          <w:sz w:val="24"/>
        </w:rPr>
        <w:t>Bapak</w:t>
      </w:r>
      <w:r>
        <w:rPr>
          <w:spacing w:val="40"/>
          <w:sz w:val="24"/>
        </w:rPr>
        <w:t xml:space="preserve"> </w:t>
      </w:r>
      <w:r>
        <w:rPr>
          <w:b/>
          <w:sz w:val="24"/>
        </w:rPr>
        <w:t>Dr.</w:t>
      </w:r>
      <w:r>
        <w:rPr>
          <w:b/>
          <w:spacing w:val="40"/>
          <w:sz w:val="24"/>
        </w:rPr>
        <w:t xml:space="preserve"> </w:t>
      </w:r>
      <w:r>
        <w:rPr>
          <w:b/>
          <w:sz w:val="24"/>
        </w:rPr>
        <w:t>Dedy</w:t>
      </w:r>
      <w:r>
        <w:rPr>
          <w:b/>
          <w:spacing w:val="40"/>
          <w:sz w:val="24"/>
        </w:rPr>
        <w:t xml:space="preserve"> </w:t>
      </w:r>
      <w:r>
        <w:rPr>
          <w:b/>
          <w:sz w:val="24"/>
        </w:rPr>
        <w:t>Juliandry</w:t>
      </w:r>
      <w:r>
        <w:rPr>
          <w:b/>
          <w:spacing w:val="40"/>
          <w:sz w:val="24"/>
        </w:rPr>
        <w:t xml:space="preserve"> </w:t>
      </w:r>
      <w:r>
        <w:rPr>
          <w:b/>
          <w:sz w:val="24"/>
        </w:rPr>
        <w:t>Panjaitan,</w:t>
      </w:r>
      <w:r>
        <w:rPr>
          <w:b/>
          <w:spacing w:val="40"/>
          <w:sz w:val="24"/>
        </w:rPr>
        <w:t xml:space="preserve"> </w:t>
      </w:r>
      <w:r>
        <w:rPr>
          <w:b/>
          <w:sz w:val="24"/>
        </w:rPr>
        <w:t>M.Si</w:t>
      </w:r>
      <w:r>
        <w:rPr>
          <w:b/>
          <w:spacing w:val="40"/>
          <w:sz w:val="24"/>
        </w:rPr>
        <w:t xml:space="preserve"> </w:t>
      </w:r>
      <w:r>
        <w:rPr>
          <w:sz w:val="24"/>
        </w:rPr>
        <w:t>selaku</w:t>
      </w:r>
      <w:r>
        <w:rPr>
          <w:spacing w:val="40"/>
          <w:sz w:val="24"/>
        </w:rPr>
        <w:t xml:space="preserve"> </w:t>
      </w:r>
      <w:r>
        <w:rPr>
          <w:sz w:val="24"/>
        </w:rPr>
        <w:t>Wakil</w:t>
      </w:r>
      <w:r>
        <w:rPr>
          <w:spacing w:val="40"/>
          <w:sz w:val="24"/>
        </w:rPr>
        <w:t xml:space="preserve"> </w:t>
      </w:r>
      <w:r>
        <w:rPr>
          <w:sz w:val="24"/>
        </w:rPr>
        <w:t>Rektor</w:t>
      </w:r>
      <w:r>
        <w:rPr>
          <w:spacing w:val="40"/>
          <w:sz w:val="24"/>
        </w:rPr>
        <w:t xml:space="preserve"> </w:t>
      </w:r>
      <w:r>
        <w:rPr>
          <w:sz w:val="24"/>
        </w:rPr>
        <w:t>II</w:t>
      </w:r>
      <w:r>
        <w:rPr>
          <w:spacing w:val="40"/>
          <w:sz w:val="24"/>
        </w:rPr>
        <w:t xml:space="preserve"> </w:t>
      </w:r>
      <w:r>
        <w:rPr>
          <w:sz w:val="24"/>
        </w:rPr>
        <w:t>Universitas Muslim Nusantara Al Washliyah Medan;</w:t>
      </w:r>
    </w:p>
    <w:p w14:paraId="497A8ED6">
      <w:pPr>
        <w:pStyle w:val="38"/>
        <w:numPr>
          <w:ilvl w:val="0"/>
          <w:numId w:val="1"/>
        </w:numPr>
        <w:spacing w:line="360" w:lineRule="auto"/>
        <w:ind w:left="426" w:right="3" w:hanging="426"/>
        <w:contextualSpacing w:val="0"/>
        <w:jc w:val="both"/>
        <w:rPr>
          <w:sz w:val="24"/>
        </w:rPr>
      </w:pPr>
      <w:r>
        <w:rPr>
          <w:sz w:val="24"/>
        </w:rPr>
        <w:t>Bapak</w:t>
      </w:r>
      <w:r>
        <w:rPr>
          <w:spacing w:val="40"/>
          <w:sz w:val="24"/>
        </w:rPr>
        <w:t xml:space="preserve"> </w:t>
      </w:r>
      <w:r>
        <w:rPr>
          <w:b/>
          <w:bCs/>
          <w:spacing w:val="40"/>
          <w:sz w:val="24"/>
          <w:lang w:val="en-US"/>
        </w:rPr>
        <w:t>Prof.</w:t>
      </w:r>
      <w:r>
        <w:rPr>
          <w:b/>
          <w:sz w:val="24"/>
        </w:rPr>
        <w:t>Dr.</w:t>
      </w:r>
      <w:r>
        <w:rPr>
          <w:b/>
          <w:spacing w:val="40"/>
          <w:sz w:val="24"/>
        </w:rPr>
        <w:t xml:space="preserve"> </w:t>
      </w:r>
      <w:r>
        <w:rPr>
          <w:b/>
          <w:sz w:val="24"/>
        </w:rPr>
        <w:t>Samsul</w:t>
      </w:r>
      <w:r>
        <w:rPr>
          <w:b/>
          <w:spacing w:val="40"/>
          <w:sz w:val="24"/>
        </w:rPr>
        <w:t xml:space="preserve"> </w:t>
      </w:r>
      <w:r>
        <w:rPr>
          <w:b/>
          <w:sz w:val="24"/>
        </w:rPr>
        <w:t>Bahri,</w:t>
      </w:r>
      <w:r>
        <w:rPr>
          <w:b/>
          <w:spacing w:val="40"/>
          <w:sz w:val="24"/>
        </w:rPr>
        <w:t xml:space="preserve"> </w:t>
      </w:r>
      <w:r>
        <w:rPr>
          <w:b/>
          <w:sz w:val="24"/>
        </w:rPr>
        <w:t>M.Si</w:t>
      </w:r>
      <w:r>
        <w:rPr>
          <w:b/>
          <w:spacing w:val="40"/>
          <w:sz w:val="24"/>
        </w:rPr>
        <w:t xml:space="preserve"> </w:t>
      </w:r>
      <w:r>
        <w:rPr>
          <w:sz w:val="24"/>
        </w:rPr>
        <w:t>selaku</w:t>
      </w:r>
      <w:r>
        <w:rPr>
          <w:spacing w:val="40"/>
          <w:sz w:val="24"/>
        </w:rPr>
        <w:t xml:space="preserve"> </w:t>
      </w:r>
      <w:r>
        <w:rPr>
          <w:sz w:val="24"/>
        </w:rPr>
        <w:t>Wakil</w:t>
      </w:r>
      <w:r>
        <w:rPr>
          <w:spacing w:val="40"/>
          <w:sz w:val="24"/>
        </w:rPr>
        <w:t xml:space="preserve"> </w:t>
      </w:r>
      <w:r>
        <w:rPr>
          <w:sz w:val="24"/>
        </w:rPr>
        <w:t>Rektor</w:t>
      </w:r>
      <w:r>
        <w:rPr>
          <w:spacing w:val="40"/>
          <w:sz w:val="24"/>
        </w:rPr>
        <w:t xml:space="preserve"> </w:t>
      </w:r>
      <w:r>
        <w:rPr>
          <w:sz w:val="24"/>
        </w:rPr>
        <w:t>III</w:t>
      </w:r>
      <w:r>
        <w:rPr>
          <w:spacing w:val="40"/>
          <w:sz w:val="24"/>
        </w:rPr>
        <w:t xml:space="preserve"> </w:t>
      </w:r>
      <w:r>
        <w:rPr>
          <w:sz w:val="24"/>
        </w:rPr>
        <w:t>Universitas</w:t>
      </w:r>
      <w:r>
        <w:rPr>
          <w:spacing w:val="80"/>
          <w:sz w:val="24"/>
        </w:rPr>
        <w:t xml:space="preserve"> </w:t>
      </w:r>
      <w:r>
        <w:rPr>
          <w:sz w:val="24"/>
        </w:rPr>
        <w:t>Muslim Nusantara Al Washliyah Medan;</w:t>
      </w:r>
    </w:p>
    <w:p w14:paraId="497A8ED7">
      <w:pPr>
        <w:pStyle w:val="38"/>
        <w:numPr>
          <w:ilvl w:val="0"/>
          <w:numId w:val="1"/>
        </w:numPr>
        <w:spacing w:line="360" w:lineRule="auto"/>
        <w:ind w:left="426" w:right="3" w:hanging="426"/>
        <w:jc w:val="both"/>
        <w:rPr>
          <w:sz w:val="24"/>
        </w:rPr>
      </w:pPr>
      <w:r>
        <w:rPr>
          <w:sz w:val="24"/>
        </w:rPr>
        <w:t>Ibu</w:t>
      </w:r>
      <w:r>
        <w:rPr>
          <w:spacing w:val="38"/>
          <w:sz w:val="24"/>
        </w:rPr>
        <w:t xml:space="preserve"> </w:t>
      </w:r>
      <w:r>
        <w:rPr>
          <w:b/>
          <w:sz w:val="24"/>
        </w:rPr>
        <w:t>Dr.</w:t>
      </w:r>
      <w:r>
        <w:rPr>
          <w:b/>
          <w:spacing w:val="39"/>
          <w:sz w:val="24"/>
        </w:rPr>
        <w:t xml:space="preserve"> </w:t>
      </w:r>
      <w:r>
        <w:rPr>
          <w:b/>
          <w:sz w:val="24"/>
        </w:rPr>
        <w:t>Halimatul</w:t>
      </w:r>
      <w:r>
        <w:rPr>
          <w:b/>
          <w:spacing w:val="36"/>
          <w:sz w:val="24"/>
        </w:rPr>
        <w:t xml:space="preserve"> </w:t>
      </w:r>
      <w:r>
        <w:rPr>
          <w:b/>
          <w:sz w:val="24"/>
        </w:rPr>
        <w:t>Maryani,</w:t>
      </w:r>
      <w:r>
        <w:rPr>
          <w:b/>
          <w:spacing w:val="38"/>
          <w:sz w:val="24"/>
        </w:rPr>
        <w:t xml:space="preserve"> </w:t>
      </w:r>
      <w:r>
        <w:rPr>
          <w:b/>
          <w:sz w:val="24"/>
        </w:rPr>
        <w:t>S.H.,M.H</w:t>
      </w:r>
      <w:r>
        <w:rPr>
          <w:b/>
          <w:spacing w:val="40"/>
          <w:sz w:val="24"/>
        </w:rPr>
        <w:t xml:space="preserve"> </w:t>
      </w:r>
      <w:r>
        <w:rPr>
          <w:sz w:val="24"/>
        </w:rPr>
        <w:t>selaku</w:t>
      </w:r>
      <w:r>
        <w:rPr>
          <w:spacing w:val="38"/>
          <w:sz w:val="24"/>
        </w:rPr>
        <w:t xml:space="preserve"> </w:t>
      </w:r>
      <w:r>
        <w:rPr>
          <w:sz w:val="24"/>
        </w:rPr>
        <w:t>Dekan</w:t>
      </w:r>
      <w:r>
        <w:rPr>
          <w:spacing w:val="38"/>
          <w:sz w:val="24"/>
        </w:rPr>
        <w:t xml:space="preserve"> </w:t>
      </w:r>
      <w:r>
        <w:rPr>
          <w:sz w:val="24"/>
        </w:rPr>
        <w:t>Fakultas</w:t>
      </w:r>
      <w:r>
        <w:rPr>
          <w:spacing w:val="38"/>
          <w:sz w:val="24"/>
        </w:rPr>
        <w:t xml:space="preserve"> </w:t>
      </w:r>
      <w:r>
        <w:rPr>
          <w:sz w:val="24"/>
        </w:rPr>
        <w:t>Hukum Universitas Muslim Nusantara Al Washliyah Medan;</w:t>
      </w:r>
    </w:p>
    <w:p w14:paraId="497A8ED8">
      <w:pPr>
        <w:pStyle w:val="38"/>
        <w:numPr>
          <w:ilvl w:val="0"/>
          <w:numId w:val="1"/>
        </w:numPr>
        <w:spacing w:line="360" w:lineRule="auto"/>
        <w:ind w:left="426" w:right="3" w:hanging="426"/>
        <w:contextualSpacing w:val="0"/>
        <w:jc w:val="both"/>
        <w:rPr>
          <w:sz w:val="24"/>
        </w:rPr>
      </w:pPr>
      <w:r>
        <w:rPr>
          <w:sz w:val="24"/>
        </w:rPr>
        <w:t>Bapak</w:t>
      </w:r>
      <w:r>
        <w:rPr>
          <w:spacing w:val="39"/>
          <w:sz w:val="24"/>
        </w:rPr>
        <w:t xml:space="preserve"> </w:t>
      </w:r>
      <w:r>
        <w:rPr>
          <w:b/>
          <w:sz w:val="24"/>
        </w:rPr>
        <w:t>Dr.</w:t>
      </w:r>
      <w:r>
        <w:rPr>
          <w:b/>
          <w:spacing w:val="39"/>
          <w:sz w:val="24"/>
        </w:rPr>
        <w:t xml:space="preserve"> </w:t>
      </w:r>
      <w:r>
        <w:rPr>
          <w:b/>
          <w:sz w:val="24"/>
        </w:rPr>
        <w:t>Syahrul</w:t>
      </w:r>
      <w:r>
        <w:rPr>
          <w:b/>
          <w:spacing w:val="38"/>
          <w:sz w:val="24"/>
        </w:rPr>
        <w:t xml:space="preserve"> </w:t>
      </w:r>
      <w:r>
        <w:rPr>
          <w:b/>
          <w:sz w:val="24"/>
        </w:rPr>
        <w:t>Bakti</w:t>
      </w:r>
      <w:r>
        <w:rPr>
          <w:b/>
          <w:spacing w:val="38"/>
          <w:sz w:val="24"/>
        </w:rPr>
        <w:t xml:space="preserve"> </w:t>
      </w:r>
      <w:r>
        <w:rPr>
          <w:b/>
          <w:sz w:val="24"/>
        </w:rPr>
        <w:t>Harahap,</w:t>
      </w:r>
      <w:r>
        <w:rPr>
          <w:b/>
          <w:spacing w:val="38"/>
          <w:sz w:val="24"/>
        </w:rPr>
        <w:t xml:space="preserve"> </w:t>
      </w:r>
      <w:r>
        <w:rPr>
          <w:b/>
          <w:sz w:val="24"/>
        </w:rPr>
        <w:t>S.H.,</w:t>
      </w:r>
      <w:r>
        <w:rPr>
          <w:b/>
          <w:spacing w:val="38"/>
          <w:sz w:val="24"/>
        </w:rPr>
        <w:t xml:space="preserve"> </w:t>
      </w:r>
      <w:r>
        <w:rPr>
          <w:b/>
          <w:sz w:val="24"/>
        </w:rPr>
        <w:t>M.H</w:t>
      </w:r>
      <w:r>
        <w:rPr>
          <w:b/>
          <w:spacing w:val="40"/>
          <w:sz w:val="24"/>
        </w:rPr>
        <w:t xml:space="preserve"> </w:t>
      </w:r>
      <w:r>
        <w:rPr>
          <w:sz w:val="24"/>
        </w:rPr>
        <w:t>selaku</w:t>
      </w:r>
      <w:r>
        <w:rPr>
          <w:spacing w:val="40"/>
          <w:sz w:val="24"/>
        </w:rPr>
        <w:t xml:space="preserve"> </w:t>
      </w:r>
      <w:r>
        <w:rPr>
          <w:sz w:val="24"/>
        </w:rPr>
        <w:t>Ketua</w:t>
      </w:r>
      <w:r>
        <w:rPr>
          <w:spacing w:val="37"/>
          <w:sz w:val="24"/>
        </w:rPr>
        <w:t xml:space="preserve"> </w:t>
      </w:r>
      <w:r>
        <w:rPr>
          <w:sz w:val="24"/>
        </w:rPr>
        <w:t>Program Studi Ilmu Hukum Universitas Muslim Nusantara Al Washliyah Medan;</w:t>
      </w:r>
    </w:p>
    <w:p w14:paraId="497A8ED9">
      <w:pPr>
        <w:pStyle w:val="38"/>
        <w:numPr>
          <w:ilvl w:val="0"/>
          <w:numId w:val="1"/>
        </w:numPr>
        <w:spacing w:line="360" w:lineRule="auto"/>
        <w:ind w:left="426" w:right="3" w:hanging="426"/>
        <w:contextualSpacing w:val="0"/>
        <w:jc w:val="both"/>
        <w:rPr>
          <w:sz w:val="24"/>
        </w:rPr>
      </w:pPr>
      <w:r>
        <w:rPr>
          <w:sz w:val="24"/>
        </w:rPr>
        <w:t>Ibu</w:t>
      </w:r>
      <w:r>
        <w:rPr>
          <w:spacing w:val="38"/>
          <w:sz w:val="24"/>
        </w:rPr>
        <w:t xml:space="preserve"> </w:t>
      </w:r>
      <w:r>
        <w:rPr>
          <w:b/>
          <w:sz w:val="24"/>
        </w:rPr>
        <w:t>Erlinawati,</w:t>
      </w:r>
      <w:r>
        <w:rPr>
          <w:b/>
          <w:spacing w:val="38"/>
          <w:sz w:val="24"/>
        </w:rPr>
        <w:t xml:space="preserve"> </w:t>
      </w:r>
      <w:r>
        <w:rPr>
          <w:b/>
          <w:sz w:val="24"/>
        </w:rPr>
        <w:t>S.Pd</w:t>
      </w:r>
      <w:r>
        <w:rPr>
          <w:b/>
          <w:spacing w:val="40"/>
          <w:sz w:val="24"/>
        </w:rPr>
        <w:t xml:space="preserve"> </w:t>
      </w:r>
      <w:r>
        <w:rPr>
          <w:sz w:val="24"/>
        </w:rPr>
        <w:t>selaku</w:t>
      </w:r>
      <w:r>
        <w:rPr>
          <w:spacing w:val="38"/>
          <w:sz w:val="24"/>
        </w:rPr>
        <w:t xml:space="preserve"> </w:t>
      </w:r>
      <w:r>
        <w:rPr>
          <w:sz w:val="24"/>
        </w:rPr>
        <w:t>KTU</w:t>
      </w:r>
      <w:r>
        <w:rPr>
          <w:spacing w:val="39"/>
          <w:sz w:val="24"/>
        </w:rPr>
        <w:t xml:space="preserve"> </w:t>
      </w:r>
      <w:r>
        <w:rPr>
          <w:sz w:val="24"/>
        </w:rPr>
        <w:t>Fakultas</w:t>
      </w:r>
      <w:r>
        <w:rPr>
          <w:spacing w:val="38"/>
          <w:sz w:val="24"/>
        </w:rPr>
        <w:t xml:space="preserve"> </w:t>
      </w:r>
      <w:r>
        <w:rPr>
          <w:sz w:val="24"/>
        </w:rPr>
        <w:t>Hukum</w:t>
      </w:r>
      <w:r>
        <w:rPr>
          <w:spacing w:val="36"/>
          <w:sz w:val="24"/>
        </w:rPr>
        <w:t xml:space="preserve"> </w:t>
      </w:r>
      <w:r>
        <w:rPr>
          <w:sz w:val="24"/>
        </w:rPr>
        <w:t>dan</w:t>
      </w:r>
      <w:r>
        <w:rPr>
          <w:spacing w:val="38"/>
          <w:sz w:val="24"/>
        </w:rPr>
        <w:t xml:space="preserve"> </w:t>
      </w:r>
      <w:r>
        <w:rPr>
          <w:sz w:val="24"/>
        </w:rPr>
        <w:t>Seluruh</w:t>
      </w:r>
      <w:r>
        <w:rPr>
          <w:spacing w:val="38"/>
          <w:sz w:val="24"/>
        </w:rPr>
        <w:t xml:space="preserve"> </w:t>
      </w:r>
      <w:r>
        <w:rPr>
          <w:sz w:val="24"/>
        </w:rPr>
        <w:t>Dosen Fakultas Hukum Universitas Muslim Nusantara Al Washliyah Medan;</w:t>
      </w:r>
    </w:p>
    <w:p w14:paraId="497A8EDA">
      <w:pPr>
        <w:pStyle w:val="38"/>
        <w:numPr>
          <w:ilvl w:val="0"/>
          <w:numId w:val="1"/>
        </w:numPr>
        <w:spacing w:line="360" w:lineRule="auto"/>
        <w:ind w:left="426" w:right="3" w:hanging="426"/>
        <w:contextualSpacing w:val="0"/>
        <w:jc w:val="both"/>
        <w:rPr>
          <w:sz w:val="24"/>
        </w:rPr>
      </w:pPr>
      <w:r>
        <w:rPr>
          <w:sz w:val="24"/>
        </w:rPr>
        <w:t>Bapak</w:t>
      </w:r>
      <w:r>
        <w:rPr>
          <w:spacing w:val="40"/>
          <w:sz w:val="24"/>
        </w:rPr>
        <w:t xml:space="preserve"> </w:t>
      </w:r>
      <w:r>
        <w:rPr>
          <w:b/>
          <w:sz w:val="24"/>
        </w:rPr>
        <w:t>Prof.</w:t>
      </w:r>
      <w:r>
        <w:rPr>
          <w:b/>
          <w:spacing w:val="40"/>
          <w:sz w:val="24"/>
        </w:rPr>
        <w:t xml:space="preserve"> </w:t>
      </w:r>
      <w:r>
        <w:rPr>
          <w:b/>
          <w:sz w:val="24"/>
        </w:rPr>
        <w:t>Dr.</w:t>
      </w:r>
      <w:r>
        <w:rPr>
          <w:b/>
          <w:spacing w:val="40"/>
          <w:sz w:val="24"/>
        </w:rPr>
        <w:t xml:space="preserve"> </w:t>
      </w:r>
      <w:r>
        <w:rPr>
          <w:b/>
          <w:sz w:val="24"/>
        </w:rPr>
        <w:t>Muhammad</w:t>
      </w:r>
      <w:r>
        <w:rPr>
          <w:b/>
          <w:spacing w:val="40"/>
          <w:sz w:val="24"/>
        </w:rPr>
        <w:t xml:space="preserve"> </w:t>
      </w:r>
      <w:r>
        <w:rPr>
          <w:b/>
          <w:sz w:val="24"/>
        </w:rPr>
        <w:t>Ridwan</w:t>
      </w:r>
      <w:r>
        <w:rPr>
          <w:b/>
          <w:spacing w:val="40"/>
          <w:sz w:val="24"/>
        </w:rPr>
        <w:t xml:space="preserve"> </w:t>
      </w:r>
      <w:r>
        <w:rPr>
          <w:b/>
          <w:sz w:val="24"/>
        </w:rPr>
        <w:t>Lubis,</w:t>
      </w:r>
      <w:r>
        <w:rPr>
          <w:b/>
          <w:spacing w:val="40"/>
          <w:sz w:val="24"/>
        </w:rPr>
        <w:t xml:space="preserve"> </w:t>
      </w:r>
      <w:r>
        <w:rPr>
          <w:b/>
          <w:sz w:val="24"/>
        </w:rPr>
        <w:t>S.H.,</w:t>
      </w:r>
      <w:r>
        <w:rPr>
          <w:b/>
          <w:spacing w:val="40"/>
          <w:sz w:val="24"/>
        </w:rPr>
        <w:t xml:space="preserve"> </w:t>
      </w:r>
      <w:r>
        <w:rPr>
          <w:b/>
          <w:sz w:val="24"/>
        </w:rPr>
        <w:t>M.Hum</w:t>
      </w:r>
      <w:r>
        <w:rPr>
          <w:b/>
          <w:spacing w:val="80"/>
          <w:sz w:val="24"/>
        </w:rPr>
        <w:t xml:space="preserve"> </w:t>
      </w:r>
      <w:r>
        <w:rPr>
          <w:sz w:val="24"/>
        </w:rPr>
        <w:t>selaku</w:t>
      </w:r>
      <w:r>
        <w:rPr>
          <w:spacing w:val="80"/>
          <w:sz w:val="24"/>
        </w:rPr>
        <w:t xml:space="preserve"> </w:t>
      </w:r>
      <w:r>
        <w:rPr>
          <w:sz w:val="24"/>
        </w:rPr>
        <w:t>Dosen Pembimbing;</w:t>
      </w:r>
    </w:p>
    <w:p w14:paraId="497A8EDB">
      <w:pPr>
        <w:pStyle w:val="38"/>
        <w:numPr>
          <w:ilvl w:val="0"/>
          <w:numId w:val="1"/>
        </w:numPr>
        <w:ind w:left="426" w:right="3" w:hanging="426"/>
        <w:contextualSpacing w:val="0"/>
        <w:jc w:val="both"/>
        <w:rPr>
          <w:sz w:val="24"/>
        </w:rPr>
      </w:pPr>
      <w:r>
        <w:rPr>
          <w:sz w:val="24"/>
        </w:rPr>
        <w:t>Orang</w:t>
      </w:r>
      <w:r>
        <w:rPr>
          <w:spacing w:val="-2"/>
          <w:sz w:val="24"/>
        </w:rPr>
        <w:t xml:space="preserve"> </w:t>
      </w:r>
      <w:r>
        <w:rPr>
          <w:sz w:val="24"/>
        </w:rPr>
        <w:t>tua</w:t>
      </w:r>
      <w:r>
        <w:rPr>
          <w:spacing w:val="-2"/>
          <w:sz w:val="24"/>
        </w:rPr>
        <w:t xml:space="preserve"> </w:t>
      </w:r>
      <w:r>
        <w:rPr>
          <w:sz w:val="24"/>
        </w:rPr>
        <w:t>dan</w:t>
      </w:r>
      <w:r>
        <w:rPr>
          <w:spacing w:val="-2"/>
          <w:sz w:val="24"/>
        </w:rPr>
        <w:t xml:space="preserve"> </w:t>
      </w:r>
      <w:r>
        <w:rPr>
          <w:sz w:val="24"/>
        </w:rPr>
        <w:t>istri tercinta</w:t>
      </w:r>
      <w:r>
        <w:rPr>
          <w:spacing w:val="-2"/>
          <w:sz w:val="24"/>
        </w:rPr>
        <w:t xml:space="preserve"> </w:t>
      </w:r>
      <w:r>
        <w:rPr>
          <w:sz w:val="24"/>
        </w:rPr>
        <w:t>dan</w:t>
      </w:r>
      <w:r>
        <w:rPr>
          <w:spacing w:val="-1"/>
          <w:sz w:val="24"/>
        </w:rPr>
        <w:t xml:space="preserve"> </w:t>
      </w:r>
      <w:r>
        <w:rPr>
          <w:spacing w:val="-2"/>
          <w:sz w:val="24"/>
        </w:rPr>
        <w:t>seterusnya;</w:t>
      </w:r>
    </w:p>
    <w:p w14:paraId="497A8EDC">
      <w:pPr>
        <w:pStyle w:val="38"/>
        <w:numPr>
          <w:ilvl w:val="0"/>
          <w:numId w:val="1"/>
        </w:numPr>
        <w:spacing w:before="138" w:line="360" w:lineRule="auto"/>
        <w:ind w:left="426" w:right="3" w:hanging="426"/>
        <w:contextualSpacing w:val="0"/>
        <w:jc w:val="both"/>
        <w:rPr>
          <w:sz w:val="24"/>
        </w:rPr>
      </w:pPr>
      <w:r>
        <w:rPr>
          <w:sz w:val="24"/>
        </w:rPr>
        <w:t>Semua pihak yang telah banyak membantu penulis dalam menyelesaikan skripsi ini;</w:t>
      </w:r>
    </w:p>
    <w:p w14:paraId="497A8EDD">
      <w:pPr>
        <w:pStyle w:val="14"/>
        <w:spacing w:line="360" w:lineRule="auto"/>
        <w:ind w:right="3" w:firstLine="284"/>
        <w:jc w:val="both"/>
      </w:pPr>
      <w:r>
        <w:t>Akhir kata penulis berharap semoga tulisan ini dapat bermanfaat bagi penulis dan para pembaca sekalian. Dan segala amal kebaikan yang telah Bapak/Ibu Dosen, Keluarga dan Sahabatku berikan akan mendapat balasan yang berlipat dari Allah SWT kelak dikemudian hari. Amin. Terima kasih.</w:t>
      </w:r>
    </w:p>
    <w:p w14:paraId="497A8EDE">
      <w:pPr>
        <w:pStyle w:val="14"/>
        <w:spacing w:before="1"/>
        <w:ind w:right="390"/>
        <w:jc w:val="right"/>
      </w:pPr>
    </w:p>
    <w:p w14:paraId="497A8EDF">
      <w:pPr>
        <w:pStyle w:val="14"/>
        <w:spacing w:before="1"/>
        <w:ind w:right="390"/>
        <w:jc w:val="right"/>
      </w:pPr>
      <w:r>
        <w:t>Medan,</w:t>
      </w:r>
      <w:r>
        <w:rPr>
          <w:spacing w:val="40"/>
        </w:rPr>
        <w:t xml:space="preserve">  </w:t>
      </w:r>
      <w:r>
        <w:t>April</w:t>
      </w:r>
      <w:r>
        <w:rPr>
          <w:spacing w:val="-5"/>
        </w:rPr>
        <w:t xml:space="preserve"> </w:t>
      </w:r>
      <w:r>
        <w:t xml:space="preserve">2026 </w:t>
      </w:r>
    </w:p>
    <w:p w14:paraId="497A8EE0">
      <w:pPr>
        <w:pStyle w:val="14"/>
        <w:spacing w:before="1"/>
        <w:ind w:left="4320" w:right="390" w:firstLine="720"/>
        <w:jc w:val="center"/>
      </w:pPr>
      <w:r>
        <w:t xml:space="preserve">      </w:t>
      </w:r>
      <w:r>
        <w:rPr>
          <w:spacing w:val="-2"/>
        </w:rPr>
        <w:t>Penulis,</w:t>
      </w:r>
    </w:p>
    <w:p w14:paraId="497A8EE1">
      <w:pPr>
        <w:pStyle w:val="14"/>
      </w:pPr>
    </w:p>
    <w:p w14:paraId="497A8EE2">
      <w:pPr>
        <w:pStyle w:val="14"/>
      </w:pPr>
    </w:p>
    <w:p w14:paraId="497A8EE3">
      <w:pPr>
        <w:pStyle w:val="14"/>
        <w:spacing w:before="144"/>
      </w:pPr>
    </w:p>
    <w:p w14:paraId="497A8EE4">
      <w:pPr>
        <w:jc w:val="right"/>
        <w:rPr>
          <w:b/>
          <w:sz w:val="24"/>
        </w:rPr>
      </w:pPr>
      <w:r>
        <w:rPr>
          <w:b/>
          <w:sz w:val="24"/>
          <w:u w:val="single"/>
        </w:rPr>
        <w:t>Tunggul</w:t>
      </w:r>
      <w:r>
        <w:rPr>
          <w:b/>
          <w:spacing w:val="-15"/>
          <w:sz w:val="24"/>
          <w:u w:val="single"/>
        </w:rPr>
        <w:t xml:space="preserve"> </w:t>
      </w:r>
      <w:r>
        <w:rPr>
          <w:b/>
          <w:sz w:val="24"/>
          <w:u w:val="single"/>
        </w:rPr>
        <w:t>Prasetia</w:t>
      </w:r>
      <w:r>
        <w:rPr>
          <w:b/>
          <w:spacing w:val="-15"/>
          <w:sz w:val="24"/>
          <w:u w:val="single"/>
        </w:rPr>
        <w:t xml:space="preserve"> </w:t>
      </w:r>
      <w:r>
        <w:rPr>
          <w:b/>
          <w:sz w:val="24"/>
          <w:u w:val="single"/>
        </w:rPr>
        <w:t>Rambe</w:t>
      </w:r>
      <w:r>
        <w:rPr>
          <w:b/>
          <w:sz w:val="24"/>
        </w:rPr>
        <w:t xml:space="preserve"> </w:t>
      </w:r>
    </w:p>
    <w:p w14:paraId="497A8EE5">
      <w:pPr>
        <w:ind w:left="5040" w:firstLine="720"/>
        <w:rPr>
          <w:b/>
          <w:sz w:val="24"/>
        </w:rPr>
        <w:sectPr>
          <w:headerReference r:id="rId15" w:type="first"/>
          <w:headerReference r:id="rId13" w:type="default"/>
          <w:footerReference r:id="rId16" w:type="default"/>
          <w:headerReference r:id="rId14" w:type="even"/>
          <w:pgSz w:w="11910" w:h="16840"/>
          <w:pgMar w:top="1701" w:right="1701" w:bottom="1701" w:left="2268" w:header="0" w:footer="1050" w:gutter="0"/>
          <w:pgNumType w:fmt="lowerRoman" w:start="1"/>
          <w:cols w:space="720" w:num="1"/>
        </w:sectPr>
      </w:pPr>
      <w:r>
        <w:rPr>
          <w:b/>
          <w:sz w:val="24"/>
        </w:rPr>
        <w:t>NPM: 24511415</w:t>
      </w:r>
    </w:p>
    <w:p w14:paraId="497A8EE6">
      <w:pPr>
        <w:pStyle w:val="2"/>
        <w:spacing w:before="0" w:after="0" w:line="360" w:lineRule="auto"/>
        <w:jc w:val="center"/>
        <w:rPr>
          <w:rFonts w:ascii="Times New Roman" w:hAnsi="Times New Roman" w:cs="Times New Roman"/>
          <w:b/>
          <w:bCs/>
          <w:color w:val="auto"/>
          <w:sz w:val="24"/>
          <w:szCs w:val="24"/>
        </w:rPr>
      </w:pPr>
      <w:bookmarkStart w:id="4" w:name="_Toc230017839"/>
      <w:bookmarkStart w:id="5" w:name="_TOC_250003"/>
      <w:r>
        <w:rPr>
          <w:rFonts w:ascii="Times New Roman" w:hAnsi="Times New Roman" w:cs="Times New Roman"/>
          <w:b/>
          <w:bCs/>
          <w:color w:val="auto"/>
          <w:sz w:val="24"/>
          <w:szCs w:val="24"/>
        </w:rPr>
        <w:t>ABSTRAK</w:t>
      </w:r>
      <w:bookmarkEnd w:id="4"/>
    </w:p>
    <w:p w14:paraId="1E928B40">
      <w:pPr>
        <w:pStyle w:val="2"/>
        <w:spacing w:line="360" w:lineRule="auto"/>
        <w:ind w:right="19"/>
        <w:jc w:val="center"/>
        <w:rPr>
          <w:rFonts w:ascii="Times New Roman" w:hAnsi="Times New Roman" w:cs="Times New Roman"/>
          <w:b/>
          <w:color w:val="000000" w:themeColor="text1"/>
          <w:sz w:val="24"/>
          <w:lang w:val="en-US"/>
          <w14:textFill>
            <w14:solidFill>
              <w14:schemeClr w14:val="tx1"/>
            </w14:solidFill>
          </w14:textFill>
        </w:rPr>
      </w:pPr>
      <w:r>
        <w:rPr>
          <w:rFonts w:ascii="Times New Roman" w:hAnsi="Times New Roman" w:cs="Times New Roman"/>
          <w:b/>
          <w:color w:val="000000" w:themeColor="text1"/>
          <w:sz w:val="24"/>
          <w:lang w:val="en-US"/>
          <w14:textFill>
            <w14:solidFill>
              <w14:schemeClr w14:val="tx1"/>
            </w14:solidFill>
          </w14:textFill>
        </w:rPr>
        <w:t>PERTANGGUNGJAWABAN TINDAK PIDANA PEMILIHAN UMUM YANG DILAKUKAN PANITIA PEMILIHAN KECAMATAN (PPK)</w:t>
      </w:r>
    </w:p>
    <w:p w14:paraId="76F4D629">
      <w:pPr>
        <w:jc w:val="center"/>
        <w:rPr>
          <w:lang w:val="en-US"/>
        </w:rPr>
      </w:pPr>
      <w:r>
        <w:rPr>
          <w:b/>
          <w:sz w:val="24"/>
          <w:lang w:val="en-US"/>
        </w:rPr>
        <w:t>( Studi putusan Pengadilan Negeri Medan No 1/Pid.s/2024/PN Mdn)</w:t>
      </w:r>
    </w:p>
    <w:p w14:paraId="338F613F"/>
    <w:p w14:paraId="74F1CC7F">
      <w:pPr>
        <w:jc w:val="center"/>
        <w:rPr>
          <w:b/>
          <w:bCs/>
        </w:rPr>
      </w:pPr>
      <w:r>
        <w:rPr>
          <w:b/>
          <w:bCs/>
        </w:rPr>
        <w:t>Tunggul Prasetia Rambe</w:t>
      </w:r>
    </w:p>
    <w:p w14:paraId="24C9953B">
      <w:pPr>
        <w:jc w:val="center"/>
        <w:rPr>
          <w:b/>
          <w:bCs/>
        </w:rPr>
      </w:pPr>
      <w:r>
        <w:rPr>
          <w:b/>
          <w:bCs/>
        </w:rPr>
        <w:t>(245114155)</w:t>
      </w:r>
    </w:p>
    <w:p w14:paraId="497A8EE7">
      <w:pPr>
        <w:jc w:val="both"/>
        <w:rPr>
          <w:sz w:val="24"/>
          <w:szCs w:val="24"/>
        </w:rPr>
      </w:pPr>
    </w:p>
    <w:p w14:paraId="5DC85DCA">
      <w:pPr>
        <w:jc w:val="both"/>
        <w:rPr>
          <w:sz w:val="24"/>
          <w:szCs w:val="24"/>
          <w:lang w:val="id-ID"/>
        </w:rPr>
      </w:pPr>
      <w:r>
        <w:rPr>
          <w:sz w:val="24"/>
          <w:szCs w:val="24"/>
          <w:lang w:val="id-ID"/>
        </w:rPr>
        <w:t>Penelitian ini dilatarbelakangi oleh maraknya patologi birokrasi pemilu berupa tindak pidana manipulasi suara yang melibatkan penyelenggara pemilu tingkat ad hoc. Fokus kajian diarahkan pada kasus penggelembungan suara Pemilu Legislatif 2024 oleh tiga oknum Panitia Pemilihan Kecamatan (PPK) Medan Timur. Penelitian ini bertujuan untuk menganalisis konstruksi pertanggungjawaban pidana pemilu kedinasan, membedah dasar pertimbangan hukum hakim (</w:t>
      </w:r>
      <w:r>
        <w:rPr>
          <w:i/>
          <w:sz w:val="24"/>
          <w:szCs w:val="24"/>
          <w:lang w:val="id-ID"/>
        </w:rPr>
        <w:t>ratio decidendi</w:t>
      </w:r>
      <w:r>
        <w:rPr>
          <w:sz w:val="24"/>
          <w:szCs w:val="24"/>
          <w:lang w:val="id-ID"/>
        </w:rPr>
        <w:t>) dalam penjatuhan sanksi, serta mengidentifikasi hambatan pelaksanaan tugas PPK di lapangan. Jenis penelitian yang digunakan adalah penelitian hukum normatif melalui pendekatan perundang-undangan (</w:t>
      </w:r>
      <w:r>
        <w:rPr>
          <w:i/>
          <w:sz w:val="24"/>
          <w:szCs w:val="24"/>
          <w:lang w:val="id-ID"/>
        </w:rPr>
        <w:t>statute approach</w:t>
      </w:r>
      <w:r>
        <w:rPr>
          <w:sz w:val="24"/>
          <w:szCs w:val="24"/>
          <w:lang w:val="id-ID"/>
        </w:rPr>
        <w:t>), pendekatan kasus (</w:t>
      </w:r>
      <w:r>
        <w:rPr>
          <w:i/>
          <w:sz w:val="24"/>
          <w:szCs w:val="24"/>
          <w:lang w:val="id-ID"/>
        </w:rPr>
        <w:t>case approach</w:t>
      </w:r>
      <w:r>
        <w:rPr>
          <w:sz w:val="24"/>
          <w:szCs w:val="24"/>
          <w:lang w:val="id-ID"/>
        </w:rPr>
        <w:t>), dan pendekatan konseptual (conceptual approach). Sumber bahan hukum primer difokuskan pada draf dokumen tertulis Salinan Putusan Pengadilan Negeri Medan Nomor 1/Pid.S/2024/PN Mdn [Putusan No. 1/Pid.S/2024/PN Mdn]. Hasil penelitian menunjukkan bahwa mekanisme pertanggungjawaban pidana (</w:t>
      </w:r>
      <w:r>
        <w:rPr>
          <w:i/>
          <w:sz w:val="24"/>
          <w:szCs w:val="24"/>
          <w:lang w:val="id-ID"/>
        </w:rPr>
        <w:t>criminal liability</w:t>
      </w:r>
      <w:r>
        <w:rPr>
          <w:sz w:val="24"/>
          <w:szCs w:val="24"/>
          <w:lang w:val="id-ID"/>
        </w:rPr>
        <w:t xml:space="preserve">) terhadap tiga komisioner aktif PPK Medan Timur telah memenuhi unsur </w:t>
      </w:r>
      <w:r>
        <w:rPr>
          <w:i/>
          <w:sz w:val="24"/>
          <w:szCs w:val="24"/>
          <w:lang w:val="id-ID"/>
        </w:rPr>
        <w:t>actus reus</w:t>
      </w:r>
      <w:r>
        <w:rPr>
          <w:sz w:val="24"/>
          <w:szCs w:val="24"/>
          <w:lang w:val="id-ID"/>
        </w:rPr>
        <w:t xml:space="preserve"> berupa manipulasi fisik data rekapitulasi numerik dan unsur mens rea berupa kesengajaan sebagai maksud (</w:t>
      </w:r>
      <w:r>
        <w:rPr>
          <w:i/>
          <w:sz w:val="24"/>
          <w:szCs w:val="24"/>
          <w:lang w:val="id-ID"/>
        </w:rPr>
        <w:t>dolus directus</w:t>
      </w:r>
      <w:r>
        <w:rPr>
          <w:sz w:val="24"/>
          <w:szCs w:val="24"/>
          <w:lang w:val="id-ID"/>
        </w:rPr>
        <w:t>) untuk menggeser suara partai politik secara bersama-sama (Pasal 55 Ayat 1 ke-1 KUHP). Kedudukan hukum pelaku sebagai penyelenggara pemilu aktif mengaktifkan klausul pemberatan sanksi khusus sepertiga (</w:t>
      </w:r>
      <w:r>
        <w:rPr>
          <w:i/>
          <w:sz w:val="24"/>
          <w:szCs w:val="24"/>
          <w:lang w:val="id-ID"/>
        </w:rPr>
        <w:t>delictum proprium</w:t>
      </w:r>
      <w:r>
        <w:rPr>
          <w:sz w:val="24"/>
          <w:szCs w:val="24"/>
          <w:lang w:val="id-ID"/>
        </w:rPr>
        <w:t>) berdasarkan Pasal 554 Undang-Undang Nomor 7 Tahun 2017 tentang Pemilihan Umum atas dasar pengkhianatan terhadap kepercayaan publik (</w:t>
      </w:r>
      <w:r>
        <w:rPr>
          <w:i/>
          <w:sz w:val="24"/>
          <w:szCs w:val="24"/>
          <w:lang w:val="id-ID"/>
        </w:rPr>
        <w:t>breach of public trust</w:t>
      </w:r>
      <w:r>
        <w:rPr>
          <w:sz w:val="24"/>
          <w:szCs w:val="24"/>
          <w:lang w:val="id-ID"/>
        </w:rPr>
        <w:t>). Majelis Hakim Pengadilan Negeri Medan menjatuhkan vonis sanksi minimalis 3 (tiga) bulan penjara dengan pertimbangan hukum (</w:t>
      </w:r>
      <w:r>
        <w:rPr>
          <w:i/>
          <w:sz w:val="24"/>
          <w:szCs w:val="24"/>
          <w:lang w:val="id-ID"/>
        </w:rPr>
        <w:t>ratio decidendi</w:t>
      </w:r>
      <w:r>
        <w:rPr>
          <w:sz w:val="24"/>
          <w:szCs w:val="24"/>
          <w:lang w:val="id-ID"/>
        </w:rPr>
        <w:t>) bahwa pergeseran suara tersebut berhasil dideteksi dan dikoreksi kembali pada pleno tingkat kota, sehingga tidak ada hak suara peserta pemilu yang hilang secara permanen. Namun, penalaran ini dinilai mengabaikan kemanfaatan hukum (</w:t>
      </w:r>
      <w:r>
        <w:rPr>
          <w:i/>
          <w:sz w:val="24"/>
          <w:szCs w:val="24"/>
          <w:lang w:val="id-ID"/>
        </w:rPr>
        <w:t>zweckmassigkeit</w:t>
      </w:r>
      <w:r>
        <w:rPr>
          <w:sz w:val="24"/>
          <w:szCs w:val="24"/>
          <w:lang w:val="id-ID"/>
        </w:rPr>
        <w:t>) dan gagal memberikan efek jera (</w:t>
      </w:r>
      <w:r>
        <w:rPr>
          <w:i/>
          <w:sz w:val="24"/>
          <w:szCs w:val="24"/>
          <w:lang w:val="id-ID"/>
        </w:rPr>
        <w:t>deterrent</w:t>
      </w:r>
      <w:r>
        <w:rPr>
          <w:sz w:val="24"/>
          <w:szCs w:val="24"/>
          <w:lang w:val="id-ID"/>
        </w:rPr>
        <w:t xml:space="preserve"> </w:t>
      </w:r>
      <w:r>
        <w:rPr>
          <w:i/>
          <w:sz w:val="24"/>
          <w:szCs w:val="24"/>
          <w:lang w:val="id-ID"/>
        </w:rPr>
        <w:t>effect</w:t>
      </w:r>
      <w:r>
        <w:rPr>
          <w:sz w:val="24"/>
          <w:szCs w:val="24"/>
          <w:lang w:val="id-ID"/>
        </w:rPr>
        <w:t>), di mana dalam pemutakhiran hukumnya, putusan tersebut akhirnya diperberat oleh Pengadilan Tinggi Medan melalui Putusan Nomor 1088/PID.SUS/2024/PT MDN menjadi 8 (delapan) bulan penjara. Lebih lanjut, fakta persidangan merekam adanya hambatan internal sistemik berupa beban kerja ekstrem (</w:t>
      </w:r>
      <w:r>
        <w:rPr>
          <w:i/>
          <w:sz w:val="24"/>
          <w:szCs w:val="24"/>
          <w:lang w:val="id-ID"/>
        </w:rPr>
        <w:t>workload overload</w:t>
      </w:r>
      <w:r>
        <w:rPr>
          <w:sz w:val="24"/>
          <w:szCs w:val="24"/>
          <w:lang w:val="id-ID"/>
        </w:rPr>
        <w:t>) maraton yang memicu kelelahan fisik petugas (</w:t>
      </w:r>
      <w:r>
        <w:rPr>
          <w:i/>
          <w:sz w:val="24"/>
          <w:szCs w:val="24"/>
          <w:lang w:val="id-ID"/>
        </w:rPr>
        <w:t>human fatigue</w:t>
      </w:r>
      <w:r>
        <w:rPr>
          <w:sz w:val="24"/>
          <w:szCs w:val="24"/>
          <w:lang w:val="id-ID"/>
        </w:rPr>
        <w:t>), kerentanan aplikasi Sirekap, serta hambatan eksternal sosiologis berupa intimidasi saksi di arena pleno dan desakan penetrasi kapital transaksional (suap) dari pihak ketiga. Riset ini merekomendasikan Komisi Pemilihan Umum (KPU) untuk mengevaluasi batasan durasi rapat pleno rekapitulasi serta memperkuat muatan bimbingan teknis yang menyentuh aspek integritas yuridis-pidana. Selain itu, jajaran majelis hakim di masa mendatang diharapkan menjatuhkan sanksi yang lebih progresif dan mendekati batas maksimal tuntutan demi menegakkan kedaulatan demokrasi rakyat.</w:t>
      </w:r>
    </w:p>
    <w:p w14:paraId="57418B9B">
      <w:pPr>
        <w:jc w:val="both"/>
        <w:rPr>
          <w:sz w:val="24"/>
          <w:szCs w:val="24"/>
          <w:lang w:val="id-ID"/>
        </w:rPr>
      </w:pPr>
    </w:p>
    <w:p w14:paraId="497A8EEB">
      <w:pPr>
        <w:jc w:val="both"/>
        <w:rPr>
          <w:sz w:val="24"/>
          <w:szCs w:val="24"/>
          <w:lang w:val="id-ID"/>
        </w:rPr>
      </w:pPr>
      <w:r>
        <w:rPr>
          <w:sz w:val="24"/>
          <w:szCs w:val="24"/>
          <w:lang w:val="id-ID"/>
        </w:rPr>
        <w:t xml:space="preserve">Kata Kunci: </w:t>
      </w:r>
      <w:r>
        <w:rPr>
          <w:b/>
          <w:sz w:val="24"/>
          <w:szCs w:val="24"/>
          <w:lang w:val="id-ID"/>
        </w:rPr>
        <w:t>Pertanggung jawaban Pidana, Penyelenggara Pemilu, Pertimbangan Hakim, Panitia Pemilihan Kecamatan, Tindak Pidana Pemilu</w:t>
      </w:r>
      <w:r>
        <w:rPr>
          <w:sz w:val="24"/>
          <w:szCs w:val="24"/>
          <w:lang w:val="id-ID"/>
        </w:rPr>
        <w:t>.</w:t>
      </w:r>
    </w:p>
    <w:p w14:paraId="497A8EEC">
      <w:pPr>
        <w:jc w:val="both"/>
        <w:rPr>
          <w:sz w:val="24"/>
          <w:szCs w:val="24"/>
          <w:lang w:val="id-ID"/>
        </w:rPr>
      </w:pPr>
    </w:p>
    <w:p w14:paraId="497A8EEE">
      <w:pPr>
        <w:jc w:val="both"/>
        <w:rPr>
          <w:b/>
          <w:bCs/>
          <w:i/>
          <w:iCs/>
          <w:sz w:val="24"/>
          <w:szCs w:val="24"/>
        </w:rPr>
      </w:pPr>
    </w:p>
    <w:p w14:paraId="0A6EB1AE">
      <w:pPr>
        <w:jc w:val="both"/>
        <w:rPr>
          <w:b/>
          <w:bCs/>
          <w:i/>
          <w:iCs/>
          <w:sz w:val="24"/>
          <w:szCs w:val="24"/>
        </w:rPr>
      </w:pPr>
    </w:p>
    <w:p w14:paraId="355074EB">
      <w:pPr>
        <w:jc w:val="both"/>
        <w:rPr>
          <w:b/>
          <w:bCs/>
          <w:i/>
          <w:iCs/>
          <w:sz w:val="24"/>
          <w:szCs w:val="24"/>
        </w:rPr>
      </w:pPr>
    </w:p>
    <w:p w14:paraId="68149600">
      <w:pPr>
        <w:jc w:val="both"/>
        <w:rPr>
          <w:b/>
          <w:bCs/>
          <w:i/>
          <w:iCs/>
          <w:sz w:val="24"/>
          <w:szCs w:val="24"/>
        </w:rPr>
      </w:pPr>
    </w:p>
    <w:p w14:paraId="2DAA911F">
      <w:pPr>
        <w:jc w:val="both"/>
        <w:rPr>
          <w:b/>
          <w:bCs/>
          <w:i/>
          <w:iCs/>
          <w:sz w:val="24"/>
          <w:szCs w:val="24"/>
        </w:rPr>
      </w:pPr>
    </w:p>
    <w:p w14:paraId="7E50495C">
      <w:pPr>
        <w:jc w:val="both"/>
        <w:rPr>
          <w:b/>
          <w:bCs/>
          <w:i/>
          <w:iCs/>
          <w:sz w:val="24"/>
          <w:szCs w:val="24"/>
        </w:rPr>
      </w:pPr>
    </w:p>
    <w:p w14:paraId="5490854E">
      <w:pPr>
        <w:jc w:val="both"/>
        <w:rPr>
          <w:b/>
          <w:bCs/>
          <w:i/>
          <w:iCs/>
          <w:sz w:val="24"/>
          <w:szCs w:val="24"/>
        </w:rPr>
      </w:pPr>
    </w:p>
    <w:p w14:paraId="6D9B570E">
      <w:pPr>
        <w:jc w:val="both"/>
        <w:rPr>
          <w:b/>
          <w:bCs/>
          <w:i/>
          <w:iCs/>
          <w:sz w:val="24"/>
          <w:szCs w:val="24"/>
        </w:rPr>
      </w:pPr>
    </w:p>
    <w:p w14:paraId="534E7A48">
      <w:pPr>
        <w:jc w:val="both"/>
        <w:rPr>
          <w:b/>
          <w:bCs/>
          <w:i/>
          <w:iCs/>
          <w:sz w:val="24"/>
          <w:szCs w:val="24"/>
        </w:rPr>
      </w:pPr>
    </w:p>
    <w:p w14:paraId="574E5F68">
      <w:pPr>
        <w:jc w:val="both"/>
        <w:rPr>
          <w:b/>
          <w:bCs/>
          <w:i/>
          <w:iCs/>
          <w:sz w:val="24"/>
          <w:szCs w:val="24"/>
        </w:rPr>
      </w:pPr>
    </w:p>
    <w:p w14:paraId="77ACC346">
      <w:pPr>
        <w:jc w:val="both"/>
        <w:rPr>
          <w:b/>
          <w:bCs/>
          <w:i/>
          <w:iCs/>
          <w:sz w:val="24"/>
          <w:szCs w:val="24"/>
        </w:rPr>
      </w:pPr>
    </w:p>
    <w:p w14:paraId="6E36A3D7">
      <w:pPr>
        <w:jc w:val="both"/>
        <w:rPr>
          <w:b/>
          <w:bCs/>
          <w:i/>
          <w:iCs/>
          <w:sz w:val="24"/>
          <w:szCs w:val="24"/>
        </w:rPr>
      </w:pPr>
    </w:p>
    <w:p w14:paraId="28645174">
      <w:pPr>
        <w:jc w:val="both"/>
        <w:rPr>
          <w:b/>
          <w:bCs/>
          <w:i/>
          <w:iCs/>
          <w:sz w:val="24"/>
          <w:szCs w:val="24"/>
        </w:rPr>
      </w:pPr>
    </w:p>
    <w:p w14:paraId="22984F5F">
      <w:pPr>
        <w:jc w:val="both"/>
        <w:rPr>
          <w:b/>
          <w:bCs/>
          <w:i/>
          <w:iCs/>
          <w:sz w:val="24"/>
          <w:szCs w:val="24"/>
        </w:rPr>
      </w:pPr>
    </w:p>
    <w:p w14:paraId="05B9B7E6">
      <w:pPr>
        <w:jc w:val="both"/>
        <w:rPr>
          <w:b/>
          <w:bCs/>
          <w:i/>
          <w:iCs/>
          <w:sz w:val="24"/>
          <w:szCs w:val="24"/>
        </w:rPr>
      </w:pPr>
    </w:p>
    <w:p w14:paraId="1E0B8343">
      <w:pPr>
        <w:jc w:val="both"/>
        <w:rPr>
          <w:b/>
          <w:bCs/>
          <w:i/>
          <w:iCs/>
          <w:sz w:val="24"/>
          <w:szCs w:val="24"/>
        </w:rPr>
      </w:pPr>
    </w:p>
    <w:p w14:paraId="2B1A4F9A">
      <w:pPr>
        <w:jc w:val="both"/>
        <w:rPr>
          <w:b/>
          <w:bCs/>
          <w:i/>
          <w:iCs/>
          <w:sz w:val="24"/>
          <w:szCs w:val="24"/>
        </w:rPr>
      </w:pPr>
    </w:p>
    <w:p w14:paraId="7E5BD37A">
      <w:pPr>
        <w:jc w:val="both"/>
        <w:rPr>
          <w:b/>
          <w:bCs/>
          <w:i/>
          <w:iCs/>
          <w:sz w:val="24"/>
          <w:szCs w:val="24"/>
        </w:rPr>
      </w:pPr>
    </w:p>
    <w:p w14:paraId="076420FC">
      <w:pPr>
        <w:jc w:val="both"/>
        <w:rPr>
          <w:b/>
          <w:bCs/>
          <w:i/>
          <w:iCs/>
          <w:sz w:val="24"/>
          <w:szCs w:val="24"/>
        </w:rPr>
      </w:pPr>
    </w:p>
    <w:p w14:paraId="152A1D42">
      <w:pPr>
        <w:jc w:val="both"/>
        <w:rPr>
          <w:b/>
          <w:bCs/>
          <w:i/>
          <w:iCs/>
          <w:sz w:val="24"/>
          <w:szCs w:val="24"/>
        </w:rPr>
      </w:pPr>
    </w:p>
    <w:p w14:paraId="257EB095">
      <w:pPr>
        <w:jc w:val="both"/>
        <w:rPr>
          <w:b/>
          <w:bCs/>
          <w:i/>
          <w:iCs/>
          <w:sz w:val="24"/>
          <w:szCs w:val="24"/>
        </w:rPr>
      </w:pPr>
    </w:p>
    <w:p w14:paraId="740D52EF">
      <w:pPr>
        <w:jc w:val="both"/>
        <w:rPr>
          <w:b/>
          <w:bCs/>
          <w:i/>
          <w:iCs/>
          <w:sz w:val="24"/>
          <w:szCs w:val="24"/>
        </w:rPr>
      </w:pPr>
    </w:p>
    <w:p w14:paraId="5900B90E">
      <w:pPr>
        <w:jc w:val="both"/>
        <w:rPr>
          <w:b/>
          <w:bCs/>
          <w:i/>
          <w:iCs/>
          <w:sz w:val="24"/>
          <w:szCs w:val="24"/>
        </w:rPr>
      </w:pPr>
    </w:p>
    <w:p w14:paraId="1B038600">
      <w:pPr>
        <w:jc w:val="both"/>
        <w:rPr>
          <w:b/>
          <w:bCs/>
          <w:i/>
          <w:iCs/>
          <w:sz w:val="24"/>
          <w:szCs w:val="24"/>
        </w:rPr>
      </w:pPr>
    </w:p>
    <w:p w14:paraId="1F530534">
      <w:pPr>
        <w:jc w:val="both"/>
        <w:rPr>
          <w:b/>
          <w:bCs/>
          <w:i/>
          <w:iCs/>
          <w:sz w:val="24"/>
          <w:szCs w:val="24"/>
        </w:rPr>
      </w:pPr>
    </w:p>
    <w:p w14:paraId="1DC3F0EC">
      <w:pPr>
        <w:jc w:val="both"/>
        <w:rPr>
          <w:b/>
          <w:bCs/>
          <w:i/>
          <w:iCs/>
          <w:sz w:val="24"/>
          <w:szCs w:val="24"/>
        </w:rPr>
      </w:pPr>
    </w:p>
    <w:p w14:paraId="3626BA22">
      <w:pPr>
        <w:jc w:val="both"/>
        <w:rPr>
          <w:b/>
          <w:bCs/>
          <w:i/>
          <w:iCs/>
          <w:sz w:val="24"/>
          <w:szCs w:val="24"/>
        </w:rPr>
      </w:pPr>
    </w:p>
    <w:p w14:paraId="7B9E302D">
      <w:pPr>
        <w:jc w:val="both"/>
        <w:rPr>
          <w:b/>
          <w:bCs/>
          <w:i/>
          <w:iCs/>
          <w:sz w:val="24"/>
          <w:szCs w:val="24"/>
        </w:rPr>
      </w:pPr>
    </w:p>
    <w:p w14:paraId="06F7D6A1">
      <w:pPr>
        <w:jc w:val="both"/>
        <w:rPr>
          <w:b/>
          <w:bCs/>
          <w:i/>
          <w:iCs/>
          <w:sz w:val="24"/>
          <w:szCs w:val="24"/>
        </w:rPr>
      </w:pPr>
    </w:p>
    <w:p w14:paraId="085D1AB8">
      <w:pPr>
        <w:jc w:val="both"/>
        <w:rPr>
          <w:b/>
          <w:bCs/>
          <w:i/>
          <w:iCs/>
          <w:sz w:val="24"/>
          <w:szCs w:val="24"/>
        </w:rPr>
      </w:pPr>
    </w:p>
    <w:p w14:paraId="277DE70C">
      <w:pPr>
        <w:jc w:val="both"/>
        <w:rPr>
          <w:b/>
          <w:bCs/>
          <w:i/>
          <w:iCs/>
          <w:sz w:val="24"/>
          <w:szCs w:val="24"/>
        </w:rPr>
      </w:pPr>
    </w:p>
    <w:p w14:paraId="6898B868">
      <w:pPr>
        <w:jc w:val="both"/>
        <w:rPr>
          <w:b/>
          <w:bCs/>
          <w:i/>
          <w:iCs/>
          <w:sz w:val="24"/>
          <w:szCs w:val="24"/>
        </w:rPr>
      </w:pPr>
    </w:p>
    <w:p w14:paraId="582E8857">
      <w:pPr>
        <w:jc w:val="both"/>
        <w:rPr>
          <w:b/>
          <w:bCs/>
          <w:i/>
          <w:iCs/>
          <w:sz w:val="24"/>
          <w:szCs w:val="24"/>
        </w:rPr>
      </w:pPr>
    </w:p>
    <w:p w14:paraId="5E1BF890">
      <w:pPr>
        <w:jc w:val="both"/>
        <w:rPr>
          <w:b/>
          <w:bCs/>
          <w:i/>
          <w:iCs/>
          <w:sz w:val="24"/>
          <w:szCs w:val="24"/>
        </w:rPr>
      </w:pPr>
    </w:p>
    <w:p w14:paraId="25F90C34">
      <w:pPr>
        <w:jc w:val="both"/>
        <w:rPr>
          <w:b/>
          <w:bCs/>
          <w:i/>
          <w:iCs/>
          <w:sz w:val="24"/>
          <w:szCs w:val="24"/>
        </w:rPr>
      </w:pPr>
    </w:p>
    <w:p w14:paraId="207E849D">
      <w:pPr>
        <w:jc w:val="both"/>
        <w:rPr>
          <w:b/>
          <w:bCs/>
          <w:i/>
          <w:iCs/>
          <w:sz w:val="24"/>
          <w:szCs w:val="24"/>
        </w:rPr>
      </w:pPr>
    </w:p>
    <w:p w14:paraId="6707D587">
      <w:pPr>
        <w:jc w:val="both"/>
        <w:rPr>
          <w:b/>
          <w:bCs/>
          <w:i/>
          <w:iCs/>
          <w:sz w:val="24"/>
          <w:szCs w:val="24"/>
        </w:rPr>
      </w:pPr>
    </w:p>
    <w:p w14:paraId="6B9E58E0">
      <w:pPr>
        <w:jc w:val="both"/>
        <w:rPr>
          <w:b/>
          <w:bCs/>
          <w:i/>
          <w:iCs/>
          <w:sz w:val="24"/>
          <w:szCs w:val="24"/>
        </w:rPr>
      </w:pPr>
    </w:p>
    <w:p w14:paraId="497A8EF6">
      <w:pPr>
        <w:spacing w:line="360" w:lineRule="auto"/>
        <w:jc w:val="both"/>
        <w:rPr>
          <w:b/>
          <w:bCs/>
          <w:i/>
          <w:iCs/>
          <w:sz w:val="24"/>
          <w:szCs w:val="24"/>
          <w:lang w:val="id-ID"/>
        </w:rPr>
      </w:pPr>
    </w:p>
    <w:p w14:paraId="497A8EF7">
      <w:pPr>
        <w:pStyle w:val="2"/>
        <w:spacing w:before="0" w:after="0" w:line="360" w:lineRule="auto"/>
        <w:jc w:val="center"/>
        <w:rPr>
          <w:rFonts w:ascii="Times New Roman" w:hAnsi="Times New Roman" w:cs="Times New Roman"/>
          <w:b/>
          <w:bCs/>
          <w:i/>
          <w:iCs/>
          <w:color w:val="auto"/>
          <w:sz w:val="24"/>
          <w:szCs w:val="24"/>
        </w:rPr>
      </w:pPr>
      <w:bookmarkStart w:id="6" w:name="_Toc230017840"/>
      <w:r>
        <w:rPr>
          <w:rFonts w:ascii="Times New Roman" w:hAnsi="Times New Roman" w:cs="Times New Roman"/>
          <w:b/>
          <w:bCs/>
          <w:i/>
          <w:iCs/>
          <w:color w:val="auto"/>
          <w:sz w:val="24"/>
          <w:szCs w:val="24"/>
        </w:rPr>
        <w:t>ABSTRACT</w:t>
      </w:r>
      <w:bookmarkEnd w:id="6"/>
    </w:p>
    <w:p w14:paraId="68819D27">
      <w:pPr>
        <w:jc w:val="center"/>
        <w:rPr>
          <w:b/>
          <w:bCs/>
          <w:sz w:val="24"/>
          <w:szCs w:val="24"/>
        </w:rPr>
      </w:pPr>
      <w:r>
        <w:rPr>
          <w:b/>
          <w:bCs/>
          <w:sz w:val="24"/>
          <w:szCs w:val="24"/>
        </w:rPr>
        <w:t>ACCOUNTABILITY FOR GENERAL ELECTION CRIMES COMMITTED BY THE DISTRICT ELECTION COMMITTEE (PPK)</w:t>
      </w:r>
    </w:p>
    <w:p w14:paraId="21764032">
      <w:pPr>
        <w:jc w:val="center"/>
        <w:rPr>
          <w:b/>
          <w:bCs/>
          <w:sz w:val="24"/>
          <w:szCs w:val="24"/>
        </w:rPr>
      </w:pPr>
      <w:r>
        <w:rPr>
          <w:b/>
          <w:bCs/>
          <w:sz w:val="24"/>
          <w:szCs w:val="24"/>
        </w:rPr>
        <w:t>(Study of Medan District Court Decision No. 1/Pid.s/2024/PN Mdn)</w:t>
      </w:r>
    </w:p>
    <w:p w14:paraId="497A8EF8">
      <w:pPr>
        <w:jc w:val="both"/>
        <w:rPr>
          <w:sz w:val="24"/>
          <w:szCs w:val="24"/>
        </w:rPr>
      </w:pPr>
      <w:r>
        <w:rPr>
          <w:sz w:val="24"/>
          <w:szCs w:val="24"/>
        </w:rPr>
        <w:t xml:space="preserve"> </w:t>
      </w:r>
    </w:p>
    <w:p w14:paraId="4BD52219">
      <w:pPr>
        <w:jc w:val="center"/>
        <w:rPr>
          <w:b/>
          <w:bCs/>
        </w:rPr>
      </w:pPr>
      <w:r>
        <w:rPr>
          <w:b/>
          <w:bCs/>
        </w:rPr>
        <w:t>Tunggul Prasetia Rambe</w:t>
      </w:r>
    </w:p>
    <w:p w14:paraId="4A89E535">
      <w:pPr>
        <w:jc w:val="center"/>
        <w:rPr>
          <w:b/>
          <w:bCs/>
        </w:rPr>
      </w:pPr>
      <w:r>
        <w:rPr>
          <w:b/>
          <w:bCs/>
        </w:rPr>
        <w:t>(245114155)</w:t>
      </w:r>
    </w:p>
    <w:p w14:paraId="53F07C15">
      <w:pPr>
        <w:jc w:val="both"/>
        <w:rPr>
          <w:sz w:val="24"/>
          <w:szCs w:val="24"/>
        </w:rPr>
      </w:pPr>
    </w:p>
    <w:p w14:paraId="497A8EF9">
      <w:pPr>
        <w:jc w:val="both"/>
        <w:rPr>
          <w:i/>
          <w:iCs/>
          <w:sz w:val="24"/>
          <w:szCs w:val="24"/>
        </w:rPr>
      </w:pPr>
    </w:p>
    <w:p w14:paraId="6AB603C6">
      <w:pPr>
        <w:jc w:val="both"/>
        <w:rPr>
          <w:bCs/>
          <w:i/>
          <w:sz w:val="24"/>
          <w:szCs w:val="24"/>
          <w:lang w:val="id-ID"/>
        </w:rPr>
      </w:pPr>
      <w:r>
        <w:rPr>
          <w:bCs/>
          <w:i/>
          <w:sz w:val="24"/>
          <w:szCs w:val="24"/>
          <w:lang w:val="id-ID"/>
        </w:rPr>
        <w:t>This research is motivated by the rampant institutional pathology within election management, specifically the criminal act of vote manipulation involving ad-hoc election organizers. The focus of the study is directed at the case of vote tampering during the 2024 Legislative Election by three members of the Medan Timur Sub-district Election Committee (PPK). This study aims to analyze the construction of official criminal liability in election offenses, dissect the legal reasoning (ratio decidendi) of the judges in imposing sanctions, and identify the operational constraints faced by the PPK in the field. This normative legal research utilizes a statutory approach, a case approach, and a conceptual approach, focusing primarily on the written document of the Medan District Court Decision Number 1/Pid.S/2024/PN Mdn [Putusan No. 1/Pid.S/2024/PN Mdn]. The results indicate that the mechanism of criminal liability against the three active commissioners of PPK Medan Timur met the elements of actus reus in the form of physical manipulation of numerical recapitulation data and mens rea in the form of direct intent (dolus directus) to alter political party votes collectively (Article 55 Paragraph 1 to-1 of the Criminal Code). The legal standing of the perpetrators as active election organizers triggered the specific statutory aggravation clause of an additional one-third sanction (delictum proprium) under Article 554 of Law Number 7 of 2017 concerning Elections, based on the principle of breach of public trust. The Judges of the Medan District Court imposed a minimal sentence of 3 (three) months imprisonment with the legal reasoning (ratio decidendi) that the vote manipulation was detected and corrected during the city-level plenary recapitulation, meaning no permanent loss of constitutional rights occurred for any election participants. However, this reasoning is deemed to neglect the utility of law (zweckmassigkeit) and fails to generate a deterrent effect, leading to a legal update where the sentence was subsequently aggravated by the Medan High Court through Decision Number 1088/PID.SUS/2024/PT MDN to 8 (eight) months imprisonment. Furthermore, the court facts recorded systematic internal barriers, including an extreme workload from marathon plenary sessions that triggered human fatigue, vulnerabilities within the Sirekap application, and external sociological barriers consisting of witness intimidation in the plenary arena and transaction capital penetration (bribery) from third parties. This research recommends that the General Elections Commission (KPU) evaluate the duration limits of plenary recapitulation sessions and strengthen technical guidance regarding criminal-legal integrity. Additionally, future judicial panels are expected to impose more progressive sanctions closer to the maximum statutory penalty to uphold the sovereignty of democratic rights.</w:t>
      </w:r>
    </w:p>
    <w:p w14:paraId="34370CAA">
      <w:pPr>
        <w:jc w:val="both"/>
        <w:rPr>
          <w:bCs/>
          <w:i/>
          <w:sz w:val="24"/>
          <w:szCs w:val="24"/>
          <w:lang w:val="id-ID"/>
        </w:rPr>
      </w:pPr>
    </w:p>
    <w:p w14:paraId="497A8EFF">
      <w:pPr>
        <w:jc w:val="both"/>
        <w:rPr>
          <w:bCs/>
          <w:sz w:val="24"/>
          <w:szCs w:val="24"/>
          <w:lang w:val="id-ID"/>
        </w:rPr>
      </w:pPr>
      <w:r>
        <w:rPr>
          <w:bCs/>
          <w:sz w:val="24"/>
          <w:szCs w:val="24"/>
          <w:lang w:val="en-US"/>
        </w:rPr>
        <w:drawing>
          <wp:anchor distT="0" distB="0" distL="114300" distR="114300" simplePos="0" relativeHeight="251664384" behindDoc="0" locked="0" layoutInCell="1" allowOverlap="1">
            <wp:simplePos x="0" y="0"/>
            <wp:positionH relativeFrom="column">
              <wp:posOffset>-373380</wp:posOffset>
            </wp:positionH>
            <wp:positionV relativeFrom="paragraph">
              <wp:posOffset>5715</wp:posOffset>
            </wp:positionV>
            <wp:extent cx="5788660" cy="8515350"/>
            <wp:effectExtent l="0" t="0" r="3175" b="0"/>
            <wp:wrapNone/>
            <wp:docPr id="8" name="Picture 8" descr="C:\Users\OPERATOR\Pictures\2026-09-09\2026-09-09 12-37-04_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OPERATOR\Pictures\2026-09-09\2026-09-09 12-37-04_0034.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rot="10800000">
                      <a:off x="0" y="0"/>
                      <a:ext cx="5794378" cy="8523835"/>
                    </a:xfrm>
                    <a:prstGeom prst="rect">
                      <a:avLst/>
                    </a:prstGeom>
                    <a:noFill/>
                    <a:ln>
                      <a:noFill/>
                    </a:ln>
                  </pic:spPr>
                </pic:pic>
              </a:graphicData>
            </a:graphic>
          </wp:anchor>
        </w:drawing>
      </w:r>
    </w:p>
    <w:p w14:paraId="497A8F00">
      <w:pPr>
        <w:pStyle w:val="2"/>
        <w:spacing w:before="0" w:after="0" w:line="360" w:lineRule="auto"/>
        <w:jc w:val="center"/>
        <w:rPr>
          <w:rFonts w:ascii="Times New Roman" w:hAnsi="Times New Roman" w:cs="Times New Roman"/>
          <w:b/>
          <w:bCs/>
          <w:color w:val="auto"/>
          <w:sz w:val="24"/>
          <w:szCs w:val="24"/>
        </w:rPr>
      </w:pPr>
    </w:p>
    <w:p w14:paraId="68EB3617"/>
    <w:p w14:paraId="2D2C6DD4"/>
    <w:p w14:paraId="2F3A94DD"/>
    <w:p w14:paraId="0C9D9766"/>
    <w:p w14:paraId="032FA200"/>
    <w:p w14:paraId="579C7208"/>
    <w:p w14:paraId="5F2A969D"/>
    <w:p w14:paraId="74C3FBA7"/>
    <w:p w14:paraId="3BF56D18"/>
    <w:p w14:paraId="763F40A1"/>
    <w:p w14:paraId="45AEC837"/>
    <w:p w14:paraId="0BF1A3A7"/>
    <w:p w14:paraId="75E8994C"/>
    <w:p w14:paraId="057193C3"/>
    <w:p w14:paraId="7E62A3DB"/>
    <w:p w14:paraId="6F6217D4"/>
    <w:p w14:paraId="2833EF0E"/>
    <w:p w14:paraId="5D90ABA0"/>
    <w:p w14:paraId="4C34D750"/>
    <w:p w14:paraId="62651148"/>
    <w:p w14:paraId="03E54CAC"/>
    <w:p w14:paraId="3C1DBAD5"/>
    <w:p w14:paraId="07A23AAA"/>
    <w:p w14:paraId="2966CE68"/>
    <w:p w14:paraId="42206BB7"/>
    <w:p w14:paraId="23FBBC2B"/>
    <w:p w14:paraId="29907FC1"/>
    <w:p w14:paraId="3874A822"/>
    <w:p w14:paraId="6253A771"/>
    <w:p w14:paraId="72A0A15B"/>
    <w:p w14:paraId="1BCF54A9"/>
    <w:p w14:paraId="33051846"/>
    <w:p w14:paraId="23B2160D"/>
    <w:p w14:paraId="089D38E0"/>
    <w:p w14:paraId="74875AC2"/>
    <w:p w14:paraId="4816FCFA"/>
    <w:p w14:paraId="09933A83"/>
    <w:p w14:paraId="3DDCB419"/>
    <w:p w14:paraId="37E3252A"/>
    <w:p w14:paraId="745D6F15"/>
    <w:p w14:paraId="7DF15F78"/>
    <w:p w14:paraId="03F95995"/>
    <w:p w14:paraId="34515169"/>
    <w:p w14:paraId="1BDF3D0E"/>
    <w:p w14:paraId="497A8F07">
      <w:pPr>
        <w:spacing w:line="360" w:lineRule="auto"/>
        <w:rPr>
          <w:lang w:val="id-ID"/>
        </w:rPr>
      </w:pPr>
    </w:p>
    <w:p w14:paraId="497A8F08">
      <w:pPr>
        <w:spacing w:line="360" w:lineRule="auto"/>
      </w:pPr>
    </w:p>
    <w:p w14:paraId="49EB2B49">
      <w:pPr>
        <w:spacing w:line="360" w:lineRule="auto"/>
      </w:pPr>
    </w:p>
    <w:bookmarkEnd w:id="5"/>
    <w:sdt>
      <w:sdtPr>
        <w:rPr>
          <w:rFonts w:ascii="Times New Roman" w:hAnsi="Times New Roman" w:eastAsia="Times New Roman" w:cs="Times New Roman"/>
          <w:color w:val="auto"/>
          <w:sz w:val="22"/>
          <w:szCs w:val="22"/>
        </w:rPr>
        <w:id w:val="1201360256"/>
        <w:docPartObj>
          <w:docPartGallery w:val="Table of Contents"/>
          <w:docPartUnique/>
        </w:docPartObj>
      </w:sdtPr>
      <w:sdtEndPr>
        <w:rPr>
          <w:rFonts w:ascii="Times New Roman" w:hAnsi="Times New Roman" w:eastAsia="Times New Roman" w:cs="Times New Roman"/>
          <w:b/>
          <w:bCs/>
          <w:color w:val="auto"/>
          <w:sz w:val="22"/>
          <w:szCs w:val="22"/>
        </w:rPr>
      </w:sdtEndPr>
      <w:sdtContent>
        <w:p w14:paraId="53DA1F9C">
          <w:pPr>
            <w:pStyle w:val="2"/>
            <w:spacing w:before="0" w:after="0" w:line="360" w:lineRule="auto"/>
            <w:jc w:val="center"/>
          </w:pPr>
          <w:bookmarkStart w:id="7" w:name="_Toc230017841"/>
          <w:r>
            <w:rPr>
              <w:rFonts w:ascii="Times New Roman" w:hAnsi="Times New Roman" w:cs="Times New Roman"/>
              <w:b/>
              <w:bCs/>
              <w:color w:val="auto"/>
              <w:sz w:val="24"/>
              <w:szCs w:val="24"/>
              <w:lang w:val="id-ID"/>
            </w:rPr>
            <w:t>DA</w:t>
          </w:r>
          <w:r>
            <w:rPr>
              <w:rFonts w:ascii="Times New Roman" w:hAnsi="Times New Roman" w:cs="Times New Roman"/>
              <w:b/>
              <w:bCs/>
              <w:color w:val="auto"/>
              <w:sz w:val="24"/>
              <w:szCs w:val="24"/>
            </w:rPr>
            <w:t>FTAR</w:t>
          </w:r>
          <w:r>
            <w:rPr>
              <w:rFonts w:ascii="Times New Roman" w:hAnsi="Times New Roman" w:cs="Times New Roman"/>
              <w:b/>
              <w:bCs/>
              <w:color w:val="auto"/>
              <w:spacing w:val="1"/>
              <w:sz w:val="24"/>
              <w:szCs w:val="24"/>
            </w:rPr>
            <w:t xml:space="preserve"> </w:t>
          </w:r>
          <w:r>
            <w:rPr>
              <w:rFonts w:ascii="Times New Roman" w:hAnsi="Times New Roman" w:cs="Times New Roman"/>
              <w:b/>
              <w:bCs/>
              <w:color w:val="auto"/>
              <w:spacing w:val="-5"/>
              <w:sz w:val="24"/>
              <w:szCs w:val="24"/>
            </w:rPr>
            <w:t>ISI</w:t>
          </w:r>
          <w:bookmarkEnd w:id="7"/>
          <w:r>
            <w:fldChar w:fldCharType="begin"/>
          </w:r>
          <w:r>
            <w:instrText xml:space="preserve"> TOC \o "1-3" \h \z \u </w:instrText>
          </w:r>
          <w:r>
            <w:fldChar w:fldCharType="separate"/>
          </w:r>
        </w:p>
        <w:p w14:paraId="5866D81F">
          <w:pPr>
            <w:pStyle w:val="22"/>
            <w:tabs>
              <w:tab w:val="right" w:leader="dot" w:pos="7931"/>
            </w:tabs>
            <w:spacing w:before="0" w:line="360" w:lineRule="auto"/>
            <w:ind w:left="0"/>
            <w:rPr>
              <w:rFonts w:asciiTheme="minorHAnsi" w:hAnsiTheme="minorHAnsi" w:eastAsiaTheme="minorEastAsia" w:cstheme="minorBidi"/>
              <w:b w:val="0"/>
              <w:bCs w:val="0"/>
              <w:sz w:val="22"/>
              <w:szCs w:val="22"/>
              <w:lang w:val="id-ID" w:eastAsia="id-ID"/>
            </w:rPr>
          </w:pPr>
          <w:r>
            <w:fldChar w:fldCharType="begin"/>
          </w:r>
          <w:r>
            <w:instrText xml:space="preserve"> HYPERLINK \l "_Toc230017838" </w:instrText>
          </w:r>
          <w:r>
            <w:fldChar w:fldCharType="separate"/>
          </w:r>
          <w:r>
            <w:rPr>
              <w:rStyle w:val="18"/>
            </w:rPr>
            <w:t xml:space="preserve">KATA </w:t>
          </w:r>
          <w:r>
            <w:rPr>
              <w:rStyle w:val="18"/>
              <w:spacing w:val="-2"/>
            </w:rPr>
            <w:t>PENGANTAR</w:t>
          </w:r>
          <w:r>
            <w:tab/>
          </w:r>
          <w:r>
            <w:fldChar w:fldCharType="begin"/>
          </w:r>
          <w:r>
            <w:instrText xml:space="preserve"> PAGEREF _Toc230017838 \h </w:instrText>
          </w:r>
          <w:r>
            <w:fldChar w:fldCharType="separate"/>
          </w:r>
          <w:r>
            <w:t>i</w:t>
          </w:r>
          <w:r>
            <w:fldChar w:fldCharType="end"/>
          </w:r>
          <w:r>
            <w:fldChar w:fldCharType="end"/>
          </w:r>
        </w:p>
        <w:p w14:paraId="7C7E0C61">
          <w:pPr>
            <w:pStyle w:val="22"/>
            <w:tabs>
              <w:tab w:val="right" w:leader="dot" w:pos="7931"/>
            </w:tabs>
            <w:spacing w:before="0" w:line="360" w:lineRule="auto"/>
            <w:ind w:left="0"/>
            <w:rPr>
              <w:rFonts w:asciiTheme="minorHAnsi" w:hAnsiTheme="minorHAnsi" w:eastAsiaTheme="minorEastAsia" w:cstheme="minorBidi"/>
              <w:b w:val="0"/>
              <w:bCs w:val="0"/>
              <w:sz w:val="22"/>
              <w:szCs w:val="22"/>
              <w:lang w:val="id-ID" w:eastAsia="id-ID"/>
            </w:rPr>
          </w:pPr>
          <w:r>
            <w:fldChar w:fldCharType="begin"/>
          </w:r>
          <w:r>
            <w:instrText xml:space="preserve"> HYPERLINK \l "_Toc230017839" </w:instrText>
          </w:r>
          <w:r>
            <w:fldChar w:fldCharType="separate"/>
          </w:r>
          <w:r>
            <w:rPr>
              <w:rStyle w:val="18"/>
            </w:rPr>
            <w:t>ABSTRAK</w:t>
          </w:r>
          <w:r>
            <w:tab/>
          </w:r>
          <w:r>
            <w:fldChar w:fldCharType="begin"/>
          </w:r>
          <w:r>
            <w:instrText xml:space="preserve"> PAGEREF _Toc230017839 \h </w:instrText>
          </w:r>
          <w:r>
            <w:fldChar w:fldCharType="separate"/>
          </w:r>
          <w:r>
            <w:t>iii</w:t>
          </w:r>
          <w:r>
            <w:fldChar w:fldCharType="end"/>
          </w:r>
          <w:r>
            <w:fldChar w:fldCharType="end"/>
          </w:r>
        </w:p>
        <w:p w14:paraId="0AADCD64">
          <w:pPr>
            <w:pStyle w:val="22"/>
            <w:tabs>
              <w:tab w:val="right" w:leader="dot" w:pos="7931"/>
            </w:tabs>
            <w:spacing w:before="0" w:line="360" w:lineRule="auto"/>
            <w:ind w:left="0"/>
            <w:rPr>
              <w:rFonts w:asciiTheme="minorHAnsi" w:hAnsiTheme="minorHAnsi" w:eastAsiaTheme="minorEastAsia" w:cstheme="minorBidi"/>
              <w:b w:val="0"/>
              <w:bCs w:val="0"/>
              <w:sz w:val="22"/>
              <w:szCs w:val="22"/>
              <w:lang w:val="id-ID" w:eastAsia="id-ID"/>
            </w:rPr>
          </w:pPr>
          <w:r>
            <w:fldChar w:fldCharType="begin"/>
          </w:r>
          <w:r>
            <w:instrText xml:space="preserve"> HYPERLINK \l "_Toc230017840" </w:instrText>
          </w:r>
          <w:r>
            <w:fldChar w:fldCharType="separate"/>
          </w:r>
          <w:r>
            <w:rPr>
              <w:rStyle w:val="18"/>
              <w:i/>
              <w:iCs/>
            </w:rPr>
            <w:t>ABSTRACT</w:t>
          </w:r>
          <w:r>
            <w:tab/>
          </w:r>
          <w:r>
            <w:fldChar w:fldCharType="begin"/>
          </w:r>
          <w:r>
            <w:instrText xml:space="preserve"> PAGEREF _Toc230017840 \h </w:instrText>
          </w:r>
          <w:r>
            <w:fldChar w:fldCharType="separate"/>
          </w:r>
          <w:r>
            <w:t>iv</w:t>
          </w:r>
          <w:r>
            <w:fldChar w:fldCharType="end"/>
          </w:r>
          <w:r>
            <w:fldChar w:fldCharType="end"/>
          </w:r>
        </w:p>
        <w:p w14:paraId="48AD3B63">
          <w:pPr>
            <w:pStyle w:val="22"/>
            <w:tabs>
              <w:tab w:val="right" w:leader="dot" w:pos="7931"/>
            </w:tabs>
            <w:spacing w:before="0" w:line="360" w:lineRule="auto"/>
            <w:ind w:left="0"/>
            <w:rPr>
              <w:rFonts w:asciiTheme="minorHAnsi" w:hAnsiTheme="minorHAnsi" w:eastAsiaTheme="minorEastAsia" w:cstheme="minorBidi"/>
              <w:b w:val="0"/>
              <w:bCs w:val="0"/>
              <w:sz w:val="22"/>
              <w:szCs w:val="22"/>
              <w:lang w:val="id-ID" w:eastAsia="id-ID"/>
            </w:rPr>
          </w:pPr>
          <w:r>
            <w:fldChar w:fldCharType="begin"/>
          </w:r>
          <w:r>
            <w:instrText xml:space="preserve"> HYPERLINK \l "_Toc230017841" </w:instrText>
          </w:r>
          <w:r>
            <w:fldChar w:fldCharType="separate"/>
          </w:r>
          <w:r>
            <w:rPr>
              <w:rStyle w:val="18"/>
              <w:lang w:val="id-ID"/>
            </w:rPr>
            <w:t>DA</w:t>
          </w:r>
          <w:r>
            <w:rPr>
              <w:rStyle w:val="18"/>
            </w:rPr>
            <w:t>FTAR</w:t>
          </w:r>
          <w:r>
            <w:rPr>
              <w:rStyle w:val="18"/>
              <w:spacing w:val="1"/>
            </w:rPr>
            <w:t xml:space="preserve"> </w:t>
          </w:r>
          <w:r>
            <w:rPr>
              <w:rStyle w:val="18"/>
              <w:spacing w:val="-5"/>
            </w:rPr>
            <w:t>ISI</w:t>
          </w:r>
          <w:r>
            <w:tab/>
          </w:r>
          <w:r>
            <w:fldChar w:fldCharType="begin"/>
          </w:r>
          <w:r>
            <w:instrText xml:space="preserve"> PAGEREF _Toc230017841 \h </w:instrText>
          </w:r>
          <w:r>
            <w:fldChar w:fldCharType="separate"/>
          </w:r>
          <w:r>
            <w:t>v</w:t>
          </w:r>
          <w:r>
            <w:fldChar w:fldCharType="end"/>
          </w:r>
          <w:r>
            <w:fldChar w:fldCharType="end"/>
          </w:r>
        </w:p>
        <w:p w14:paraId="08D24181">
          <w:pPr>
            <w:pStyle w:val="22"/>
            <w:tabs>
              <w:tab w:val="right" w:leader="dot" w:pos="7931"/>
            </w:tabs>
            <w:spacing w:before="0" w:line="360" w:lineRule="auto"/>
            <w:ind w:left="0"/>
            <w:rPr>
              <w:rFonts w:asciiTheme="minorHAnsi" w:hAnsiTheme="minorHAnsi" w:eastAsiaTheme="minorEastAsia" w:cstheme="minorBidi"/>
              <w:b w:val="0"/>
              <w:bCs w:val="0"/>
              <w:sz w:val="22"/>
              <w:szCs w:val="22"/>
              <w:lang w:val="id-ID" w:eastAsia="id-ID"/>
            </w:rPr>
          </w:pPr>
          <w:r>
            <w:fldChar w:fldCharType="begin"/>
          </w:r>
          <w:r>
            <w:instrText xml:space="preserve"> HYPERLINK \l "_Toc230017842" </w:instrText>
          </w:r>
          <w:r>
            <w:fldChar w:fldCharType="separate"/>
          </w:r>
          <w:r>
            <w:rPr>
              <w:rStyle w:val="18"/>
            </w:rPr>
            <w:t>BAB I</w:t>
          </w:r>
          <w:r>
            <w:rPr>
              <w:rStyle w:val="18"/>
            </w:rPr>
            <w:fldChar w:fldCharType="end"/>
          </w:r>
          <w:r>
            <w:rPr>
              <w:rFonts w:asciiTheme="minorHAnsi" w:hAnsiTheme="minorHAnsi" w:eastAsiaTheme="minorEastAsia" w:cstheme="minorBidi"/>
              <w:b w:val="0"/>
              <w:bCs w:val="0"/>
              <w:sz w:val="22"/>
              <w:szCs w:val="22"/>
              <w:lang w:val="id-ID" w:eastAsia="id-ID"/>
            </w:rPr>
            <w:t xml:space="preserve"> </w:t>
          </w:r>
          <w:r>
            <w:fldChar w:fldCharType="begin"/>
          </w:r>
          <w:r>
            <w:instrText xml:space="preserve"> HYPERLINK \l "_Toc230017843" </w:instrText>
          </w:r>
          <w:r>
            <w:fldChar w:fldCharType="separate"/>
          </w:r>
          <w:r>
            <w:rPr>
              <w:rStyle w:val="18"/>
            </w:rPr>
            <w:t>PENDAHULUAN</w:t>
          </w:r>
          <w:r>
            <w:tab/>
          </w:r>
          <w:r>
            <w:fldChar w:fldCharType="begin"/>
          </w:r>
          <w:r>
            <w:instrText xml:space="preserve"> PAGEREF _Toc230017843 \h </w:instrText>
          </w:r>
          <w:r>
            <w:fldChar w:fldCharType="separate"/>
          </w:r>
          <w:r>
            <w:t>1</w:t>
          </w:r>
          <w:r>
            <w:fldChar w:fldCharType="end"/>
          </w:r>
          <w:r>
            <w:fldChar w:fldCharType="end"/>
          </w:r>
        </w:p>
        <w:p w14:paraId="0527A9EA">
          <w:pPr>
            <w:pStyle w:val="23"/>
            <w:numPr>
              <w:ilvl w:val="1"/>
              <w:numId w:val="1"/>
            </w:numPr>
            <w:tabs>
              <w:tab w:val="right" w:leader="dot" w:pos="7931"/>
            </w:tabs>
            <w:spacing w:line="360" w:lineRule="auto"/>
            <w:ind w:left="851" w:hanging="283"/>
            <w:rPr>
              <w:rFonts w:asciiTheme="minorHAnsi" w:hAnsiTheme="minorHAnsi" w:eastAsiaTheme="minorEastAsia" w:cstheme="minorBidi"/>
              <w:b w:val="0"/>
              <w:bCs w:val="0"/>
              <w:sz w:val="22"/>
              <w:szCs w:val="22"/>
              <w:lang w:val="id-ID" w:eastAsia="id-ID"/>
            </w:rPr>
          </w:pPr>
          <w:r>
            <w:fldChar w:fldCharType="begin"/>
          </w:r>
          <w:r>
            <w:instrText xml:space="preserve"> HYPERLINK \l "_Toc230017844" </w:instrText>
          </w:r>
          <w:r>
            <w:fldChar w:fldCharType="separate"/>
          </w:r>
          <w:r>
            <w:rPr>
              <w:rStyle w:val="18"/>
              <w:b w:val="0"/>
            </w:rPr>
            <w:t>Latar Belakang</w:t>
          </w:r>
          <w:r>
            <w:rPr>
              <w:b w:val="0"/>
            </w:rPr>
            <w:tab/>
          </w:r>
          <w:r>
            <w:rPr>
              <w:b w:val="0"/>
            </w:rPr>
            <w:fldChar w:fldCharType="begin"/>
          </w:r>
          <w:r>
            <w:rPr>
              <w:b w:val="0"/>
            </w:rPr>
            <w:instrText xml:space="preserve"> PAGEREF _Toc230017844 \h </w:instrText>
          </w:r>
          <w:r>
            <w:rPr>
              <w:b w:val="0"/>
            </w:rPr>
            <w:fldChar w:fldCharType="separate"/>
          </w:r>
          <w:r>
            <w:rPr>
              <w:b w:val="0"/>
            </w:rPr>
            <w:t>1</w:t>
          </w:r>
          <w:r>
            <w:rPr>
              <w:b w:val="0"/>
            </w:rPr>
            <w:fldChar w:fldCharType="end"/>
          </w:r>
          <w:r>
            <w:rPr>
              <w:b w:val="0"/>
            </w:rPr>
            <w:fldChar w:fldCharType="end"/>
          </w:r>
        </w:p>
        <w:p w14:paraId="5DAE2463">
          <w:pPr>
            <w:pStyle w:val="23"/>
            <w:numPr>
              <w:ilvl w:val="1"/>
              <w:numId w:val="1"/>
            </w:numPr>
            <w:tabs>
              <w:tab w:val="right" w:leader="dot" w:pos="7931"/>
            </w:tabs>
            <w:spacing w:line="360" w:lineRule="auto"/>
            <w:ind w:left="851" w:hanging="284"/>
            <w:rPr>
              <w:rFonts w:asciiTheme="minorHAnsi" w:hAnsiTheme="minorHAnsi" w:eastAsiaTheme="minorEastAsia" w:cstheme="minorBidi"/>
              <w:b w:val="0"/>
              <w:bCs w:val="0"/>
              <w:sz w:val="22"/>
              <w:szCs w:val="22"/>
              <w:lang w:val="id-ID" w:eastAsia="id-ID"/>
            </w:rPr>
          </w:pPr>
          <w:r>
            <w:fldChar w:fldCharType="begin"/>
          </w:r>
          <w:r>
            <w:instrText xml:space="preserve"> HYPERLINK \l "_Toc230017845" </w:instrText>
          </w:r>
          <w:r>
            <w:fldChar w:fldCharType="separate"/>
          </w:r>
          <w:r>
            <w:rPr>
              <w:rStyle w:val="18"/>
              <w:b w:val="0"/>
            </w:rPr>
            <w:t>Rumusan Masalah</w:t>
          </w:r>
          <w:r>
            <w:rPr>
              <w:b w:val="0"/>
            </w:rPr>
            <w:tab/>
          </w:r>
          <w:r>
            <w:rPr>
              <w:b w:val="0"/>
            </w:rPr>
            <w:fldChar w:fldCharType="begin"/>
          </w:r>
          <w:r>
            <w:rPr>
              <w:b w:val="0"/>
            </w:rPr>
            <w:instrText xml:space="preserve"> PAGEREF _Toc230017845 \h </w:instrText>
          </w:r>
          <w:r>
            <w:rPr>
              <w:b w:val="0"/>
            </w:rPr>
            <w:fldChar w:fldCharType="separate"/>
          </w:r>
          <w:r>
            <w:rPr>
              <w:b w:val="0"/>
            </w:rPr>
            <w:t>3</w:t>
          </w:r>
          <w:r>
            <w:rPr>
              <w:b w:val="0"/>
            </w:rPr>
            <w:fldChar w:fldCharType="end"/>
          </w:r>
          <w:r>
            <w:rPr>
              <w:b w:val="0"/>
            </w:rPr>
            <w:fldChar w:fldCharType="end"/>
          </w:r>
        </w:p>
        <w:p w14:paraId="7CB6D482">
          <w:pPr>
            <w:pStyle w:val="23"/>
            <w:numPr>
              <w:ilvl w:val="1"/>
              <w:numId w:val="1"/>
            </w:numPr>
            <w:tabs>
              <w:tab w:val="right" w:leader="dot" w:pos="7931"/>
            </w:tabs>
            <w:spacing w:line="360" w:lineRule="auto"/>
            <w:ind w:left="851" w:hanging="284"/>
            <w:rPr>
              <w:rFonts w:asciiTheme="minorHAnsi" w:hAnsiTheme="minorHAnsi" w:eastAsiaTheme="minorEastAsia" w:cstheme="minorBidi"/>
              <w:b w:val="0"/>
              <w:bCs w:val="0"/>
              <w:sz w:val="22"/>
              <w:szCs w:val="22"/>
              <w:lang w:val="id-ID" w:eastAsia="id-ID"/>
            </w:rPr>
          </w:pPr>
          <w:r>
            <w:fldChar w:fldCharType="begin"/>
          </w:r>
          <w:r>
            <w:instrText xml:space="preserve"> HYPERLINK \l "_Toc230017846" </w:instrText>
          </w:r>
          <w:r>
            <w:fldChar w:fldCharType="separate"/>
          </w:r>
          <w:r>
            <w:rPr>
              <w:rStyle w:val="18"/>
              <w:b w:val="0"/>
            </w:rPr>
            <w:t>Tujuan Penelitian</w:t>
          </w:r>
          <w:r>
            <w:rPr>
              <w:b w:val="0"/>
            </w:rPr>
            <w:tab/>
          </w:r>
          <w:r>
            <w:rPr>
              <w:b w:val="0"/>
            </w:rPr>
            <w:fldChar w:fldCharType="begin"/>
          </w:r>
          <w:r>
            <w:rPr>
              <w:b w:val="0"/>
            </w:rPr>
            <w:instrText xml:space="preserve"> PAGEREF _Toc230017846 \h </w:instrText>
          </w:r>
          <w:r>
            <w:rPr>
              <w:b w:val="0"/>
            </w:rPr>
            <w:fldChar w:fldCharType="separate"/>
          </w:r>
          <w:r>
            <w:rPr>
              <w:b w:val="0"/>
            </w:rPr>
            <w:t>3</w:t>
          </w:r>
          <w:r>
            <w:rPr>
              <w:b w:val="0"/>
            </w:rPr>
            <w:fldChar w:fldCharType="end"/>
          </w:r>
          <w:r>
            <w:rPr>
              <w:b w:val="0"/>
            </w:rPr>
            <w:fldChar w:fldCharType="end"/>
          </w:r>
        </w:p>
        <w:p w14:paraId="0D038AAC">
          <w:pPr>
            <w:pStyle w:val="23"/>
            <w:numPr>
              <w:ilvl w:val="1"/>
              <w:numId w:val="1"/>
            </w:numPr>
            <w:tabs>
              <w:tab w:val="right" w:leader="dot" w:pos="7931"/>
            </w:tabs>
            <w:spacing w:line="360" w:lineRule="auto"/>
            <w:ind w:left="851" w:hanging="283"/>
            <w:rPr>
              <w:rFonts w:asciiTheme="minorHAnsi" w:hAnsiTheme="minorHAnsi" w:eastAsiaTheme="minorEastAsia" w:cstheme="minorBidi"/>
              <w:b w:val="0"/>
              <w:bCs w:val="0"/>
              <w:sz w:val="22"/>
              <w:szCs w:val="22"/>
              <w:lang w:val="id-ID" w:eastAsia="id-ID"/>
            </w:rPr>
          </w:pPr>
          <w:r>
            <w:fldChar w:fldCharType="begin"/>
          </w:r>
          <w:r>
            <w:instrText xml:space="preserve"> HYPERLINK \l "_Toc230017847" </w:instrText>
          </w:r>
          <w:r>
            <w:fldChar w:fldCharType="separate"/>
          </w:r>
          <w:r>
            <w:rPr>
              <w:rStyle w:val="18"/>
              <w:b w:val="0"/>
            </w:rPr>
            <w:t>Manfaat Penelitian</w:t>
          </w:r>
          <w:r>
            <w:rPr>
              <w:b w:val="0"/>
            </w:rPr>
            <w:tab/>
          </w:r>
          <w:r>
            <w:rPr>
              <w:b w:val="0"/>
            </w:rPr>
            <w:fldChar w:fldCharType="begin"/>
          </w:r>
          <w:r>
            <w:rPr>
              <w:b w:val="0"/>
            </w:rPr>
            <w:instrText xml:space="preserve"> PAGEREF _Toc230017847 \h </w:instrText>
          </w:r>
          <w:r>
            <w:rPr>
              <w:b w:val="0"/>
            </w:rPr>
            <w:fldChar w:fldCharType="separate"/>
          </w:r>
          <w:r>
            <w:rPr>
              <w:b w:val="0"/>
            </w:rPr>
            <w:t>3</w:t>
          </w:r>
          <w:r>
            <w:rPr>
              <w:b w:val="0"/>
            </w:rPr>
            <w:fldChar w:fldCharType="end"/>
          </w:r>
          <w:r>
            <w:rPr>
              <w:b w:val="0"/>
            </w:rPr>
            <w:fldChar w:fldCharType="end"/>
          </w:r>
        </w:p>
        <w:p w14:paraId="78FEBBB5">
          <w:pPr>
            <w:pStyle w:val="22"/>
            <w:tabs>
              <w:tab w:val="right" w:leader="dot" w:pos="7931"/>
            </w:tabs>
            <w:spacing w:before="0" w:line="360" w:lineRule="auto"/>
            <w:ind w:left="0"/>
            <w:rPr>
              <w:rFonts w:asciiTheme="minorHAnsi" w:hAnsiTheme="minorHAnsi" w:eastAsiaTheme="minorEastAsia" w:cstheme="minorBidi"/>
              <w:b w:val="0"/>
              <w:bCs w:val="0"/>
              <w:sz w:val="22"/>
              <w:szCs w:val="22"/>
              <w:lang w:val="id-ID" w:eastAsia="id-ID"/>
            </w:rPr>
          </w:pPr>
          <w:r>
            <w:fldChar w:fldCharType="begin"/>
          </w:r>
          <w:r>
            <w:instrText xml:space="preserve"> HYPERLINK \l "_Toc230017848" </w:instrText>
          </w:r>
          <w:r>
            <w:fldChar w:fldCharType="separate"/>
          </w:r>
          <w:r>
            <w:rPr>
              <w:rStyle w:val="18"/>
            </w:rPr>
            <w:t>BAB II</w:t>
          </w:r>
          <w:r>
            <w:rPr>
              <w:rStyle w:val="18"/>
            </w:rPr>
            <w:fldChar w:fldCharType="end"/>
          </w:r>
          <w:r>
            <w:rPr>
              <w:rFonts w:asciiTheme="minorHAnsi" w:hAnsiTheme="minorHAnsi" w:eastAsiaTheme="minorEastAsia" w:cstheme="minorBidi"/>
              <w:b w:val="0"/>
              <w:bCs w:val="0"/>
              <w:sz w:val="22"/>
              <w:szCs w:val="22"/>
              <w:lang w:val="id-ID" w:eastAsia="id-ID"/>
            </w:rPr>
            <w:t xml:space="preserve"> </w:t>
          </w:r>
          <w:r>
            <w:fldChar w:fldCharType="begin"/>
          </w:r>
          <w:r>
            <w:instrText xml:space="preserve"> HYPERLINK \l "_Toc230017849" </w:instrText>
          </w:r>
          <w:r>
            <w:fldChar w:fldCharType="separate"/>
          </w:r>
          <w:r>
            <w:rPr>
              <w:rStyle w:val="18"/>
            </w:rPr>
            <w:t>TINJAUAN PUSTAKA</w:t>
          </w:r>
          <w:r>
            <w:tab/>
          </w:r>
          <w:r>
            <w:fldChar w:fldCharType="begin"/>
          </w:r>
          <w:r>
            <w:instrText xml:space="preserve"> PAGEREF _Toc230017849 \h </w:instrText>
          </w:r>
          <w:r>
            <w:fldChar w:fldCharType="separate"/>
          </w:r>
          <w:r>
            <w:t>4</w:t>
          </w:r>
          <w:r>
            <w:fldChar w:fldCharType="end"/>
          </w:r>
          <w:r>
            <w:fldChar w:fldCharType="end"/>
          </w:r>
        </w:p>
        <w:p w14:paraId="5F74110D">
          <w:pPr>
            <w:pStyle w:val="23"/>
            <w:numPr>
              <w:ilvl w:val="0"/>
              <w:numId w:val="2"/>
            </w:numPr>
            <w:tabs>
              <w:tab w:val="right" w:leader="dot" w:pos="7931"/>
            </w:tabs>
            <w:spacing w:line="360" w:lineRule="auto"/>
            <w:ind w:left="851" w:hanging="284"/>
            <w:jc w:val="both"/>
            <w:rPr>
              <w:rFonts w:asciiTheme="minorHAnsi" w:hAnsiTheme="minorHAnsi" w:eastAsiaTheme="minorEastAsia" w:cstheme="minorBidi"/>
              <w:b w:val="0"/>
              <w:bCs w:val="0"/>
              <w:sz w:val="22"/>
              <w:szCs w:val="22"/>
              <w:lang w:val="id-ID" w:eastAsia="id-ID"/>
            </w:rPr>
          </w:pPr>
          <w:r>
            <w:fldChar w:fldCharType="begin"/>
          </w:r>
          <w:r>
            <w:instrText xml:space="preserve"> HYPERLINK \l "_Toc230017850" </w:instrText>
          </w:r>
          <w:r>
            <w:fldChar w:fldCharType="separate"/>
          </w:r>
          <w:r>
            <w:rPr>
              <w:rStyle w:val="18"/>
              <w:b w:val="0"/>
            </w:rPr>
            <w:t>Konsep Dasar Dan Asas Penyelenggaraan Pemilu</w:t>
          </w:r>
          <w:r>
            <w:rPr>
              <w:b w:val="0"/>
            </w:rPr>
            <w:tab/>
          </w:r>
          <w:r>
            <w:rPr>
              <w:b w:val="0"/>
            </w:rPr>
            <w:fldChar w:fldCharType="begin"/>
          </w:r>
          <w:r>
            <w:rPr>
              <w:b w:val="0"/>
            </w:rPr>
            <w:instrText xml:space="preserve"> PAGEREF _Toc230017850 \h </w:instrText>
          </w:r>
          <w:r>
            <w:rPr>
              <w:b w:val="0"/>
            </w:rPr>
            <w:fldChar w:fldCharType="separate"/>
          </w:r>
          <w:r>
            <w:rPr>
              <w:b w:val="0"/>
            </w:rPr>
            <w:t>4</w:t>
          </w:r>
          <w:r>
            <w:rPr>
              <w:b w:val="0"/>
            </w:rPr>
            <w:fldChar w:fldCharType="end"/>
          </w:r>
          <w:r>
            <w:rPr>
              <w:b w:val="0"/>
            </w:rPr>
            <w:fldChar w:fldCharType="end"/>
          </w:r>
        </w:p>
        <w:p w14:paraId="02BF1B22">
          <w:pPr>
            <w:pStyle w:val="23"/>
            <w:numPr>
              <w:ilvl w:val="0"/>
              <w:numId w:val="2"/>
            </w:numPr>
            <w:tabs>
              <w:tab w:val="right" w:leader="dot" w:pos="7931"/>
            </w:tabs>
            <w:spacing w:line="360" w:lineRule="auto"/>
            <w:ind w:left="851" w:hanging="284"/>
            <w:rPr>
              <w:rFonts w:asciiTheme="minorHAnsi" w:hAnsiTheme="minorHAnsi" w:eastAsiaTheme="minorEastAsia" w:cstheme="minorBidi"/>
              <w:b w:val="0"/>
              <w:bCs w:val="0"/>
              <w:sz w:val="22"/>
              <w:szCs w:val="22"/>
              <w:lang w:val="id-ID" w:eastAsia="id-ID"/>
            </w:rPr>
          </w:pPr>
          <w:r>
            <w:fldChar w:fldCharType="begin"/>
          </w:r>
          <w:r>
            <w:instrText xml:space="preserve"> HYPERLINK \l "_Toc230017851" </w:instrText>
          </w:r>
          <w:r>
            <w:fldChar w:fldCharType="separate"/>
          </w:r>
          <w:r>
            <w:rPr>
              <w:rStyle w:val="18"/>
              <w:b w:val="0"/>
            </w:rPr>
            <w:t>Tugas, wewenang dan kewajiban PPK</w:t>
          </w:r>
          <w:r>
            <w:rPr>
              <w:b w:val="0"/>
            </w:rPr>
            <w:tab/>
          </w:r>
          <w:r>
            <w:rPr>
              <w:b w:val="0"/>
            </w:rPr>
            <w:fldChar w:fldCharType="begin"/>
          </w:r>
          <w:r>
            <w:rPr>
              <w:b w:val="0"/>
            </w:rPr>
            <w:instrText xml:space="preserve"> PAGEREF _Toc230017851 \h </w:instrText>
          </w:r>
          <w:r>
            <w:rPr>
              <w:b w:val="0"/>
            </w:rPr>
            <w:fldChar w:fldCharType="separate"/>
          </w:r>
          <w:r>
            <w:rPr>
              <w:b w:val="0"/>
            </w:rPr>
            <w:t>4</w:t>
          </w:r>
          <w:r>
            <w:rPr>
              <w:b w:val="0"/>
            </w:rPr>
            <w:fldChar w:fldCharType="end"/>
          </w:r>
          <w:r>
            <w:rPr>
              <w:b w:val="0"/>
            </w:rPr>
            <w:fldChar w:fldCharType="end"/>
          </w:r>
        </w:p>
        <w:p w14:paraId="7880A10B">
          <w:pPr>
            <w:pStyle w:val="23"/>
            <w:numPr>
              <w:ilvl w:val="0"/>
              <w:numId w:val="2"/>
            </w:numPr>
            <w:tabs>
              <w:tab w:val="right" w:leader="dot" w:pos="7931"/>
            </w:tabs>
            <w:spacing w:line="360" w:lineRule="auto"/>
            <w:ind w:left="851" w:hanging="284"/>
            <w:rPr>
              <w:rFonts w:asciiTheme="minorHAnsi" w:hAnsiTheme="minorHAnsi" w:eastAsiaTheme="minorEastAsia" w:cstheme="minorBidi"/>
              <w:b w:val="0"/>
              <w:bCs w:val="0"/>
              <w:sz w:val="22"/>
              <w:szCs w:val="22"/>
              <w:lang w:val="id-ID" w:eastAsia="id-ID"/>
            </w:rPr>
          </w:pPr>
          <w:r>
            <w:fldChar w:fldCharType="begin"/>
          </w:r>
          <w:r>
            <w:instrText xml:space="preserve"> HYPERLINK \l "_Toc230017852" </w:instrText>
          </w:r>
          <w:r>
            <w:fldChar w:fldCharType="separate"/>
          </w:r>
          <w:r>
            <w:rPr>
              <w:rStyle w:val="18"/>
              <w:b w:val="0"/>
            </w:rPr>
            <w:t>Tinjauan Umum Tentang Tindak Pidana</w:t>
          </w:r>
          <w:r>
            <w:rPr>
              <w:b w:val="0"/>
            </w:rPr>
            <w:tab/>
          </w:r>
          <w:r>
            <w:rPr>
              <w:b w:val="0"/>
            </w:rPr>
            <w:fldChar w:fldCharType="begin"/>
          </w:r>
          <w:r>
            <w:rPr>
              <w:b w:val="0"/>
            </w:rPr>
            <w:instrText xml:space="preserve"> PAGEREF _Toc230017852 \h </w:instrText>
          </w:r>
          <w:r>
            <w:rPr>
              <w:b w:val="0"/>
            </w:rPr>
            <w:fldChar w:fldCharType="separate"/>
          </w:r>
          <w:r>
            <w:rPr>
              <w:b w:val="0"/>
            </w:rPr>
            <w:t>6</w:t>
          </w:r>
          <w:r>
            <w:rPr>
              <w:b w:val="0"/>
            </w:rPr>
            <w:fldChar w:fldCharType="end"/>
          </w:r>
          <w:r>
            <w:rPr>
              <w:b w:val="0"/>
            </w:rPr>
            <w:fldChar w:fldCharType="end"/>
          </w:r>
        </w:p>
        <w:p w14:paraId="79AF1DF4">
          <w:pPr>
            <w:pStyle w:val="23"/>
            <w:numPr>
              <w:ilvl w:val="0"/>
              <w:numId w:val="2"/>
            </w:numPr>
            <w:tabs>
              <w:tab w:val="right" w:leader="dot" w:pos="7931"/>
            </w:tabs>
            <w:spacing w:line="360" w:lineRule="auto"/>
            <w:ind w:left="851" w:hanging="284"/>
            <w:rPr>
              <w:rFonts w:asciiTheme="minorHAnsi" w:hAnsiTheme="minorHAnsi" w:eastAsiaTheme="minorEastAsia" w:cstheme="minorBidi"/>
              <w:b w:val="0"/>
              <w:bCs w:val="0"/>
              <w:sz w:val="22"/>
              <w:szCs w:val="22"/>
              <w:lang w:val="id-ID" w:eastAsia="id-ID"/>
            </w:rPr>
          </w:pPr>
          <w:r>
            <w:fldChar w:fldCharType="begin"/>
          </w:r>
          <w:r>
            <w:instrText xml:space="preserve"> HYPERLINK \l "_Toc230017853" </w:instrText>
          </w:r>
          <w:r>
            <w:fldChar w:fldCharType="separate"/>
          </w:r>
          <w:r>
            <w:rPr>
              <w:rStyle w:val="18"/>
              <w:b w:val="0"/>
              <w:lang w:val="en-US"/>
            </w:rPr>
            <w:t>Kendala dan Hambatan Panitia Pemilihan Kecamatan (PPK) dalam Pemilihan Umum Legeslatif</w:t>
          </w:r>
          <w:r>
            <w:rPr>
              <w:b w:val="0"/>
            </w:rPr>
            <w:tab/>
          </w:r>
          <w:r>
            <w:rPr>
              <w:b w:val="0"/>
            </w:rPr>
            <w:fldChar w:fldCharType="begin"/>
          </w:r>
          <w:r>
            <w:rPr>
              <w:b w:val="0"/>
            </w:rPr>
            <w:instrText xml:space="preserve"> PAGEREF _Toc230017853 \h </w:instrText>
          </w:r>
          <w:r>
            <w:rPr>
              <w:b w:val="0"/>
            </w:rPr>
            <w:fldChar w:fldCharType="separate"/>
          </w:r>
          <w:r>
            <w:rPr>
              <w:b w:val="0"/>
            </w:rPr>
            <w:t>8</w:t>
          </w:r>
          <w:r>
            <w:rPr>
              <w:b w:val="0"/>
            </w:rPr>
            <w:fldChar w:fldCharType="end"/>
          </w:r>
          <w:r>
            <w:rPr>
              <w:b w:val="0"/>
            </w:rPr>
            <w:fldChar w:fldCharType="end"/>
          </w:r>
        </w:p>
        <w:p w14:paraId="4E1D0D41">
          <w:pPr>
            <w:pStyle w:val="23"/>
            <w:numPr>
              <w:ilvl w:val="0"/>
              <w:numId w:val="2"/>
            </w:numPr>
            <w:tabs>
              <w:tab w:val="left" w:pos="1986"/>
              <w:tab w:val="right" w:leader="dot" w:pos="7931"/>
            </w:tabs>
            <w:spacing w:line="360" w:lineRule="auto"/>
            <w:ind w:left="851" w:hanging="284"/>
            <w:rPr>
              <w:rFonts w:asciiTheme="minorHAnsi" w:hAnsiTheme="minorHAnsi" w:eastAsiaTheme="minorEastAsia" w:cstheme="minorBidi"/>
              <w:b w:val="0"/>
              <w:bCs w:val="0"/>
              <w:sz w:val="22"/>
              <w:szCs w:val="22"/>
              <w:lang w:val="id-ID" w:eastAsia="id-ID"/>
            </w:rPr>
          </w:pPr>
          <w:r>
            <w:fldChar w:fldCharType="begin"/>
          </w:r>
          <w:r>
            <w:instrText xml:space="preserve"> HYPERLINK \l "_Toc230017854" </w:instrText>
          </w:r>
          <w:r>
            <w:fldChar w:fldCharType="separate"/>
          </w:r>
          <w:r>
            <w:rPr>
              <w:rStyle w:val="18"/>
              <w:b w:val="0"/>
              <w:lang w:val="id-ID"/>
            </w:rPr>
            <w:t>Kronologi Peristiwa Yang Terungkap Dalam Persidangan</w:t>
          </w:r>
          <w:r>
            <w:rPr>
              <w:b w:val="0"/>
            </w:rPr>
            <w:tab/>
          </w:r>
          <w:r>
            <w:rPr>
              <w:b w:val="0"/>
            </w:rPr>
            <w:fldChar w:fldCharType="begin"/>
          </w:r>
          <w:r>
            <w:rPr>
              <w:b w:val="0"/>
            </w:rPr>
            <w:instrText xml:space="preserve"> PAGEREF _Toc230017854 \h </w:instrText>
          </w:r>
          <w:r>
            <w:rPr>
              <w:b w:val="0"/>
            </w:rPr>
            <w:fldChar w:fldCharType="separate"/>
          </w:r>
          <w:r>
            <w:rPr>
              <w:b w:val="0"/>
            </w:rPr>
            <w:t>9</w:t>
          </w:r>
          <w:r>
            <w:rPr>
              <w:b w:val="0"/>
            </w:rPr>
            <w:fldChar w:fldCharType="end"/>
          </w:r>
          <w:r>
            <w:rPr>
              <w:b w:val="0"/>
            </w:rPr>
            <w:fldChar w:fldCharType="end"/>
          </w:r>
        </w:p>
        <w:p w14:paraId="4B925AF1">
          <w:pPr>
            <w:pStyle w:val="23"/>
            <w:numPr>
              <w:ilvl w:val="0"/>
              <w:numId w:val="2"/>
            </w:numPr>
            <w:tabs>
              <w:tab w:val="right" w:leader="dot" w:pos="7931"/>
            </w:tabs>
            <w:spacing w:line="360" w:lineRule="auto"/>
            <w:ind w:left="851" w:hanging="284"/>
            <w:rPr>
              <w:rFonts w:asciiTheme="minorHAnsi" w:hAnsiTheme="minorHAnsi" w:eastAsiaTheme="minorEastAsia" w:cstheme="minorBidi"/>
              <w:b w:val="0"/>
              <w:bCs w:val="0"/>
              <w:sz w:val="22"/>
              <w:szCs w:val="22"/>
              <w:lang w:val="id-ID" w:eastAsia="id-ID"/>
            </w:rPr>
          </w:pPr>
          <w:r>
            <w:fldChar w:fldCharType="begin"/>
          </w:r>
          <w:r>
            <w:instrText xml:space="preserve"> HYPERLINK \l "_Toc230017855" </w:instrText>
          </w:r>
          <w:r>
            <w:fldChar w:fldCharType="separate"/>
          </w:r>
          <w:r>
            <w:rPr>
              <w:rStyle w:val="18"/>
              <w:b w:val="0"/>
            </w:rPr>
            <w:t>Konsep Pemisahan Berkas (</w:t>
          </w:r>
          <w:r>
            <w:rPr>
              <w:rStyle w:val="18"/>
              <w:b w:val="0"/>
              <w:i/>
            </w:rPr>
            <w:t>Splitsing</w:t>
          </w:r>
          <w:r>
            <w:rPr>
              <w:rStyle w:val="18"/>
              <w:b w:val="0"/>
            </w:rPr>
            <w:t>)</w:t>
          </w:r>
          <w:r>
            <w:rPr>
              <w:b w:val="0"/>
            </w:rPr>
            <w:tab/>
          </w:r>
          <w:r>
            <w:rPr>
              <w:b w:val="0"/>
            </w:rPr>
            <w:fldChar w:fldCharType="begin"/>
          </w:r>
          <w:r>
            <w:rPr>
              <w:b w:val="0"/>
            </w:rPr>
            <w:instrText xml:space="preserve"> PAGEREF _Toc230017855 \h </w:instrText>
          </w:r>
          <w:r>
            <w:rPr>
              <w:b w:val="0"/>
            </w:rPr>
            <w:fldChar w:fldCharType="separate"/>
          </w:r>
          <w:r>
            <w:rPr>
              <w:b w:val="0"/>
            </w:rPr>
            <w:t>11</w:t>
          </w:r>
          <w:r>
            <w:rPr>
              <w:b w:val="0"/>
            </w:rPr>
            <w:fldChar w:fldCharType="end"/>
          </w:r>
          <w:r>
            <w:rPr>
              <w:b w:val="0"/>
            </w:rPr>
            <w:fldChar w:fldCharType="end"/>
          </w:r>
        </w:p>
        <w:p w14:paraId="4A2944A5">
          <w:pPr>
            <w:pStyle w:val="22"/>
            <w:tabs>
              <w:tab w:val="right" w:leader="dot" w:pos="7931"/>
            </w:tabs>
            <w:spacing w:before="0" w:line="360" w:lineRule="auto"/>
            <w:ind w:left="0"/>
            <w:rPr>
              <w:rFonts w:asciiTheme="minorHAnsi" w:hAnsiTheme="minorHAnsi" w:eastAsiaTheme="minorEastAsia" w:cstheme="minorBidi"/>
              <w:b w:val="0"/>
              <w:bCs w:val="0"/>
              <w:sz w:val="22"/>
              <w:szCs w:val="22"/>
              <w:lang w:val="id-ID" w:eastAsia="id-ID"/>
            </w:rPr>
          </w:pPr>
          <w:r>
            <w:fldChar w:fldCharType="begin"/>
          </w:r>
          <w:r>
            <w:instrText xml:space="preserve"> HYPERLINK \l "_Toc230017856" </w:instrText>
          </w:r>
          <w:r>
            <w:fldChar w:fldCharType="separate"/>
          </w:r>
          <w:r>
            <w:rPr>
              <w:rStyle w:val="18"/>
            </w:rPr>
            <w:t>BAB III</w:t>
          </w:r>
          <w:r>
            <w:rPr>
              <w:rStyle w:val="18"/>
            </w:rPr>
            <w:fldChar w:fldCharType="end"/>
          </w:r>
          <w:r>
            <w:rPr>
              <w:rFonts w:asciiTheme="minorHAnsi" w:hAnsiTheme="minorHAnsi" w:eastAsiaTheme="minorEastAsia" w:cstheme="minorBidi"/>
              <w:b w:val="0"/>
              <w:bCs w:val="0"/>
              <w:sz w:val="22"/>
              <w:szCs w:val="22"/>
              <w:lang w:val="id-ID" w:eastAsia="id-ID"/>
            </w:rPr>
            <w:t xml:space="preserve"> </w:t>
          </w:r>
          <w:r>
            <w:fldChar w:fldCharType="begin"/>
          </w:r>
          <w:r>
            <w:instrText xml:space="preserve"> HYPERLINK \l "_Toc230017857" </w:instrText>
          </w:r>
          <w:r>
            <w:fldChar w:fldCharType="separate"/>
          </w:r>
          <w:r>
            <w:rPr>
              <w:rStyle w:val="18"/>
            </w:rPr>
            <w:t>METODE PENELITIAN</w:t>
          </w:r>
          <w:r>
            <w:tab/>
          </w:r>
          <w:r>
            <w:fldChar w:fldCharType="begin"/>
          </w:r>
          <w:r>
            <w:instrText xml:space="preserve"> PAGEREF _Toc230017857 \h </w:instrText>
          </w:r>
          <w:r>
            <w:fldChar w:fldCharType="separate"/>
          </w:r>
          <w:r>
            <w:t>12</w:t>
          </w:r>
          <w:r>
            <w:fldChar w:fldCharType="end"/>
          </w:r>
          <w:r>
            <w:fldChar w:fldCharType="end"/>
          </w:r>
        </w:p>
        <w:p w14:paraId="2C3B4A41">
          <w:pPr>
            <w:pStyle w:val="23"/>
            <w:numPr>
              <w:ilvl w:val="0"/>
              <w:numId w:val="3"/>
            </w:numPr>
            <w:tabs>
              <w:tab w:val="right" w:leader="dot" w:pos="7931"/>
            </w:tabs>
            <w:spacing w:line="360" w:lineRule="auto"/>
            <w:ind w:left="851" w:hanging="284"/>
            <w:rPr>
              <w:rFonts w:asciiTheme="minorHAnsi" w:hAnsiTheme="minorHAnsi" w:eastAsiaTheme="minorEastAsia" w:cstheme="minorBidi"/>
              <w:b w:val="0"/>
              <w:bCs w:val="0"/>
              <w:sz w:val="22"/>
              <w:szCs w:val="22"/>
              <w:lang w:val="id-ID" w:eastAsia="id-ID"/>
            </w:rPr>
          </w:pPr>
          <w:r>
            <w:fldChar w:fldCharType="begin"/>
          </w:r>
          <w:r>
            <w:instrText xml:space="preserve"> HYPERLINK \l "_Toc230017858" </w:instrText>
          </w:r>
          <w:r>
            <w:fldChar w:fldCharType="separate"/>
          </w:r>
          <w:r>
            <w:rPr>
              <w:rStyle w:val="18"/>
              <w:b w:val="0"/>
              <w:lang w:val="en-US"/>
            </w:rPr>
            <w:t>Lokasi Penelitian</w:t>
          </w:r>
          <w:r>
            <w:rPr>
              <w:b w:val="0"/>
            </w:rPr>
            <w:tab/>
          </w:r>
          <w:r>
            <w:rPr>
              <w:b w:val="0"/>
            </w:rPr>
            <w:fldChar w:fldCharType="begin"/>
          </w:r>
          <w:r>
            <w:rPr>
              <w:b w:val="0"/>
            </w:rPr>
            <w:instrText xml:space="preserve"> PAGEREF _Toc230017858 \h </w:instrText>
          </w:r>
          <w:r>
            <w:rPr>
              <w:b w:val="0"/>
            </w:rPr>
            <w:fldChar w:fldCharType="separate"/>
          </w:r>
          <w:r>
            <w:rPr>
              <w:b w:val="0"/>
            </w:rPr>
            <w:t>12</w:t>
          </w:r>
          <w:r>
            <w:rPr>
              <w:b w:val="0"/>
            </w:rPr>
            <w:fldChar w:fldCharType="end"/>
          </w:r>
          <w:r>
            <w:rPr>
              <w:b w:val="0"/>
            </w:rPr>
            <w:fldChar w:fldCharType="end"/>
          </w:r>
        </w:p>
        <w:p w14:paraId="799C710F">
          <w:pPr>
            <w:pStyle w:val="23"/>
            <w:numPr>
              <w:ilvl w:val="0"/>
              <w:numId w:val="3"/>
            </w:numPr>
            <w:tabs>
              <w:tab w:val="right" w:leader="dot" w:pos="7931"/>
            </w:tabs>
            <w:spacing w:line="360" w:lineRule="auto"/>
            <w:ind w:left="851" w:hanging="284"/>
            <w:rPr>
              <w:rFonts w:asciiTheme="minorHAnsi" w:hAnsiTheme="minorHAnsi" w:eastAsiaTheme="minorEastAsia" w:cstheme="minorBidi"/>
              <w:b w:val="0"/>
              <w:bCs w:val="0"/>
              <w:sz w:val="22"/>
              <w:szCs w:val="22"/>
              <w:lang w:val="id-ID" w:eastAsia="id-ID"/>
            </w:rPr>
          </w:pPr>
          <w:r>
            <w:fldChar w:fldCharType="begin"/>
          </w:r>
          <w:r>
            <w:instrText xml:space="preserve"> HYPERLINK \l "_Toc230017859" </w:instrText>
          </w:r>
          <w:r>
            <w:fldChar w:fldCharType="separate"/>
          </w:r>
          <w:r>
            <w:rPr>
              <w:rStyle w:val="18"/>
              <w:b w:val="0"/>
              <w:lang w:val="id-ID"/>
            </w:rPr>
            <w:t>Jenis Penelitian</w:t>
          </w:r>
          <w:r>
            <w:rPr>
              <w:b w:val="0"/>
            </w:rPr>
            <w:tab/>
          </w:r>
          <w:r>
            <w:rPr>
              <w:b w:val="0"/>
            </w:rPr>
            <w:fldChar w:fldCharType="begin"/>
          </w:r>
          <w:r>
            <w:rPr>
              <w:b w:val="0"/>
            </w:rPr>
            <w:instrText xml:space="preserve"> PAGEREF _Toc230017859 \h </w:instrText>
          </w:r>
          <w:r>
            <w:rPr>
              <w:b w:val="0"/>
            </w:rPr>
            <w:fldChar w:fldCharType="separate"/>
          </w:r>
          <w:r>
            <w:rPr>
              <w:b w:val="0"/>
            </w:rPr>
            <w:t>12</w:t>
          </w:r>
          <w:r>
            <w:rPr>
              <w:b w:val="0"/>
            </w:rPr>
            <w:fldChar w:fldCharType="end"/>
          </w:r>
          <w:r>
            <w:rPr>
              <w:b w:val="0"/>
            </w:rPr>
            <w:fldChar w:fldCharType="end"/>
          </w:r>
        </w:p>
        <w:p w14:paraId="01AA374D">
          <w:pPr>
            <w:pStyle w:val="23"/>
            <w:numPr>
              <w:ilvl w:val="0"/>
              <w:numId w:val="3"/>
            </w:numPr>
            <w:tabs>
              <w:tab w:val="right" w:leader="dot" w:pos="7931"/>
            </w:tabs>
            <w:spacing w:line="360" w:lineRule="auto"/>
            <w:ind w:left="851" w:hanging="284"/>
            <w:rPr>
              <w:rFonts w:asciiTheme="minorHAnsi" w:hAnsiTheme="minorHAnsi" w:eastAsiaTheme="minorEastAsia" w:cstheme="minorBidi"/>
              <w:b w:val="0"/>
              <w:bCs w:val="0"/>
              <w:sz w:val="22"/>
              <w:szCs w:val="22"/>
              <w:lang w:val="id-ID" w:eastAsia="id-ID"/>
            </w:rPr>
          </w:pPr>
          <w:r>
            <w:fldChar w:fldCharType="begin"/>
          </w:r>
          <w:r>
            <w:instrText xml:space="preserve"> HYPERLINK \l "_Toc230017860" </w:instrText>
          </w:r>
          <w:r>
            <w:fldChar w:fldCharType="separate"/>
          </w:r>
          <w:r>
            <w:rPr>
              <w:rStyle w:val="18"/>
              <w:b w:val="0"/>
              <w:lang w:val="id-ID"/>
            </w:rPr>
            <w:t>Sumber Data / Bahan hukum</w:t>
          </w:r>
          <w:r>
            <w:rPr>
              <w:b w:val="0"/>
            </w:rPr>
            <w:tab/>
          </w:r>
          <w:r>
            <w:rPr>
              <w:b w:val="0"/>
            </w:rPr>
            <w:fldChar w:fldCharType="begin"/>
          </w:r>
          <w:r>
            <w:rPr>
              <w:b w:val="0"/>
            </w:rPr>
            <w:instrText xml:space="preserve"> PAGEREF _Toc230017860 \h </w:instrText>
          </w:r>
          <w:r>
            <w:rPr>
              <w:b w:val="0"/>
            </w:rPr>
            <w:fldChar w:fldCharType="separate"/>
          </w:r>
          <w:r>
            <w:rPr>
              <w:b w:val="0"/>
            </w:rPr>
            <w:t>12</w:t>
          </w:r>
          <w:r>
            <w:rPr>
              <w:b w:val="0"/>
            </w:rPr>
            <w:fldChar w:fldCharType="end"/>
          </w:r>
          <w:r>
            <w:rPr>
              <w:b w:val="0"/>
            </w:rPr>
            <w:fldChar w:fldCharType="end"/>
          </w:r>
        </w:p>
        <w:p w14:paraId="7A183958">
          <w:pPr>
            <w:pStyle w:val="23"/>
            <w:numPr>
              <w:ilvl w:val="0"/>
              <w:numId w:val="3"/>
            </w:numPr>
            <w:tabs>
              <w:tab w:val="right" w:leader="dot" w:pos="7931"/>
            </w:tabs>
            <w:spacing w:line="360" w:lineRule="auto"/>
            <w:ind w:left="851" w:hanging="284"/>
            <w:rPr>
              <w:rFonts w:asciiTheme="minorHAnsi" w:hAnsiTheme="minorHAnsi" w:eastAsiaTheme="minorEastAsia" w:cstheme="minorBidi"/>
              <w:b w:val="0"/>
              <w:bCs w:val="0"/>
              <w:sz w:val="22"/>
              <w:szCs w:val="22"/>
              <w:lang w:val="id-ID" w:eastAsia="id-ID"/>
            </w:rPr>
          </w:pPr>
          <w:r>
            <w:fldChar w:fldCharType="begin"/>
          </w:r>
          <w:r>
            <w:instrText xml:space="preserve"> HYPERLINK \l "_Toc230017861" </w:instrText>
          </w:r>
          <w:r>
            <w:fldChar w:fldCharType="separate"/>
          </w:r>
          <w:r>
            <w:rPr>
              <w:rStyle w:val="18"/>
              <w:b w:val="0"/>
              <w:lang w:val="id-ID"/>
            </w:rPr>
            <w:t>Teknik Pengumpulan Data/Bahan Hukum</w:t>
          </w:r>
          <w:r>
            <w:rPr>
              <w:b w:val="0"/>
            </w:rPr>
            <w:tab/>
          </w:r>
          <w:r>
            <w:rPr>
              <w:b w:val="0"/>
            </w:rPr>
            <w:fldChar w:fldCharType="begin"/>
          </w:r>
          <w:r>
            <w:rPr>
              <w:b w:val="0"/>
            </w:rPr>
            <w:instrText xml:space="preserve"> PAGEREF _Toc230017861 \h </w:instrText>
          </w:r>
          <w:r>
            <w:rPr>
              <w:b w:val="0"/>
            </w:rPr>
            <w:fldChar w:fldCharType="separate"/>
          </w:r>
          <w:r>
            <w:rPr>
              <w:b w:val="0"/>
            </w:rPr>
            <w:t>13</w:t>
          </w:r>
          <w:r>
            <w:rPr>
              <w:b w:val="0"/>
            </w:rPr>
            <w:fldChar w:fldCharType="end"/>
          </w:r>
          <w:r>
            <w:rPr>
              <w:b w:val="0"/>
            </w:rPr>
            <w:fldChar w:fldCharType="end"/>
          </w:r>
        </w:p>
        <w:p w14:paraId="0E5CE3E7">
          <w:pPr>
            <w:pStyle w:val="23"/>
            <w:numPr>
              <w:ilvl w:val="0"/>
              <w:numId w:val="3"/>
            </w:numPr>
            <w:tabs>
              <w:tab w:val="right" w:leader="dot" w:pos="7931"/>
            </w:tabs>
            <w:spacing w:line="360" w:lineRule="auto"/>
            <w:ind w:left="851" w:hanging="284"/>
            <w:rPr>
              <w:rFonts w:asciiTheme="minorHAnsi" w:hAnsiTheme="minorHAnsi" w:eastAsiaTheme="minorEastAsia" w:cstheme="minorBidi"/>
              <w:b w:val="0"/>
              <w:bCs w:val="0"/>
              <w:sz w:val="22"/>
              <w:szCs w:val="22"/>
              <w:lang w:val="id-ID" w:eastAsia="id-ID"/>
            </w:rPr>
          </w:pPr>
          <w:r>
            <w:fldChar w:fldCharType="begin"/>
          </w:r>
          <w:r>
            <w:instrText xml:space="preserve"> HYPERLINK \l "_Toc230017862" </w:instrText>
          </w:r>
          <w:r>
            <w:fldChar w:fldCharType="separate"/>
          </w:r>
          <w:r>
            <w:rPr>
              <w:rStyle w:val="18"/>
              <w:b w:val="0"/>
              <w:lang w:val="id-ID"/>
            </w:rPr>
            <w:t>Analisis Bahan Hukum</w:t>
          </w:r>
          <w:r>
            <w:rPr>
              <w:b w:val="0"/>
            </w:rPr>
            <w:tab/>
          </w:r>
          <w:r>
            <w:rPr>
              <w:b w:val="0"/>
            </w:rPr>
            <w:fldChar w:fldCharType="begin"/>
          </w:r>
          <w:r>
            <w:rPr>
              <w:b w:val="0"/>
            </w:rPr>
            <w:instrText xml:space="preserve"> PAGEREF _Toc230017862 \h </w:instrText>
          </w:r>
          <w:r>
            <w:rPr>
              <w:b w:val="0"/>
            </w:rPr>
            <w:fldChar w:fldCharType="separate"/>
          </w:r>
          <w:r>
            <w:rPr>
              <w:b w:val="0"/>
            </w:rPr>
            <w:t>14</w:t>
          </w:r>
          <w:r>
            <w:rPr>
              <w:b w:val="0"/>
            </w:rPr>
            <w:fldChar w:fldCharType="end"/>
          </w:r>
          <w:r>
            <w:rPr>
              <w:b w:val="0"/>
            </w:rPr>
            <w:fldChar w:fldCharType="end"/>
          </w:r>
        </w:p>
        <w:p w14:paraId="1C9FC865">
          <w:pPr>
            <w:pStyle w:val="23"/>
            <w:numPr>
              <w:ilvl w:val="0"/>
              <w:numId w:val="3"/>
            </w:numPr>
            <w:tabs>
              <w:tab w:val="right" w:leader="dot" w:pos="7931"/>
            </w:tabs>
            <w:spacing w:line="360" w:lineRule="auto"/>
            <w:ind w:left="851" w:hanging="284"/>
            <w:rPr>
              <w:rFonts w:asciiTheme="minorHAnsi" w:hAnsiTheme="minorHAnsi" w:eastAsiaTheme="minorEastAsia" w:cstheme="minorBidi"/>
              <w:b w:val="0"/>
              <w:bCs w:val="0"/>
              <w:sz w:val="22"/>
              <w:szCs w:val="22"/>
              <w:lang w:val="id-ID" w:eastAsia="id-ID"/>
            </w:rPr>
          </w:pPr>
          <w:r>
            <w:fldChar w:fldCharType="begin"/>
          </w:r>
          <w:r>
            <w:instrText xml:space="preserve"> HYPERLINK \l "_Toc230017863" </w:instrText>
          </w:r>
          <w:r>
            <w:fldChar w:fldCharType="separate"/>
          </w:r>
          <w:r>
            <w:rPr>
              <w:rStyle w:val="18"/>
              <w:b w:val="0"/>
              <w:lang w:val="en-US"/>
            </w:rPr>
            <w:t>Jadwal Penelitian</w:t>
          </w:r>
          <w:r>
            <w:rPr>
              <w:b w:val="0"/>
            </w:rPr>
            <w:tab/>
          </w:r>
          <w:r>
            <w:rPr>
              <w:b w:val="0"/>
            </w:rPr>
            <w:fldChar w:fldCharType="begin"/>
          </w:r>
          <w:r>
            <w:rPr>
              <w:b w:val="0"/>
            </w:rPr>
            <w:instrText xml:space="preserve"> PAGEREF _Toc230017863 \h </w:instrText>
          </w:r>
          <w:r>
            <w:rPr>
              <w:b w:val="0"/>
            </w:rPr>
            <w:fldChar w:fldCharType="separate"/>
          </w:r>
          <w:r>
            <w:rPr>
              <w:b w:val="0"/>
            </w:rPr>
            <w:t>14</w:t>
          </w:r>
          <w:r>
            <w:rPr>
              <w:b w:val="0"/>
            </w:rPr>
            <w:fldChar w:fldCharType="end"/>
          </w:r>
          <w:r>
            <w:rPr>
              <w:b w:val="0"/>
            </w:rPr>
            <w:fldChar w:fldCharType="end"/>
          </w:r>
        </w:p>
        <w:p w14:paraId="4296752D">
          <w:pPr>
            <w:pStyle w:val="22"/>
            <w:tabs>
              <w:tab w:val="right" w:leader="dot" w:pos="7931"/>
            </w:tabs>
            <w:spacing w:before="0" w:line="360" w:lineRule="auto"/>
            <w:ind w:left="0"/>
            <w:rPr>
              <w:rFonts w:asciiTheme="minorHAnsi" w:hAnsiTheme="minorHAnsi" w:eastAsiaTheme="minorEastAsia" w:cstheme="minorBidi"/>
              <w:b w:val="0"/>
              <w:bCs w:val="0"/>
              <w:sz w:val="22"/>
              <w:szCs w:val="22"/>
              <w:lang w:val="id-ID" w:eastAsia="id-ID"/>
            </w:rPr>
          </w:pPr>
          <w:r>
            <w:fldChar w:fldCharType="begin"/>
          </w:r>
          <w:r>
            <w:instrText xml:space="preserve"> HYPERLINK \l "_Toc230017864" </w:instrText>
          </w:r>
          <w:r>
            <w:fldChar w:fldCharType="separate"/>
          </w:r>
          <w:r>
            <w:rPr>
              <w:rStyle w:val="18"/>
            </w:rPr>
            <w:t>BAB IV</w:t>
          </w:r>
          <w:r>
            <w:rPr>
              <w:rStyle w:val="18"/>
            </w:rPr>
            <w:fldChar w:fldCharType="end"/>
          </w:r>
          <w:r>
            <w:rPr>
              <w:rFonts w:asciiTheme="minorHAnsi" w:hAnsiTheme="minorHAnsi" w:eastAsiaTheme="minorEastAsia" w:cstheme="minorBidi"/>
              <w:b w:val="0"/>
              <w:bCs w:val="0"/>
              <w:sz w:val="22"/>
              <w:szCs w:val="22"/>
              <w:lang w:val="id-ID" w:eastAsia="id-ID"/>
            </w:rPr>
            <w:t xml:space="preserve"> </w:t>
          </w:r>
          <w:r>
            <w:fldChar w:fldCharType="begin"/>
          </w:r>
          <w:r>
            <w:instrText xml:space="preserve"> HYPERLINK \l "_Toc230017865" </w:instrText>
          </w:r>
          <w:r>
            <w:fldChar w:fldCharType="separate"/>
          </w:r>
          <w:r>
            <w:rPr>
              <w:rStyle w:val="18"/>
            </w:rPr>
            <w:t>HASIL PENELITIAN DAN PEMBAHASAN</w:t>
          </w:r>
          <w:r>
            <w:tab/>
          </w:r>
          <w:r>
            <w:fldChar w:fldCharType="begin"/>
          </w:r>
          <w:r>
            <w:instrText xml:space="preserve"> PAGEREF _Toc230017865 \h </w:instrText>
          </w:r>
          <w:r>
            <w:fldChar w:fldCharType="separate"/>
          </w:r>
          <w:r>
            <w:t>15</w:t>
          </w:r>
          <w:r>
            <w:fldChar w:fldCharType="end"/>
          </w:r>
          <w:r>
            <w:fldChar w:fldCharType="end"/>
          </w:r>
        </w:p>
        <w:p w14:paraId="7F878C27">
          <w:pPr>
            <w:pStyle w:val="23"/>
            <w:numPr>
              <w:ilvl w:val="0"/>
              <w:numId w:val="4"/>
            </w:numPr>
            <w:tabs>
              <w:tab w:val="right" w:leader="dot" w:pos="7931"/>
            </w:tabs>
            <w:spacing w:line="360" w:lineRule="auto"/>
            <w:ind w:left="851" w:hanging="284"/>
            <w:rPr>
              <w:rFonts w:asciiTheme="minorHAnsi" w:hAnsiTheme="minorHAnsi" w:eastAsiaTheme="minorEastAsia" w:cstheme="minorBidi"/>
              <w:b w:val="0"/>
              <w:bCs w:val="0"/>
              <w:sz w:val="22"/>
              <w:szCs w:val="22"/>
              <w:lang w:val="id-ID" w:eastAsia="id-ID"/>
            </w:rPr>
          </w:pPr>
          <w:r>
            <w:fldChar w:fldCharType="begin"/>
          </w:r>
          <w:r>
            <w:instrText xml:space="preserve"> HYPERLINK \l "_Toc230017867" </w:instrText>
          </w:r>
          <w:r>
            <w:fldChar w:fldCharType="separate"/>
          </w:r>
          <w:r>
            <w:rPr>
              <w:rStyle w:val="18"/>
              <w:b w:val="0"/>
            </w:rPr>
            <w:t>Pertanggungjawaban Pidana Pemilihan Umum yang Dilakukan oleh Panitia Pemilihan Kecamatan (PPK) Medan Timur Berdasarkan UU No. 7 Tahun 2017</w:t>
          </w:r>
          <w:r>
            <w:rPr>
              <w:b w:val="0"/>
            </w:rPr>
            <w:tab/>
          </w:r>
          <w:r>
            <w:rPr>
              <w:b w:val="0"/>
            </w:rPr>
            <w:t>15</w:t>
          </w:r>
          <w:r>
            <w:rPr>
              <w:b w:val="0"/>
            </w:rPr>
            <w:fldChar w:fldCharType="end"/>
          </w:r>
        </w:p>
        <w:p w14:paraId="0E18A683">
          <w:pPr>
            <w:pStyle w:val="23"/>
            <w:numPr>
              <w:ilvl w:val="0"/>
              <w:numId w:val="4"/>
            </w:numPr>
            <w:tabs>
              <w:tab w:val="right" w:leader="dot" w:pos="7931"/>
            </w:tabs>
            <w:spacing w:line="360" w:lineRule="auto"/>
            <w:ind w:left="851" w:hanging="284"/>
            <w:rPr>
              <w:rFonts w:asciiTheme="minorHAnsi" w:hAnsiTheme="minorHAnsi" w:eastAsiaTheme="minorEastAsia" w:cstheme="minorBidi"/>
              <w:b w:val="0"/>
              <w:bCs w:val="0"/>
              <w:sz w:val="22"/>
              <w:szCs w:val="22"/>
              <w:lang w:val="id-ID" w:eastAsia="id-ID"/>
            </w:rPr>
          </w:pPr>
          <w:r>
            <w:fldChar w:fldCharType="begin"/>
          </w:r>
          <w:r>
            <w:instrText xml:space="preserve"> HYPERLINK \l "_Toc230017868" </w:instrText>
          </w:r>
          <w:r>
            <w:fldChar w:fldCharType="separate"/>
          </w:r>
          <w:r>
            <w:rPr>
              <w:rStyle w:val="18"/>
              <w:b w:val="0"/>
            </w:rPr>
            <w:t>Analisis Pertimbangan Hukum Hakim (</w:t>
          </w:r>
          <w:r>
            <w:rPr>
              <w:rStyle w:val="18"/>
              <w:b w:val="0"/>
              <w:i/>
            </w:rPr>
            <w:t>Ratio Decidendi</w:t>
          </w:r>
          <w:r>
            <w:rPr>
              <w:rStyle w:val="18"/>
              <w:b w:val="0"/>
            </w:rPr>
            <w:t>) dalam Putusan Nomor 1/Pid.S/2024/PN Mdn</w:t>
          </w:r>
          <w:r>
            <w:rPr>
              <w:b w:val="0"/>
            </w:rPr>
            <w:tab/>
          </w:r>
          <w:r>
            <w:rPr>
              <w:b w:val="0"/>
            </w:rPr>
            <w:t>31</w:t>
          </w:r>
          <w:r>
            <w:rPr>
              <w:b w:val="0"/>
            </w:rPr>
            <w:fldChar w:fldCharType="end"/>
          </w:r>
        </w:p>
        <w:p w14:paraId="62B8AA42">
          <w:pPr>
            <w:pStyle w:val="23"/>
            <w:numPr>
              <w:ilvl w:val="0"/>
              <w:numId w:val="4"/>
            </w:numPr>
            <w:tabs>
              <w:tab w:val="left" w:pos="1986"/>
              <w:tab w:val="right" w:leader="dot" w:pos="7931"/>
            </w:tabs>
            <w:spacing w:line="360" w:lineRule="auto"/>
            <w:ind w:left="851" w:hanging="284"/>
            <w:rPr>
              <w:rFonts w:asciiTheme="minorHAnsi" w:hAnsiTheme="minorHAnsi" w:eastAsiaTheme="minorEastAsia" w:cstheme="minorBidi"/>
              <w:b w:val="0"/>
              <w:bCs w:val="0"/>
              <w:sz w:val="22"/>
              <w:szCs w:val="22"/>
              <w:lang w:val="id-ID" w:eastAsia="id-ID"/>
            </w:rPr>
          </w:pPr>
          <w:r>
            <w:fldChar w:fldCharType="begin"/>
          </w:r>
          <w:r>
            <w:instrText xml:space="preserve"> HYPERLINK \l "_Toc230017869" </w:instrText>
          </w:r>
          <w:r>
            <w:fldChar w:fldCharType="separate"/>
          </w:r>
          <w:r>
            <w:rPr>
              <w:rStyle w:val="18"/>
              <w:b w:val="0"/>
            </w:rPr>
            <w:t>Kendala dan Hambatan Panitia Pemilihan Kecamatan (PPK) dalam Pemilu Legislatif</w:t>
          </w:r>
          <w:r>
            <w:rPr>
              <w:b w:val="0"/>
            </w:rPr>
            <w:tab/>
          </w:r>
          <w:r>
            <w:rPr>
              <w:b w:val="0"/>
            </w:rPr>
            <w:t>42</w:t>
          </w:r>
          <w:r>
            <w:rPr>
              <w:b w:val="0"/>
            </w:rPr>
            <w:fldChar w:fldCharType="end"/>
          </w:r>
        </w:p>
        <w:p w14:paraId="26F295C4">
          <w:pPr>
            <w:pStyle w:val="22"/>
            <w:tabs>
              <w:tab w:val="right" w:leader="dot" w:pos="7931"/>
            </w:tabs>
            <w:spacing w:before="0" w:line="360" w:lineRule="auto"/>
            <w:ind w:left="0"/>
            <w:rPr>
              <w:rFonts w:asciiTheme="minorHAnsi" w:hAnsiTheme="minorHAnsi" w:eastAsiaTheme="minorEastAsia" w:cstheme="minorBidi"/>
              <w:b w:val="0"/>
              <w:bCs w:val="0"/>
              <w:sz w:val="22"/>
              <w:szCs w:val="22"/>
              <w:lang w:val="id-ID" w:eastAsia="id-ID"/>
            </w:rPr>
          </w:pPr>
          <w:r>
            <w:fldChar w:fldCharType="begin"/>
          </w:r>
          <w:r>
            <w:instrText xml:space="preserve"> HYPERLINK \l "_Toc230017873" </w:instrText>
          </w:r>
          <w:r>
            <w:fldChar w:fldCharType="separate"/>
          </w:r>
          <w:r>
            <w:rPr>
              <w:rStyle w:val="18"/>
            </w:rPr>
            <w:t>BAB V</w:t>
          </w:r>
          <w:r>
            <w:rPr>
              <w:rStyle w:val="18"/>
            </w:rPr>
            <w:fldChar w:fldCharType="end"/>
          </w:r>
          <w:r>
            <w:rPr>
              <w:rFonts w:asciiTheme="minorHAnsi" w:hAnsiTheme="minorHAnsi" w:eastAsiaTheme="minorEastAsia" w:cstheme="minorBidi"/>
              <w:b w:val="0"/>
              <w:bCs w:val="0"/>
              <w:sz w:val="22"/>
              <w:szCs w:val="22"/>
              <w:lang w:val="id-ID" w:eastAsia="id-ID"/>
            </w:rPr>
            <w:t xml:space="preserve"> </w:t>
          </w:r>
          <w:r>
            <w:fldChar w:fldCharType="begin"/>
          </w:r>
          <w:r>
            <w:instrText xml:space="preserve"> HYPERLINK \l "_Toc230017874" </w:instrText>
          </w:r>
          <w:r>
            <w:fldChar w:fldCharType="separate"/>
          </w:r>
          <w:r>
            <w:rPr>
              <w:rStyle w:val="18"/>
              <w:lang w:val="en-US"/>
            </w:rPr>
            <w:t>KESIMPULAN DAN SARAN</w:t>
          </w:r>
          <w:r>
            <w:tab/>
          </w:r>
          <w:r>
            <w:fldChar w:fldCharType="begin"/>
          </w:r>
          <w:r>
            <w:instrText xml:space="preserve"> PAGEREF _Toc230017874 \h </w:instrText>
          </w:r>
          <w:r>
            <w:fldChar w:fldCharType="separate"/>
          </w:r>
          <w:r>
            <w:t>52</w:t>
          </w:r>
          <w:r>
            <w:fldChar w:fldCharType="end"/>
          </w:r>
          <w:r>
            <w:fldChar w:fldCharType="end"/>
          </w:r>
        </w:p>
        <w:p w14:paraId="43684C08">
          <w:pPr>
            <w:pStyle w:val="23"/>
            <w:numPr>
              <w:ilvl w:val="0"/>
              <w:numId w:val="5"/>
            </w:numPr>
            <w:tabs>
              <w:tab w:val="right" w:leader="dot" w:pos="7931"/>
            </w:tabs>
            <w:spacing w:line="360" w:lineRule="auto"/>
            <w:ind w:left="851" w:hanging="284"/>
            <w:rPr>
              <w:rFonts w:asciiTheme="minorHAnsi" w:hAnsiTheme="minorHAnsi" w:eastAsiaTheme="minorEastAsia" w:cstheme="minorBidi"/>
              <w:b w:val="0"/>
              <w:bCs w:val="0"/>
              <w:sz w:val="22"/>
              <w:szCs w:val="22"/>
              <w:lang w:val="id-ID" w:eastAsia="id-ID"/>
            </w:rPr>
          </w:pPr>
          <w:r>
            <w:fldChar w:fldCharType="begin"/>
          </w:r>
          <w:r>
            <w:instrText xml:space="preserve"> HYPERLINK \l "_Toc230017875" </w:instrText>
          </w:r>
          <w:r>
            <w:fldChar w:fldCharType="separate"/>
          </w:r>
          <w:r>
            <w:rPr>
              <w:rStyle w:val="18"/>
              <w:b w:val="0"/>
            </w:rPr>
            <w:t>Kesimpulan</w:t>
          </w:r>
          <w:r>
            <w:rPr>
              <w:b w:val="0"/>
            </w:rPr>
            <w:tab/>
          </w:r>
          <w:r>
            <w:rPr>
              <w:b w:val="0"/>
            </w:rPr>
            <w:fldChar w:fldCharType="begin"/>
          </w:r>
          <w:r>
            <w:rPr>
              <w:b w:val="0"/>
            </w:rPr>
            <w:instrText xml:space="preserve"> PAGEREF _Toc230017875 \h </w:instrText>
          </w:r>
          <w:r>
            <w:rPr>
              <w:b w:val="0"/>
            </w:rPr>
            <w:fldChar w:fldCharType="separate"/>
          </w:r>
          <w:r>
            <w:rPr>
              <w:b w:val="0"/>
            </w:rPr>
            <w:t>52</w:t>
          </w:r>
          <w:r>
            <w:rPr>
              <w:b w:val="0"/>
            </w:rPr>
            <w:fldChar w:fldCharType="end"/>
          </w:r>
          <w:r>
            <w:rPr>
              <w:b w:val="0"/>
            </w:rPr>
            <w:fldChar w:fldCharType="end"/>
          </w:r>
        </w:p>
        <w:p w14:paraId="1339AD5B">
          <w:pPr>
            <w:pStyle w:val="23"/>
            <w:numPr>
              <w:ilvl w:val="0"/>
              <w:numId w:val="5"/>
            </w:numPr>
            <w:tabs>
              <w:tab w:val="right" w:leader="dot" w:pos="7931"/>
            </w:tabs>
            <w:spacing w:line="360" w:lineRule="auto"/>
            <w:ind w:left="851" w:hanging="284"/>
            <w:rPr>
              <w:rFonts w:asciiTheme="minorHAnsi" w:hAnsiTheme="minorHAnsi" w:eastAsiaTheme="minorEastAsia" w:cstheme="minorBidi"/>
              <w:b w:val="0"/>
              <w:bCs w:val="0"/>
              <w:sz w:val="22"/>
              <w:szCs w:val="22"/>
              <w:lang w:val="id-ID" w:eastAsia="id-ID"/>
            </w:rPr>
          </w:pPr>
          <w:r>
            <w:fldChar w:fldCharType="begin"/>
          </w:r>
          <w:r>
            <w:instrText xml:space="preserve"> HYPERLINK \l "_Toc230017876" </w:instrText>
          </w:r>
          <w:r>
            <w:fldChar w:fldCharType="separate"/>
          </w:r>
          <w:r>
            <w:rPr>
              <w:rStyle w:val="18"/>
              <w:b w:val="0"/>
            </w:rPr>
            <w:t>Saran</w:t>
          </w:r>
          <w:r>
            <w:rPr>
              <w:b w:val="0"/>
            </w:rPr>
            <w:tab/>
          </w:r>
          <w:r>
            <w:rPr>
              <w:b w:val="0"/>
            </w:rPr>
            <w:fldChar w:fldCharType="begin"/>
          </w:r>
          <w:r>
            <w:rPr>
              <w:b w:val="0"/>
            </w:rPr>
            <w:instrText xml:space="preserve"> PAGEREF _Toc230017876 \h </w:instrText>
          </w:r>
          <w:r>
            <w:rPr>
              <w:b w:val="0"/>
            </w:rPr>
            <w:fldChar w:fldCharType="separate"/>
          </w:r>
          <w:r>
            <w:rPr>
              <w:b w:val="0"/>
            </w:rPr>
            <w:t>53</w:t>
          </w:r>
          <w:r>
            <w:rPr>
              <w:b w:val="0"/>
            </w:rPr>
            <w:fldChar w:fldCharType="end"/>
          </w:r>
          <w:r>
            <w:rPr>
              <w:b w:val="0"/>
            </w:rPr>
            <w:fldChar w:fldCharType="end"/>
          </w:r>
        </w:p>
        <w:p w14:paraId="26BC4125">
          <w:pPr>
            <w:pStyle w:val="22"/>
            <w:tabs>
              <w:tab w:val="right" w:leader="dot" w:pos="7931"/>
            </w:tabs>
            <w:spacing w:before="0" w:line="360" w:lineRule="auto"/>
            <w:ind w:left="0"/>
            <w:rPr>
              <w:rFonts w:asciiTheme="minorHAnsi" w:hAnsiTheme="minorHAnsi" w:eastAsiaTheme="minorEastAsia" w:cstheme="minorBidi"/>
              <w:b w:val="0"/>
              <w:bCs w:val="0"/>
              <w:sz w:val="22"/>
              <w:szCs w:val="22"/>
              <w:lang w:val="id-ID" w:eastAsia="id-ID"/>
            </w:rPr>
          </w:pPr>
          <w:r>
            <w:fldChar w:fldCharType="begin"/>
          </w:r>
          <w:r>
            <w:instrText xml:space="preserve"> HYPERLINK \l "_Toc230017877" </w:instrText>
          </w:r>
          <w:r>
            <w:fldChar w:fldCharType="separate"/>
          </w:r>
          <w:r>
            <w:rPr>
              <w:rStyle w:val="18"/>
            </w:rPr>
            <w:t>DAFTAR PUSTAKA</w:t>
          </w:r>
          <w:r>
            <w:tab/>
          </w:r>
          <w:r>
            <w:fldChar w:fldCharType="begin"/>
          </w:r>
          <w:r>
            <w:instrText xml:space="preserve"> PAGEREF _Toc230017877 \h </w:instrText>
          </w:r>
          <w:r>
            <w:fldChar w:fldCharType="separate"/>
          </w:r>
          <w:r>
            <w:t>55</w:t>
          </w:r>
          <w:r>
            <w:fldChar w:fldCharType="end"/>
          </w:r>
          <w:r>
            <w:fldChar w:fldCharType="end"/>
          </w:r>
        </w:p>
        <w:p w14:paraId="497A8F2C">
          <w:pPr>
            <w:spacing w:line="360" w:lineRule="auto"/>
          </w:pPr>
          <w:r>
            <w:rPr>
              <w:b/>
              <w:bCs/>
            </w:rPr>
            <w:fldChar w:fldCharType="end"/>
          </w:r>
        </w:p>
      </w:sdtContent>
    </w:sdt>
    <w:p w14:paraId="497A8F2D">
      <w:pPr>
        <w:pStyle w:val="23"/>
        <w:tabs>
          <w:tab w:val="right" w:leader="dot" w:pos="7938"/>
        </w:tabs>
        <w:spacing w:line="360" w:lineRule="auto"/>
        <w:ind w:left="0"/>
        <w:rPr>
          <w:lang w:val="id-ID"/>
        </w:rPr>
      </w:pPr>
    </w:p>
    <w:p w14:paraId="497A8F2E">
      <w:pPr>
        <w:pStyle w:val="23"/>
        <w:tabs>
          <w:tab w:val="right" w:leader="dot" w:pos="7938"/>
        </w:tabs>
        <w:spacing w:line="360" w:lineRule="auto"/>
        <w:ind w:left="0"/>
        <w:rPr>
          <w:lang w:val="id-ID"/>
        </w:rPr>
      </w:pPr>
    </w:p>
    <w:p w14:paraId="497A8F2F">
      <w:pPr>
        <w:pStyle w:val="23"/>
        <w:tabs>
          <w:tab w:val="right" w:leader="dot" w:pos="7938"/>
        </w:tabs>
        <w:spacing w:line="360" w:lineRule="auto"/>
        <w:ind w:left="0"/>
        <w:rPr>
          <w:lang w:val="id-ID"/>
        </w:rPr>
      </w:pPr>
    </w:p>
    <w:p w14:paraId="497A8F30">
      <w:pPr>
        <w:pStyle w:val="24"/>
        <w:tabs>
          <w:tab w:val="right" w:leader="dot" w:pos="7938"/>
        </w:tabs>
        <w:spacing w:line="360" w:lineRule="auto"/>
        <w:ind w:left="0" w:firstLine="0"/>
        <w:rPr>
          <w:b/>
          <w:spacing w:val="-10"/>
          <w:lang w:val="id-ID"/>
        </w:rPr>
      </w:pPr>
    </w:p>
    <w:p w14:paraId="497A8F31">
      <w:pPr>
        <w:pStyle w:val="24"/>
        <w:tabs>
          <w:tab w:val="right" w:leader="dot" w:pos="7938"/>
        </w:tabs>
        <w:spacing w:line="360" w:lineRule="auto"/>
        <w:ind w:left="0" w:firstLine="0"/>
        <w:rPr>
          <w:spacing w:val="-10"/>
        </w:rPr>
        <w:sectPr>
          <w:headerReference r:id="rId19" w:type="first"/>
          <w:headerReference r:id="rId17" w:type="default"/>
          <w:footerReference r:id="rId20" w:type="default"/>
          <w:headerReference r:id="rId18" w:type="even"/>
          <w:pgSz w:w="11910" w:h="16840"/>
          <w:pgMar w:top="1701" w:right="1701" w:bottom="1701" w:left="2268" w:header="709" w:footer="709" w:gutter="0"/>
          <w:pgNumType w:fmt="lowerRoman"/>
          <w:cols w:space="708" w:num="1"/>
          <w:docGrid w:linePitch="360" w:charSpace="0"/>
        </w:sectPr>
      </w:pPr>
    </w:p>
    <w:p w14:paraId="497A8F32">
      <w:pPr>
        <w:pStyle w:val="24"/>
        <w:tabs>
          <w:tab w:val="right" w:leader="dot" w:pos="7938"/>
        </w:tabs>
        <w:ind w:left="0" w:firstLine="0"/>
        <w:jc w:val="center"/>
        <w:outlineLvl w:val="0"/>
      </w:pPr>
      <w:bookmarkStart w:id="8" w:name="_Toc230017842"/>
      <w:r>
        <w:rPr>
          <w:b/>
          <w:bCs/>
        </w:rPr>
        <w:t>BAB I</w:t>
      </w:r>
      <w:bookmarkEnd w:id="8"/>
    </w:p>
    <w:p w14:paraId="497A8F33">
      <w:pPr>
        <w:spacing w:line="360" w:lineRule="auto"/>
        <w:jc w:val="center"/>
        <w:outlineLvl w:val="0"/>
        <w:rPr>
          <w:b/>
          <w:bCs/>
          <w:sz w:val="24"/>
          <w:szCs w:val="24"/>
        </w:rPr>
      </w:pPr>
      <w:bookmarkStart w:id="9" w:name="_Toc228363704"/>
      <w:bookmarkStart w:id="10" w:name="_Toc230017843"/>
      <w:bookmarkStart w:id="11" w:name="_Toc228361573"/>
      <w:r>
        <w:rPr>
          <w:b/>
          <w:bCs/>
          <w:sz w:val="24"/>
          <w:szCs w:val="24"/>
        </w:rPr>
        <w:t>PENDAHULUAN</w:t>
      </w:r>
      <w:bookmarkEnd w:id="9"/>
      <w:bookmarkEnd w:id="10"/>
      <w:bookmarkEnd w:id="11"/>
    </w:p>
    <w:p w14:paraId="497A8F34">
      <w:pPr>
        <w:spacing w:line="360" w:lineRule="auto"/>
        <w:jc w:val="both"/>
        <w:rPr>
          <w:sz w:val="24"/>
          <w:szCs w:val="24"/>
        </w:rPr>
      </w:pPr>
      <w:r>
        <w:rPr>
          <w:sz w:val="24"/>
          <w:szCs w:val="24"/>
        </w:rPr>
        <w:t xml:space="preserve"> </w:t>
      </w:r>
    </w:p>
    <w:p w14:paraId="497A8F35">
      <w:pPr>
        <w:pStyle w:val="3"/>
        <w:spacing w:before="0" w:after="0" w:line="360" w:lineRule="auto"/>
        <w:rPr>
          <w:rFonts w:ascii="Times New Roman" w:hAnsi="Times New Roman" w:cs="Times New Roman"/>
          <w:b/>
          <w:sz w:val="24"/>
          <w:szCs w:val="24"/>
        </w:rPr>
      </w:pPr>
      <w:bookmarkStart w:id="12" w:name="_Toc230017844"/>
      <w:r>
        <w:rPr>
          <w:rFonts w:ascii="Times New Roman" w:hAnsi="Times New Roman" w:cs="Times New Roman"/>
          <w:b/>
          <w:color w:val="auto"/>
          <w:sz w:val="24"/>
          <w:szCs w:val="24"/>
        </w:rPr>
        <w:t>A. Latar Belakang</w:t>
      </w:r>
      <w:bookmarkEnd w:id="12"/>
      <w:r>
        <w:rPr>
          <w:rFonts w:ascii="Times New Roman" w:hAnsi="Times New Roman" w:cs="Times New Roman"/>
          <w:b/>
          <w:color w:val="auto"/>
          <w:sz w:val="24"/>
          <w:szCs w:val="24"/>
        </w:rPr>
        <w:t xml:space="preserve"> </w:t>
      </w:r>
    </w:p>
    <w:p w14:paraId="0956CF5E">
      <w:pPr>
        <w:spacing w:line="360" w:lineRule="auto"/>
        <w:ind w:firstLine="284"/>
        <w:jc w:val="both"/>
        <w:rPr>
          <w:sz w:val="24"/>
          <w:szCs w:val="24"/>
          <w:lang w:val="id-ID"/>
        </w:rPr>
      </w:pPr>
      <w:r>
        <w:rPr>
          <w:sz w:val="24"/>
          <w:szCs w:val="24"/>
          <w:lang w:val="id-ID"/>
        </w:rPr>
        <w:t>Pemilihan Umum (Pemilu) merupakan ejawantah paling murni dari pilar sistem tata pemerintahan demokrasi modern. Pemilu berfungsi secara konstitusional sebagai sarana utama bagi rakyat untuk menyalurkan kedaulatannya dalam melahirkan legitimasi sosiologis dan yuridis kepemimpinan politik, baik pada ranah lembaga eksekutif maupun lembaga legislatif. Di dalam tatanan hukum positif Indonesia, komitmen fundamental terhadap penyelenggaraan pemilu ditegaskan secara eksplisit pada Pasal 22E Ayat (1) Undang-Undang Dasar Negara Republik Indonesia Tahun 1945 (UUD NRI 1945). Pasal tersebut menggariskan bahwa pemilihan umum wajib diselenggarakan secara langsung, umum, bebas, rahasia, jujur, dan adil (Luber Jurdil) setiap lima tahun sekali. Penyebutan asas "jujur dan adil" tidak sekadar dipandang sebagai ornamen normatif-tekstual semata, melainkan sebuah prasyarat keabsahan mutlak (</w:t>
      </w:r>
      <w:r>
        <w:rPr>
          <w:i/>
          <w:sz w:val="24"/>
          <w:szCs w:val="24"/>
          <w:lang w:val="id-ID"/>
        </w:rPr>
        <w:t>conditio sine qua non</w:t>
      </w:r>
      <w:r>
        <w:rPr>
          <w:sz w:val="24"/>
          <w:szCs w:val="24"/>
          <w:lang w:val="id-ID"/>
        </w:rPr>
        <w:t>). Jika aspek kejujuran dan keadilan ini dicederai, maka produk politik hasil pemilu akan kehilangan sandaran moral dan keabsahannya. Imbasnya, dapat memicu krisis kepercayaan publik terhadap institusi negara serta meruntuhkan sendi-sendi keadilan dalam suatu negara hukum.</w:t>
      </w:r>
    </w:p>
    <w:p w14:paraId="16FE6F52">
      <w:pPr>
        <w:spacing w:line="360" w:lineRule="auto"/>
        <w:ind w:firstLine="284"/>
        <w:jc w:val="both"/>
        <w:rPr>
          <w:sz w:val="24"/>
          <w:szCs w:val="24"/>
          <w:lang w:val="id-ID"/>
        </w:rPr>
      </w:pPr>
      <w:r>
        <w:rPr>
          <w:sz w:val="24"/>
          <w:szCs w:val="24"/>
          <w:lang w:val="id-ID"/>
        </w:rPr>
        <w:t xml:space="preserve">Guna mengoperasionalkan nilai-nilai luhur konstitusi tersebut ke dalam tataran praktis, Undang-Undang Nomor 7 Tahun 2017 tentang Pemilihan Umum dibentuk sebagai payung regulasi nasional guna membangun ekosistem penyelenggaraan pemilu yang independen, mandiri, dan steril dari intervensi politik transaksional. Dalam arsitektur kelembagaan pemilu di Indonesia, Komisi Pemilihan Umum (KPU) mengemban tugas sebagai motor penggerak utama struktural yang ditopang oleh jajaran perangkat ad hoc di tingkat bawah. Pada level distrik, amanat teknis pelaksanaan tahapan pemilu diserahkan sepenuhnya kepada Panitia Pemilihan Kecamatan (PPK). Badan ad hoc PPK memegang posisi strategis sekaligus rawan, karena bertindak sebagai pintu gerbang pertama akumulasi suara pasca-rekapitulasi di Tempat Pemungutan Suara (TPS). </w:t>
      </w:r>
    </w:p>
    <w:p w14:paraId="4EB99F4C">
      <w:pPr>
        <w:spacing w:line="360" w:lineRule="auto"/>
        <w:jc w:val="both"/>
        <w:rPr>
          <w:sz w:val="24"/>
          <w:szCs w:val="24"/>
          <w:lang w:val="id-ID"/>
        </w:rPr>
        <w:sectPr>
          <w:headerReference r:id="rId23" w:type="first"/>
          <w:headerReference r:id="rId21" w:type="default"/>
          <w:footerReference r:id="rId24" w:type="default"/>
          <w:headerReference r:id="rId22" w:type="even"/>
          <w:pgSz w:w="11910" w:h="16840"/>
          <w:pgMar w:top="1701" w:right="1701" w:bottom="1701" w:left="2268" w:header="709" w:footer="709" w:gutter="0"/>
          <w:pgNumType w:start="1"/>
          <w:cols w:space="708" w:num="1"/>
          <w:docGrid w:linePitch="360" w:charSpace="0"/>
        </w:sectPr>
      </w:pPr>
    </w:p>
    <w:p w14:paraId="625E010B">
      <w:pPr>
        <w:spacing w:line="360" w:lineRule="auto"/>
        <w:ind w:firstLine="284"/>
        <w:jc w:val="both"/>
        <w:rPr>
          <w:sz w:val="24"/>
          <w:szCs w:val="24"/>
          <w:lang w:val="id-ID"/>
        </w:rPr>
      </w:pPr>
      <w:r>
        <w:rPr>
          <w:sz w:val="24"/>
          <w:szCs w:val="24"/>
          <w:lang w:val="id-ID"/>
        </w:rPr>
        <w:t>Otoritas yuridis yang melekat pada personal PPK mencakup wewenang melakukan pemindahan data numerik perolehan suara dari formulir C-Hasil tingkat TPS ke dalam draf rekapitulasi komparatif berbentuk formulir D-Hasil tingkat kecamatan.</w:t>
      </w:r>
    </w:p>
    <w:p w14:paraId="43581CCF">
      <w:pPr>
        <w:spacing w:line="360" w:lineRule="auto"/>
        <w:ind w:firstLine="284"/>
        <w:jc w:val="both"/>
        <w:rPr>
          <w:sz w:val="24"/>
          <w:szCs w:val="24"/>
          <w:lang w:val="id-ID"/>
        </w:rPr>
      </w:pPr>
      <w:r>
        <w:rPr>
          <w:sz w:val="24"/>
          <w:szCs w:val="24"/>
          <w:lang w:val="id-ID"/>
        </w:rPr>
        <w:t xml:space="preserve">Kendati dibekali dengan instrumen hukum dan fasilitas kedinasan yang memadai, realitas empiris di lapangan kerap memperlihatkan jurang pemisah yang lebar antara norma perilaku ideal dan praktik faktual. Fenomena patologi birokrasi pemilu membuktikan bahwa besarnya kekuasaan administratif yang dimiliki oleh jajaran PPK rentan disalahgunakan demi keuntungan pragmatis. Letak geografis dan kedudukan fungsional PPK menjadikannya sasaran empuk intervensi dari kontestan pemilu yang berburu insentif elektoral melalui jalur ilegal. Alih-alih tegak lurus menjadi pelindung keaslian suara rakyat, oknum penyelenggara pemilu tidak jarang bergeser peran menjadi pelaku utama atau aktor penggerak dalam lingkaran kejahatan pemilu kedinasan. </w:t>
      </w:r>
    </w:p>
    <w:p w14:paraId="4B5AF02B">
      <w:pPr>
        <w:spacing w:line="360" w:lineRule="auto"/>
        <w:ind w:firstLine="284"/>
        <w:jc w:val="both"/>
        <w:rPr>
          <w:sz w:val="24"/>
          <w:szCs w:val="24"/>
          <w:lang w:val="id-ID"/>
        </w:rPr>
      </w:pPr>
      <w:r>
        <w:rPr>
          <w:sz w:val="24"/>
          <w:szCs w:val="24"/>
          <w:lang w:val="id-ID"/>
        </w:rPr>
        <w:t>Salah satu jenis kejahatan kedinasan yang paling mencederai integritas hasil pemilu adalah memanipulasi, menggeser, mengeliminasi, ataupun menggelembungkan angka perolehan suara demi mendongkrak perolehan suara partai politik atau calon legislatif tertentu.</w:t>
      </w:r>
    </w:p>
    <w:p w14:paraId="53A6931D">
      <w:pPr>
        <w:spacing w:line="360" w:lineRule="auto"/>
        <w:jc w:val="both"/>
        <w:rPr>
          <w:sz w:val="24"/>
          <w:szCs w:val="24"/>
          <w:lang w:val="id-ID"/>
        </w:rPr>
      </w:pPr>
      <w:r>
        <w:rPr>
          <w:sz w:val="24"/>
          <w:szCs w:val="24"/>
          <w:lang w:val="id-ID"/>
        </w:rPr>
        <w:t xml:space="preserve">    Penyalahgunaan wewenang secara masif ini terekam jelas dalam perkara tindak pidana pemilu legislatif tahun 2024 yang terjadi di wilayah hukum Kota Medan, Provinsi Sumatera Utara. Tindakan melanggar hukum ini menyeret 3 (tiga) komisioner aktif badan ad hoc Panitia Pemilihan Kecamatan (PPK) Medan Timur, yakni MRR, ASBH, dan JM. Berdasarkan hasil penyidikan Sentra Penegakan Hukum Terpadu (</w:t>
      </w:r>
      <w:r>
        <w:rPr>
          <w:i/>
          <w:sz w:val="24"/>
          <w:szCs w:val="24"/>
          <w:lang w:val="id-ID"/>
        </w:rPr>
        <w:t>Gakkumdu</w:t>
      </w:r>
      <w:r>
        <w:rPr>
          <w:sz w:val="24"/>
          <w:szCs w:val="24"/>
          <w:lang w:val="id-ID"/>
        </w:rPr>
        <w:t>) Bawaslu Kota Medan, ketiga terdakwa terbukti secara sadar melanggar tugas pokok dan fungsinya dengan menggeser saku suara partai politik lain untuk ditumpuk ke dalam saku perolehan suara milik calon legislatif tertentu secara tidak sah pada saat rapat pleno terbuka rekapitulasi hasil penghitungan suara tingkat kecamatan sedang berjalan.</w:t>
      </w:r>
    </w:p>
    <w:p w14:paraId="4AD08BD6">
      <w:pPr>
        <w:spacing w:line="360" w:lineRule="auto"/>
        <w:ind w:firstLine="284"/>
        <w:jc w:val="both"/>
        <w:rPr>
          <w:sz w:val="24"/>
          <w:szCs w:val="24"/>
          <w:lang w:val="id-ID"/>
        </w:rPr>
      </w:pPr>
      <w:r>
        <w:rPr>
          <w:sz w:val="24"/>
          <w:szCs w:val="24"/>
        </w:rPr>
        <w:t>Berdasarkan uraian di atas, penulis tertarik untuk melakukan penelitian dan menyusunnya dalam bentuk skripsi dengan judul "</w:t>
      </w:r>
      <w:r>
        <w:rPr>
          <w:sz w:val="24"/>
          <w:szCs w:val="24"/>
          <w:lang w:val="en-US"/>
        </w:rPr>
        <w:t>PERTANGGUNGJAWABAN TINDAK PIDANA PEMILIHAN UMUM YANG DILAKUKAN PANITTIA PEMILIHAN KECAMATAN (PPK)</w:t>
      </w:r>
      <w:r>
        <w:rPr>
          <w:sz w:val="24"/>
          <w:szCs w:val="24"/>
        </w:rPr>
        <w:t>".</w:t>
      </w:r>
    </w:p>
    <w:p w14:paraId="68D2CD41">
      <w:pPr>
        <w:spacing w:line="360" w:lineRule="auto"/>
        <w:ind w:firstLine="284"/>
        <w:jc w:val="both"/>
        <w:rPr>
          <w:sz w:val="24"/>
          <w:szCs w:val="24"/>
          <w:lang w:val="id-ID"/>
        </w:rPr>
      </w:pPr>
    </w:p>
    <w:p w14:paraId="497A8F3B">
      <w:pPr>
        <w:pStyle w:val="38"/>
        <w:numPr>
          <w:ilvl w:val="0"/>
          <w:numId w:val="6"/>
        </w:numPr>
        <w:spacing w:line="360" w:lineRule="auto"/>
        <w:ind w:left="284" w:hanging="284"/>
        <w:jc w:val="both"/>
        <w:outlineLvl w:val="1"/>
        <w:rPr>
          <w:sz w:val="24"/>
          <w:szCs w:val="24"/>
        </w:rPr>
      </w:pPr>
      <w:bookmarkStart w:id="13" w:name="_Toc230017845"/>
      <w:r>
        <w:rPr>
          <w:b/>
          <w:sz w:val="24"/>
          <w:szCs w:val="24"/>
        </w:rPr>
        <w:t>Rumusan Masalah</w:t>
      </w:r>
      <w:bookmarkEnd w:id="13"/>
    </w:p>
    <w:p w14:paraId="497A8F3C">
      <w:pPr>
        <w:pStyle w:val="38"/>
        <w:numPr>
          <w:ilvl w:val="0"/>
          <w:numId w:val="7"/>
        </w:numPr>
        <w:spacing w:line="360" w:lineRule="auto"/>
        <w:ind w:left="567" w:hanging="283"/>
        <w:jc w:val="both"/>
        <w:rPr>
          <w:sz w:val="24"/>
          <w:szCs w:val="24"/>
        </w:rPr>
      </w:pPr>
      <w:r>
        <w:rPr>
          <w:sz w:val="24"/>
          <w:szCs w:val="24"/>
        </w:rPr>
        <w:t xml:space="preserve">Bagaimanakah </w:t>
      </w:r>
      <w:r>
        <w:rPr>
          <w:sz w:val="24"/>
          <w:szCs w:val="24"/>
          <w:lang w:val="en-US"/>
        </w:rPr>
        <w:t>pertanggungjawaban pidana pemilihan umum yang dilakukan panitia pemilihan kecamatan (PPK) Medan Timur</w:t>
      </w:r>
      <w:r>
        <w:rPr>
          <w:sz w:val="24"/>
          <w:szCs w:val="24"/>
        </w:rPr>
        <w:t>?</w:t>
      </w:r>
    </w:p>
    <w:p w14:paraId="497A8F3D">
      <w:pPr>
        <w:pStyle w:val="38"/>
        <w:numPr>
          <w:ilvl w:val="0"/>
          <w:numId w:val="7"/>
        </w:numPr>
        <w:spacing w:line="360" w:lineRule="auto"/>
        <w:ind w:left="567" w:hanging="283"/>
        <w:jc w:val="both"/>
        <w:rPr>
          <w:sz w:val="24"/>
          <w:szCs w:val="24"/>
          <w:lang w:val="en-US"/>
        </w:rPr>
      </w:pPr>
      <w:r>
        <w:rPr>
          <w:sz w:val="24"/>
          <w:szCs w:val="24"/>
          <w:lang w:val="en-US"/>
        </w:rPr>
        <w:t>Bagaimana analisis pertimbangan hakim dalam putusan No.1/Pid.S/2024/PN Mdn?</w:t>
      </w:r>
    </w:p>
    <w:p w14:paraId="497A8F3E">
      <w:pPr>
        <w:pStyle w:val="38"/>
        <w:numPr>
          <w:ilvl w:val="0"/>
          <w:numId w:val="7"/>
        </w:numPr>
        <w:spacing w:line="360" w:lineRule="auto"/>
        <w:ind w:left="567" w:hanging="283"/>
        <w:jc w:val="both"/>
        <w:rPr>
          <w:sz w:val="24"/>
          <w:szCs w:val="24"/>
        </w:rPr>
      </w:pPr>
      <w:r>
        <w:rPr>
          <w:sz w:val="24"/>
          <w:szCs w:val="24"/>
          <w:lang w:val="en-US"/>
        </w:rPr>
        <w:t>Apa kendala dan hambatan panitia pemilihan kecamatan (PPK) dalam pemilihan umum legeslatif</w:t>
      </w:r>
      <w:r>
        <w:rPr>
          <w:sz w:val="24"/>
          <w:szCs w:val="24"/>
        </w:rPr>
        <w:t>?</w:t>
      </w:r>
    </w:p>
    <w:p w14:paraId="497A8F3F">
      <w:pPr>
        <w:spacing w:line="360" w:lineRule="auto"/>
        <w:jc w:val="both"/>
        <w:rPr>
          <w:sz w:val="24"/>
          <w:szCs w:val="24"/>
        </w:rPr>
      </w:pPr>
      <w:r>
        <w:rPr>
          <w:sz w:val="24"/>
          <w:szCs w:val="24"/>
        </w:rPr>
        <w:t xml:space="preserve"> </w:t>
      </w:r>
    </w:p>
    <w:p w14:paraId="497A8F40">
      <w:pPr>
        <w:pStyle w:val="3"/>
        <w:rPr>
          <w:rFonts w:ascii="Times New Roman" w:hAnsi="Times New Roman" w:cs="Times New Roman"/>
          <w:b/>
          <w:color w:val="auto"/>
          <w:sz w:val="24"/>
          <w:szCs w:val="24"/>
        </w:rPr>
      </w:pPr>
      <w:bookmarkStart w:id="14" w:name="_Toc230017846"/>
      <w:r>
        <w:rPr>
          <w:rFonts w:ascii="Times New Roman" w:hAnsi="Times New Roman" w:cs="Times New Roman"/>
          <w:b/>
          <w:color w:val="auto"/>
          <w:sz w:val="24"/>
          <w:szCs w:val="24"/>
        </w:rPr>
        <w:t>C. Tujuan Penelitian</w:t>
      </w:r>
      <w:bookmarkEnd w:id="14"/>
    </w:p>
    <w:p w14:paraId="497A8F41">
      <w:pPr>
        <w:pStyle w:val="38"/>
        <w:numPr>
          <w:ilvl w:val="0"/>
          <w:numId w:val="8"/>
        </w:numPr>
        <w:spacing w:line="360" w:lineRule="auto"/>
        <w:ind w:left="567" w:hanging="283"/>
        <w:jc w:val="both"/>
        <w:rPr>
          <w:sz w:val="24"/>
          <w:szCs w:val="24"/>
        </w:rPr>
      </w:pPr>
      <w:r>
        <w:rPr>
          <w:sz w:val="24"/>
          <w:szCs w:val="24"/>
        </w:rPr>
        <w:t>Untuk mengetahui dan mendeskripsikan secara jelas mengenai kronologi kejadian serta fakta-fakta hukum yang terungkap dalam persidangan terkait tindakan yang dilakukan oleh Terdakwa.</w:t>
      </w:r>
    </w:p>
    <w:p w14:paraId="497A8F42">
      <w:pPr>
        <w:pStyle w:val="38"/>
        <w:numPr>
          <w:ilvl w:val="0"/>
          <w:numId w:val="8"/>
        </w:numPr>
        <w:spacing w:line="360" w:lineRule="auto"/>
        <w:ind w:left="567" w:hanging="283"/>
        <w:jc w:val="both"/>
        <w:rPr>
          <w:sz w:val="24"/>
          <w:szCs w:val="24"/>
        </w:rPr>
      </w:pPr>
      <w:r>
        <w:rPr>
          <w:sz w:val="24"/>
          <w:szCs w:val="24"/>
        </w:rPr>
        <w:t>Untuk menganalisis dan memahami ketentuan pasal-pasal hukum yang dilanggar serta penerapannya dalam perkara tersebut, termasuk aspek hukum acara dan pertanggungjawaban pidana.</w:t>
      </w:r>
    </w:p>
    <w:p w14:paraId="497A8F43">
      <w:pPr>
        <w:pStyle w:val="38"/>
        <w:numPr>
          <w:ilvl w:val="0"/>
          <w:numId w:val="8"/>
        </w:numPr>
        <w:spacing w:line="360" w:lineRule="auto"/>
        <w:ind w:left="567" w:hanging="283"/>
        <w:jc w:val="both"/>
        <w:rPr>
          <w:sz w:val="24"/>
          <w:szCs w:val="24"/>
        </w:rPr>
      </w:pPr>
      <w:r>
        <w:rPr>
          <w:sz w:val="24"/>
          <w:szCs w:val="24"/>
        </w:rPr>
        <w:t>Untuk mengetahui dasar pertimbangan hukum hakim dan isi vonis yang dijatuhkan dalam putusan tersebut.</w:t>
      </w:r>
    </w:p>
    <w:p w14:paraId="130D835D">
      <w:pPr>
        <w:pStyle w:val="38"/>
        <w:numPr>
          <w:ilvl w:val="0"/>
          <w:numId w:val="8"/>
        </w:numPr>
        <w:spacing w:line="360" w:lineRule="auto"/>
        <w:ind w:left="567" w:hanging="283"/>
        <w:jc w:val="both"/>
        <w:rPr>
          <w:sz w:val="24"/>
          <w:szCs w:val="24"/>
        </w:rPr>
      </w:pPr>
      <w:r>
        <w:rPr>
          <w:sz w:val="24"/>
          <w:szCs w:val="24"/>
        </w:rPr>
        <w:t>Untuk menganalisis kendala kendala apa saja yang di hadapi Panitia Pemilihan Kecamatan sehingga para terdakwa bisa melakukan tindakan yang dilarang.</w:t>
      </w:r>
    </w:p>
    <w:p w14:paraId="497A8F44">
      <w:pPr>
        <w:spacing w:line="360" w:lineRule="auto"/>
        <w:jc w:val="both"/>
        <w:rPr>
          <w:sz w:val="24"/>
          <w:szCs w:val="24"/>
        </w:rPr>
      </w:pPr>
      <w:r>
        <w:rPr>
          <w:sz w:val="24"/>
          <w:szCs w:val="24"/>
        </w:rPr>
        <w:t xml:space="preserve"> </w:t>
      </w:r>
    </w:p>
    <w:p w14:paraId="497A8F45">
      <w:pPr>
        <w:pStyle w:val="3"/>
        <w:spacing w:before="0" w:after="0" w:line="360" w:lineRule="auto"/>
        <w:rPr>
          <w:rFonts w:ascii="Times New Roman" w:hAnsi="Times New Roman" w:cs="Times New Roman"/>
          <w:b/>
          <w:sz w:val="24"/>
          <w:szCs w:val="24"/>
        </w:rPr>
      </w:pPr>
      <w:bookmarkStart w:id="15" w:name="_Toc230017847"/>
      <w:r>
        <w:rPr>
          <w:rFonts w:ascii="Times New Roman" w:hAnsi="Times New Roman" w:cs="Times New Roman"/>
          <w:b/>
          <w:color w:val="auto"/>
          <w:sz w:val="24"/>
          <w:szCs w:val="24"/>
        </w:rPr>
        <w:t>D. Manfaat Penelitian</w:t>
      </w:r>
      <w:bookmarkEnd w:id="15"/>
    </w:p>
    <w:p w14:paraId="497A8F46">
      <w:pPr>
        <w:pStyle w:val="38"/>
        <w:numPr>
          <w:ilvl w:val="0"/>
          <w:numId w:val="9"/>
        </w:numPr>
        <w:spacing w:line="360" w:lineRule="auto"/>
        <w:ind w:left="567" w:hanging="283"/>
        <w:jc w:val="both"/>
        <w:rPr>
          <w:sz w:val="24"/>
          <w:szCs w:val="24"/>
        </w:rPr>
      </w:pPr>
      <w:r>
        <w:rPr>
          <w:sz w:val="24"/>
          <w:szCs w:val="24"/>
        </w:rPr>
        <w:t>Menambah khazanah ilmu pengetahuan di bidang hukum tata negara dan hukum pidana, khususnya mengenai hukum pemilu.</w:t>
      </w:r>
    </w:p>
    <w:p w14:paraId="497A8F47">
      <w:pPr>
        <w:pStyle w:val="38"/>
        <w:numPr>
          <w:ilvl w:val="0"/>
          <w:numId w:val="9"/>
        </w:numPr>
        <w:spacing w:line="360" w:lineRule="auto"/>
        <w:ind w:left="567" w:hanging="283"/>
        <w:jc w:val="both"/>
        <w:rPr>
          <w:sz w:val="24"/>
          <w:szCs w:val="24"/>
        </w:rPr>
      </w:pPr>
      <w:r>
        <w:rPr>
          <w:sz w:val="24"/>
          <w:szCs w:val="24"/>
        </w:rPr>
        <w:t>Menjadi referensi bagi peneliti lain yang ingin mengkaji masalah serupa.</w:t>
      </w:r>
    </w:p>
    <w:p w14:paraId="497A8F48">
      <w:pPr>
        <w:pStyle w:val="38"/>
        <w:numPr>
          <w:ilvl w:val="0"/>
          <w:numId w:val="9"/>
        </w:numPr>
        <w:spacing w:line="360" w:lineRule="auto"/>
        <w:ind w:left="567" w:hanging="283"/>
        <w:jc w:val="both"/>
        <w:rPr>
          <w:sz w:val="24"/>
          <w:szCs w:val="24"/>
        </w:rPr>
      </w:pPr>
      <w:r>
        <w:rPr>
          <w:sz w:val="24"/>
          <w:szCs w:val="24"/>
        </w:rPr>
        <w:t>Bagi Penyelenggara Pemilu: Sebagai bahan evaluasi dan pembelajaran agar lebih menjunjung tinggi integrita</w:t>
      </w:r>
      <w:r>
        <w:rPr>
          <w:sz w:val="24"/>
          <w:szCs w:val="24"/>
          <w:lang w:val="en-US"/>
        </w:rPr>
        <w:t>s.</w:t>
      </w:r>
    </w:p>
    <w:p w14:paraId="497A8F49">
      <w:pPr>
        <w:pStyle w:val="38"/>
        <w:numPr>
          <w:ilvl w:val="0"/>
          <w:numId w:val="9"/>
        </w:numPr>
        <w:spacing w:line="360" w:lineRule="auto"/>
        <w:ind w:left="567" w:hanging="283"/>
        <w:jc w:val="both"/>
        <w:rPr>
          <w:sz w:val="24"/>
          <w:szCs w:val="24"/>
        </w:rPr>
      </w:pPr>
      <w:r>
        <w:rPr>
          <w:sz w:val="24"/>
          <w:szCs w:val="24"/>
        </w:rPr>
        <w:t>Bagi Masyarakat: Menambah wawasan mengenai sanksi hukum atas pelanggaran pemilu.</w:t>
      </w:r>
    </w:p>
    <w:p w14:paraId="497A8F4A">
      <w:pPr>
        <w:spacing w:line="360" w:lineRule="auto"/>
        <w:jc w:val="both"/>
        <w:rPr>
          <w:sz w:val="24"/>
          <w:szCs w:val="24"/>
          <w:lang w:val="id-ID"/>
        </w:rPr>
        <w:sectPr>
          <w:headerReference r:id="rId27" w:type="first"/>
          <w:headerReference r:id="rId25" w:type="default"/>
          <w:footerReference r:id="rId28" w:type="default"/>
          <w:headerReference r:id="rId26" w:type="even"/>
          <w:pgSz w:w="11910" w:h="16840"/>
          <w:pgMar w:top="1701" w:right="1701" w:bottom="1701" w:left="2268" w:header="709" w:footer="709" w:gutter="0"/>
          <w:cols w:space="708" w:num="1"/>
          <w:docGrid w:linePitch="360" w:charSpace="0"/>
        </w:sectPr>
      </w:pPr>
    </w:p>
    <w:p w14:paraId="497A8F4B">
      <w:pPr>
        <w:pStyle w:val="2"/>
        <w:spacing w:before="0" w:after="0" w:line="360" w:lineRule="auto"/>
        <w:jc w:val="center"/>
        <w:rPr>
          <w:rFonts w:ascii="Times New Roman" w:hAnsi="Times New Roman" w:cs="Times New Roman"/>
          <w:color w:val="auto"/>
          <w:sz w:val="24"/>
          <w:szCs w:val="24"/>
        </w:rPr>
      </w:pPr>
      <w:bookmarkStart w:id="16" w:name="_Toc230017848"/>
      <w:r>
        <w:rPr>
          <w:rFonts w:ascii="Times New Roman" w:hAnsi="Times New Roman" w:cs="Times New Roman"/>
          <w:b/>
          <w:bCs/>
          <w:color w:val="auto"/>
          <w:sz w:val="24"/>
          <w:szCs w:val="24"/>
        </w:rPr>
        <w:t>BAB II</w:t>
      </w:r>
      <w:bookmarkEnd w:id="16"/>
    </w:p>
    <w:p w14:paraId="497A8F4C">
      <w:pPr>
        <w:pStyle w:val="2"/>
        <w:spacing w:before="0" w:after="0" w:line="360" w:lineRule="auto"/>
        <w:jc w:val="center"/>
        <w:rPr>
          <w:b/>
          <w:bCs/>
          <w:sz w:val="24"/>
          <w:szCs w:val="24"/>
        </w:rPr>
      </w:pPr>
      <w:bookmarkStart w:id="17" w:name="_Toc228363710"/>
      <w:bookmarkStart w:id="18" w:name="_Toc230017849"/>
      <w:r>
        <w:rPr>
          <w:rFonts w:ascii="Times New Roman" w:hAnsi="Times New Roman" w:cs="Times New Roman"/>
          <w:b/>
          <w:bCs/>
          <w:color w:val="auto"/>
          <w:sz w:val="24"/>
          <w:szCs w:val="24"/>
        </w:rPr>
        <w:t>TINJAUAN PUSTAKA</w:t>
      </w:r>
      <w:bookmarkEnd w:id="17"/>
      <w:bookmarkEnd w:id="18"/>
    </w:p>
    <w:p w14:paraId="497A8F4D">
      <w:pPr>
        <w:spacing w:line="360" w:lineRule="auto"/>
        <w:jc w:val="both"/>
        <w:rPr>
          <w:sz w:val="24"/>
          <w:szCs w:val="24"/>
        </w:rPr>
      </w:pPr>
      <w:r>
        <w:rPr>
          <w:sz w:val="24"/>
          <w:szCs w:val="24"/>
        </w:rPr>
        <w:t xml:space="preserve"> </w:t>
      </w:r>
    </w:p>
    <w:p w14:paraId="497A8F4E">
      <w:pPr>
        <w:pStyle w:val="38"/>
        <w:numPr>
          <w:ilvl w:val="0"/>
          <w:numId w:val="10"/>
        </w:numPr>
        <w:spacing w:line="360" w:lineRule="auto"/>
        <w:ind w:left="284" w:hanging="284"/>
        <w:jc w:val="both"/>
        <w:outlineLvl w:val="1"/>
        <w:rPr>
          <w:b/>
          <w:sz w:val="24"/>
          <w:szCs w:val="24"/>
          <w:lang w:val="id-ID"/>
        </w:rPr>
      </w:pPr>
      <w:bookmarkStart w:id="19" w:name="_Toc230017850"/>
      <w:r>
        <w:rPr>
          <w:b/>
          <w:sz w:val="24"/>
          <w:szCs w:val="24"/>
        </w:rPr>
        <w:t>Konsep Dasar Dan Asas Penyelenggaraan Pemilu</w:t>
      </w:r>
      <w:bookmarkEnd w:id="19"/>
    </w:p>
    <w:p w14:paraId="497A8F4F">
      <w:pPr>
        <w:spacing w:line="360" w:lineRule="auto"/>
        <w:ind w:firstLine="284"/>
        <w:jc w:val="both"/>
        <w:rPr>
          <w:sz w:val="24"/>
          <w:szCs w:val="24"/>
        </w:rPr>
      </w:pPr>
      <w:r>
        <w:rPr>
          <w:sz w:val="24"/>
          <w:szCs w:val="24"/>
        </w:rPr>
        <w:t>Pemilu diselenggarakan berdasarkan asas LUBER JURDIL. Setiap tahapan harus diawasi ketat agar hasilnya dapat dipertanggungjawabkan dan mencerminkan kehendak rakyat yang sebenarnya.</w:t>
      </w:r>
    </w:p>
    <w:p w14:paraId="497A8F50">
      <w:pPr>
        <w:spacing w:line="360" w:lineRule="auto"/>
        <w:ind w:firstLine="284"/>
        <w:jc w:val="both"/>
        <w:rPr>
          <w:sz w:val="24"/>
          <w:szCs w:val="24"/>
          <w:lang w:val="en-US"/>
        </w:rPr>
      </w:pPr>
      <w:r>
        <w:rPr>
          <w:sz w:val="24"/>
          <w:szCs w:val="24"/>
          <w:lang w:val="en-US"/>
        </w:rPr>
        <w:t>Adapun makna dari LUBER JURDIL yang terdapat dalam UUD 1945 Pasal 22E ayat (1) dan Pasal 2 Undang Undang Nomor 7 tahun 2017 tentang Pemilu yaitu :</w:t>
      </w:r>
    </w:p>
    <w:p w14:paraId="497A8F51">
      <w:pPr>
        <w:spacing w:line="360" w:lineRule="auto"/>
        <w:jc w:val="both"/>
        <w:rPr>
          <w:sz w:val="24"/>
          <w:szCs w:val="24"/>
          <w:lang w:val="zh-CN"/>
        </w:rPr>
      </w:pPr>
      <w:r>
        <w:rPr>
          <w:sz w:val="24"/>
          <w:szCs w:val="24"/>
          <w:lang w:val="zh-CN"/>
        </w:rPr>
        <w:t xml:space="preserve">LUBER </w:t>
      </w:r>
    </w:p>
    <w:p w14:paraId="497A8F52">
      <w:pPr>
        <w:pStyle w:val="38"/>
        <w:numPr>
          <w:ilvl w:val="0"/>
          <w:numId w:val="11"/>
        </w:numPr>
        <w:tabs>
          <w:tab w:val="clear" w:pos="720"/>
        </w:tabs>
        <w:spacing w:line="360" w:lineRule="auto"/>
        <w:ind w:left="567" w:hanging="283"/>
        <w:jc w:val="both"/>
        <w:rPr>
          <w:sz w:val="24"/>
          <w:szCs w:val="24"/>
          <w:lang w:val="zh-CN"/>
        </w:rPr>
      </w:pPr>
      <w:r>
        <w:rPr>
          <w:sz w:val="24"/>
          <w:szCs w:val="24"/>
          <w:lang w:val="zh-CN"/>
        </w:rPr>
        <w:t>Langsung: Rakyat sebagai pemilih memiliki hak untuk memberikan suaranya secara langsung sesuai dengan surat hatinya tanpa perantara.</w:t>
      </w:r>
    </w:p>
    <w:p w14:paraId="497A8F53">
      <w:pPr>
        <w:numPr>
          <w:ilvl w:val="0"/>
          <w:numId w:val="11"/>
        </w:numPr>
        <w:tabs>
          <w:tab w:val="clear" w:pos="720"/>
        </w:tabs>
        <w:spacing w:line="360" w:lineRule="auto"/>
        <w:ind w:left="567" w:hanging="283"/>
        <w:jc w:val="both"/>
        <w:rPr>
          <w:sz w:val="24"/>
          <w:szCs w:val="24"/>
          <w:lang w:val="zh-CN"/>
        </w:rPr>
      </w:pPr>
      <w:r>
        <w:rPr>
          <w:sz w:val="24"/>
          <w:szCs w:val="24"/>
          <w:lang w:val="zh-CN"/>
        </w:rPr>
        <w:t>Umum: Pemilu berlaku bagi seluruh warga negara yang sudah memenuhi syarat, tanpa membedakan suku, agama, ras, golongan, jenis kelamin, maupun status sosial.</w:t>
      </w:r>
    </w:p>
    <w:p w14:paraId="497A8F54">
      <w:pPr>
        <w:numPr>
          <w:ilvl w:val="0"/>
          <w:numId w:val="11"/>
        </w:numPr>
        <w:tabs>
          <w:tab w:val="clear" w:pos="720"/>
        </w:tabs>
        <w:spacing w:line="360" w:lineRule="auto"/>
        <w:ind w:left="567" w:hanging="283"/>
        <w:jc w:val="both"/>
        <w:rPr>
          <w:sz w:val="24"/>
          <w:szCs w:val="24"/>
          <w:lang w:val="zh-CN"/>
        </w:rPr>
      </w:pPr>
      <w:r>
        <w:rPr>
          <w:sz w:val="24"/>
          <w:szCs w:val="24"/>
          <w:lang w:val="zh-CN"/>
        </w:rPr>
        <w:t>Bebas: Setiap warga negara bebas menentukan pilihannya tanpa ada tekanan, paksaan, atau intimidasi dari pihak mana pun.</w:t>
      </w:r>
    </w:p>
    <w:p w14:paraId="497A8F55">
      <w:pPr>
        <w:numPr>
          <w:ilvl w:val="0"/>
          <w:numId w:val="11"/>
        </w:numPr>
        <w:tabs>
          <w:tab w:val="clear" w:pos="720"/>
        </w:tabs>
        <w:spacing w:line="360" w:lineRule="auto"/>
        <w:ind w:left="567" w:hanging="283"/>
        <w:jc w:val="both"/>
        <w:rPr>
          <w:sz w:val="24"/>
          <w:szCs w:val="24"/>
          <w:lang w:val="zh-CN"/>
        </w:rPr>
      </w:pPr>
      <w:r>
        <w:rPr>
          <w:sz w:val="24"/>
          <w:szCs w:val="24"/>
          <w:lang w:val="zh-CN"/>
        </w:rPr>
        <w:t>Rahasia: Suara yang diberikan oleh pemilih bersifat tertutup dan dijamin tidak akan diketahui oleh siapa pun melalui cara apa pun.</w:t>
      </w:r>
    </w:p>
    <w:p w14:paraId="497A8F56">
      <w:pPr>
        <w:spacing w:line="360" w:lineRule="auto"/>
        <w:jc w:val="both"/>
        <w:rPr>
          <w:sz w:val="24"/>
          <w:szCs w:val="24"/>
          <w:lang w:val="zh-CN"/>
        </w:rPr>
      </w:pPr>
      <w:r>
        <w:rPr>
          <w:sz w:val="24"/>
          <w:szCs w:val="24"/>
          <w:lang w:val="zh-CN"/>
        </w:rPr>
        <w:t>JURDIL</w:t>
      </w:r>
    </w:p>
    <w:p w14:paraId="497A8F57">
      <w:pPr>
        <w:pStyle w:val="38"/>
        <w:numPr>
          <w:ilvl w:val="0"/>
          <w:numId w:val="12"/>
        </w:numPr>
        <w:tabs>
          <w:tab w:val="clear" w:pos="720"/>
        </w:tabs>
        <w:spacing w:line="360" w:lineRule="auto"/>
        <w:ind w:left="567" w:hanging="283"/>
        <w:jc w:val="both"/>
        <w:rPr>
          <w:sz w:val="24"/>
          <w:szCs w:val="24"/>
          <w:lang w:val="zh-CN"/>
        </w:rPr>
      </w:pPr>
      <w:r>
        <w:rPr>
          <w:sz w:val="24"/>
          <w:szCs w:val="24"/>
          <w:lang w:val="zh-CN"/>
        </w:rPr>
        <w:t>Jujur: Semua pihak yang terlibat dalam Pemilu (penyelenggara, aparat, peserta, hingga pemilih) harus bertindak jujur sesuai dengan peraturan yang berlaku.</w:t>
      </w:r>
    </w:p>
    <w:p w14:paraId="497A8F58">
      <w:pPr>
        <w:numPr>
          <w:ilvl w:val="0"/>
          <w:numId w:val="12"/>
        </w:numPr>
        <w:tabs>
          <w:tab w:val="clear" w:pos="720"/>
        </w:tabs>
        <w:spacing w:line="360" w:lineRule="auto"/>
        <w:ind w:left="567" w:hanging="283"/>
        <w:jc w:val="both"/>
        <w:rPr>
          <w:sz w:val="24"/>
          <w:szCs w:val="24"/>
          <w:lang w:val="zh-CN"/>
        </w:rPr>
      </w:pPr>
      <w:r>
        <w:rPr>
          <w:sz w:val="24"/>
          <w:szCs w:val="24"/>
          <w:lang w:val="zh-CN"/>
        </w:rPr>
        <w:t>Adil: Setiap pemilih dan peserta Pemilu (partai politik atau calon) mendapatkan perlakuan yang sama serta bebas dari kecurangan dari pihak mana pun.</w:t>
      </w:r>
    </w:p>
    <w:p w14:paraId="497A8F59">
      <w:pPr>
        <w:spacing w:line="360" w:lineRule="auto"/>
        <w:jc w:val="both"/>
        <w:rPr>
          <w:sz w:val="24"/>
          <w:szCs w:val="24"/>
          <w:lang w:val="en-US"/>
        </w:rPr>
      </w:pPr>
    </w:p>
    <w:p w14:paraId="497A8F5A">
      <w:pPr>
        <w:pStyle w:val="38"/>
        <w:numPr>
          <w:ilvl w:val="0"/>
          <w:numId w:val="10"/>
        </w:numPr>
        <w:spacing w:line="360" w:lineRule="auto"/>
        <w:ind w:left="284" w:hanging="284"/>
        <w:jc w:val="both"/>
        <w:outlineLvl w:val="1"/>
        <w:rPr>
          <w:b/>
          <w:sz w:val="24"/>
          <w:szCs w:val="24"/>
        </w:rPr>
      </w:pPr>
      <w:bookmarkStart w:id="20" w:name="_Toc230017851"/>
      <w:r>
        <w:rPr>
          <w:b/>
          <w:sz w:val="24"/>
          <w:szCs w:val="24"/>
        </w:rPr>
        <w:t>Tugas, wewenang dan kewajiban PPK</w:t>
      </w:r>
      <w:bookmarkEnd w:id="20"/>
    </w:p>
    <w:p w14:paraId="497A8F5B">
      <w:pPr>
        <w:spacing w:line="360" w:lineRule="auto"/>
        <w:jc w:val="both"/>
        <w:rPr>
          <w:sz w:val="24"/>
          <w:szCs w:val="24"/>
        </w:rPr>
      </w:pPr>
      <w:r>
        <w:rPr>
          <w:sz w:val="24"/>
          <w:szCs w:val="24"/>
        </w:rPr>
        <w:t xml:space="preserve"> PPK bertugas :</w:t>
      </w:r>
    </w:p>
    <w:p w14:paraId="0DAB376D">
      <w:pPr>
        <w:pStyle w:val="38"/>
        <w:numPr>
          <w:ilvl w:val="3"/>
          <w:numId w:val="10"/>
        </w:numPr>
        <w:spacing w:line="360" w:lineRule="auto"/>
        <w:ind w:left="567" w:hanging="284"/>
        <w:jc w:val="both"/>
        <w:rPr>
          <w:sz w:val="24"/>
          <w:szCs w:val="24"/>
          <w:lang w:val="id-ID"/>
        </w:rPr>
        <w:sectPr>
          <w:headerReference r:id="rId31" w:type="first"/>
          <w:headerReference r:id="rId29" w:type="default"/>
          <w:footerReference r:id="rId32" w:type="default"/>
          <w:headerReference r:id="rId30" w:type="even"/>
          <w:pgSz w:w="11910" w:h="16840"/>
          <w:pgMar w:top="1701" w:right="1701" w:bottom="1701" w:left="2268" w:header="709" w:footer="709" w:gutter="0"/>
          <w:cols w:space="708" w:num="1"/>
          <w:docGrid w:linePitch="360" w:charSpace="0"/>
        </w:sectPr>
      </w:pPr>
      <w:r>
        <w:rPr>
          <w:sz w:val="24"/>
          <w:szCs w:val="24"/>
        </w:rPr>
        <w:t>Melaksanakan semua tahapan penyelenggaraan pemilu di tingkat kecamatan yang telah ditetapkan oleh KPU, KPU Provinsi, dan KPU Kabupaten/Kota</w:t>
      </w:r>
      <w:r>
        <w:rPr>
          <w:sz w:val="24"/>
          <w:szCs w:val="24"/>
          <w:lang w:val="id-ID"/>
        </w:rPr>
        <w:t>.</w:t>
      </w:r>
    </w:p>
    <w:p w14:paraId="48112939">
      <w:pPr>
        <w:pStyle w:val="38"/>
        <w:numPr>
          <w:ilvl w:val="3"/>
          <w:numId w:val="10"/>
        </w:numPr>
        <w:spacing w:line="360" w:lineRule="auto"/>
        <w:ind w:left="567" w:hanging="284"/>
        <w:jc w:val="both"/>
        <w:rPr>
          <w:sz w:val="24"/>
          <w:szCs w:val="24"/>
        </w:rPr>
      </w:pPr>
      <w:r>
        <w:rPr>
          <w:sz w:val="24"/>
          <w:szCs w:val="24"/>
        </w:rPr>
        <w:t>Menerima dan menyampaikan daftar pemilih kepada KPU Kabupaten/ Kota.</w:t>
      </w:r>
    </w:p>
    <w:p w14:paraId="65C48DD6">
      <w:pPr>
        <w:pStyle w:val="38"/>
        <w:numPr>
          <w:ilvl w:val="3"/>
          <w:numId w:val="10"/>
        </w:numPr>
        <w:spacing w:line="360" w:lineRule="auto"/>
        <w:ind w:left="567" w:hanging="284"/>
        <w:jc w:val="both"/>
        <w:rPr>
          <w:sz w:val="24"/>
          <w:szCs w:val="24"/>
        </w:rPr>
      </w:pPr>
      <w:r>
        <w:rPr>
          <w:sz w:val="24"/>
          <w:szCs w:val="24"/>
        </w:rPr>
        <w:t>Melakukan dan mengumumkan rekapitulasi hasil perhitungan suara Pemilu anggota DPR, anggota DPD, Presiden dan Wakil Presiden, anggota DPRD Provinsi. Serta anggota DPRD Kabupaten/Kota di kecamatan yang bersangkutan berdasarkan berita acara haasil perhitungan suara di TPS dan dihadiri oleh saksi peserta Pemilu.</w:t>
      </w:r>
    </w:p>
    <w:p w14:paraId="514BA2B9">
      <w:pPr>
        <w:pStyle w:val="38"/>
        <w:numPr>
          <w:ilvl w:val="3"/>
          <w:numId w:val="10"/>
        </w:numPr>
        <w:spacing w:line="360" w:lineRule="auto"/>
        <w:ind w:left="567" w:hanging="284"/>
        <w:jc w:val="both"/>
        <w:rPr>
          <w:sz w:val="24"/>
          <w:szCs w:val="24"/>
        </w:rPr>
      </w:pPr>
      <w:r>
        <w:rPr>
          <w:sz w:val="24"/>
          <w:szCs w:val="24"/>
        </w:rPr>
        <w:t>Melakukan evaluasi dan membuat laporan setiap tahapan Penyelenggaraan Pemilu di wilayah kerjanya.</w:t>
      </w:r>
    </w:p>
    <w:p w14:paraId="6D082FF2">
      <w:pPr>
        <w:pStyle w:val="38"/>
        <w:numPr>
          <w:ilvl w:val="3"/>
          <w:numId w:val="10"/>
        </w:numPr>
        <w:spacing w:line="360" w:lineRule="auto"/>
        <w:ind w:left="567" w:hanging="284"/>
        <w:jc w:val="both"/>
        <w:rPr>
          <w:sz w:val="24"/>
          <w:szCs w:val="24"/>
        </w:rPr>
      </w:pPr>
      <w:r>
        <w:rPr>
          <w:sz w:val="24"/>
          <w:szCs w:val="24"/>
        </w:rPr>
        <w:t>Melaksanakan sosialisasi penyelenggaraan pemilu dan/atau yang berkaitan dengan tugas dan wewenang PPK kepada masyarakat.</w:t>
      </w:r>
    </w:p>
    <w:p w14:paraId="7D8D00DB">
      <w:pPr>
        <w:pStyle w:val="38"/>
        <w:numPr>
          <w:ilvl w:val="3"/>
          <w:numId w:val="10"/>
        </w:numPr>
        <w:spacing w:line="360" w:lineRule="auto"/>
        <w:ind w:left="567" w:hanging="284"/>
        <w:jc w:val="both"/>
        <w:rPr>
          <w:sz w:val="24"/>
          <w:szCs w:val="24"/>
        </w:rPr>
      </w:pPr>
      <w:r>
        <w:rPr>
          <w:sz w:val="24"/>
          <w:szCs w:val="24"/>
        </w:rPr>
        <w:t xml:space="preserve">Melaksanakan tugas lain yang diberikan oleh KPU, KPU Provinsi, KPU Kabupaten/ Kota sesuai dengan ketentuan peraturan perundang-undangan, </w:t>
      </w:r>
    </w:p>
    <w:p w14:paraId="497A8F65">
      <w:pPr>
        <w:pStyle w:val="38"/>
        <w:numPr>
          <w:ilvl w:val="3"/>
          <w:numId w:val="10"/>
        </w:numPr>
        <w:spacing w:line="360" w:lineRule="auto"/>
        <w:ind w:left="567" w:hanging="284"/>
        <w:jc w:val="both"/>
        <w:rPr>
          <w:sz w:val="24"/>
          <w:szCs w:val="24"/>
        </w:rPr>
      </w:pPr>
      <w:r>
        <w:rPr>
          <w:sz w:val="24"/>
          <w:szCs w:val="24"/>
        </w:rPr>
        <w:t>Melaksanakan tugas lain sesuai dengan ketentuan peraturan perundang-undangan.</w:t>
      </w:r>
    </w:p>
    <w:p w14:paraId="497A8F66">
      <w:pPr>
        <w:spacing w:line="360" w:lineRule="auto"/>
        <w:jc w:val="both"/>
        <w:rPr>
          <w:sz w:val="24"/>
          <w:szCs w:val="24"/>
        </w:rPr>
      </w:pPr>
    </w:p>
    <w:p w14:paraId="497A8F67">
      <w:pPr>
        <w:spacing w:line="360" w:lineRule="auto"/>
        <w:jc w:val="both"/>
        <w:rPr>
          <w:sz w:val="24"/>
          <w:szCs w:val="24"/>
        </w:rPr>
      </w:pPr>
      <w:r>
        <w:rPr>
          <w:sz w:val="24"/>
          <w:szCs w:val="24"/>
        </w:rPr>
        <w:t>PPK berwenang</w:t>
      </w:r>
    </w:p>
    <w:p w14:paraId="7556AEA2">
      <w:pPr>
        <w:pStyle w:val="38"/>
        <w:numPr>
          <w:ilvl w:val="0"/>
          <w:numId w:val="13"/>
        </w:numPr>
        <w:spacing w:line="360" w:lineRule="auto"/>
        <w:ind w:left="567" w:hanging="283"/>
        <w:jc w:val="both"/>
        <w:rPr>
          <w:sz w:val="24"/>
          <w:szCs w:val="24"/>
        </w:rPr>
      </w:pPr>
      <w:r>
        <w:rPr>
          <w:sz w:val="24"/>
          <w:szCs w:val="24"/>
        </w:rPr>
        <w:t>Mengumpulkan hasil penghitungan suara dari seluruh TPS di wilayah kerjanya</w:t>
      </w:r>
    </w:p>
    <w:p w14:paraId="04FDFAE1">
      <w:pPr>
        <w:pStyle w:val="38"/>
        <w:numPr>
          <w:ilvl w:val="0"/>
          <w:numId w:val="13"/>
        </w:numPr>
        <w:spacing w:line="360" w:lineRule="auto"/>
        <w:ind w:left="567" w:hanging="283"/>
        <w:jc w:val="both"/>
        <w:rPr>
          <w:sz w:val="24"/>
          <w:szCs w:val="24"/>
        </w:rPr>
      </w:pPr>
      <w:r>
        <w:rPr>
          <w:sz w:val="24"/>
          <w:szCs w:val="24"/>
        </w:rPr>
        <w:t>Melaksanakan wewenang lain yanng diberikan oleh KPU, KPU Provinsi, KPU Kabupaten/ Kota sesuai dengan peraturan perundang-undangan.</w:t>
      </w:r>
    </w:p>
    <w:p w14:paraId="497A8F6A">
      <w:pPr>
        <w:pStyle w:val="38"/>
        <w:numPr>
          <w:ilvl w:val="0"/>
          <w:numId w:val="13"/>
        </w:numPr>
        <w:spacing w:line="360" w:lineRule="auto"/>
        <w:ind w:left="567" w:hanging="283"/>
        <w:jc w:val="both"/>
        <w:rPr>
          <w:sz w:val="24"/>
          <w:szCs w:val="24"/>
        </w:rPr>
      </w:pPr>
      <w:r>
        <w:rPr>
          <w:sz w:val="24"/>
          <w:szCs w:val="24"/>
        </w:rPr>
        <w:t>Melaksanakan wewenang lain sesuai ketentuan ketentuan peraturan perundang-undangan.</w:t>
      </w:r>
    </w:p>
    <w:p w14:paraId="497A8F6B">
      <w:pPr>
        <w:spacing w:line="360" w:lineRule="auto"/>
        <w:jc w:val="both"/>
        <w:rPr>
          <w:sz w:val="24"/>
          <w:szCs w:val="24"/>
        </w:rPr>
      </w:pPr>
    </w:p>
    <w:p w14:paraId="497A8F6C">
      <w:pPr>
        <w:spacing w:line="360" w:lineRule="auto"/>
        <w:jc w:val="both"/>
        <w:rPr>
          <w:sz w:val="24"/>
          <w:szCs w:val="24"/>
        </w:rPr>
      </w:pPr>
      <w:r>
        <w:rPr>
          <w:sz w:val="24"/>
          <w:szCs w:val="24"/>
        </w:rPr>
        <w:t>PPK berkewajiban :</w:t>
      </w:r>
    </w:p>
    <w:p w14:paraId="64B2BA56">
      <w:pPr>
        <w:pStyle w:val="38"/>
        <w:numPr>
          <w:ilvl w:val="0"/>
          <w:numId w:val="14"/>
        </w:numPr>
        <w:spacing w:line="360" w:lineRule="auto"/>
        <w:ind w:left="567" w:hanging="283"/>
        <w:jc w:val="both"/>
        <w:rPr>
          <w:sz w:val="24"/>
          <w:szCs w:val="24"/>
        </w:rPr>
      </w:pPr>
      <w:r>
        <w:rPr>
          <w:sz w:val="24"/>
          <w:szCs w:val="24"/>
        </w:rPr>
        <w:t>Membantu KPU, KPU Provinsi, dan KPU Kabupaten/ Kota dalam melakukan pemutakhiran data pemilih, daftar pemilih sementara, dan daftar pemilih tetap.</w:t>
      </w:r>
    </w:p>
    <w:p w14:paraId="0F3579FA">
      <w:pPr>
        <w:pStyle w:val="38"/>
        <w:numPr>
          <w:ilvl w:val="0"/>
          <w:numId w:val="14"/>
        </w:numPr>
        <w:spacing w:line="360" w:lineRule="auto"/>
        <w:ind w:left="567" w:hanging="283"/>
        <w:jc w:val="both"/>
        <w:rPr>
          <w:sz w:val="24"/>
          <w:szCs w:val="24"/>
        </w:rPr>
      </w:pPr>
      <w:r>
        <w:rPr>
          <w:sz w:val="24"/>
          <w:szCs w:val="24"/>
        </w:rPr>
        <w:t>Membantu KPU Kabupaten / Kota dalam menyelenggarakan Pemilu.</w:t>
      </w:r>
    </w:p>
    <w:p w14:paraId="32256477">
      <w:pPr>
        <w:pStyle w:val="38"/>
        <w:numPr>
          <w:ilvl w:val="0"/>
          <w:numId w:val="14"/>
        </w:numPr>
        <w:spacing w:line="360" w:lineRule="auto"/>
        <w:ind w:left="567" w:hanging="283"/>
        <w:jc w:val="both"/>
        <w:rPr>
          <w:sz w:val="24"/>
          <w:szCs w:val="24"/>
        </w:rPr>
      </w:pPr>
      <w:r>
        <w:rPr>
          <w:sz w:val="24"/>
          <w:szCs w:val="24"/>
        </w:rPr>
        <w:t>Menindaklanjuti dengan segera temuan dan laporan yang disampaikan oleh Panwaslu Kecamatan.</w:t>
      </w:r>
    </w:p>
    <w:p w14:paraId="5741EFD4">
      <w:pPr>
        <w:pStyle w:val="38"/>
        <w:numPr>
          <w:ilvl w:val="0"/>
          <w:numId w:val="14"/>
        </w:numPr>
        <w:spacing w:line="360" w:lineRule="auto"/>
        <w:ind w:left="567" w:hanging="283"/>
        <w:jc w:val="both"/>
        <w:rPr>
          <w:sz w:val="24"/>
          <w:szCs w:val="24"/>
        </w:rPr>
      </w:pPr>
      <w:r>
        <w:rPr>
          <w:sz w:val="24"/>
          <w:szCs w:val="24"/>
        </w:rPr>
        <w:t>Melaksanakan kewajiban lain yang diberikan oleh KPU, KPU Provinsi, KPU Kabupaten/ Kota sesuai dengan peraturan perundang-undangan.</w:t>
      </w:r>
    </w:p>
    <w:p w14:paraId="497A8F72">
      <w:pPr>
        <w:pStyle w:val="38"/>
        <w:numPr>
          <w:ilvl w:val="0"/>
          <w:numId w:val="14"/>
        </w:numPr>
        <w:spacing w:line="360" w:lineRule="auto"/>
        <w:ind w:left="567" w:hanging="283"/>
        <w:jc w:val="both"/>
        <w:rPr>
          <w:sz w:val="24"/>
          <w:szCs w:val="24"/>
        </w:rPr>
      </w:pPr>
      <w:r>
        <w:rPr>
          <w:sz w:val="24"/>
          <w:szCs w:val="24"/>
        </w:rPr>
        <w:t>Melaksanakan kewajiban lain sesuai dengan ketentuan peraturan perundang-undangan.</w:t>
      </w:r>
    </w:p>
    <w:p w14:paraId="2D29D60A">
      <w:pPr>
        <w:spacing w:line="360" w:lineRule="auto"/>
        <w:ind w:left="284"/>
        <w:jc w:val="both"/>
        <w:rPr>
          <w:sz w:val="24"/>
          <w:szCs w:val="24"/>
          <w:lang w:val="id-ID"/>
        </w:rPr>
      </w:pPr>
    </w:p>
    <w:p w14:paraId="396859BE">
      <w:pPr>
        <w:pStyle w:val="38"/>
        <w:numPr>
          <w:ilvl w:val="0"/>
          <w:numId w:val="10"/>
        </w:numPr>
        <w:spacing w:line="360" w:lineRule="auto"/>
        <w:ind w:left="284" w:hanging="284"/>
        <w:jc w:val="both"/>
        <w:outlineLvl w:val="1"/>
        <w:rPr>
          <w:b/>
          <w:sz w:val="24"/>
          <w:szCs w:val="24"/>
        </w:rPr>
      </w:pPr>
      <w:bookmarkStart w:id="21" w:name="_Toc230017852"/>
      <w:r>
        <w:rPr>
          <w:b/>
          <w:sz w:val="24"/>
          <w:szCs w:val="24"/>
        </w:rPr>
        <w:t>Tinjauan Umum Tentang Tindak Pidana</w:t>
      </w:r>
      <w:bookmarkEnd w:id="21"/>
    </w:p>
    <w:p w14:paraId="0E482EEF">
      <w:pPr>
        <w:pStyle w:val="38"/>
        <w:numPr>
          <w:ilvl w:val="0"/>
          <w:numId w:val="15"/>
        </w:numPr>
        <w:spacing w:line="360" w:lineRule="auto"/>
        <w:ind w:left="567" w:hanging="283"/>
        <w:jc w:val="both"/>
        <w:rPr>
          <w:sz w:val="24"/>
          <w:szCs w:val="24"/>
        </w:rPr>
      </w:pPr>
      <w:r>
        <w:rPr>
          <w:sz w:val="24"/>
          <w:szCs w:val="24"/>
        </w:rPr>
        <w:t>Teori Pertanggungjawaban Pidana (</w:t>
      </w:r>
      <w:r>
        <w:rPr>
          <w:i/>
          <w:sz w:val="24"/>
          <w:szCs w:val="24"/>
        </w:rPr>
        <w:t>Criminal Liability</w:t>
      </w:r>
      <w:r>
        <w:rPr>
          <w:sz w:val="24"/>
          <w:szCs w:val="24"/>
        </w:rPr>
        <w:t>)</w:t>
      </w:r>
    </w:p>
    <w:p w14:paraId="2D24C803">
      <w:pPr>
        <w:spacing w:line="360" w:lineRule="auto"/>
        <w:ind w:firstLine="284"/>
        <w:jc w:val="both"/>
        <w:rPr>
          <w:sz w:val="24"/>
          <w:szCs w:val="24"/>
        </w:rPr>
      </w:pPr>
      <w:r>
        <w:rPr>
          <w:sz w:val="24"/>
          <w:szCs w:val="24"/>
        </w:rPr>
        <w:t>Pengertian, Hakikat, dan Asas Dasar Pertanggungjawaban Pidana</w:t>
      </w:r>
      <w:r>
        <w:rPr>
          <w:sz w:val="24"/>
          <w:szCs w:val="24"/>
          <w:lang w:val="id-ID"/>
        </w:rPr>
        <w:t xml:space="preserve"> </w:t>
      </w:r>
      <w:r>
        <w:rPr>
          <w:sz w:val="24"/>
          <w:szCs w:val="24"/>
        </w:rPr>
        <w:t>Pertanggungjawaban pidana (</w:t>
      </w:r>
      <w:r>
        <w:rPr>
          <w:i/>
          <w:sz w:val="24"/>
          <w:szCs w:val="24"/>
        </w:rPr>
        <w:t>criminal</w:t>
      </w:r>
      <w:r>
        <w:rPr>
          <w:i/>
          <w:sz w:val="24"/>
          <w:szCs w:val="24"/>
          <w:lang w:val="id-ID"/>
        </w:rPr>
        <w:t xml:space="preserve"> </w:t>
      </w:r>
      <w:r>
        <w:rPr>
          <w:i/>
          <w:sz w:val="24"/>
          <w:szCs w:val="24"/>
        </w:rPr>
        <w:t>liability</w:t>
      </w:r>
      <w:r>
        <w:rPr>
          <w:i/>
          <w:sz w:val="24"/>
          <w:szCs w:val="24"/>
          <w:lang w:val="id-ID"/>
        </w:rPr>
        <w:t xml:space="preserve"> </w:t>
      </w:r>
      <w:r>
        <w:rPr>
          <w:i/>
          <w:sz w:val="24"/>
          <w:szCs w:val="24"/>
        </w:rPr>
        <w:t>/</w:t>
      </w:r>
      <w:r>
        <w:rPr>
          <w:i/>
          <w:sz w:val="24"/>
          <w:szCs w:val="24"/>
          <w:lang w:val="id-ID"/>
        </w:rPr>
        <w:t xml:space="preserve"> </w:t>
      </w:r>
      <w:r>
        <w:rPr>
          <w:i/>
          <w:sz w:val="24"/>
          <w:szCs w:val="24"/>
        </w:rPr>
        <w:t>toerekenbaarheid</w:t>
      </w:r>
      <w:r>
        <w:rPr>
          <w:sz w:val="24"/>
          <w:szCs w:val="24"/>
        </w:rPr>
        <w:t>) merupakan suatu mekanisme yuridis yang digunakan untuk menentukan apakah seorang subjek hukum dapat dijatuhi sanksi pidana atas perbuatan pidana yang telah dilakukannya. Di dalam hukum pidana Indonesia, terdapat asas fundamental yang tidak tertulis namun melandasi seluruh sistem pemidanaan, yaitu asas anordnung ohne schuld ist nicht zulässig atau yang secara universal dikenal sebagai asas geen straf zonder schuld (tiada pidana tanpa kesalahan). Asas ini menegaskan adanya pemisahan yang rigid antara perbuatan pidana (</w:t>
      </w:r>
      <w:r>
        <w:rPr>
          <w:i/>
          <w:sz w:val="24"/>
          <w:szCs w:val="24"/>
        </w:rPr>
        <w:t>actus reus</w:t>
      </w:r>
      <w:r>
        <w:rPr>
          <w:sz w:val="24"/>
          <w:szCs w:val="24"/>
        </w:rPr>
        <w:t>) yang bersifat objektif-melawan hukum dan pertanggungjawaban pidana (</w:t>
      </w:r>
      <w:r>
        <w:rPr>
          <w:i/>
          <w:sz w:val="24"/>
          <w:szCs w:val="24"/>
        </w:rPr>
        <w:t>mens rea</w:t>
      </w:r>
      <w:r>
        <w:rPr>
          <w:sz w:val="24"/>
          <w:szCs w:val="24"/>
        </w:rPr>
        <w:t>) yang bersifat subjektif-kesalahan pada diri pelaku.</w:t>
      </w:r>
    </w:p>
    <w:p w14:paraId="7719F3A7">
      <w:pPr>
        <w:spacing w:line="360" w:lineRule="auto"/>
        <w:ind w:firstLine="284"/>
        <w:jc w:val="both"/>
        <w:rPr>
          <w:sz w:val="24"/>
          <w:szCs w:val="24"/>
        </w:rPr>
      </w:pPr>
      <w:r>
        <w:rPr>
          <w:sz w:val="24"/>
          <w:szCs w:val="24"/>
        </w:rPr>
        <w:t>Secara doktrinal, seorang pelaku tidak dapat dimintai pertanggungjawaban hukum hanya karena ia telah melakukan perbuatan yang mencocoki rumusan delik dalam undang-undang. Keadaan tersebut harus didasarkan pada unsur kesalahan yang sahih secara teoretis, yang mencakup tiga parameter utama:</w:t>
      </w:r>
    </w:p>
    <w:p w14:paraId="17AD5C4F">
      <w:pPr>
        <w:pStyle w:val="38"/>
        <w:numPr>
          <w:ilvl w:val="1"/>
          <w:numId w:val="10"/>
        </w:numPr>
        <w:spacing w:line="360" w:lineRule="auto"/>
        <w:ind w:left="567" w:hanging="306"/>
        <w:jc w:val="both"/>
        <w:rPr>
          <w:sz w:val="24"/>
          <w:szCs w:val="24"/>
        </w:rPr>
      </w:pPr>
      <w:r>
        <w:rPr>
          <w:sz w:val="24"/>
          <w:szCs w:val="24"/>
        </w:rPr>
        <w:t>Kemampuan bertanggung jawab (</w:t>
      </w:r>
      <w:r>
        <w:rPr>
          <w:i/>
          <w:sz w:val="24"/>
          <w:szCs w:val="24"/>
        </w:rPr>
        <w:t>toerekeningsvatbaarheid</w:t>
      </w:r>
      <w:r>
        <w:rPr>
          <w:sz w:val="24"/>
          <w:szCs w:val="24"/>
        </w:rPr>
        <w:t>): Sikap batin pelaku yang normal secara psikis dan akal budi untuk menyadari sifat melawan hukum dari perbuatannya.</w:t>
      </w:r>
    </w:p>
    <w:p w14:paraId="6E2E5BE4">
      <w:pPr>
        <w:pStyle w:val="38"/>
        <w:numPr>
          <w:ilvl w:val="1"/>
          <w:numId w:val="10"/>
        </w:numPr>
        <w:spacing w:line="360" w:lineRule="auto"/>
        <w:ind w:left="567" w:hanging="306"/>
        <w:jc w:val="both"/>
        <w:rPr>
          <w:sz w:val="24"/>
          <w:szCs w:val="24"/>
        </w:rPr>
      </w:pPr>
      <w:r>
        <w:rPr>
          <w:sz w:val="24"/>
          <w:szCs w:val="24"/>
        </w:rPr>
        <w:t>Hubungan batin antara pelaku dengan perbuatannya: Wujud psikologis berupa kesengajaan (</w:t>
      </w:r>
      <w:r>
        <w:rPr>
          <w:i/>
          <w:sz w:val="24"/>
          <w:szCs w:val="24"/>
        </w:rPr>
        <w:t>dolus</w:t>
      </w:r>
      <w:r>
        <w:rPr>
          <w:sz w:val="24"/>
          <w:szCs w:val="24"/>
        </w:rPr>
        <w:t>) atau kealpaan (</w:t>
      </w:r>
      <w:r>
        <w:rPr>
          <w:i/>
          <w:sz w:val="24"/>
          <w:szCs w:val="24"/>
        </w:rPr>
        <w:t>culpa</w:t>
      </w:r>
      <w:r>
        <w:rPr>
          <w:sz w:val="24"/>
          <w:szCs w:val="24"/>
        </w:rPr>
        <w:t>).</w:t>
      </w:r>
    </w:p>
    <w:p w14:paraId="412480AC">
      <w:pPr>
        <w:pStyle w:val="38"/>
        <w:numPr>
          <w:ilvl w:val="1"/>
          <w:numId w:val="10"/>
        </w:numPr>
        <w:spacing w:line="360" w:lineRule="auto"/>
        <w:ind w:left="567" w:hanging="306"/>
        <w:jc w:val="both"/>
        <w:rPr>
          <w:sz w:val="24"/>
          <w:szCs w:val="24"/>
        </w:rPr>
      </w:pPr>
      <w:r>
        <w:rPr>
          <w:sz w:val="24"/>
          <w:szCs w:val="24"/>
        </w:rPr>
        <w:t>Tidak adanya alasan pemaaf (</w:t>
      </w:r>
      <w:r>
        <w:rPr>
          <w:i/>
          <w:sz w:val="24"/>
          <w:szCs w:val="24"/>
        </w:rPr>
        <w:t>schulduitsluitingsgrond</w:t>
      </w:r>
      <w:r>
        <w:rPr>
          <w:sz w:val="24"/>
          <w:szCs w:val="24"/>
        </w:rPr>
        <w:t>): Ketiadaan faktor-faktor kedaruratan atau daya paksa yang dapat menghapuskan kesalahan personal dari diri pelaku.</w:t>
      </w:r>
    </w:p>
    <w:p w14:paraId="3069239F">
      <w:pPr>
        <w:pStyle w:val="38"/>
        <w:numPr>
          <w:ilvl w:val="0"/>
          <w:numId w:val="15"/>
        </w:numPr>
        <w:spacing w:line="360" w:lineRule="auto"/>
        <w:ind w:left="567" w:hanging="283"/>
        <w:jc w:val="both"/>
        <w:rPr>
          <w:sz w:val="24"/>
          <w:szCs w:val="24"/>
        </w:rPr>
      </w:pPr>
      <w:r>
        <w:rPr>
          <w:sz w:val="24"/>
          <w:szCs w:val="24"/>
        </w:rPr>
        <w:t>Doktrin Mens Rea (Sikap Batin Jahat) dan Gradasi Unsur Kesengajaan (Dolus)</w:t>
      </w:r>
    </w:p>
    <w:p w14:paraId="4C885C22">
      <w:pPr>
        <w:spacing w:line="360" w:lineRule="auto"/>
        <w:ind w:firstLine="284"/>
        <w:jc w:val="both"/>
        <w:rPr>
          <w:sz w:val="24"/>
          <w:szCs w:val="24"/>
        </w:rPr>
      </w:pPr>
      <w:r>
        <w:rPr>
          <w:sz w:val="24"/>
          <w:szCs w:val="24"/>
        </w:rPr>
        <w:t xml:space="preserve">Doktrin mens rea berakar dari asas hukum klasik </w:t>
      </w:r>
      <w:r>
        <w:rPr>
          <w:i/>
          <w:sz w:val="24"/>
          <w:szCs w:val="24"/>
        </w:rPr>
        <w:t xml:space="preserve">actus non facit reum </w:t>
      </w:r>
      <w:r>
        <w:rPr>
          <w:i/>
          <w:sz w:val="24"/>
          <w:szCs w:val="24"/>
          <w:lang w:val="id-ID"/>
        </w:rPr>
        <w:t>n</w:t>
      </w:r>
      <w:r>
        <w:rPr>
          <w:i/>
          <w:sz w:val="24"/>
          <w:szCs w:val="24"/>
        </w:rPr>
        <w:t>isi mens sit rea</w:t>
      </w:r>
      <w:r>
        <w:rPr>
          <w:sz w:val="24"/>
          <w:szCs w:val="24"/>
        </w:rPr>
        <w:t>, yang berarti suatu perbuatan tidak membuat seseorang bersalah kecuali jika pikiran orang tersebut juga bersalah. Dalam ranah hukum pidana khusus, khususnya tindak pidana pemilihan umum, bentuk kesalahan yang paling dominan dan menjadi elemen esensial pembuktian adalah kesengajaan (</w:t>
      </w:r>
      <w:r>
        <w:rPr>
          <w:i/>
          <w:sz w:val="24"/>
          <w:szCs w:val="24"/>
        </w:rPr>
        <w:t>dolus/opzet</w:t>
      </w:r>
      <w:r>
        <w:rPr>
          <w:sz w:val="24"/>
          <w:szCs w:val="24"/>
        </w:rPr>
        <w:t>). Di dalam ilmu hukum pidana, kesengajaan memiliki gradasi teoretis yang dibagi menjadi 3 (tiga) bentuk dasar:</w:t>
      </w:r>
    </w:p>
    <w:p w14:paraId="366AB0BA">
      <w:pPr>
        <w:pStyle w:val="38"/>
        <w:numPr>
          <w:ilvl w:val="4"/>
          <w:numId w:val="10"/>
        </w:numPr>
        <w:spacing w:line="360" w:lineRule="auto"/>
        <w:ind w:left="567" w:hanging="283"/>
        <w:jc w:val="both"/>
        <w:rPr>
          <w:sz w:val="24"/>
          <w:szCs w:val="24"/>
        </w:rPr>
      </w:pPr>
      <w:r>
        <w:rPr>
          <w:sz w:val="24"/>
          <w:szCs w:val="24"/>
        </w:rPr>
        <w:t>Kesengajaan sebagai maksud (</w:t>
      </w:r>
      <w:r>
        <w:rPr>
          <w:i/>
          <w:sz w:val="24"/>
          <w:szCs w:val="24"/>
        </w:rPr>
        <w:t>opzet als oogmerk</w:t>
      </w:r>
      <w:r>
        <w:rPr>
          <w:sz w:val="24"/>
          <w:szCs w:val="24"/>
        </w:rPr>
        <w:t>): Pelaku secara langsung menghendaki dilakukannya perbuatan dan sepenuhnya menghendaki akibat yang timbul dari perbuatan tersebut.</w:t>
      </w:r>
    </w:p>
    <w:p w14:paraId="56202289">
      <w:pPr>
        <w:pStyle w:val="38"/>
        <w:numPr>
          <w:ilvl w:val="4"/>
          <w:numId w:val="10"/>
        </w:numPr>
        <w:spacing w:line="360" w:lineRule="auto"/>
        <w:ind w:left="567" w:hanging="283"/>
        <w:jc w:val="both"/>
        <w:rPr>
          <w:sz w:val="24"/>
          <w:szCs w:val="24"/>
        </w:rPr>
      </w:pPr>
      <w:r>
        <w:rPr>
          <w:sz w:val="24"/>
          <w:szCs w:val="24"/>
        </w:rPr>
        <w:t>Kesengajaan sebagai kepastian atau keharusan (</w:t>
      </w:r>
      <w:r>
        <w:rPr>
          <w:i/>
          <w:sz w:val="24"/>
          <w:szCs w:val="24"/>
        </w:rPr>
        <w:t>opzet bij zekerheidsbewustzijn</w:t>
      </w:r>
      <w:r>
        <w:rPr>
          <w:sz w:val="24"/>
          <w:szCs w:val="24"/>
        </w:rPr>
        <w:t>): Pelaku mengetahui secara pasti bahwa demi mencapai tujuan utama yang diinginkannya, konsekuensi atau akibat lain yang dilarang undang-undang pasti akan ikut terjadi.</w:t>
      </w:r>
    </w:p>
    <w:p w14:paraId="11AE1BB3">
      <w:pPr>
        <w:pStyle w:val="38"/>
        <w:numPr>
          <w:ilvl w:val="4"/>
          <w:numId w:val="10"/>
        </w:numPr>
        <w:spacing w:line="360" w:lineRule="auto"/>
        <w:ind w:left="567" w:hanging="283"/>
        <w:jc w:val="both"/>
        <w:rPr>
          <w:sz w:val="24"/>
          <w:szCs w:val="24"/>
        </w:rPr>
      </w:pPr>
      <w:r>
        <w:rPr>
          <w:sz w:val="24"/>
          <w:szCs w:val="24"/>
        </w:rPr>
        <w:t>Kesengajaan sebagai kemungkinan atau keinsafan risiko (</w:t>
      </w:r>
      <w:r>
        <w:rPr>
          <w:i/>
          <w:sz w:val="24"/>
          <w:szCs w:val="24"/>
        </w:rPr>
        <w:t>dolus eventualis</w:t>
      </w:r>
      <w:r>
        <w:rPr>
          <w:sz w:val="24"/>
          <w:szCs w:val="24"/>
        </w:rPr>
        <w:t>): Pelaku menginsafi bahwa perbuatannya memiliki risiko besar untuk menimbulkan akibat yang dilarang oleh hukum, namun pelaku tetap menyetujui risiko tersebut dan melanjutkan tindakannya (</w:t>
      </w:r>
      <w:r>
        <w:rPr>
          <w:i/>
          <w:sz w:val="24"/>
          <w:szCs w:val="24"/>
        </w:rPr>
        <w:t>voor lief nemen</w:t>
      </w:r>
      <w:r>
        <w:rPr>
          <w:sz w:val="24"/>
          <w:szCs w:val="24"/>
        </w:rPr>
        <w:t>).</w:t>
      </w:r>
    </w:p>
    <w:p w14:paraId="5F6955BB">
      <w:pPr>
        <w:spacing w:line="360" w:lineRule="auto"/>
        <w:ind w:firstLine="284"/>
        <w:jc w:val="both"/>
        <w:rPr>
          <w:sz w:val="24"/>
          <w:szCs w:val="24"/>
        </w:rPr>
      </w:pPr>
      <w:r>
        <w:rPr>
          <w:sz w:val="24"/>
          <w:szCs w:val="24"/>
        </w:rPr>
        <w:t>Dalam hubungannya dengan delik manipulasi hasil pemilu, bentuk kesalahan yang terjadi umumnya berkualifikasi sebagai kesengajaan sebagai maksud (</w:t>
      </w:r>
      <w:r>
        <w:rPr>
          <w:i/>
          <w:sz w:val="24"/>
          <w:szCs w:val="24"/>
        </w:rPr>
        <w:t>opzet als oogmerk</w:t>
      </w:r>
      <w:r>
        <w:rPr>
          <w:sz w:val="24"/>
          <w:szCs w:val="24"/>
        </w:rPr>
        <w:t>) atau kesengajaan yang direncanakan (</w:t>
      </w:r>
      <w:r>
        <w:rPr>
          <w:i/>
          <w:sz w:val="24"/>
          <w:szCs w:val="24"/>
        </w:rPr>
        <w:t>dolus premeditatus</w:t>
      </w:r>
      <w:r>
        <w:rPr>
          <w:sz w:val="24"/>
          <w:szCs w:val="24"/>
        </w:rPr>
        <w:t>). Hal ini dikarenakan tindakan mengubah angka-angka numerik pada formulir rekapitulasi memerlukan koordinasi motorik, kesadaran intelektual, dan perencanaan yang matang untuk menguntungkan pihak tertentu.</w:t>
      </w:r>
    </w:p>
    <w:p w14:paraId="670ABE26">
      <w:pPr>
        <w:pStyle w:val="38"/>
        <w:numPr>
          <w:ilvl w:val="0"/>
          <w:numId w:val="15"/>
        </w:numPr>
        <w:spacing w:line="360" w:lineRule="auto"/>
        <w:ind w:left="567" w:hanging="283"/>
        <w:jc w:val="both"/>
        <w:rPr>
          <w:sz w:val="24"/>
          <w:szCs w:val="24"/>
        </w:rPr>
      </w:pPr>
      <w:r>
        <w:rPr>
          <w:sz w:val="24"/>
          <w:szCs w:val="24"/>
        </w:rPr>
        <w:t>Konsep Pertanggungjawaban Pidana Jabatan Penyelenggara Negara</w:t>
      </w:r>
    </w:p>
    <w:p w14:paraId="222DA221">
      <w:pPr>
        <w:spacing w:line="360" w:lineRule="auto"/>
        <w:ind w:firstLine="284"/>
        <w:jc w:val="both"/>
        <w:rPr>
          <w:sz w:val="24"/>
          <w:szCs w:val="24"/>
        </w:rPr>
      </w:pPr>
      <w:r>
        <w:rPr>
          <w:sz w:val="24"/>
          <w:szCs w:val="24"/>
        </w:rPr>
        <w:t>Pertanggungjawaban pidana jabatan (</w:t>
      </w:r>
      <w:r>
        <w:rPr>
          <w:i/>
          <w:sz w:val="24"/>
          <w:szCs w:val="24"/>
        </w:rPr>
        <w:t>official criminal liability</w:t>
      </w:r>
      <w:r>
        <w:rPr>
          <w:sz w:val="24"/>
          <w:szCs w:val="24"/>
        </w:rPr>
        <w:t>) terjadi ketika seorang subjek hukum memanfaatkan kedudukan yuridis, otoritas kedinasan, fasilitas kenegaraan, atau kewenangan administratif yang melekat pada dirinya sebagai instrumen untuk memuluskan kejahatan. Aparatur negara atau penyelenggara pemilu memiliki kewajiban hukum yang jauh lebih tinggi (</w:t>
      </w:r>
      <w:r>
        <w:rPr>
          <w:i/>
          <w:sz w:val="24"/>
          <w:szCs w:val="24"/>
        </w:rPr>
        <w:t>legal duty to act</w:t>
      </w:r>
      <w:r>
        <w:rPr>
          <w:sz w:val="24"/>
          <w:szCs w:val="24"/>
        </w:rPr>
        <w:t>) untuk mematuhi hukum dibandingkan warga negara biasa.</w:t>
      </w:r>
    </w:p>
    <w:p w14:paraId="15D1F2BB">
      <w:pPr>
        <w:spacing w:line="360" w:lineRule="auto"/>
        <w:ind w:firstLine="284"/>
        <w:jc w:val="both"/>
        <w:rPr>
          <w:sz w:val="24"/>
          <w:szCs w:val="24"/>
          <w:lang w:val="id-ID"/>
        </w:rPr>
      </w:pPr>
      <w:r>
        <w:rPr>
          <w:sz w:val="24"/>
          <w:szCs w:val="24"/>
        </w:rPr>
        <w:t>Ketika seorang pejabat menyalahgunakan wewenang kedinasannya, sifat melawan hukumnya perbuatan (</w:t>
      </w:r>
      <w:r>
        <w:rPr>
          <w:i/>
          <w:sz w:val="24"/>
          <w:szCs w:val="24"/>
        </w:rPr>
        <w:t>rechtswidrigkeit</w:t>
      </w:r>
      <w:r>
        <w:rPr>
          <w:sz w:val="24"/>
          <w:szCs w:val="24"/>
        </w:rPr>
        <w:t>) mengalami eskalasi kualitas menjadi sangat berat. Hukum pidana memandang tindakan ini sebagai bentuk pelanggaran serius terhadap kepercayaan publik (</w:t>
      </w:r>
      <w:r>
        <w:rPr>
          <w:i/>
          <w:sz w:val="24"/>
          <w:szCs w:val="24"/>
        </w:rPr>
        <w:t>breach of publik</w:t>
      </w:r>
      <w:r>
        <w:rPr>
          <w:sz w:val="24"/>
          <w:szCs w:val="24"/>
          <w:lang w:val="id-ID"/>
        </w:rPr>
        <w:t>).</w:t>
      </w:r>
    </w:p>
    <w:p w14:paraId="497A8F78">
      <w:pPr>
        <w:spacing w:line="360" w:lineRule="auto"/>
        <w:jc w:val="both"/>
        <w:rPr>
          <w:sz w:val="24"/>
          <w:szCs w:val="24"/>
        </w:rPr>
      </w:pPr>
      <w:r>
        <w:rPr>
          <w:sz w:val="24"/>
          <w:szCs w:val="24"/>
        </w:rPr>
        <w:t xml:space="preserve"> </w:t>
      </w:r>
    </w:p>
    <w:p w14:paraId="7B3F8049">
      <w:pPr>
        <w:pStyle w:val="38"/>
        <w:numPr>
          <w:ilvl w:val="0"/>
          <w:numId w:val="10"/>
        </w:numPr>
        <w:spacing w:line="360" w:lineRule="auto"/>
        <w:ind w:left="284" w:hanging="284"/>
        <w:jc w:val="both"/>
        <w:outlineLvl w:val="1"/>
        <w:rPr>
          <w:b/>
          <w:bCs/>
          <w:sz w:val="24"/>
          <w:szCs w:val="24"/>
          <w:lang w:val="id-ID"/>
        </w:rPr>
      </w:pPr>
      <w:bookmarkStart w:id="22" w:name="_Toc230017853"/>
      <w:r>
        <w:rPr>
          <w:b/>
          <w:bCs/>
          <w:sz w:val="24"/>
          <w:szCs w:val="24"/>
          <w:lang w:val="en-US"/>
        </w:rPr>
        <w:t>Kendala dan Hambatan Panitia Pemilihan Kecamatan (PPK) dalam Pemilihan Umum Legeslatif</w:t>
      </w:r>
      <w:bookmarkEnd w:id="22"/>
    </w:p>
    <w:p w14:paraId="2D665EEB">
      <w:pPr>
        <w:spacing w:line="360" w:lineRule="auto"/>
        <w:ind w:firstLine="284"/>
        <w:jc w:val="both"/>
        <w:rPr>
          <w:bCs/>
          <w:sz w:val="24"/>
          <w:szCs w:val="24"/>
          <w:lang w:val="id-ID"/>
        </w:rPr>
      </w:pPr>
      <w:r>
        <w:rPr>
          <w:bCs/>
          <w:sz w:val="24"/>
          <w:szCs w:val="24"/>
          <w:lang w:val="id-ID"/>
        </w:rPr>
        <w:t>Teori Efektivitas Hukum dan Faktor Penyebab Pelanggaran Hukum (Pisau Analisis RM 3).</w:t>
      </w:r>
    </w:p>
    <w:p w14:paraId="4B542EBE">
      <w:pPr>
        <w:pStyle w:val="38"/>
        <w:numPr>
          <w:ilvl w:val="3"/>
          <w:numId w:val="10"/>
        </w:numPr>
        <w:spacing w:line="360" w:lineRule="auto"/>
        <w:ind w:left="567" w:hanging="284"/>
        <w:jc w:val="both"/>
        <w:rPr>
          <w:bCs/>
          <w:sz w:val="24"/>
          <w:szCs w:val="24"/>
          <w:lang w:val="id-ID"/>
        </w:rPr>
      </w:pPr>
      <w:r>
        <w:rPr>
          <w:bCs/>
          <w:sz w:val="24"/>
          <w:szCs w:val="24"/>
          <w:lang w:val="id-ID"/>
        </w:rPr>
        <w:t>Teori Efektivitas Hukum Menurut Soerjono Soekanto</w:t>
      </w:r>
    </w:p>
    <w:p w14:paraId="779212E6">
      <w:pPr>
        <w:spacing w:line="360" w:lineRule="auto"/>
        <w:jc w:val="both"/>
        <w:rPr>
          <w:bCs/>
          <w:sz w:val="24"/>
          <w:szCs w:val="24"/>
          <w:lang w:val="id-ID"/>
        </w:rPr>
      </w:pPr>
      <w:r>
        <w:rPr>
          <w:bCs/>
          <w:sz w:val="24"/>
          <w:szCs w:val="24"/>
          <w:lang w:val="id-ID"/>
        </w:rPr>
        <w:t>Untuk membedah secara ilmiah mengenai kendala dan hambatan yang dihadapi oleh Panitia Pemilihan Kecamatan (PPK) di lapangan, penelitian ini menggunakan Teori Efektivitas Hukum yang dikemukakan oleh Soerjono Soekanto. Teori ini menyatakan bahwa efektif atau tidaknya suatu hukum di dalam praktiknya ditentukan oleh 5 (lima) faktor yang saling memengaruhi secara simultan:</w:t>
      </w:r>
    </w:p>
    <w:p w14:paraId="408257D2">
      <w:pPr>
        <w:pStyle w:val="38"/>
        <w:numPr>
          <w:ilvl w:val="4"/>
          <w:numId w:val="10"/>
        </w:numPr>
        <w:spacing w:line="360" w:lineRule="auto"/>
        <w:ind w:left="567" w:hanging="284"/>
        <w:jc w:val="both"/>
        <w:rPr>
          <w:bCs/>
          <w:sz w:val="24"/>
          <w:szCs w:val="24"/>
          <w:lang w:val="id-ID"/>
        </w:rPr>
      </w:pPr>
      <w:r>
        <w:rPr>
          <w:bCs/>
          <w:sz w:val="24"/>
          <w:szCs w:val="24"/>
          <w:lang w:val="id-ID"/>
        </w:rPr>
        <w:t>Faktor Hukumnya Sendiri: Aturan tertulis atau undang-undang yang menjadi dasar bertindak. Dalam konteks PPK, kerumitan formulasi teknis dalam regulasi pemilu sering kali menimbulkan multitafsir.</w:t>
      </w:r>
    </w:p>
    <w:p w14:paraId="170A29A5">
      <w:pPr>
        <w:pStyle w:val="38"/>
        <w:numPr>
          <w:ilvl w:val="4"/>
          <w:numId w:val="10"/>
        </w:numPr>
        <w:spacing w:line="360" w:lineRule="auto"/>
        <w:ind w:left="567" w:hanging="284"/>
        <w:jc w:val="both"/>
        <w:rPr>
          <w:bCs/>
          <w:sz w:val="24"/>
          <w:szCs w:val="24"/>
          <w:lang w:val="id-ID"/>
        </w:rPr>
      </w:pPr>
      <w:r>
        <w:rPr>
          <w:bCs/>
          <w:sz w:val="24"/>
          <w:szCs w:val="24"/>
          <w:lang w:val="id-ID"/>
        </w:rPr>
        <w:t xml:space="preserve">Faktor Penegak Hukum: Mentalitas, integritas, dan profesionalisme aparat yang menerapkan hukum, termasuk komisioner </w:t>
      </w:r>
      <w:r>
        <w:rPr>
          <w:bCs/>
          <w:i/>
          <w:sz w:val="24"/>
          <w:szCs w:val="24"/>
          <w:lang w:val="id-ID"/>
        </w:rPr>
        <w:t>ad hoc</w:t>
      </w:r>
      <w:r>
        <w:rPr>
          <w:bCs/>
          <w:sz w:val="24"/>
          <w:szCs w:val="24"/>
          <w:lang w:val="id-ID"/>
        </w:rPr>
        <w:t xml:space="preserve"> selaku pelaksana undang-undang di tingkat kecamatan.</w:t>
      </w:r>
    </w:p>
    <w:p w14:paraId="5A746518">
      <w:pPr>
        <w:pStyle w:val="38"/>
        <w:numPr>
          <w:ilvl w:val="4"/>
          <w:numId w:val="10"/>
        </w:numPr>
        <w:spacing w:line="360" w:lineRule="auto"/>
        <w:ind w:left="567" w:hanging="284"/>
        <w:jc w:val="both"/>
        <w:rPr>
          <w:bCs/>
          <w:sz w:val="24"/>
          <w:szCs w:val="24"/>
          <w:lang w:val="id-ID"/>
        </w:rPr>
      </w:pPr>
      <w:r>
        <w:rPr>
          <w:bCs/>
          <w:sz w:val="24"/>
          <w:szCs w:val="24"/>
          <w:lang w:val="id-ID"/>
        </w:rPr>
        <w:t>Faktor Sarana atau Fasilitas: Ketersediaan instrumen pendukung, seperti kestabilan sistem aplikasi rekapitulasi data (Sirekap), fasilitas gedung pleno, hingga jaminan anggaran operasional yang memada</w:t>
      </w:r>
      <w:r>
        <w:rPr>
          <w:b/>
          <w:sz w:val="24"/>
          <w:szCs w:val="24"/>
          <w:lang w:val="id-ID"/>
        </w:rPr>
        <w:t>i.</w:t>
      </w:r>
    </w:p>
    <w:p w14:paraId="4999825D">
      <w:pPr>
        <w:pStyle w:val="38"/>
        <w:numPr>
          <w:ilvl w:val="4"/>
          <w:numId w:val="10"/>
        </w:numPr>
        <w:spacing w:line="360" w:lineRule="auto"/>
        <w:ind w:left="567" w:hanging="284"/>
        <w:jc w:val="both"/>
        <w:rPr>
          <w:bCs/>
          <w:sz w:val="24"/>
          <w:szCs w:val="24"/>
          <w:lang w:val="id-ID"/>
        </w:rPr>
      </w:pPr>
      <w:r>
        <w:rPr>
          <w:bCs/>
          <w:sz w:val="24"/>
          <w:szCs w:val="24"/>
          <w:lang w:val="id-ID"/>
        </w:rPr>
        <w:t>Faktor Masyarakat: Tingkat kesadaran dan kepatuhan warga negara atau kontestan politik yang berinteraksi dengan hukum tersebut.</w:t>
      </w:r>
    </w:p>
    <w:p w14:paraId="56CD7B10">
      <w:pPr>
        <w:pStyle w:val="38"/>
        <w:numPr>
          <w:ilvl w:val="4"/>
          <w:numId w:val="10"/>
        </w:numPr>
        <w:spacing w:line="360" w:lineRule="auto"/>
        <w:ind w:left="567" w:hanging="284"/>
        <w:jc w:val="both"/>
        <w:rPr>
          <w:bCs/>
          <w:sz w:val="24"/>
          <w:szCs w:val="24"/>
          <w:lang w:val="id-ID"/>
        </w:rPr>
      </w:pPr>
      <w:r>
        <w:rPr>
          <w:bCs/>
          <w:sz w:val="24"/>
          <w:szCs w:val="24"/>
          <w:lang w:val="id-ID"/>
        </w:rPr>
        <w:t>Faktor Kebudayaan: Nilai-nilai, kebiasaan, atau perilaku yang dianut kelompok masyarakat, di mana kultur pragmatisme politik transaksional (seperti budaya suap menyuap demi memenangkan pemilu) sering kali merusak sistem yang ada.</w:t>
      </w:r>
    </w:p>
    <w:p w14:paraId="23F70A87">
      <w:pPr>
        <w:spacing w:line="360" w:lineRule="auto"/>
        <w:ind w:firstLine="284"/>
        <w:jc w:val="both"/>
        <w:rPr>
          <w:bCs/>
          <w:sz w:val="24"/>
          <w:szCs w:val="24"/>
          <w:lang w:val="id-ID"/>
        </w:rPr>
      </w:pPr>
      <w:r>
        <w:rPr>
          <w:bCs/>
          <w:sz w:val="24"/>
          <w:szCs w:val="24"/>
          <w:lang w:val="id-ID"/>
        </w:rPr>
        <w:t>Jika salah satu atau beberapa faktor di atas mengalami kepincangan atau hambatan, maka efektivitas penegakan hukum pemilu yang jujur dan adil di tingkat PPK akan lumpuh, sehingga menciptakan celah terjadinya tindak pidana manipulasi suara.</w:t>
      </w:r>
    </w:p>
    <w:p w14:paraId="7A150AD1">
      <w:pPr>
        <w:spacing w:line="360" w:lineRule="auto"/>
        <w:ind w:firstLine="284"/>
        <w:jc w:val="both"/>
        <w:outlineLvl w:val="1"/>
        <w:rPr>
          <w:bCs/>
          <w:sz w:val="24"/>
          <w:szCs w:val="24"/>
          <w:lang w:val="id-ID"/>
        </w:rPr>
      </w:pPr>
    </w:p>
    <w:p w14:paraId="575B9E3B">
      <w:pPr>
        <w:pStyle w:val="38"/>
        <w:numPr>
          <w:ilvl w:val="3"/>
          <w:numId w:val="10"/>
        </w:numPr>
        <w:spacing w:line="360" w:lineRule="auto"/>
        <w:ind w:left="567" w:hanging="284"/>
        <w:jc w:val="both"/>
        <w:rPr>
          <w:bCs/>
          <w:sz w:val="24"/>
          <w:szCs w:val="24"/>
          <w:lang w:val="id-ID"/>
        </w:rPr>
      </w:pPr>
      <w:r>
        <w:rPr>
          <w:bCs/>
          <w:sz w:val="24"/>
          <w:szCs w:val="24"/>
          <w:lang w:val="id-ID"/>
        </w:rPr>
        <w:t>Teori Penegakan Hukum Kedinasan dan Faktor Teknis-Sosiologis</w:t>
      </w:r>
    </w:p>
    <w:p w14:paraId="70D21852">
      <w:pPr>
        <w:spacing w:line="360" w:lineRule="auto"/>
        <w:ind w:firstLine="284"/>
        <w:jc w:val="both"/>
        <w:rPr>
          <w:bCs/>
          <w:sz w:val="24"/>
          <w:szCs w:val="24"/>
          <w:lang w:val="id-ID"/>
        </w:rPr>
      </w:pPr>
      <w:r>
        <w:rPr>
          <w:bCs/>
          <w:sz w:val="24"/>
          <w:szCs w:val="24"/>
          <w:lang w:val="id-ID"/>
        </w:rPr>
        <w:t xml:space="preserve">Hambatan pelaksanaan tugas oleh badan </w:t>
      </w:r>
      <w:r>
        <w:rPr>
          <w:bCs/>
          <w:i/>
          <w:sz w:val="24"/>
          <w:szCs w:val="24"/>
          <w:lang w:val="id-ID"/>
        </w:rPr>
        <w:t>ad hoc</w:t>
      </w:r>
      <w:r>
        <w:rPr>
          <w:bCs/>
          <w:sz w:val="24"/>
          <w:szCs w:val="24"/>
          <w:lang w:val="id-ID"/>
        </w:rPr>
        <w:t xml:space="preserve"> pemilu tidak pernah berdiri sendiri di ruang hampa, melainkan selalu berkelindan dengan tekanan lingkungan kerja. Secara teoretis, hambatan tersebut dibagi menjadi dua klaster:</w:t>
      </w:r>
    </w:p>
    <w:p w14:paraId="6A0A8AA0">
      <w:pPr>
        <w:pStyle w:val="38"/>
        <w:numPr>
          <w:ilvl w:val="4"/>
          <w:numId w:val="10"/>
        </w:numPr>
        <w:spacing w:line="360" w:lineRule="auto"/>
        <w:ind w:left="567"/>
        <w:jc w:val="both"/>
        <w:rPr>
          <w:bCs/>
          <w:sz w:val="24"/>
          <w:szCs w:val="24"/>
          <w:lang w:val="id-ID"/>
        </w:rPr>
      </w:pPr>
      <w:r>
        <w:rPr>
          <w:bCs/>
          <w:sz w:val="24"/>
          <w:szCs w:val="24"/>
          <w:lang w:val="id-ID"/>
        </w:rPr>
        <w:t>Hambatan Teknis-Internal (</w:t>
      </w:r>
      <w:r>
        <w:rPr>
          <w:bCs/>
          <w:i/>
          <w:sz w:val="24"/>
          <w:szCs w:val="24"/>
          <w:lang w:val="id-ID"/>
        </w:rPr>
        <w:t>Technical Bottleneck</w:t>
      </w:r>
      <w:r>
        <w:rPr>
          <w:bCs/>
          <w:sz w:val="24"/>
          <w:szCs w:val="24"/>
          <w:lang w:val="id-ID"/>
        </w:rPr>
        <w:t>): Berupa kelemahan sistem penduk</w:t>
      </w:r>
      <w:r>
        <w:rPr>
          <w:bCs/>
          <w:sz w:val="24"/>
          <w:szCs w:val="24"/>
          <w:lang w:val="id-ID"/>
        </w:rPr>
        <w:tab/>
      </w:r>
      <w:r>
        <w:rPr>
          <w:bCs/>
          <w:sz w:val="24"/>
          <w:szCs w:val="24"/>
          <w:lang w:val="id-ID"/>
        </w:rPr>
        <w:t>ung kerja (</w:t>
      </w:r>
      <w:r>
        <w:rPr>
          <w:bCs/>
          <w:i/>
          <w:sz w:val="24"/>
          <w:szCs w:val="24"/>
          <w:lang w:val="id-ID"/>
        </w:rPr>
        <w:t>work support system</w:t>
      </w:r>
      <w:r>
        <w:rPr>
          <w:bCs/>
          <w:sz w:val="24"/>
          <w:szCs w:val="24"/>
          <w:lang w:val="id-ID"/>
        </w:rPr>
        <w:t>). Hal ini mencakup durasi waktu pleno yang sangat terbatas, beban kerja maraton yang melampaui kapasitas ketahanan fisik manusia (</w:t>
      </w:r>
      <w:r>
        <w:rPr>
          <w:bCs/>
          <w:i/>
          <w:sz w:val="24"/>
          <w:szCs w:val="24"/>
          <w:lang w:val="id-ID"/>
        </w:rPr>
        <w:t>human error due to fatigue</w:t>
      </w:r>
      <w:r>
        <w:rPr>
          <w:bCs/>
          <w:sz w:val="24"/>
          <w:szCs w:val="24"/>
          <w:lang w:val="id-ID"/>
        </w:rPr>
        <w:t>), serta minimnya pembekalan bimbingan teknis yang komprehensif dari KPU Kabupaten/Kota kepada jajaran PPK.</w:t>
      </w:r>
    </w:p>
    <w:p w14:paraId="490B4B4E">
      <w:pPr>
        <w:pStyle w:val="38"/>
        <w:numPr>
          <w:ilvl w:val="4"/>
          <w:numId w:val="10"/>
        </w:numPr>
        <w:spacing w:line="360" w:lineRule="auto"/>
        <w:ind w:left="567"/>
        <w:jc w:val="both"/>
        <w:rPr>
          <w:bCs/>
          <w:sz w:val="24"/>
          <w:szCs w:val="24"/>
          <w:lang w:val="id-ID"/>
        </w:rPr>
      </w:pPr>
      <w:r>
        <w:rPr>
          <w:bCs/>
          <w:sz w:val="24"/>
          <w:szCs w:val="24"/>
          <w:lang w:val="id-ID"/>
        </w:rPr>
        <w:t>Hambatan Sosiologis-Eksternal (</w:t>
      </w:r>
      <w:r>
        <w:rPr>
          <w:bCs/>
          <w:i/>
          <w:sz w:val="24"/>
          <w:szCs w:val="24"/>
          <w:lang w:val="id-ID"/>
        </w:rPr>
        <w:t>Socio-Political Pressure</w:t>
      </w:r>
      <w:r>
        <w:rPr>
          <w:bCs/>
          <w:sz w:val="24"/>
          <w:szCs w:val="24"/>
          <w:lang w:val="id-ID"/>
        </w:rPr>
        <w:t>): Berupa intervensi lingkungan politik luar yang agresif. Celah ini muncul akibat kuatnya penetrasi kapital dari para peserta pemilu legislatif yang melakukan lobi-lobi transaksional, intimidasi psikologis dari para saksi partai politik di ruang pleno, hingga lemahnya sistem pengamanan fisik dan perlindungan hukum bagi para anggota PPK di tingkat kecamatan.</w:t>
      </w:r>
    </w:p>
    <w:p w14:paraId="075603BD">
      <w:pPr>
        <w:spacing w:line="360" w:lineRule="auto"/>
        <w:ind w:firstLine="284"/>
        <w:jc w:val="both"/>
        <w:rPr>
          <w:bCs/>
          <w:sz w:val="24"/>
          <w:szCs w:val="24"/>
          <w:lang w:val="id-ID"/>
        </w:rPr>
      </w:pPr>
      <w:r>
        <w:rPr>
          <w:bCs/>
          <w:sz w:val="24"/>
          <w:szCs w:val="24"/>
          <w:lang w:val="id-ID"/>
        </w:rPr>
        <w:t>Jalinan antara kelelahan sistemik internal dan gempuran tekanan eksternal inilah yang secara teoretis melemahkan integritas personal penyelenggara, sehingga niat jahat (</w:t>
      </w:r>
      <w:r>
        <w:rPr>
          <w:bCs/>
          <w:i/>
          <w:sz w:val="24"/>
          <w:szCs w:val="24"/>
          <w:lang w:val="id-ID"/>
        </w:rPr>
        <w:t>mens rea</w:t>
      </w:r>
      <w:r>
        <w:rPr>
          <w:bCs/>
          <w:sz w:val="24"/>
          <w:szCs w:val="24"/>
          <w:lang w:val="id-ID"/>
        </w:rPr>
        <w:t>) berpindah angka perolehan suara akhirnya terbentuk demi mengamankan posisi personal atau keuntungan materiil sekejap.</w:t>
      </w:r>
    </w:p>
    <w:p w14:paraId="0CE48770">
      <w:pPr>
        <w:spacing w:line="360" w:lineRule="auto"/>
        <w:jc w:val="both"/>
        <w:outlineLvl w:val="1"/>
        <w:rPr>
          <w:b/>
          <w:sz w:val="24"/>
          <w:szCs w:val="24"/>
          <w:lang w:val="id-ID"/>
        </w:rPr>
      </w:pPr>
    </w:p>
    <w:p w14:paraId="497A8F79">
      <w:pPr>
        <w:pStyle w:val="38"/>
        <w:numPr>
          <w:ilvl w:val="0"/>
          <w:numId w:val="10"/>
        </w:numPr>
        <w:spacing w:line="360" w:lineRule="auto"/>
        <w:ind w:left="284" w:hanging="283"/>
        <w:jc w:val="both"/>
        <w:outlineLvl w:val="1"/>
        <w:rPr>
          <w:b/>
          <w:sz w:val="24"/>
          <w:szCs w:val="24"/>
          <w:lang w:val="id-ID"/>
        </w:rPr>
      </w:pPr>
      <w:bookmarkStart w:id="23" w:name="_Toc230017854"/>
      <w:r>
        <w:rPr>
          <w:b/>
          <w:sz w:val="24"/>
          <w:szCs w:val="24"/>
          <w:lang w:val="id-ID"/>
        </w:rPr>
        <w:t>Kronologi Peristiwa Yang Terungkap Dalam Persidangan</w:t>
      </w:r>
      <w:bookmarkEnd w:id="23"/>
    </w:p>
    <w:p w14:paraId="497A8F7A">
      <w:pPr>
        <w:pStyle w:val="38"/>
        <w:numPr>
          <w:ilvl w:val="0"/>
          <w:numId w:val="16"/>
        </w:numPr>
        <w:tabs>
          <w:tab w:val="clear" w:pos="720"/>
        </w:tabs>
        <w:spacing w:line="360" w:lineRule="auto"/>
        <w:ind w:left="426" w:hanging="426"/>
        <w:jc w:val="both"/>
        <w:rPr>
          <w:sz w:val="24"/>
          <w:szCs w:val="24"/>
        </w:rPr>
      </w:pPr>
      <w:r>
        <w:rPr>
          <w:sz w:val="24"/>
          <w:szCs w:val="24"/>
        </w:rPr>
        <w:t>Proses Awal Munculnya Informasi dan Tindak Lanjut Kelembagaan</w:t>
      </w:r>
    </w:p>
    <w:p w14:paraId="497A8F7B">
      <w:pPr>
        <w:spacing w:line="360" w:lineRule="auto"/>
        <w:ind w:firstLine="284"/>
        <w:jc w:val="both"/>
        <w:rPr>
          <w:sz w:val="24"/>
          <w:szCs w:val="24"/>
          <w:lang w:val="id-ID"/>
        </w:rPr>
      </w:pPr>
      <w:r>
        <w:rPr>
          <w:sz w:val="24"/>
          <w:szCs w:val="24"/>
        </w:rPr>
        <w:t>Kasus ini tidak ditemukan secara langsung oleh aparat pengawas, melainkan bermula dari adanya Informasi Awal yang diterima secara tertulis oleh Badan Pengawas Pemilihan Umum (Bawaslu) Kota Medan pada tanggal 06 Maret 2024. Informasi tersebut disampaikan oleh pihak pelapor bernama NYS yang mengadukan adanya dugaan kecurangan berupa penggelembungan suara atau manipulasi data perolehan suara di wilayah kerja Kecamatan Medan Timur.</w:t>
      </w:r>
      <w:r>
        <w:rPr>
          <w:sz w:val="24"/>
          <w:szCs w:val="24"/>
          <w:lang w:val="id-ID"/>
        </w:rPr>
        <w:t xml:space="preserve"> </w:t>
      </w:r>
    </w:p>
    <w:p w14:paraId="497A8F7C">
      <w:pPr>
        <w:pStyle w:val="38"/>
        <w:spacing w:line="360" w:lineRule="auto"/>
        <w:ind w:left="426"/>
        <w:jc w:val="both"/>
        <w:rPr>
          <w:sz w:val="24"/>
          <w:szCs w:val="24"/>
        </w:rPr>
      </w:pPr>
      <w:r>
        <w:rPr>
          <w:sz w:val="24"/>
          <w:szCs w:val="24"/>
        </w:rPr>
        <w:t>Mekanisme hukum yang terjadi selanjutnya adalah sebagai berikut:</w:t>
      </w:r>
    </w:p>
    <w:p w14:paraId="497A8F7D">
      <w:pPr>
        <w:pStyle w:val="38"/>
        <w:numPr>
          <w:ilvl w:val="1"/>
          <w:numId w:val="17"/>
        </w:numPr>
        <w:spacing w:line="360" w:lineRule="auto"/>
        <w:ind w:left="709" w:hanging="283"/>
        <w:jc w:val="both"/>
        <w:rPr>
          <w:sz w:val="24"/>
          <w:szCs w:val="24"/>
        </w:rPr>
      </w:pPr>
      <w:r>
        <w:rPr>
          <w:sz w:val="24"/>
          <w:szCs w:val="24"/>
        </w:rPr>
        <w:t>Verifikasi: Berdasarkan informasi awal tersebut, Bawaslu Kota Medan tidak langsung memproses secara pidana, melainkan melakukan langkah-langkah verifikasi dan kajian mendalam terhadap kebenaran data dan dugaan pelanggaran yang dimaksud.</w:t>
      </w:r>
    </w:p>
    <w:p w14:paraId="497A8F7E">
      <w:pPr>
        <w:pStyle w:val="38"/>
        <w:numPr>
          <w:ilvl w:val="1"/>
          <w:numId w:val="17"/>
        </w:numPr>
        <w:spacing w:line="360" w:lineRule="auto"/>
        <w:ind w:left="709" w:hanging="283"/>
        <w:jc w:val="both"/>
        <w:rPr>
          <w:sz w:val="24"/>
          <w:szCs w:val="24"/>
        </w:rPr>
      </w:pPr>
      <w:r>
        <w:rPr>
          <w:sz w:val="24"/>
          <w:szCs w:val="24"/>
        </w:rPr>
        <w:t>Penerbitan Dokumen: Setelah dilakukan kajian dan ditemukan cukup bukti adanya indikasi pelanggaran yang cukup serius, maka Bawaslu Kota Medan menerbitkan dokumen resmi dengan nomor: 006/PP/002/K.SU-28/0/3/2018 tertanggal 06 Maret 2024. Dokumen atau rekomendasi inilah yang menjadi pintu</w:t>
      </w:r>
      <w:r>
        <w:rPr>
          <w:sz w:val="24"/>
          <w:szCs w:val="24"/>
          <w:lang w:val="id-ID"/>
        </w:rPr>
        <w:t xml:space="preserve"> </w:t>
      </w:r>
      <w:r>
        <w:rPr>
          <w:sz w:val="24"/>
          <w:szCs w:val="24"/>
        </w:rPr>
        <w:t>masuk dan dasar yuridis bagi dilakukannya proses hukum lebih lanjut, baik melalui jalur administrasi maupun jalur pidana, hingga akhirnya ditetapkan sebagai perkara pidana dan disidangkan di Pengadilan Negeri Medan.</w:t>
      </w:r>
    </w:p>
    <w:p w14:paraId="497A8F7F">
      <w:pPr>
        <w:pStyle w:val="38"/>
        <w:numPr>
          <w:ilvl w:val="0"/>
          <w:numId w:val="18"/>
        </w:numPr>
        <w:spacing w:line="360" w:lineRule="auto"/>
        <w:ind w:left="426" w:hanging="426"/>
        <w:jc w:val="both"/>
        <w:rPr>
          <w:sz w:val="24"/>
          <w:szCs w:val="24"/>
        </w:rPr>
      </w:pPr>
      <w:r>
        <w:rPr>
          <w:sz w:val="24"/>
          <w:szCs w:val="24"/>
        </w:rPr>
        <w:t>Waktu, Tempat Kejadian, dan Kedudukan Para Pihak</w:t>
      </w:r>
    </w:p>
    <w:p w14:paraId="497A8F80">
      <w:pPr>
        <w:spacing w:line="360" w:lineRule="auto"/>
        <w:ind w:firstLine="284"/>
        <w:jc w:val="both"/>
        <w:rPr>
          <w:sz w:val="24"/>
          <w:szCs w:val="24"/>
          <w:lang w:val="id-ID"/>
        </w:rPr>
      </w:pPr>
      <w:r>
        <w:rPr>
          <w:sz w:val="24"/>
          <w:szCs w:val="24"/>
        </w:rPr>
        <w:t>Perbuatan pidana yang menjadi objek dakwaan dalam perkara ini terjadi pada rentang waktu tanggal 01 Maret 2024 sampai dengan tanggal 05 Maret 2024. Secara geografis, perbuatan tersebut dilakukan di Kantor Kecamatan Medan Timur, yang merupakan tempat resmi penyelenggaraan rapat rekapitulasi hasil penghitungan suara.</w:t>
      </w:r>
    </w:p>
    <w:p w14:paraId="497A8F81">
      <w:pPr>
        <w:spacing w:line="360" w:lineRule="auto"/>
        <w:ind w:firstLine="284"/>
        <w:jc w:val="both"/>
        <w:rPr>
          <w:sz w:val="24"/>
          <w:szCs w:val="24"/>
        </w:rPr>
      </w:pPr>
      <w:r>
        <w:rPr>
          <w:sz w:val="24"/>
          <w:szCs w:val="24"/>
        </w:rPr>
        <w:t>Dalam peristiwa hukum ini, para pihak yang terlibat memiliki kedudukan dan jabatan resmi yang strategis, yaitu:</w:t>
      </w:r>
    </w:p>
    <w:p w14:paraId="497A8F82">
      <w:pPr>
        <w:pStyle w:val="38"/>
        <w:numPr>
          <w:ilvl w:val="0"/>
          <w:numId w:val="19"/>
        </w:numPr>
        <w:spacing w:line="360" w:lineRule="auto"/>
        <w:ind w:left="567" w:hanging="284"/>
        <w:jc w:val="both"/>
        <w:rPr>
          <w:sz w:val="24"/>
          <w:szCs w:val="24"/>
        </w:rPr>
      </w:pPr>
      <w:r>
        <w:rPr>
          <w:sz w:val="24"/>
          <w:szCs w:val="24"/>
        </w:rPr>
        <w:t>MRR: Bertindak selaku Ketua Panitia Pemilihan Kecamatan (PPK) Medan Timur. Sebagai ketua, ia memegang kendali penuh atas jalannya proses dan pengambilan keputusan serta memiliki wewenang administrasi sistem.</w:t>
      </w:r>
    </w:p>
    <w:p w14:paraId="497A8F83">
      <w:pPr>
        <w:pStyle w:val="38"/>
        <w:numPr>
          <w:ilvl w:val="0"/>
          <w:numId w:val="19"/>
        </w:numPr>
        <w:spacing w:line="360" w:lineRule="auto"/>
        <w:ind w:left="567" w:hanging="284"/>
        <w:jc w:val="both"/>
        <w:rPr>
          <w:sz w:val="24"/>
          <w:szCs w:val="24"/>
        </w:rPr>
      </w:pPr>
      <w:r>
        <w:rPr>
          <w:sz w:val="24"/>
          <w:szCs w:val="24"/>
        </w:rPr>
        <w:t>ASBH: Bertindak selaku Anggota PPK Medan Timur dan merupakan Terdakwa dalam putusan ini. Ia memiliki tugas operasional dalam memasukkan dan merekap data.</w:t>
      </w:r>
    </w:p>
    <w:p w14:paraId="497A8F85">
      <w:pPr>
        <w:pStyle w:val="38"/>
        <w:numPr>
          <w:ilvl w:val="0"/>
          <w:numId w:val="19"/>
        </w:numPr>
        <w:spacing w:line="360" w:lineRule="auto"/>
        <w:ind w:left="567" w:hanging="284"/>
        <w:jc w:val="both"/>
        <w:rPr>
          <w:sz w:val="24"/>
          <w:szCs w:val="24"/>
        </w:rPr>
      </w:pPr>
      <w:r>
        <w:rPr>
          <w:sz w:val="24"/>
          <w:szCs w:val="24"/>
        </w:rPr>
        <w:t>JM: Bertindak selaku Anggota PPK Medan Timur yang turut serta membantu jalannya proses perbuatan melawan hukum tersebut.</w:t>
      </w:r>
      <w:r>
        <w:rPr>
          <w:sz w:val="24"/>
          <w:szCs w:val="24"/>
          <w:lang w:val="id-ID"/>
        </w:rPr>
        <w:t xml:space="preserve"> </w:t>
      </w:r>
      <w:r>
        <w:rPr>
          <w:sz w:val="24"/>
          <w:szCs w:val="24"/>
        </w:rPr>
        <w:t>Ketiga orang tersebut terikat dalam satu kesatuan tugas dan tanggung jawab penyelenggaraan pemilu di tingkat kecamatan</w:t>
      </w:r>
    </w:p>
    <w:p w14:paraId="497A8F86">
      <w:pPr>
        <w:pStyle w:val="38"/>
        <w:numPr>
          <w:ilvl w:val="0"/>
          <w:numId w:val="18"/>
        </w:numPr>
        <w:spacing w:line="360" w:lineRule="auto"/>
        <w:ind w:left="426" w:hanging="426"/>
        <w:jc w:val="both"/>
        <w:rPr>
          <w:sz w:val="24"/>
          <w:szCs w:val="24"/>
        </w:rPr>
      </w:pPr>
      <w:r>
        <w:rPr>
          <w:sz w:val="24"/>
          <w:szCs w:val="24"/>
        </w:rPr>
        <w:t>Mekanisme dan Modus Operandi Terjadinya Manipulasi Data</w:t>
      </w:r>
    </w:p>
    <w:p w14:paraId="497A8F87">
      <w:pPr>
        <w:spacing w:line="360" w:lineRule="auto"/>
        <w:ind w:firstLine="284"/>
        <w:jc w:val="both"/>
        <w:rPr>
          <w:sz w:val="24"/>
          <w:szCs w:val="24"/>
        </w:rPr>
      </w:pPr>
      <w:r>
        <w:rPr>
          <w:sz w:val="24"/>
          <w:szCs w:val="24"/>
        </w:rPr>
        <w:t>Berdasarkan fakta persidangan, perbuatan pidana tersebut tidak terjadi secara spontan, melainkan dilakukan melalui tahapan-tahapan yang terstruktur dan memiliki pembagian peran yang jelas, yaitu sebagai berikut:</w:t>
      </w:r>
    </w:p>
    <w:p w14:paraId="497A8F88">
      <w:pPr>
        <w:pStyle w:val="38"/>
        <w:numPr>
          <w:ilvl w:val="4"/>
          <w:numId w:val="17"/>
        </w:numPr>
        <w:spacing w:line="360" w:lineRule="auto"/>
        <w:ind w:left="567" w:hanging="283"/>
        <w:jc w:val="both"/>
        <w:rPr>
          <w:sz w:val="24"/>
          <w:szCs w:val="24"/>
        </w:rPr>
      </w:pPr>
      <w:r>
        <w:rPr>
          <w:sz w:val="24"/>
          <w:szCs w:val="24"/>
        </w:rPr>
        <w:t>Tahap Pemberian Perintah:</w:t>
      </w:r>
    </w:p>
    <w:p w14:paraId="43A5BE94">
      <w:pPr>
        <w:pStyle w:val="38"/>
        <w:spacing w:line="360" w:lineRule="auto"/>
        <w:ind w:left="567"/>
        <w:jc w:val="both"/>
        <w:rPr>
          <w:sz w:val="24"/>
          <w:szCs w:val="24"/>
          <w:lang w:val="id-ID"/>
        </w:rPr>
      </w:pPr>
      <w:r>
        <w:rPr>
          <w:sz w:val="24"/>
          <w:szCs w:val="24"/>
        </w:rPr>
        <w:t>Pada hari Sabtu, tanggal 02 Maret 2024, saat berlangsungnya rapat pleno rekapitulasi dan para saksi dari partai politik meminta data hasil</w:t>
      </w:r>
      <w:r>
        <w:rPr>
          <w:sz w:val="24"/>
          <w:szCs w:val="24"/>
          <w:lang w:val="id-ID"/>
        </w:rPr>
        <w:t xml:space="preserve">   </w:t>
      </w:r>
    </w:p>
    <w:p w14:paraId="5D3EE863">
      <w:pPr>
        <w:pStyle w:val="38"/>
        <w:spacing w:line="360" w:lineRule="auto"/>
        <w:ind w:left="709"/>
        <w:jc w:val="both"/>
        <w:rPr>
          <w:sz w:val="24"/>
          <w:szCs w:val="24"/>
          <w:lang w:val="id-ID"/>
        </w:rPr>
      </w:pPr>
      <w:r>
        <w:rPr>
          <w:sz w:val="24"/>
          <w:szCs w:val="24"/>
        </w:rPr>
        <w:t>penghitungan,</w:t>
      </w:r>
      <w:r>
        <w:rPr>
          <w:sz w:val="24"/>
          <w:szCs w:val="24"/>
          <w:lang w:val="id-ID"/>
        </w:rPr>
        <w:t xml:space="preserve"> </w:t>
      </w:r>
      <w:r>
        <w:rPr>
          <w:sz w:val="24"/>
          <w:szCs w:val="24"/>
        </w:rPr>
        <w:t>maka MRR selaku Ketua</w:t>
      </w:r>
      <w:r>
        <w:rPr>
          <w:sz w:val="24"/>
          <w:szCs w:val="24"/>
          <w:lang w:val="id-ID"/>
        </w:rPr>
        <w:t xml:space="preserve"> </w:t>
      </w:r>
      <w:r>
        <w:rPr>
          <w:sz w:val="24"/>
          <w:szCs w:val="24"/>
        </w:rPr>
        <w:t>memberikan</w:t>
      </w:r>
      <w:r>
        <w:rPr>
          <w:sz w:val="24"/>
          <w:szCs w:val="24"/>
          <w:lang w:val="id-ID"/>
        </w:rPr>
        <w:t xml:space="preserve"> </w:t>
      </w:r>
      <w:r>
        <w:rPr>
          <w:sz w:val="24"/>
          <w:szCs w:val="24"/>
        </w:rPr>
        <w:t>perintah secara lisan maupun tindakan kepada Terdakwa ASBH untuk melakukan perubahan atau pemindahan data suara.</w:t>
      </w:r>
    </w:p>
    <w:p w14:paraId="5165FB40">
      <w:pPr>
        <w:pStyle w:val="38"/>
        <w:numPr>
          <w:ilvl w:val="0"/>
          <w:numId w:val="20"/>
        </w:numPr>
        <w:spacing w:line="360" w:lineRule="auto"/>
        <w:ind w:left="567" w:hanging="283"/>
        <w:jc w:val="both"/>
        <w:rPr>
          <w:sz w:val="24"/>
          <w:szCs w:val="24"/>
        </w:rPr>
      </w:pPr>
      <w:r>
        <w:rPr>
          <w:sz w:val="24"/>
          <w:szCs w:val="24"/>
        </w:rPr>
        <w:t>Tahap Pemberian Akses Keamanan:</w:t>
      </w:r>
    </w:p>
    <w:p w14:paraId="5064A58F">
      <w:pPr>
        <w:pStyle w:val="38"/>
        <w:spacing w:line="360" w:lineRule="auto"/>
        <w:ind w:left="567"/>
        <w:jc w:val="both"/>
        <w:rPr>
          <w:sz w:val="24"/>
          <w:szCs w:val="24"/>
        </w:rPr>
      </w:pPr>
      <w:r>
        <w:rPr>
          <w:sz w:val="24"/>
          <w:szCs w:val="24"/>
        </w:rPr>
        <w:t>Karena aplikasi Sirekap memiliki sistem keamanan yang terproteksi, maka untuk melakukan perubahan data diperlukan kode otentikasi. MRR kemudian memberikan kode rahasia berupa OTP (</w:t>
      </w:r>
      <w:r>
        <w:rPr>
          <w:i/>
          <w:sz w:val="24"/>
          <w:szCs w:val="24"/>
        </w:rPr>
        <w:t>One Time Password</w:t>
      </w:r>
      <w:r>
        <w:rPr>
          <w:sz w:val="24"/>
          <w:szCs w:val="24"/>
        </w:rPr>
        <w:t>) kepada JM. Selanjutnya, JM meneruskan kode akses atau password tersebut kepada Terdakwa ASBH.</w:t>
      </w:r>
    </w:p>
    <w:p w14:paraId="40303A96">
      <w:pPr>
        <w:pStyle w:val="38"/>
        <w:numPr>
          <w:ilvl w:val="0"/>
          <w:numId w:val="20"/>
        </w:numPr>
        <w:spacing w:line="360" w:lineRule="auto"/>
        <w:ind w:left="567" w:hanging="283"/>
        <w:jc w:val="both"/>
        <w:rPr>
          <w:sz w:val="24"/>
          <w:szCs w:val="24"/>
        </w:rPr>
      </w:pPr>
      <w:r>
        <w:rPr>
          <w:sz w:val="24"/>
          <w:szCs w:val="24"/>
        </w:rPr>
        <w:t>Tahap Eksekusi Tindak Pidana:</w:t>
      </w:r>
    </w:p>
    <w:p w14:paraId="15446BF4">
      <w:pPr>
        <w:pStyle w:val="38"/>
        <w:spacing w:line="360" w:lineRule="auto"/>
        <w:ind w:left="567"/>
        <w:jc w:val="both"/>
        <w:rPr>
          <w:sz w:val="24"/>
          <w:szCs w:val="24"/>
        </w:rPr>
      </w:pPr>
      <w:r>
        <w:rPr>
          <w:sz w:val="24"/>
          <w:szCs w:val="24"/>
        </w:rPr>
        <w:t>Dengan bekal kode akses yang diperoleh secara tidak semestinya tersebut, Terdakwa Abdilla kemudian melakukan login ke dalam sistem aplikasi. Di sinilah inti perbuatan pidana terjadi, di mana Terdakwa dengan sengaja dan sadar memindahkan jumlah perolehan suara yang seharusnya menjadi hak milik Partai Buruh dan Partai Kebangkitan Nusantara, kemudian dimasukkan dan diakumulasikan menjadi perolehan suara untuk Partai Kebangkitan Bangsa.</w:t>
      </w:r>
    </w:p>
    <w:p w14:paraId="7CEE32D9">
      <w:pPr>
        <w:pStyle w:val="38"/>
        <w:numPr>
          <w:ilvl w:val="0"/>
          <w:numId w:val="20"/>
        </w:numPr>
        <w:spacing w:line="360" w:lineRule="auto"/>
        <w:ind w:left="567" w:hanging="283"/>
        <w:jc w:val="both"/>
        <w:rPr>
          <w:sz w:val="24"/>
          <w:szCs w:val="24"/>
        </w:rPr>
      </w:pPr>
      <w:r>
        <w:rPr>
          <w:sz w:val="24"/>
          <w:szCs w:val="24"/>
        </w:rPr>
        <w:t>Faktor Pemalsuan:</w:t>
      </w:r>
    </w:p>
    <w:p w14:paraId="7E2BB5EA">
      <w:pPr>
        <w:pStyle w:val="38"/>
        <w:spacing w:line="360" w:lineRule="auto"/>
        <w:ind w:left="567"/>
        <w:jc w:val="both"/>
        <w:rPr>
          <w:sz w:val="24"/>
          <w:szCs w:val="24"/>
          <w:lang w:val="id-ID"/>
        </w:rPr>
      </w:pPr>
      <w:r>
        <w:rPr>
          <w:sz w:val="24"/>
          <w:szCs w:val="24"/>
        </w:rPr>
        <w:t>Yang membuat perbuatan ini semakin berat adalah fakta bahwa perubahan data di dalam sistem aplikasi tersebut dilakukan meskipun Terdakwa dan para pihak lainnya mengetahui dengan jelas bahwa data asli yang tercatat dalam formulir fisik (Model C Plano) menunjukkan angka yang berbeda dan tidak sesuai dengan apa yang dimasukkan ke dalam sistem.</w:t>
      </w:r>
    </w:p>
    <w:p w14:paraId="6DEECAB7">
      <w:pPr>
        <w:rPr>
          <w:sz w:val="24"/>
          <w:szCs w:val="24"/>
        </w:rPr>
      </w:pPr>
    </w:p>
    <w:p w14:paraId="7CE3C04B">
      <w:pPr>
        <w:pStyle w:val="38"/>
        <w:numPr>
          <w:ilvl w:val="0"/>
          <w:numId w:val="10"/>
        </w:numPr>
        <w:spacing w:line="360" w:lineRule="auto"/>
        <w:ind w:left="284" w:hanging="284"/>
        <w:jc w:val="both"/>
        <w:outlineLvl w:val="1"/>
        <w:rPr>
          <w:b/>
          <w:sz w:val="24"/>
          <w:szCs w:val="24"/>
        </w:rPr>
      </w:pPr>
      <w:bookmarkStart w:id="24" w:name="_Toc230017855"/>
      <w:r>
        <w:rPr>
          <w:b/>
          <w:sz w:val="24"/>
          <w:szCs w:val="24"/>
        </w:rPr>
        <w:t>Konsep Pemisahan Berkas (</w:t>
      </w:r>
      <w:r>
        <w:rPr>
          <w:b/>
          <w:i/>
          <w:sz w:val="24"/>
          <w:szCs w:val="24"/>
        </w:rPr>
        <w:t>Splitsing</w:t>
      </w:r>
      <w:r>
        <w:rPr>
          <w:b/>
          <w:sz w:val="24"/>
          <w:szCs w:val="24"/>
        </w:rPr>
        <w:t>)</w:t>
      </w:r>
      <w:bookmarkEnd w:id="24"/>
    </w:p>
    <w:p w14:paraId="141BB0F6">
      <w:pPr>
        <w:spacing w:line="360" w:lineRule="auto"/>
        <w:ind w:firstLine="284"/>
        <w:jc w:val="both"/>
        <w:rPr>
          <w:sz w:val="24"/>
          <w:szCs w:val="24"/>
        </w:rPr>
        <w:sectPr>
          <w:headerReference r:id="rId35" w:type="first"/>
          <w:headerReference r:id="rId33" w:type="default"/>
          <w:footerReference r:id="rId36" w:type="default"/>
          <w:headerReference r:id="rId34" w:type="even"/>
          <w:pgSz w:w="11910" w:h="16840"/>
          <w:pgMar w:top="1701" w:right="1701" w:bottom="1701" w:left="2268" w:header="709" w:footer="709" w:gutter="0"/>
          <w:cols w:space="708" w:num="1"/>
          <w:docGrid w:linePitch="360" w:charSpace="0"/>
        </w:sectPr>
      </w:pPr>
      <w:r>
        <w:rPr>
          <w:i/>
          <w:sz w:val="24"/>
          <w:szCs w:val="24"/>
        </w:rPr>
        <w:t>Splitsing</w:t>
      </w:r>
      <w:r>
        <w:rPr>
          <w:sz w:val="24"/>
          <w:szCs w:val="24"/>
        </w:rPr>
        <w:t xml:space="preserve"> atau pemisahan berkas perkara adalah upaya hukum memisahkan penanganan perkara terhadap salah satu terdakwa dari yang lain dalam satu peristiwa yang sama. Hal ini dilakukan agar proses peradilan berjalan cepat apabila salah satu berkas sudah lengkap, sementara yang lain masih dalam proses penyempurnaan.</w:t>
      </w:r>
    </w:p>
    <w:p w14:paraId="497A8FB4">
      <w:pPr>
        <w:pStyle w:val="2"/>
        <w:spacing w:before="0" w:after="0" w:line="360" w:lineRule="auto"/>
        <w:jc w:val="center"/>
        <w:rPr>
          <w:rFonts w:ascii="Times New Roman" w:hAnsi="Times New Roman" w:cs="Times New Roman"/>
          <w:color w:val="auto"/>
          <w:sz w:val="24"/>
          <w:szCs w:val="24"/>
        </w:rPr>
      </w:pPr>
      <w:bookmarkStart w:id="25" w:name="_Toc230017856"/>
      <w:r>
        <w:rPr>
          <w:rFonts w:ascii="Times New Roman" w:hAnsi="Times New Roman" w:cs="Times New Roman"/>
          <w:b/>
          <w:bCs/>
          <w:color w:val="auto"/>
          <w:sz w:val="24"/>
          <w:szCs w:val="24"/>
        </w:rPr>
        <w:t>BAB III</w:t>
      </w:r>
      <w:bookmarkEnd w:id="25"/>
    </w:p>
    <w:p w14:paraId="497A8FB5">
      <w:pPr>
        <w:pStyle w:val="2"/>
        <w:spacing w:before="0" w:after="0" w:line="360" w:lineRule="auto"/>
        <w:jc w:val="center"/>
        <w:rPr>
          <w:b/>
          <w:bCs/>
          <w:sz w:val="24"/>
          <w:szCs w:val="24"/>
        </w:rPr>
      </w:pPr>
      <w:bookmarkStart w:id="26" w:name="_Toc230017857"/>
      <w:bookmarkStart w:id="27" w:name="_Toc228363717"/>
      <w:r>
        <w:rPr>
          <w:rFonts w:ascii="Times New Roman" w:hAnsi="Times New Roman" w:cs="Times New Roman"/>
          <w:b/>
          <w:bCs/>
          <w:color w:val="auto"/>
          <w:sz w:val="24"/>
          <w:szCs w:val="24"/>
        </w:rPr>
        <w:t>METODE PENELITIAN</w:t>
      </w:r>
      <w:bookmarkEnd w:id="26"/>
      <w:bookmarkEnd w:id="27"/>
    </w:p>
    <w:p w14:paraId="497A8FB6">
      <w:pPr>
        <w:pStyle w:val="3"/>
        <w:spacing w:before="0" w:after="0" w:line="360" w:lineRule="auto"/>
        <w:rPr>
          <w:rFonts w:ascii="Times New Roman" w:hAnsi="Times New Roman" w:cs="Times New Roman"/>
          <w:b/>
          <w:sz w:val="24"/>
          <w:szCs w:val="24"/>
          <w:lang w:val="en-US"/>
        </w:rPr>
      </w:pPr>
      <w:bookmarkStart w:id="28" w:name="_Toc230017858"/>
      <w:r>
        <w:rPr>
          <w:rFonts w:ascii="Times New Roman" w:hAnsi="Times New Roman" w:cs="Times New Roman"/>
          <w:b/>
          <w:color w:val="auto"/>
          <w:sz w:val="24"/>
          <w:szCs w:val="24"/>
          <w:lang w:val="en-US"/>
        </w:rPr>
        <w:t>A</w:t>
      </w:r>
      <w:r>
        <w:rPr>
          <w:rFonts w:ascii="Times New Roman" w:hAnsi="Times New Roman" w:cs="Times New Roman"/>
          <w:b/>
          <w:color w:val="auto"/>
          <w:sz w:val="24"/>
          <w:szCs w:val="24"/>
          <w:lang w:val="id-ID"/>
        </w:rPr>
        <w:t>.</w:t>
      </w:r>
      <w:r>
        <w:rPr>
          <w:rFonts w:ascii="Times New Roman" w:hAnsi="Times New Roman" w:cs="Times New Roman"/>
          <w:b/>
          <w:color w:val="auto"/>
          <w:sz w:val="24"/>
          <w:szCs w:val="24"/>
          <w:lang w:val="en-US"/>
        </w:rPr>
        <w:t xml:space="preserve"> Lokasi Penelitian</w:t>
      </w:r>
      <w:bookmarkEnd w:id="28"/>
    </w:p>
    <w:p w14:paraId="497A8FB7">
      <w:pPr>
        <w:spacing w:line="360" w:lineRule="auto"/>
        <w:ind w:firstLine="284"/>
        <w:jc w:val="both"/>
        <w:rPr>
          <w:sz w:val="24"/>
          <w:szCs w:val="24"/>
          <w:lang w:val="en-US"/>
        </w:rPr>
      </w:pPr>
      <w:r>
        <w:rPr>
          <w:sz w:val="24"/>
          <w:szCs w:val="24"/>
          <w:lang w:val="en-US"/>
        </w:rPr>
        <w:t>Sesuai dengan judul diatas maka lokasi penelitian adalah di Pengadilan Negeri Medan yang beralamat dijalan Pengadilan</w:t>
      </w:r>
      <w:r>
        <w:rPr>
          <w:sz w:val="24"/>
          <w:szCs w:val="24"/>
        </w:rPr>
        <w:t xml:space="preserve"> </w:t>
      </w:r>
      <w:r>
        <w:rPr>
          <w:sz w:val="24"/>
          <w:szCs w:val="24"/>
          <w:lang w:val="en-US"/>
        </w:rPr>
        <w:t>No.8 Kelurahan Petisah</w:t>
      </w:r>
      <w:r>
        <w:rPr>
          <w:sz w:val="24"/>
          <w:szCs w:val="24"/>
          <w:lang w:val="id-ID"/>
        </w:rPr>
        <w:t xml:space="preserve"> </w:t>
      </w:r>
      <w:r>
        <w:rPr>
          <w:sz w:val="24"/>
          <w:szCs w:val="24"/>
          <w:lang w:val="en-US"/>
        </w:rPr>
        <w:t>Tengah, Kecamatan Medan Petisah, Kota Medan</w:t>
      </w:r>
    </w:p>
    <w:p w14:paraId="531A46D4">
      <w:pPr>
        <w:spacing w:line="360" w:lineRule="auto"/>
        <w:jc w:val="both"/>
        <w:rPr>
          <w:sz w:val="24"/>
          <w:szCs w:val="24"/>
          <w:lang w:val="id-ID"/>
        </w:rPr>
      </w:pPr>
    </w:p>
    <w:p w14:paraId="4E200066">
      <w:pPr>
        <w:pStyle w:val="3"/>
        <w:spacing w:before="0" w:after="0" w:line="360" w:lineRule="auto"/>
        <w:rPr>
          <w:rFonts w:ascii="Times New Roman" w:hAnsi="Times New Roman" w:cs="Times New Roman"/>
          <w:b/>
          <w:bCs/>
          <w:sz w:val="24"/>
          <w:szCs w:val="24"/>
          <w:lang w:val="id-ID"/>
        </w:rPr>
      </w:pPr>
      <w:bookmarkStart w:id="29" w:name="_Toc230017859"/>
      <w:r>
        <w:rPr>
          <w:rFonts w:ascii="Times New Roman" w:hAnsi="Times New Roman" w:cs="Times New Roman"/>
          <w:b/>
          <w:bCs/>
          <w:color w:val="auto"/>
          <w:sz w:val="24"/>
          <w:szCs w:val="24"/>
          <w:lang w:val="id-ID"/>
        </w:rPr>
        <w:t>B. Jenis Penelitian</w:t>
      </w:r>
      <w:bookmarkEnd w:id="29"/>
    </w:p>
    <w:p w14:paraId="3CBC2A89">
      <w:pPr>
        <w:spacing w:line="360" w:lineRule="auto"/>
        <w:ind w:firstLine="284"/>
        <w:jc w:val="both"/>
        <w:rPr>
          <w:sz w:val="24"/>
          <w:szCs w:val="24"/>
          <w:lang w:val="id-ID"/>
        </w:rPr>
      </w:pPr>
      <w:r>
        <w:rPr>
          <w:sz w:val="24"/>
          <w:szCs w:val="24"/>
          <w:lang w:val="id-ID"/>
        </w:rPr>
        <w:t>Penelitian yang digunakan dalam penyusunan skripsi ini adalah jenis penelitian hukum normatif (</w:t>
      </w:r>
      <w:r>
        <w:rPr>
          <w:i/>
          <w:sz w:val="24"/>
          <w:szCs w:val="24"/>
          <w:lang w:val="id-ID"/>
        </w:rPr>
        <w:t>normative legal research</w:t>
      </w:r>
      <w:r>
        <w:rPr>
          <w:sz w:val="24"/>
          <w:szCs w:val="24"/>
          <w:lang w:val="id-ID"/>
        </w:rPr>
        <w:t>). Penelitian hukum normatif atau yang sering disebut sebagai penelitian hukum doktrinal (</w:t>
      </w:r>
      <w:r>
        <w:rPr>
          <w:i/>
          <w:sz w:val="24"/>
          <w:szCs w:val="24"/>
          <w:lang w:val="id-ID"/>
        </w:rPr>
        <w:t>doctrinal research</w:t>
      </w:r>
      <w:r>
        <w:rPr>
          <w:sz w:val="24"/>
          <w:szCs w:val="24"/>
          <w:lang w:val="id-ID"/>
        </w:rPr>
        <w:t>) adalah suatu prosedur penelitian ilmiah untuk menemukan kebenaran berdasarkan logika keilmuan hukum dari sisi normatifnya. Dalam hal ini, hukum tidak dilihat sebagai perilaku sosial yang polanya tampak di lapangan, melainkan meletakkan hukum sebagai sebuah sistem norma yang utuh. Sistem norma yang dimaksud mencakup asas-asas hukum, kaidah-kaidah hukum, peraturan perundang-undangan nasional, yurisprudensi atau putusan pengadilan, hingga doktrin-doktrin penafsiran dari pakar hukum terkemuka.</w:t>
      </w:r>
    </w:p>
    <w:p w14:paraId="1DCA105E">
      <w:pPr>
        <w:spacing w:line="360" w:lineRule="auto"/>
        <w:ind w:firstLine="284"/>
        <w:jc w:val="both"/>
        <w:rPr>
          <w:sz w:val="24"/>
          <w:szCs w:val="24"/>
          <w:lang w:val="id-ID"/>
        </w:rPr>
      </w:pPr>
      <w:r>
        <w:rPr>
          <w:sz w:val="24"/>
          <w:szCs w:val="24"/>
          <w:lang w:val="id-ID"/>
        </w:rPr>
        <w:t>Fokus utama penelitian normatif dalam skripsi ini dikonsentrasikan untuk mengkaji, menganalisis, dan membedah keselarasan antara norma hukum positif (Undang-Undang Pemilu) dengan penerapan hukum konkret oleh aparat peradilan. Penulis secara intensif meneliti teks tertulis objektif yang tertuang di dalam salinan Putusan Pengadilan Negeri Medan Nomor 1/Pid.S/2024/PN Mdn guna mengurai polemik pertanggungjawaban pidana jabatan kedinasan Panitia Pemilihan Kecamatan (PPK) Medan Timur.</w:t>
      </w:r>
    </w:p>
    <w:p w14:paraId="00DAD3AF">
      <w:pPr>
        <w:spacing w:line="360" w:lineRule="auto"/>
        <w:ind w:firstLine="284"/>
        <w:jc w:val="both"/>
        <w:rPr>
          <w:sz w:val="24"/>
          <w:szCs w:val="24"/>
          <w:lang w:val="id-ID"/>
        </w:rPr>
      </w:pPr>
    </w:p>
    <w:p w14:paraId="2F9878CD">
      <w:pPr>
        <w:spacing w:line="360" w:lineRule="auto"/>
        <w:ind w:firstLine="284"/>
        <w:jc w:val="both"/>
        <w:rPr>
          <w:sz w:val="24"/>
          <w:szCs w:val="24"/>
          <w:lang w:val="id-ID"/>
        </w:rPr>
      </w:pPr>
    </w:p>
    <w:p w14:paraId="277D9689">
      <w:pPr>
        <w:spacing w:line="360" w:lineRule="auto"/>
        <w:ind w:firstLine="284"/>
        <w:jc w:val="both"/>
        <w:rPr>
          <w:sz w:val="24"/>
          <w:szCs w:val="24"/>
          <w:lang w:val="id-ID"/>
        </w:rPr>
      </w:pPr>
    </w:p>
    <w:p w14:paraId="26D0EC91">
      <w:pPr>
        <w:spacing w:line="360" w:lineRule="auto"/>
        <w:ind w:firstLine="284"/>
        <w:jc w:val="both"/>
        <w:rPr>
          <w:sz w:val="24"/>
          <w:szCs w:val="24"/>
          <w:lang w:val="id-ID"/>
        </w:rPr>
      </w:pPr>
    </w:p>
    <w:p w14:paraId="3DA1EF3A">
      <w:pPr>
        <w:spacing w:line="360" w:lineRule="auto"/>
        <w:ind w:firstLine="284"/>
        <w:jc w:val="both"/>
        <w:rPr>
          <w:sz w:val="24"/>
          <w:szCs w:val="24"/>
          <w:lang w:val="id-ID"/>
        </w:rPr>
      </w:pPr>
    </w:p>
    <w:p w14:paraId="7CB1A29F">
      <w:pPr>
        <w:spacing w:line="360" w:lineRule="auto"/>
        <w:ind w:firstLine="284"/>
        <w:jc w:val="both"/>
        <w:rPr>
          <w:sz w:val="24"/>
          <w:szCs w:val="24"/>
          <w:lang w:val="id-ID"/>
        </w:rPr>
      </w:pPr>
    </w:p>
    <w:p w14:paraId="343B27FD">
      <w:pPr>
        <w:pStyle w:val="3"/>
        <w:numPr>
          <w:ilvl w:val="0"/>
          <w:numId w:val="6"/>
        </w:numPr>
        <w:spacing w:before="0" w:after="0" w:line="360" w:lineRule="auto"/>
        <w:rPr>
          <w:rFonts w:ascii="Times New Roman" w:hAnsi="Times New Roman" w:cs="Times New Roman"/>
          <w:b/>
          <w:bCs/>
          <w:color w:val="auto"/>
          <w:sz w:val="24"/>
          <w:szCs w:val="24"/>
          <w:lang w:val="id-ID"/>
        </w:rPr>
      </w:pPr>
      <w:bookmarkStart w:id="30" w:name="_Toc230017860"/>
      <w:r>
        <w:rPr>
          <w:rFonts w:ascii="Times New Roman" w:hAnsi="Times New Roman" w:cs="Times New Roman"/>
          <w:b/>
          <w:bCs/>
          <w:color w:val="auto"/>
          <w:sz w:val="24"/>
          <w:szCs w:val="24"/>
          <w:lang w:val="id-ID"/>
        </w:rPr>
        <w:t>Sumber Data / Bahan huku</w:t>
      </w:r>
      <w:bookmarkEnd w:id="30"/>
      <w:r>
        <w:rPr>
          <w:rFonts w:ascii="Times New Roman" w:hAnsi="Times New Roman" w:cs="Times New Roman"/>
          <w:b/>
          <w:bCs/>
          <w:color w:val="auto"/>
          <w:sz w:val="24"/>
          <w:szCs w:val="24"/>
          <w:lang w:val="id-ID"/>
        </w:rPr>
        <w:t>m</w:t>
      </w:r>
    </w:p>
    <w:p w14:paraId="7488384B">
      <w:pPr>
        <w:pStyle w:val="38"/>
        <w:spacing w:line="360" w:lineRule="auto"/>
        <w:ind w:left="360"/>
        <w:jc w:val="both"/>
        <w:rPr>
          <w:sz w:val="24"/>
          <w:szCs w:val="24"/>
          <w:lang w:val="id-ID"/>
        </w:rPr>
      </w:pPr>
      <w:r>
        <w:rPr>
          <w:sz w:val="24"/>
          <w:szCs w:val="24"/>
          <w:lang w:val="id-ID"/>
        </w:rPr>
        <w:t>Bahan hukum yang digunakan diklasifikasikan secara hierarkis ke dalam tiga jenis sumber:</w:t>
      </w:r>
    </w:p>
    <w:p w14:paraId="08B4ADF3">
      <w:pPr>
        <w:spacing w:line="360" w:lineRule="auto"/>
        <w:ind w:firstLine="284"/>
        <w:jc w:val="both"/>
        <w:rPr>
          <w:sz w:val="24"/>
          <w:szCs w:val="24"/>
          <w:lang w:val="id-ID"/>
        </w:rPr>
      </w:pPr>
      <w:r>
        <w:rPr>
          <w:sz w:val="24"/>
          <w:szCs w:val="24"/>
          <w:lang w:val="id-ID"/>
        </w:rPr>
        <w:t>1. Bahan Hukum Primer</w:t>
      </w:r>
    </w:p>
    <w:p w14:paraId="1681FD0D">
      <w:pPr>
        <w:spacing w:line="360" w:lineRule="auto"/>
        <w:ind w:left="284"/>
        <w:jc w:val="both"/>
        <w:rPr>
          <w:sz w:val="24"/>
          <w:szCs w:val="24"/>
          <w:lang w:val="id-ID"/>
        </w:rPr>
      </w:pPr>
      <w:r>
        <w:rPr>
          <w:sz w:val="24"/>
          <w:szCs w:val="24"/>
          <w:lang w:val="id-ID"/>
        </w:rPr>
        <w:t>Bahan hukum primer merupakan bahan hukum yang bersifat autoritatif, artinya mempunyai otoritas mutlak karena dikeluarkan oleh lembaga resmi negara. Bahan hukum primer dalam penelitian ini meliputi:Undang-Undang Dasar Negara Republik Indonesia Tahun 1945 (UUD NRI 1945).Kitab Undang-Undang Hukum Pidana (KUHP), khususnya Pasal 55 ayat (1) ke-1 terkait penyertaan delik.Undang-Undang Nomor 7 Tahun 2017 tentang Pemilihan Umum, khususnya Pasal 532, Pasal 551, dan Pasal 554.Putusan Pengadilan Negeri Medan Nomor 1/Pid.S/2024/PN Mdn.Putusan Pengadilan Tinggi Medan Nomor 1088/PID.SUS/2024/PT MDN.</w:t>
      </w:r>
    </w:p>
    <w:p w14:paraId="13D5A7EB">
      <w:pPr>
        <w:pStyle w:val="38"/>
        <w:numPr>
          <w:ilvl w:val="3"/>
          <w:numId w:val="17"/>
        </w:numPr>
        <w:spacing w:line="360" w:lineRule="auto"/>
        <w:ind w:left="567" w:hanging="283"/>
        <w:jc w:val="both"/>
        <w:rPr>
          <w:sz w:val="24"/>
          <w:szCs w:val="24"/>
          <w:lang w:val="id-ID"/>
        </w:rPr>
      </w:pPr>
      <w:r>
        <w:rPr>
          <w:sz w:val="24"/>
          <w:szCs w:val="24"/>
          <w:lang w:val="id-ID"/>
        </w:rPr>
        <w:t>Bahan Hukum Sekunder</w:t>
      </w:r>
    </w:p>
    <w:p w14:paraId="0697A28D">
      <w:pPr>
        <w:spacing w:line="360" w:lineRule="auto"/>
        <w:ind w:left="284"/>
        <w:jc w:val="both"/>
        <w:rPr>
          <w:sz w:val="24"/>
          <w:szCs w:val="24"/>
          <w:lang w:val="id-ID"/>
        </w:rPr>
      </w:pPr>
      <w:r>
        <w:rPr>
          <w:sz w:val="24"/>
          <w:szCs w:val="24"/>
          <w:lang w:val="id-ID"/>
        </w:rPr>
        <w:t>Bahan hukum sekunder memberikan penjelasan mengenai bahan hukum primer. Bahan hukum sekunder yang digunakan oleh penulis meliputi buku-buku teks hukum pidana, jurnal ilmiah hukum terakreditasi, hasil penelitian hukum terdahulu (skripsi/tesis), draf riset Sentra Gakkumdu, serta artikel berita hukum terpercaya yang membahas kronologi kasus PPK Medan Timur.</w:t>
      </w:r>
    </w:p>
    <w:p w14:paraId="0243B196">
      <w:pPr>
        <w:pStyle w:val="38"/>
        <w:numPr>
          <w:ilvl w:val="3"/>
          <w:numId w:val="17"/>
        </w:numPr>
        <w:spacing w:line="360" w:lineRule="auto"/>
        <w:ind w:left="567" w:hanging="283"/>
        <w:jc w:val="both"/>
        <w:rPr>
          <w:sz w:val="24"/>
          <w:szCs w:val="24"/>
          <w:lang w:val="id-ID"/>
        </w:rPr>
      </w:pPr>
      <w:r>
        <w:rPr>
          <w:sz w:val="24"/>
          <w:szCs w:val="24"/>
          <w:lang w:val="id-ID"/>
        </w:rPr>
        <w:t xml:space="preserve">Bahan Hukum Tersier </w:t>
      </w:r>
    </w:p>
    <w:p w14:paraId="7A0085B8">
      <w:pPr>
        <w:spacing w:line="360" w:lineRule="auto"/>
        <w:ind w:left="284"/>
        <w:jc w:val="both"/>
        <w:rPr>
          <w:sz w:val="24"/>
          <w:szCs w:val="24"/>
          <w:lang w:val="id-ID"/>
        </w:rPr>
      </w:pPr>
      <w:r>
        <w:rPr>
          <w:sz w:val="24"/>
          <w:szCs w:val="24"/>
          <w:lang w:val="id-ID"/>
        </w:rPr>
        <w:t>Bahan hukum tersier adalah bahan hukum yang memberikan petunjuk maupun penjelasan terhadap bahan hukum primer dan sekunder. Bahan hukum tersier dalam penelitian ini mencakup Kamus Besar Bahasa Indonesia (KBBI), Kamus Hukum (Black's Law Dictionary), dan ensiklopedia hukum.</w:t>
      </w:r>
    </w:p>
    <w:p w14:paraId="0116CB37">
      <w:pPr>
        <w:spacing w:line="360" w:lineRule="auto"/>
        <w:ind w:firstLine="720"/>
        <w:jc w:val="both"/>
        <w:rPr>
          <w:sz w:val="24"/>
          <w:szCs w:val="24"/>
          <w:lang w:val="id-ID"/>
        </w:rPr>
      </w:pPr>
    </w:p>
    <w:p w14:paraId="627EA404">
      <w:pPr>
        <w:pStyle w:val="38"/>
        <w:numPr>
          <w:ilvl w:val="0"/>
          <w:numId w:val="21"/>
        </w:numPr>
        <w:spacing w:line="360" w:lineRule="auto"/>
        <w:ind w:left="284" w:hanging="284"/>
        <w:jc w:val="both"/>
        <w:outlineLvl w:val="1"/>
        <w:rPr>
          <w:b/>
          <w:bCs/>
          <w:sz w:val="24"/>
          <w:szCs w:val="24"/>
          <w:lang w:val="id-ID"/>
        </w:rPr>
      </w:pPr>
      <w:bookmarkStart w:id="31" w:name="_Toc230017861"/>
      <w:r>
        <w:rPr>
          <w:b/>
          <w:bCs/>
          <w:sz w:val="24"/>
          <w:szCs w:val="24"/>
          <w:lang w:val="id-ID"/>
        </w:rPr>
        <w:t>Teknik Pengumpulan Data/Bahan Hukum</w:t>
      </w:r>
      <w:bookmarkEnd w:id="31"/>
      <w:r>
        <w:rPr>
          <w:b/>
          <w:bCs/>
          <w:sz w:val="24"/>
          <w:szCs w:val="24"/>
          <w:lang w:val="id-ID"/>
        </w:rPr>
        <w:t xml:space="preserve"> </w:t>
      </w:r>
    </w:p>
    <w:p w14:paraId="2F671FA5">
      <w:pPr>
        <w:spacing w:line="360" w:lineRule="auto"/>
        <w:ind w:firstLine="284"/>
        <w:jc w:val="both"/>
        <w:rPr>
          <w:sz w:val="24"/>
          <w:szCs w:val="24"/>
          <w:lang w:val="id-ID"/>
        </w:rPr>
      </w:pPr>
      <w:r>
        <w:rPr>
          <w:sz w:val="24"/>
          <w:szCs w:val="24"/>
          <w:lang w:val="id-ID"/>
        </w:rPr>
        <w:t>Teknik pengumpulan bahan hukum dalam penelitian normatif ini dilakukan menggunakan studi dokumen (</w:t>
      </w:r>
      <w:r>
        <w:rPr>
          <w:i/>
          <w:sz w:val="24"/>
          <w:szCs w:val="24"/>
          <w:lang w:val="id-ID"/>
        </w:rPr>
        <w:t>documentary study</w:t>
      </w:r>
      <w:r>
        <w:rPr>
          <w:sz w:val="24"/>
          <w:szCs w:val="24"/>
          <w:lang w:val="id-ID"/>
        </w:rPr>
        <w:t xml:space="preserve">) atau studi kepustakaan </w:t>
      </w:r>
      <w:r>
        <w:rPr>
          <w:i/>
          <w:sz w:val="24"/>
          <w:szCs w:val="24"/>
          <w:lang w:val="id-ID"/>
        </w:rPr>
        <w:t>(library research</w:t>
      </w:r>
      <w:r>
        <w:rPr>
          <w:sz w:val="24"/>
          <w:szCs w:val="24"/>
          <w:lang w:val="id-ID"/>
        </w:rPr>
        <w:t>).Penulis mengumpulkan, mengklasifikasikan, dan menginventarisasi peraturan perundang-undangan serta salinan putusan PN Medan. Selanjutnya, dilakukan pencatatan sistematis terhadap fakta persidangan, pertimbangan hukum hakim, serta doktrin-doktrin yang relevan dengan rumusan masalah penelitian.</w:t>
      </w:r>
    </w:p>
    <w:p w14:paraId="2235DB5A">
      <w:pPr>
        <w:spacing w:line="360" w:lineRule="auto"/>
        <w:jc w:val="both"/>
        <w:rPr>
          <w:sz w:val="24"/>
          <w:szCs w:val="24"/>
          <w:lang w:val="id-ID"/>
        </w:rPr>
      </w:pPr>
    </w:p>
    <w:p w14:paraId="072CE071">
      <w:pPr>
        <w:pStyle w:val="38"/>
        <w:numPr>
          <w:ilvl w:val="0"/>
          <w:numId w:val="21"/>
        </w:numPr>
        <w:spacing w:line="360" w:lineRule="auto"/>
        <w:ind w:left="284" w:hanging="284"/>
        <w:jc w:val="both"/>
        <w:outlineLvl w:val="1"/>
        <w:rPr>
          <w:b/>
          <w:bCs/>
          <w:sz w:val="24"/>
          <w:szCs w:val="24"/>
          <w:lang w:val="id-ID"/>
        </w:rPr>
      </w:pPr>
      <w:bookmarkStart w:id="32" w:name="_Toc230017862"/>
      <w:r>
        <w:rPr>
          <w:b/>
          <w:bCs/>
          <w:sz w:val="24"/>
          <w:szCs w:val="24"/>
          <w:lang w:val="id-ID"/>
        </w:rPr>
        <w:t>Analisis Bahan Hukum</w:t>
      </w:r>
      <w:bookmarkEnd w:id="32"/>
    </w:p>
    <w:p w14:paraId="54DFD70A">
      <w:pPr>
        <w:spacing w:line="360" w:lineRule="auto"/>
        <w:jc w:val="both"/>
        <w:rPr>
          <w:sz w:val="24"/>
          <w:szCs w:val="24"/>
          <w:lang w:val="id-ID"/>
        </w:rPr>
      </w:pPr>
      <w:r>
        <w:rPr>
          <w:sz w:val="24"/>
          <w:szCs w:val="24"/>
          <w:lang w:val="id-ID"/>
        </w:rPr>
        <w:t>Setelah seluruh bahan hukum terkumpul, analisis dilakukan menggunakan metode analisis kualitatif dengan penalaran logika hukum secara deduktif. Metode deduktif adalah menarik kesimpulan dari suatu permasalahan yang bersifat umum (berupa teks undang-undang dan teori hukum pidana) menuju ke hal yang bersifat khusus (yaitu penerapan sanksi dan pertimbangan hakim pada kasus konkret PPK Medan Timur). Bahan hukum dianalisis secara deskriptif-analitis, di mana penulis menjabarkan secara jelas konstruksi pertanggungjawaban pidana yang diterapkan, membedah argumentasi hukum hakim tingkat pertama dan banding, serta mengidentifikasi kendala pelaksanaan tugas PPK berdasarkan analisis dokumen yuridis objektif, sehingga menghasilkan kesimpulan ilmiah yang valid untuk menjawab seluruh rumusan masalah.</w:t>
      </w:r>
    </w:p>
    <w:p w14:paraId="2A498E66">
      <w:pPr>
        <w:spacing w:line="360" w:lineRule="auto"/>
        <w:ind w:left="142"/>
        <w:jc w:val="both"/>
        <w:rPr>
          <w:sz w:val="24"/>
          <w:szCs w:val="24"/>
          <w:lang w:val="id-ID"/>
        </w:rPr>
      </w:pPr>
    </w:p>
    <w:p w14:paraId="62E8AAE1">
      <w:pPr>
        <w:pStyle w:val="3"/>
        <w:numPr>
          <w:ilvl w:val="0"/>
          <w:numId w:val="21"/>
        </w:numPr>
        <w:spacing w:before="0" w:after="0" w:line="360" w:lineRule="auto"/>
        <w:ind w:left="284" w:hanging="284"/>
        <w:rPr>
          <w:rFonts w:ascii="Times New Roman" w:hAnsi="Times New Roman" w:cs="Times New Roman"/>
          <w:b/>
          <w:sz w:val="24"/>
          <w:szCs w:val="24"/>
          <w:lang w:val="en-US"/>
        </w:rPr>
      </w:pPr>
      <w:bookmarkStart w:id="33" w:name="_Toc230017863"/>
      <w:r>
        <w:rPr>
          <w:rFonts w:ascii="Times New Roman" w:hAnsi="Times New Roman" w:cs="Times New Roman"/>
          <w:b/>
          <w:color w:val="auto"/>
          <w:sz w:val="24"/>
          <w:szCs w:val="24"/>
          <w:lang w:val="en-US"/>
        </w:rPr>
        <w:t>Jadwal Penelitian</w:t>
      </w:r>
      <w:bookmarkEnd w:id="33"/>
    </w:p>
    <w:p w14:paraId="12F0730D">
      <w:pPr>
        <w:spacing w:line="360" w:lineRule="auto"/>
        <w:ind w:firstLine="284"/>
        <w:jc w:val="both"/>
        <w:rPr>
          <w:sz w:val="24"/>
          <w:szCs w:val="24"/>
          <w:lang w:val="id-ID"/>
        </w:rPr>
      </w:pPr>
      <w:r>
        <w:rPr>
          <w:sz w:val="24"/>
          <w:szCs w:val="24"/>
          <w:lang w:val="en-US"/>
        </w:rPr>
        <w:t>Berdasarkan surat balasan dari pihak Pengadilan Negeri Medan terhadap surat permintaan penelitian, maka di jadwalkan penelitiannya pada tanggal 8 April 2026</w:t>
      </w:r>
      <w:r>
        <w:rPr>
          <w:sz w:val="24"/>
          <w:szCs w:val="24"/>
          <w:lang w:val="id-ID"/>
        </w:rPr>
        <w:t>.</w:t>
      </w:r>
    </w:p>
    <w:p w14:paraId="2D7A701F">
      <w:pPr>
        <w:spacing w:line="360" w:lineRule="auto"/>
        <w:ind w:left="142"/>
        <w:jc w:val="both"/>
        <w:rPr>
          <w:sz w:val="24"/>
          <w:szCs w:val="24"/>
          <w:lang w:val="id-ID"/>
        </w:rPr>
        <w:sectPr>
          <w:headerReference r:id="rId39" w:type="first"/>
          <w:headerReference r:id="rId37" w:type="default"/>
          <w:footerReference r:id="rId40" w:type="default"/>
          <w:headerReference r:id="rId38" w:type="even"/>
          <w:pgSz w:w="11910" w:h="16840"/>
          <w:pgMar w:top="1701" w:right="1701" w:bottom="1701" w:left="2268" w:header="709" w:footer="709" w:gutter="0"/>
          <w:cols w:space="708" w:num="1"/>
          <w:docGrid w:linePitch="360" w:charSpace="0"/>
        </w:sectPr>
      </w:pPr>
    </w:p>
    <w:p w14:paraId="0F495310">
      <w:pPr>
        <w:rPr>
          <w:lang w:val="id-ID"/>
        </w:rPr>
      </w:pPr>
    </w:p>
    <w:p w14:paraId="3A36A32D">
      <w:pPr>
        <w:pStyle w:val="2"/>
        <w:spacing w:before="0" w:after="0" w:line="360" w:lineRule="auto"/>
        <w:jc w:val="center"/>
        <w:rPr>
          <w:rFonts w:ascii="Times New Roman" w:hAnsi="Times New Roman" w:cs="Times New Roman"/>
          <w:b/>
          <w:bCs/>
          <w:color w:val="auto"/>
          <w:sz w:val="24"/>
          <w:szCs w:val="24"/>
        </w:rPr>
      </w:pPr>
      <w:bookmarkStart w:id="34" w:name="_Toc230017864"/>
      <w:r>
        <w:rPr>
          <w:rFonts w:ascii="Times New Roman" w:hAnsi="Times New Roman" w:cs="Times New Roman"/>
          <w:b/>
          <w:bCs/>
          <w:color w:val="auto"/>
          <w:sz w:val="24"/>
          <w:szCs w:val="24"/>
        </w:rPr>
        <w:t>BAB IV</w:t>
      </w:r>
      <w:bookmarkEnd w:id="34"/>
    </w:p>
    <w:p w14:paraId="5D1ECDD6">
      <w:pPr>
        <w:pStyle w:val="2"/>
        <w:spacing w:before="0" w:after="0" w:line="360" w:lineRule="auto"/>
        <w:jc w:val="center"/>
        <w:rPr>
          <w:b/>
          <w:bCs/>
          <w:sz w:val="24"/>
          <w:szCs w:val="24"/>
        </w:rPr>
      </w:pPr>
      <w:bookmarkStart w:id="35" w:name="_Toc228363725"/>
      <w:bookmarkStart w:id="36" w:name="_Toc230017865"/>
      <w:r>
        <w:rPr>
          <w:rFonts w:ascii="Times New Roman" w:hAnsi="Times New Roman" w:cs="Times New Roman"/>
          <w:b/>
          <w:bCs/>
          <w:color w:val="auto"/>
          <w:sz w:val="24"/>
          <w:szCs w:val="24"/>
        </w:rPr>
        <w:t>HASIL PENELITIAN DAN PEMBAHASAN</w:t>
      </w:r>
      <w:bookmarkEnd w:id="35"/>
      <w:bookmarkEnd w:id="36"/>
    </w:p>
    <w:p w14:paraId="01CB7871">
      <w:pPr>
        <w:spacing w:line="360" w:lineRule="auto"/>
        <w:jc w:val="both"/>
        <w:rPr>
          <w:sz w:val="24"/>
          <w:szCs w:val="24"/>
        </w:rPr>
      </w:pPr>
      <w:r>
        <w:rPr>
          <w:sz w:val="24"/>
          <w:szCs w:val="24"/>
        </w:rPr>
        <w:t xml:space="preserve"> </w:t>
      </w:r>
    </w:p>
    <w:p w14:paraId="75D83787">
      <w:pPr>
        <w:pStyle w:val="38"/>
        <w:numPr>
          <w:ilvl w:val="1"/>
          <w:numId w:val="7"/>
        </w:numPr>
        <w:spacing w:line="360" w:lineRule="auto"/>
        <w:ind w:left="284" w:hanging="284"/>
        <w:jc w:val="both"/>
        <w:outlineLvl w:val="1"/>
        <w:rPr>
          <w:b/>
          <w:sz w:val="24"/>
          <w:szCs w:val="24"/>
        </w:rPr>
      </w:pPr>
      <w:bookmarkStart w:id="37" w:name="_Toc230017867"/>
      <w:r>
        <w:rPr>
          <w:b/>
          <w:sz w:val="24"/>
          <w:szCs w:val="24"/>
        </w:rPr>
        <w:t>Pertanggungjawaban Pidana Pemilihan Umum yang Dilakukan oleh Panitia Pemilihan Kecamatan (PPK) Medan Timur Berdasarkan UU No. 7 Tahun 2017</w:t>
      </w:r>
      <w:bookmarkEnd w:id="37"/>
    </w:p>
    <w:p w14:paraId="02D723E5">
      <w:pPr>
        <w:spacing w:line="360" w:lineRule="auto"/>
        <w:jc w:val="both"/>
        <w:rPr>
          <w:sz w:val="24"/>
          <w:szCs w:val="24"/>
          <w:lang w:val="id-ID"/>
        </w:rPr>
      </w:pPr>
    </w:p>
    <w:p w14:paraId="1288B753">
      <w:pPr>
        <w:pStyle w:val="38"/>
        <w:numPr>
          <w:ilvl w:val="3"/>
          <w:numId w:val="21"/>
        </w:numPr>
        <w:spacing w:line="360" w:lineRule="auto"/>
        <w:jc w:val="both"/>
        <w:rPr>
          <w:sz w:val="24"/>
          <w:szCs w:val="24"/>
          <w:lang w:val="id-ID"/>
        </w:rPr>
      </w:pPr>
      <w:r>
        <w:rPr>
          <w:sz w:val="24"/>
          <w:szCs w:val="24"/>
          <w:lang w:val="id-ID"/>
        </w:rPr>
        <w:t>Eksplorasi Yuridis-Doktrinal Terhadap Konstruksi Pertanggungjawaban Pidana</w:t>
      </w:r>
    </w:p>
    <w:p w14:paraId="21EDA84C">
      <w:pPr>
        <w:pStyle w:val="38"/>
        <w:spacing w:line="360" w:lineRule="auto"/>
        <w:ind w:left="360"/>
        <w:jc w:val="both"/>
        <w:rPr>
          <w:sz w:val="24"/>
          <w:szCs w:val="24"/>
          <w:lang w:val="id-ID"/>
        </w:rPr>
      </w:pPr>
      <w:r>
        <w:rPr>
          <w:sz w:val="24"/>
          <w:szCs w:val="24"/>
          <w:lang w:val="id-ID"/>
        </w:rPr>
        <w:t>Pemilihan Umum oleh Oknum Panitia Pemilihan Kecamatan (PPK) Medan TimurUntuk mengurai secara komprehensif mengenai pertanggungjawaban pidana (criminal liability/toerekenbaarheid) yang melekat pada ketiga terdakwa selaku oknum PPK Medan Timur, yaitu MRR (Ketua), ASBH (Anggota), dan JM (Anggota), analisis dalam penelitian ini harus diletakkan pada reposisi komparatif penegakan hukum pidana materiil Indonesia.</w:t>
      </w:r>
    </w:p>
    <w:p w14:paraId="355E3E7B">
      <w:pPr>
        <w:spacing w:line="360" w:lineRule="auto"/>
        <w:ind w:left="360" w:firstLine="436"/>
        <w:jc w:val="both"/>
        <w:rPr>
          <w:sz w:val="24"/>
          <w:szCs w:val="24"/>
          <w:lang w:val="id-ID"/>
        </w:rPr>
      </w:pPr>
      <w:r>
        <w:rPr>
          <w:sz w:val="24"/>
          <w:szCs w:val="24"/>
          <w:lang w:val="id-ID"/>
        </w:rPr>
        <w:t>Dalam doktrin hukum pidana, lahirnya pertanggungjawaban pidana menghendaki adanya dua syarat mutlak yang wajib terpenuhi secara simultan, linier, dan kausalitas: adanya suatu perbuatan yang bersifat melawan hukum (actus reus) dan adanya sikap batin yang salah dari pelaku yang melakukan perbuatan tersebut (mens rea). Asas fundamental yang menjadi batu pijakan utama dalam analisis ini adalah Asas Legalitas (nullum delictum nulla poena sine praevia lege poenali) yang dikorelasikan secara absolut dengan Asas Kesalahan (geen straf zonder schuld atau actus non facit reum nisi mens sit rea).</w:t>
      </w:r>
    </w:p>
    <w:p w14:paraId="7B8FCA79">
      <w:pPr>
        <w:spacing w:line="360" w:lineRule="auto"/>
        <w:ind w:left="284" w:firstLine="436"/>
        <w:jc w:val="both"/>
        <w:rPr>
          <w:sz w:val="24"/>
          <w:szCs w:val="24"/>
          <w:lang w:val="id-ID"/>
        </w:rPr>
      </w:pPr>
      <w:r>
        <w:rPr>
          <w:sz w:val="24"/>
          <w:szCs w:val="24"/>
          <w:lang w:val="id-ID"/>
        </w:rPr>
        <w:t xml:space="preserve">Dalam diskursus filsafat hukum pidana, terdapat perdebatan teoritis yang sangat tajam mengenai hubungan antara perbuatan pidana (strafbaar feit) dan pertanggungjawaban pidana (criminal liability). Aliran Monoistis, yang dipelopori oleh ahli hukum kenamaan seperti Simons, menyatakan bahwa perbuatan melawan hukum dan pertanggungjawaban pidana adalah satu kesatuan organik yang tidak dapat dipisahkan. Bagi aliran monoistis, ketika suatu perbuatan materiil secara objektif telah dinyatakan melawan hukum dan memenuhi rumusan undang-undang, maka secara otomatis unsur kesalahan dan kemampuan bertanggung jawab dari diri pelaku telah melekat di dalamnya.Sebaliknya, penelitian ini secara tegas mengadopsi pandangan Prof. Moeljatno, begawan hukum pidana Indonesia yang menganut aliran Dualistis. Menurut Moeljatno dalam teorinya:"Adanya perbuatan pidana (criminal act) saja tidaklah cukup untuk menjatuhkan pidana kepada seseorang. </w:t>
      </w:r>
    </w:p>
    <w:p w14:paraId="56578356">
      <w:pPr>
        <w:spacing w:line="360" w:lineRule="auto"/>
        <w:ind w:left="284" w:firstLine="436"/>
        <w:jc w:val="both"/>
        <w:rPr>
          <w:sz w:val="24"/>
          <w:szCs w:val="24"/>
          <w:lang w:val="id-ID"/>
        </w:rPr>
      </w:pPr>
      <w:r>
        <w:rPr>
          <w:sz w:val="24"/>
          <w:szCs w:val="24"/>
          <w:lang w:val="id-ID"/>
        </w:rPr>
        <w:t>Perbuatan pidana hanya menunjuk pada larangan dan ancaman hukumannya, yang sifatnya objektif-materiil. Sedangkan apakah orang yang melakukan perbuatan itu kemudian dapat dipidana, bergantung penuh pada persoalan subjektif, yaitu apakah dalam melakukan perbuatan tersebut ia memiliki kesalahan (schuld) atau tidak."With memisahkan antara perbuatan (strafbaar feit) dan orangnya (strafbaarheid van den dader), maka pembedahan terhadap pertanggungjawaban pidana ketiga oknum PPK Medan Timur dalam Putusan PN Medan No. 1/Pid.S/2024/PN Mdn wajib dianalisis secara mikro melalui enam dimensi doktrinal berikut:</w:t>
      </w:r>
    </w:p>
    <w:p w14:paraId="76564BFC">
      <w:pPr>
        <w:spacing w:line="360" w:lineRule="auto"/>
        <w:ind w:left="720"/>
        <w:jc w:val="both"/>
        <w:rPr>
          <w:sz w:val="24"/>
          <w:szCs w:val="24"/>
          <w:lang w:val="id-ID"/>
        </w:rPr>
      </w:pPr>
      <w:r>
        <w:rPr>
          <w:sz w:val="24"/>
          <w:szCs w:val="24"/>
          <w:lang w:val="id-ID"/>
        </w:rPr>
        <w:t>a. Dekonstruksi Sifat Melawan Hukum Objektif (Actus Reus, Anatomi Data Selisih Pergeseran Suara, dan Teori Kausalitas)Actus reus merupakan manifestasi lahiriah dari kehendak manusia yang dilarang oleh aturan hukum positif dan menimbulkan gangguan nyata pada ketertiban hukum umum. Dalam menguji perbuatan materiil para terdakwa yang melakukan pergeseran, manipulasi, dan penggelembungan suara di Kecamatan Medan Timur, kita wajib merujuk pada batasan melawan hukum yang dikemukakan oleh Simons. Simons menegaskan bahwa perbuatan pidana adalah kelakuan yang diancam dengan pidana, bersifat melawan hukum, dilakukan dengan kesalahan oleh orang yang mampu bertanggung jawab.</w:t>
      </w:r>
    </w:p>
    <w:p w14:paraId="67AE0944">
      <w:pPr>
        <w:spacing w:line="360" w:lineRule="auto"/>
        <w:ind w:left="720"/>
        <w:jc w:val="both"/>
        <w:rPr>
          <w:sz w:val="24"/>
          <w:szCs w:val="24"/>
          <w:lang w:val="id-ID"/>
        </w:rPr>
      </w:pPr>
      <w:r>
        <w:rPr>
          <w:sz w:val="24"/>
          <w:szCs w:val="24"/>
          <w:lang w:val="id-ID"/>
        </w:rPr>
        <w:t xml:space="preserve">b.Fakta hukum yang terungkap secara benderang di ruang sidang Pengadilan Negeri Medan membuktikan secara valid dan meyakinkan bahwa actus reus ketiga oknum PPK Medan Timur tersebut mewujud dalam tindakan manipulasi data perolehan suara secara sengaja. Modus operandi fisik-materiil yang dilakukan adalah mengubah angka perolehan suara asli dari lembaran fisik Formulir Model C Hasil (catatan otentik tingkat TPS) ketika diinput, disinkronisasikan, dan dituangkan ke dalam Formulir Model D Hasil Kecamatan serta memanipulasi entri data pada aplikasi Sirekap. Detail fakta persidangan secara gamblang mengungkap peta pergeseran selisih suara yang dilakukan secara ilegal oleh para terdakwa pada kurun waktu rekapitulasi tanggal 16 Februari hingga 1 Maret 2024. </w:t>
      </w:r>
    </w:p>
    <w:p w14:paraId="1AA66653">
      <w:pPr>
        <w:spacing w:line="360" w:lineRule="auto"/>
        <w:ind w:firstLine="360"/>
        <w:jc w:val="both"/>
        <w:rPr>
          <w:sz w:val="24"/>
          <w:szCs w:val="24"/>
          <w:lang w:val="id-ID"/>
        </w:rPr>
      </w:pPr>
      <w:r>
        <w:rPr>
          <w:sz w:val="24"/>
          <w:szCs w:val="24"/>
          <w:lang w:val="id-ID"/>
        </w:rPr>
        <w:t>Berdasarkan alat bukti yang diajukan oleh Sentra Gakkumdu Bawaslu Kota Medan, para terdakwa memotong suara milik Partai Buruh dan Partai Kebangkitan Nusantara (PKN). Suara dari kedua partai tersebut dipotong dari data riil TPS lalu ditambahkan/digelembungkan secara signifikan ke dalam perolehan suara Partai Kebangkitan Bangsa (PKB) untuk Daerah Pemilihan (Dapil) 3 Kota Medan.Tindakan pemindahan selisih suara antar-partai yang melanggar hukum ini secara langsung menggeser perolehan kursi parpol lain, yang pada akhirnya memicu keberatan hukum dari saksi korban Calon Anggota DPRD Kota Medan dari Partai Gerindra Dapil Medan 3 nomor urut 5 (NYS).</w:t>
      </w:r>
    </w:p>
    <w:p w14:paraId="7CB031D9">
      <w:pPr>
        <w:spacing w:line="360" w:lineRule="auto"/>
        <w:ind w:firstLine="360"/>
        <w:jc w:val="both"/>
        <w:rPr>
          <w:sz w:val="24"/>
          <w:szCs w:val="24"/>
          <w:lang w:val="id-ID"/>
        </w:rPr>
      </w:pPr>
      <w:r>
        <w:rPr>
          <w:sz w:val="24"/>
          <w:szCs w:val="24"/>
          <w:lang w:val="id-ID"/>
        </w:rPr>
        <w:t>Secara normatif, dakwaan primair yang terbukti di dalam persidangan ini merujuk pada ketentuan Pasal 532 jo. Pasal 554 Undang-Undang Nomor 7 Tahun 2017 tentang Pemilihan Umum.Pasal 532 UU Pemilu menyatakan: "Setiap orang yang dengan sengaja melakukan perbuatan yang menyebabkan suara seorang pemilih menjadi tidak bernilai atau menyebabkan peserta pemilu tertentu mendapat tambahan suara atau perolehan suara peserta pemilu menjadi berkurang, dipidana..."</w:t>
      </w:r>
    </w:p>
    <w:p w14:paraId="0E755EC7">
      <w:pPr>
        <w:spacing w:line="360" w:lineRule="auto"/>
        <w:ind w:firstLine="360"/>
        <w:jc w:val="both"/>
        <w:rPr>
          <w:sz w:val="24"/>
          <w:szCs w:val="24"/>
          <w:lang w:val="id-ID"/>
        </w:rPr>
      </w:pPr>
      <w:r>
        <w:rPr>
          <w:sz w:val="24"/>
          <w:szCs w:val="24"/>
          <w:lang w:val="id-ID"/>
        </w:rPr>
        <w:t xml:space="preserve">"Pasal 554 UU Pemilu memberikan klausul pemberatan sanksi: "Dalam hal tindak pidana pemilu dilakukan oleh penyelenggara pemilu, maka pidana bagi yang bersangkutan ditambah 1/3 (satu pertiga) dari sanksi pidana yang diancamkan."Jika kedua pasal tersebut dikombinasikan secara dogmatis, maka unsur objektif-materiil yang harus dipenuhi meliputi unsur subjek ("Setiap orang" yang diperberat kualifikasinya menjadi "Penyelenggara Pemilu"), unsur perbuatan (melakukan tindakan yang secara nyata menyebabkan peserta pemilu tertentu mendapat tambahan suara atau perolehan suara peserta pemilu menjadi berkurang), dan unsur akibat kausal (berubahnya kemurnian perolehan suara yang sah). </w:t>
      </w:r>
    </w:p>
    <w:p w14:paraId="47C19F08">
      <w:pPr>
        <w:spacing w:line="360" w:lineRule="auto"/>
        <w:ind w:firstLine="360"/>
        <w:jc w:val="both"/>
        <w:rPr>
          <w:sz w:val="24"/>
          <w:szCs w:val="24"/>
          <w:lang w:val="id-ID"/>
        </w:rPr>
      </w:pPr>
      <w:r>
        <w:rPr>
          <w:sz w:val="24"/>
          <w:szCs w:val="24"/>
          <w:lang w:val="id-ID"/>
        </w:rPr>
        <w:t>Ketiga terdakwa secara nyata telah melakukan tindakan fisik mengubah isi dari dokumen rekapitulasi, sehingga integritas data yang dihasilkan menjadi cacat hukum secara absolut.Untuk menganalisis hubungan sebab-akibat (causaliteit) antara tindakan fisik para terdakwa dengan timbulnya kerusakan hasil pemilu legislatif, penelitian ini menggunakan Teori Kausalitas Conditio Sine Qua Non yang dirumuskan oleh Von Buri. Teori ini menyatakan bahwa tiap-tiap syarat adalah sebab, dan semua syarat nilainya sama; apabila satu syarat saja dihilangkan dari rangkaian faktor, maka akibat yang timbul pun akan berbeda.</w:t>
      </w:r>
    </w:p>
    <w:p w14:paraId="69FECC39">
      <w:pPr>
        <w:spacing w:line="360" w:lineRule="auto"/>
        <w:ind w:firstLine="360"/>
        <w:jc w:val="both"/>
        <w:rPr>
          <w:sz w:val="24"/>
          <w:szCs w:val="24"/>
          <w:lang w:val="id-ID"/>
        </w:rPr>
      </w:pPr>
      <w:r>
        <w:rPr>
          <w:sz w:val="24"/>
          <w:szCs w:val="24"/>
          <w:lang w:val="id-ID"/>
        </w:rPr>
        <w:t xml:space="preserve">Secara logis hukum, apabila ketiga terdakwa selaku panitia resmi tidak melakukan tindakan manipulatif berupa pengubahan angka dan memindahkan selisih suara dari Partai Buruh dan PKN ke PKB saat rapat pleno terbuka di tingkat kecamatan, maka ketidakcocokan data suara serta kerusakan tatanan demokrasi di Kecamatan Medan Timur tidak akan pernah terjadi. </w:t>
      </w:r>
    </w:p>
    <w:p w14:paraId="6EED8A22">
      <w:pPr>
        <w:spacing w:line="360" w:lineRule="auto"/>
        <w:jc w:val="both"/>
        <w:rPr>
          <w:sz w:val="24"/>
          <w:szCs w:val="24"/>
          <w:lang w:val="id-ID"/>
        </w:rPr>
      </w:pPr>
      <w:r>
        <w:rPr>
          <w:sz w:val="24"/>
          <w:szCs w:val="24"/>
          <w:lang w:val="id-ID"/>
        </w:rPr>
        <w:t>Tindakan mengubah dokumen fisik dan digital ini adalah causa causans (sebab yang paling utama) dari terjadinya tindak pidana pemilu tersebut.Dalam diskursus hukum pidana pemilu, Prof. Topo Santoso (Pakar Hukum Pidana dan Hukum Pemilu Universitas Indonesia) menegaskan sebuah tesis krusial yang sangat relevan untuk memperkuat analisis ini:"Kejahatan pemilu yang dilakukan oleh penyelenggara (electoral fraud by officials) memiliki derajat bahaya hukum yang jauh lebih destruktif ketimbang kecurangan yang dilakukan oleh pemilih biasa.</w:t>
      </w:r>
    </w:p>
    <w:p w14:paraId="29D93BFB">
      <w:pPr>
        <w:spacing w:line="360" w:lineRule="auto"/>
        <w:ind w:firstLine="720"/>
        <w:jc w:val="both"/>
        <w:rPr>
          <w:sz w:val="24"/>
          <w:szCs w:val="24"/>
          <w:lang w:val="id-ID"/>
        </w:rPr>
      </w:pPr>
      <w:r>
        <w:rPr>
          <w:sz w:val="24"/>
          <w:szCs w:val="24"/>
          <w:lang w:val="id-ID"/>
        </w:rPr>
        <w:t>Hal ini dikarenakan penyelenggara memiliki otoritas legal untuk menentukan validitas suara, sehingga kejahatan yang mereka lakukan secara langsung merusak kedaulatan rakyat secara sistematis."</w:t>
      </w:r>
    </w:p>
    <w:p w14:paraId="0DDEC8F4">
      <w:pPr>
        <w:spacing w:line="360" w:lineRule="auto"/>
        <w:jc w:val="both"/>
        <w:rPr>
          <w:sz w:val="24"/>
          <w:szCs w:val="24"/>
          <w:lang w:val="id-ID"/>
        </w:rPr>
      </w:pPr>
    </w:p>
    <w:p w14:paraId="36CFF808">
      <w:pPr>
        <w:pStyle w:val="38"/>
        <w:numPr>
          <w:ilvl w:val="3"/>
          <w:numId w:val="21"/>
        </w:numPr>
        <w:spacing w:line="360" w:lineRule="auto"/>
        <w:jc w:val="both"/>
        <w:rPr>
          <w:sz w:val="24"/>
          <w:szCs w:val="24"/>
          <w:lang w:val="id-ID"/>
        </w:rPr>
      </w:pPr>
      <w:r>
        <w:rPr>
          <w:sz w:val="24"/>
          <w:szCs w:val="24"/>
          <w:lang w:val="id-ID"/>
        </w:rPr>
        <w:t>Gradasi Kesalahan Subjektif (Mens Rea, Teori Kesengajaan, dan Doktrin Dolus Directus)</w:t>
      </w:r>
    </w:p>
    <w:p w14:paraId="636B1801">
      <w:pPr>
        <w:pStyle w:val="38"/>
        <w:spacing w:line="360" w:lineRule="auto"/>
        <w:ind w:left="360"/>
        <w:jc w:val="both"/>
        <w:rPr>
          <w:sz w:val="24"/>
          <w:szCs w:val="24"/>
          <w:lang w:val="id-ID"/>
        </w:rPr>
      </w:pPr>
      <w:r>
        <w:rPr>
          <w:sz w:val="24"/>
          <w:szCs w:val="24"/>
          <w:lang w:val="id-ID"/>
        </w:rPr>
        <w:t xml:space="preserve">Setelah perbuatan melawan hukum (actus reus) terbukti secara meyakinkan di persidangan Pengadilan Negeri Medan, maka fokus analisis hukum bergeser dari sifat objektif perbuatan ke sifat subjektif pelaku, yaitu mens rea (sikap batin jahat). </w:t>
      </w:r>
    </w:p>
    <w:p w14:paraId="1E84DB0C">
      <w:pPr>
        <w:spacing w:line="360" w:lineRule="auto"/>
        <w:ind w:left="360" w:firstLine="360"/>
        <w:jc w:val="both"/>
        <w:rPr>
          <w:sz w:val="24"/>
          <w:szCs w:val="24"/>
          <w:lang w:val="id-ID"/>
        </w:rPr>
      </w:pPr>
      <w:r>
        <w:rPr>
          <w:sz w:val="24"/>
          <w:szCs w:val="24"/>
          <w:lang w:val="id-ID"/>
        </w:rPr>
        <w:t>Mezger menyatakan bahwa kesalahan adalah keseluruhan syarat psikologis yang menghubungkan antara perbuatan dan pelaku, sehingga pelaku dapat dicela atas perbuatannya. Sementara Van Hamel merumuskan kesalahan sebagai keadaan psikis yang tertentu pada orang yang melakukan perbuatan pidana, sehingga ada hubungan antara keadaan tersebut dengan perbuatan yang dilakukan. Seseorang tidak dapat dimintai pertanggungjawaban pidana jika dalam jiwanya tidak ditemukan unsur celaan tersebut.</w:t>
      </w:r>
    </w:p>
    <w:p w14:paraId="69D4186C">
      <w:pPr>
        <w:spacing w:line="360" w:lineRule="auto"/>
        <w:ind w:left="360" w:firstLine="360"/>
        <w:jc w:val="both"/>
        <w:rPr>
          <w:sz w:val="24"/>
          <w:szCs w:val="24"/>
          <w:lang w:val="id-ID"/>
        </w:rPr>
      </w:pPr>
      <w:r>
        <w:rPr>
          <w:sz w:val="24"/>
          <w:szCs w:val="24"/>
          <w:lang w:val="id-ID"/>
        </w:rPr>
        <w:t xml:space="preserve">Dalam hukum pidana, kesengajaan (dolus) memiliki gradasi dan corak psikologis yang ketat, yaitu kesengajaan sebagai maksud (dolus directus), kesengajaan sebagai kepastian (dolus indirectus), dan kesengajaan sebagai kemungkinan (dolus eventualis). Berdasarkan analisis terhadap dinamika pembuktian pada Putusan PN Medan No. 1/Pid.S/2024/PN Mdn, kesalahan ketiga terdakwa berada pada derajat tertinggi, yaitu Kesengajaan Sebagai Maksud (Dolus Directus). </w:t>
      </w:r>
    </w:p>
    <w:p w14:paraId="08B9E8DD">
      <w:pPr>
        <w:spacing w:line="360" w:lineRule="auto"/>
        <w:ind w:left="360" w:firstLine="360"/>
        <w:jc w:val="both"/>
        <w:rPr>
          <w:sz w:val="24"/>
          <w:szCs w:val="24"/>
          <w:lang w:val="id-ID"/>
        </w:rPr>
      </w:pPr>
      <w:r>
        <w:rPr>
          <w:sz w:val="24"/>
          <w:szCs w:val="24"/>
          <w:lang w:val="id-ID"/>
        </w:rPr>
        <w:t xml:space="preserve">Untuk memperkuat argumen akademis ini, penelitian merujuk pada dua teori besar kesengajaan, yaitu Teori Kehendak (Wilstheorie) dari Von Hippel dan Teori Pengetahuan/Kesadaran (Voorstellingstheorie) dari Frank : Berdasarkan Teori Pengetahuan (Weten): Para terdakwa memiliki pengetahuan dan kesadaran penuh (voorstelling) bahwa tindakan menggeser selisih angka dari Form C.Hasil ke Form D.Hasil secara tidak sah adalah perbuatan yang dilarang keras oleh undang-undang dan mengkhianati sumpah jabatan mereka. Mereka tahu secara presisi bahwa tindakan tersebut akan mendistorsi hasil pemilu legislatif Kota Medan.Berdasarkan Teori Kehendak (Willen): Para terdakwa secara sadar menghendaki wujudnya perbuatan manipulasi tersebut. </w:t>
      </w:r>
    </w:p>
    <w:p w14:paraId="5F2722E7">
      <w:pPr>
        <w:spacing w:line="360" w:lineRule="auto"/>
        <w:ind w:left="360" w:firstLine="360"/>
        <w:jc w:val="both"/>
        <w:rPr>
          <w:sz w:val="24"/>
          <w:szCs w:val="24"/>
          <w:lang w:val="id-ID"/>
        </w:rPr>
      </w:pPr>
      <w:r>
        <w:rPr>
          <w:sz w:val="24"/>
          <w:szCs w:val="24"/>
          <w:lang w:val="id-ID"/>
        </w:rPr>
        <w:t xml:space="preserve">Motif politik maupun material untuk mendongkrak perolehan suara Partai Kebangkitan Bangsa dituju secara langsung oleh kehendak batin para terdakwa sebagai wujud tujuan utama tindakan mereka.Oleh karena itu, pembelaan dari penasihat hukum terdakwa yang mencoba membangun narasi bahwa tindakan tersebut terjadi akibat "kelalaian teknis" (culpa), faktor kelelahan fisik, atau tekanan beban kerja rekapitulasi yang berlebih otomatis gugur demi hukum. Prof. Eddy O.S. Hiariej dalam doktrinnya mengenai gradasi kesalahan menyatakan:"Apabila seorang pelaku kejahatan melakukan serangkaian perbuatan yang terencana, sistematis, berulang, dan membutuhkan keahlian teknis tertentu—seperti mengubah dokumen negara atau memanipulasi sistem digital—maka elemen mens rea pelaku tersebut tidak mungkin berupa kealpaan (culpa), melainkan sebuah kesengajaan murni yang didasari atas niat jahat yang utuh (malice aforethought). </w:t>
      </w:r>
    </w:p>
    <w:p w14:paraId="7B72CFBB">
      <w:pPr>
        <w:spacing w:line="360" w:lineRule="auto"/>
        <w:ind w:left="360" w:firstLine="360"/>
        <w:jc w:val="both"/>
        <w:rPr>
          <w:sz w:val="24"/>
          <w:szCs w:val="24"/>
          <w:lang w:val="id-ID"/>
        </w:rPr>
      </w:pPr>
    </w:p>
    <w:p w14:paraId="7E9834A3">
      <w:pPr>
        <w:pStyle w:val="38"/>
        <w:numPr>
          <w:ilvl w:val="3"/>
          <w:numId w:val="21"/>
        </w:numPr>
        <w:spacing w:line="360" w:lineRule="auto"/>
        <w:jc w:val="both"/>
        <w:rPr>
          <w:sz w:val="24"/>
          <w:szCs w:val="24"/>
          <w:lang w:val="id-ID"/>
        </w:rPr>
      </w:pPr>
      <w:r>
        <w:rPr>
          <w:sz w:val="24"/>
          <w:szCs w:val="24"/>
          <w:lang w:val="id-ID"/>
        </w:rPr>
        <w:t>Karakteristik Kasus sebagai Delicta Propria, Doktrin Public Trust, dan White-Collar Crime</w:t>
      </w:r>
    </w:p>
    <w:p w14:paraId="30284D39">
      <w:pPr>
        <w:pStyle w:val="38"/>
        <w:spacing w:line="360" w:lineRule="auto"/>
        <w:ind w:left="360"/>
        <w:jc w:val="both"/>
        <w:rPr>
          <w:sz w:val="24"/>
          <w:szCs w:val="24"/>
          <w:lang w:val="id-ID"/>
        </w:rPr>
      </w:pPr>
      <w:r>
        <w:rPr>
          <w:sz w:val="24"/>
          <w:szCs w:val="24"/>
          <w:lang w:val="id-ID"/>
        </w:rPr>
        <w:t xml:space="preserve">Aspek krusial yang di bahas adalah analisis mengenai klasifikasi delik dalam undang-undang pidana khusus. Kombinasi Pasal 532 dan Pasal 554 UU No. 7/2017 merupakan bentuk penegakan hukum atas Delik Propria (delicta propria) yang telah di-pemberat. </w:t>
      </w:r>
    </w:p>
    <w:p w14:paraId="15274EDD">
      <w:pPr>
        <w:pStyle w:val="38"/>
        <w:spacing w:line="360" w:lineRule="auto"/>
        <w:ind w:left="360" w:firstLine="360"/>
        <w:jc w:val="both"/>
        <w:rPr>
          <w:sz w:val="24"/>
          <w:szCs w:val="24"/>
          <w:lang w:val="id-ID"/>
        </w:rPr>
      </w:pPr>
      <w:r>
        <w:rPr>
          <w:sz w:val="24"/>
          <w:szCs w:val="24"/>
          <w:lang w:val="id-ID"/>
        </w:rPr>
        <w:t xml:space="preserve">Delik propria adalah tindak pidana yang tidak dapat dilakukan oleh sembarang orang (everyone), melainkan hanya dapat dilakukan oleh subjek hukum yang kualifikasi personal, profesi, atau jabatannya secara limitatif dan tegas ditentukan oleh undang-undang.Meskipun Pasal 532 awalnya menyebut kata "Setiap Orang", kehadiran Pasal 554 UU Pemilu secara mutlak mengubah karakteristik delik ini menjadi delik jabatan khusus, karena sanksi pidana ditambah 1/3 jika pelakunya adalah penyelenggara pemilu. </w:t>
      </w:r>
    </w:p>
    <w:p w14:paraId="20092EE2">
      <w:pPr>
        <w:spacing w:line="360" w:lineRule="auto"/>
        <w:ind w:left="360" w:firstLine="360"/>
        <w:jc w:val="both"/>
        <w:rPr>
          <w:sz w:val="24"/>
          <w:szCs w:val="24"/>
          <w:lang w:val="id-ID"/>
        </w:rPr>
      </w:pPr>
      <w:r>
        <w:rPr>
          <w:sz w:val="24"/>
          <w:szCs w:val="24"/>
          <w:lang w:val="id-ID"/>
        </w:rPr>
        <w:t>Status ketiga terdakwa sebagai Ketua dan Anggota PPK Medan Timur menempatkan mereka secara sah sebagai subjek hukum yang melekat pada delik jabatan ini (legal standing as public election officers).</w:t>
      </w:r>
    </w:p>
    <w:p w14:paraId="1B58493A">
      <w:pPr>
        <w:spacing w:line="360" w:lineRule="auto"/>
        <w:ind w:left="360" w:firstLine="360"/>
        <w:jc w:val="both"/>
        <w:rPr>
          <w:sz w:val="24"/>
          <w:szCs w:val="24"/>
          <w:lang w:val="id-ID"/>
        </w:rPr>
      </w:pPr>
      <w:r>
        <w:rPr>
          <w:sz w:val="24"/>
          <w:szCs w:val="24"/>
          <w:lang w:val="id-ID"/>
        </w:rPr>
        <w:t>Mantan Ketua Mahkamah Konstitusi, Prof. Jimly Asshiddiqie, dalam teorinya mengenai integritas hukum tata negara dan kelembagaan pemilu menyatakan:"Penyelenggara pemilu adalah pemegang amanat konstitusi (constitutional trustees) yang menjaga kesucian kedaulatan rakyat. Ketika instrumen penyelenggara (KPU, PPK, PPS) justru berbalik menjadi pelaku kejahatan pemilu, maka yang terjadi bukan sekadar pelanggaran hukum biasa, melainkan sebuah pengkhianatan terhadap konstitusi (constitutional betrayal) dan bentuk penyalahgunaan otoritas secara masif (abuse of power)</w:t>
      </w:r>
    </w:p>
    <w:p w14:paraId="24FE0798">
      <w:pPr>
        <w:spacing w:line="360" w:lineRule="auto"/>
        <w:ind w:left="360" w:firstLine="360"/>
        <w:jc w:val="both"/>
        <w:rPr>
          <w:sz w:val="24"/>
          <w:szCs w:val="24"/>
          <w:lang w:val="id-ID"/>
        </w:rPr>
      </w:pPr>
      <w:r>
        <w:rPr>
          <w:sz w:val="24"/>
          <w:szCs w:val="24"/>
          <w:lang w:val="id-ID"/>
        </w:rPr>
        <w:t xml:space="preserve">."Tindakan ketiga terdakwa juga dapat dianalisis menggunakan sosiologi hukum pidana melalui Teori Kejahatan Kerah Putih (White-Collar Crime) yang pertama kali dicetuskan oleh Edwin Sutherland. </w:t>
      </w:r>
    </w:p>
    <w:p w14:paraId="40761DAC">
      <w:pPr>
        <w:spacing w:line="360" w:lineRule="auto"/>
        <w:ind w:left="360" w:firstLine="360"/>
        <w:jc w:val="both"/>
        <w:rPr>
          <w:sz w:val="24"/>
          <w:szCs w:val="24"/>
          <w:lang w:val="id-ID"/>
        </w:rPr>
      </w:pPr>
      <w:r>
        <w:rPr>
          <w:sz w:val="24"/>
          <w:szCs w:val="24"/>
          <w:lang w:val="id-ID"/>
        </w:rPr>
        <w:t xml:space="preserve">Sutherland mendefinisikan white-collar crime sebagai kejahatan yang dilakukan oleh orang-orang yang memiliki status sosial-ekonomi tinggi, terhormat, dan memanfaatkan posisi jabatan atau otoritas resminya untuk melakukan kecurangan. Sebagai komisioner PPK, para terdakwa memanfaatkan legitimasi jabatan, akses eksklusif terhadap logistik kotak suara, dan otoritas input data rekapitulasi untuk melancarkan kejahatan pemilu tanpa menggunakan kekerasan fisik (non-violent crime), melainkan melalui manipulasi administrasi (kerah putih). </w:t>
      </w:r>
    </w:p>
    <w:p w14:paraId="0E5D25F4">
      <w:pPr>
        <w:spacing w:line="360" w:lineRule="auto"/>
        <w:ind w:left="360" w:firstLine="360"/>
        <w:jc w:val="both"/>
        <w:rPr>
          <w:sz w:val="24"/>
          <w:szCs w:val="24"/>
          <w:lang w:val="id-ID"/>
        </w:rPr>
      </w:pPr>
      <w:r>
        <w:rPr>
          <w:sz w:val="24"/>
          <w:szCs w:val="24"/>
          <w:lang w:val="id-ID"/>
        </w:rPr>
        <w:t>Dalam konteks hukum pidana, kedudukan jabatan ini bukan merupakan alasan pemaaf, melainkan justru menjadi faktor yang memperberat kualitas kesalahan (schuld) para terdakwa. Otoritas kedinasan yang seharusnya digunakan untuk memproteksi kemurnian suara masyarakat, justru dieksploitasi untuk memfasilitasi kejahatan pemilu (electoral crime).</w:t>
      </w:r>
    </w:p>
    <w:p w14:paraId="2685CCA5">
      <w:pPr>
        <w:spacing w:line="360" w:lineRule="auto"/>
        <w:ind w:left="360" w:firstLine="360"/>
        <w:jc w:val="both"/>
        <w:rPr>
          <w:sz w:val="24"/>
          <w:szCs w:val="24"/>
          <w:lang w:val="id-ID"/>
        </w:rPr>
      </w:pPr>
    </w:p>
    <w:p w14:paraId="7608A8F5">
      <w:pPr>
        <w:pStyle w:val="38"/>
        <w:numPr>
          <w:ilvl w:val="3"/>
          <w:numId w:val="21"/>
        </w:numPr>
        <w:spacing w:line="360" w:lineRule="auto"/>
        <w:jc w:val="both"/>
        <w:rPr>
          <w:sz w:val="24"/>
          <w:szCs w:val="24"/>
          <w:lang w:val="id-ID"/>
        </w:rPr>
      </w:pPr>
      <w:r>
        <w:rPr>
          <w:sz w:val="24"/>
          <w:szCs w:val="24"/>
          <w:lang w:val="id-ID"/>
        </w:rPr>
        <w:t>Analisis Teori Penyertaan (Deelneming) dalam Tindak Pidana Bersama</w:t>
      </w:r>
    </w:p>
    <w:p w14:paraId="4546C919">
      <w:pPr>
        <w:pStyle w:val="38"/>
        <w:spacing w:line="360" w:lineRule="auto"/>
        <w:ind w:left="360"/>
        <w:jc w:val="both"/>
        <w:rPr>
          <w:sz w:val="24"/>
          <w:szCs w:val="24"/>
          <w:lang w:val="id-ID"/>
        </w:rPr>
      </w:pPr>
      <w:r>
        <w:rPr>
          <w:sz w:val="24"/>
          <w:szCs w:val="24"/>
          <w:lang w:val="id-ID"/>
        </w:rPr>
        <w:t xml:space="preserve">Peninjauan terhadap fakta hukum menunjukkan bahwa manipulasi perolehan suara ini tidak dilakukan oleh aktor tunggal, melainkan dilakukan secara kolektif oleh tiga orang fungsionaris inti PPK Medan Timur. </w:t>
      </w:r>
    </w:p>
    <w:p w14:paraId="479D94EE">
      <w:pPr>
        <w:spacing w:line="360" w:lineRule="auto"/>
        <w:ind w:left="360" w:firstLine="360"/>
        <w:jc w:val="both"/>
        <w:rPr>
          <w:sz w:val="24"/>
          <w:szCs w:val="24"/>
          <w:lang w:val="id-ID"/>
        </w:rPr>
      </w:pPr>
      <w:r>
        <w:rPr>
          <w:sz w:val="24"/>
          <w:szCs w:val="24"/>
          <w:lang w:val="id-ID"/>
        </w:rPr>
        <w:t>Oleh karena itu, untuk melengkapi fondasi akademis pertanggungjawaban pidana, kita wajib mengaitkannya dengan Teori Penyertaan (Deelneming) yang diatur dalam Pasal 55 KUHP.Menurut Prof. Vos, penyertaan terjadi apabila dalam suatu tindak pidana terlibat beberapa orang yang bekerja sama, baik secara fisik maupun psikis, untuk mewujudkan satu delik yang sama. Pasal 55 ayat (1) ke-1 KUHP membagi pelaku penyertaan menjadi beberapa kategori: pleger (yang melakukan), doenpleger (yang menyuruh melakukan), medepleger (yang turut serta melakukan), dan uitlokker (yang menggerakkan).</w:t>
      </w:r>
    </w:p>
    <w:p w14:paraId="036747EE">
      <w:pPr>
        <w:spacing w:line="360" w:lineRule="auto"/>
        <w:ind w:left="360" w:firstLine="360"/>
        <w:jc w:val="both"/>
        <w:rPr>
          <w:sz w:val="24"/>
          <w:szCs w:val="24"/>
          <w:lang w:val="id-ID"/>
        </w:rPr>
      </w:pPr>
      <w:r>
        <w:rPr>
          <w:sz w:val="24"/>
          <w:szCs w:val="24"/>
          <w:lang w:val="id-ID"/>
        </w:rPr>
        <w:t xml:space="preserve">Dalam Putusan PN Medan No. 1/Pid.S/2024/PN Mdn, konstruksi hukum yang diterapkan oleh Jaksa Penuntut Umum dan disepakati oleh Majelis Hakim adalah Turut Serta Melakukan (Medeplegen). </w:t>
      </w:r>
    </w:p>
    <w:p w14:paraId="2C3F244B">
      <w:pPr>
        <w:spacing w:line="360" w:lineRule="auto"/>
        <w:ind w:left="360" w:firstLine="360"/>
        <w:jc w:val="both"/>
        <w:rPr>
          <w:sz w:val="24"/>
          <w:szCs w:val="24"/>
          <w:lang w:val="id-ID"/>
        </w:rPr>
      </w:pPr>
      <w:r>
        <w:rPr>
          <w:sz w:val="24"/>
          <w:szCs w:val="24"/>
          <w:lang w:val="id-ID"/>
        </w:rPr>
        <w:t xml:space="preserve">Menurut Jan Remmelink, syarat mutlak adanya medeplegen adalah adanya kerja sama yang sadar (bewuste samenwerking) dan pelaksanaan bersama secara fisik (gezamenlijke uitvoering).Fakta persidangan mengonfirmasi bahwa MRR, ASBH, dan JM berbagi peran secara fungsional. Tidak ada satu pun dari mereka yang berusaha menolak atau menghentikan proses pemotongan dan pengalihan selisih suara. Sebaliknya, mereka bersama-sama mengondisikan rapat pleno kecamatan agar penggelembungan suara berjalan mulus. </w:t>
      </w:r>
    </w:p>
    <w:p w14:paraId="0D6018E2">
      <w:pPr>
        <w:spacing w:line="360" w:lineRule="auto"/>
        <w:ind w:left="360" w:firstLine="360"/>
        <w:jc w:val="both"/>
        <w:rPr>
          <w:sz w:val="24"/>
          <w:szCs w:val="24"/>
          <w:lang w:val="id-ID"/>
        </w:rPr>
      </w:pPr>
      <w:r>
        <w:rPr>
          <w:sz w:val="24"/>
          <w:szCs w:val="24"/>
          <w:lang w:val="id-ID"/>
        </w:rPr>
        <w:t>Dengan demikian, kualitas kepesertaan mereka adalah setara sebagai pelaku (dader), sehingga pertanggungjawaban pidana secara kolektif melekat penuh pada masing-masing individu tanpa diskriminasi porsi kesalahan.</w:t>
      </w:r>
    </w:p>
    <w:p w14:paraId="3AA73C17">
      <w:pPr>
        <w:spacing w:line="360" w:lineRule="auto"/>
        <w:ind w:left="360"/>
        <w:jc w:val="both"/>
        <w:rPr>
          <w:sz w:val="24"/>
          <w:szCs w:val="24"/>
          <w:lang w:val="id-ID"/>
        </w:rPr>
      </w:pPr>
    </w:p>
    <w:p w14:paraId="3CB91BB7">
      <w:pPr>
        <w:pStyle w:val="38"/>
        <w:numPr>
          <w:ilvl w:val="3"/>
          <w:numId w:val="21"/>
        </w:numPr>
        <w:spacing w:line="360" w:lineRule="auto"/>
        <w:jc w:val="both"/>
        <w:rPr>
          <w:sz w:val="24"/>
          <w:szCs w:val="24"/>
          <w:lang w:val="id-ID"/>
        </w:rPr>
      </w:pPr>
      <w:r>
        <w:rPr>
          <w:sz w:val="24"/>
          <w:szCs w:val="24"/>
          <w:lang w:val="id-ID"/>
        </w:rPr>
        <w:t>Teori Tekanan Struktural (Structural Strain Theory) dan Relasi Kuasa Politik</w:t>
      </w:r>
    </w:p>
    <w:p w14:paraId="246921C2">
      <w:pPr>
        <w:pStyle w:val="38"/>
        <w:spacing w:line="360" w:lineRule="auto"/>
        <w:ind w:left="360"/>
        <w:jc w:val="both"/>
        <w:rPr>
          <w:sz w:val="24"/>
          <w:szCs w:val="24"/>
          <w:lang w:val="id-ID"/>
        </w:rPr>
      </w:pPr>
      <w:r>
        <w:rPr>
          <w:sz w:val="24"/>
          <w:szCs w:val="24"/>
          <w:lang w:val="id-ID"/>
        </w:rPr>
        <w:t xml:space="preserve">Untuk memperluas kedalaman sosiologis dari skripsi ini, tindakan manipulasi yang dilakukan oleh PPK Medan Timur tidak boleh dipandang dalam ruang hampa udara. </w:t>
      </w:r>
    </w:p>
    <w:p w14:paraId="7040E6FD">
      <w:pPr>
        <w:spacing w:line="360" w:lineRule="auto"/>
        <w:ind w:left="360" w:firstLine="360"/>
        <w:jc w:val="both"/>
        <w:rPr>
          <w:sz w:val="24"/>
          <w:szCs w:val="24"/>
          <w:lang w:val="id-ID"/>
        </w:rPr>
      </w:pPr>
      <w:r>
        <w:rPr>
          <w:sz w:val="24"/>
          <w:szCs w:val="24"/>
          <w:lang w:val="id-ID"/>
        </w:rPr>
        <w:t>Kita dapat menggunakan Teori Tekanan Struktural (Structural Strain Theory) yang dikembangkan oleh sosiolog Robert K. Merton. Merton menyatakan bahwa penyimpangan atau kejahatan terjadi ketika ada ketidakserasian antara tujuan budaya yang dianggap sukses (dalam hal ini: memenangkan kursi legislatif atau mengamankan posisi politik tertentu) dengan sarana-sarana institusional yang sah untuk mencapai tujuan tersebut.</w:t>
      </w:r>
    </w:p>
    <w:p w14:paraId="04EA7E1C">
      <w:pPr>
        <w:spacing w:line="360" w:lineRule="auto"/>
        <w:ind w:left="360" w:firstLine="360"/>
        <w:jc w:val="both"/>
        <w:rPr>
          <w:sz w:val="24"/>
          <w:szCs w:val="24"/>
          <w:lang w:val="id-ID"/>
        </w:rPr>
      </w:pPr>
      <w:r>
        <w:rPr>
          <w:sz w:val="24"/>
          <w:szCs w:val="24"/>
          <w:lang w:val="id-ID"/>
        </w:rPr>
        <w:t>Oknum PPK berada di bawah tekanan struktural yang masif, baik berupa godaan material (financial incentives) maupun intervensi dari aktor-aktor politik eksternal yang memiliki relasi kuasa (power relation) lebih tinggi. Berdasarkan konsep relasi kuasa dari Michel Foucault, kekuasaan tidak bersifat terpusat melainkan menyebar dan beroperasi dalam jejaring relasi sosial.</w:t>
      </w:r>
    </w:p>
    <w:p w14:paraId="32F4B7F0">
      <w:pPr>
        <w:spacing w:line="360" w:lineRule="auto"/>
        <w:ind w:left="360" w:firstLine="360"/>
        <w:jc w:val="both"/>
        <w:rPr>
          <w:sz w:val="24"/>
          <w:szCs w:val="24"/>
          <w:lang w:val="id-ID"/>
        </w:rPr>
      </w:pPr>
      <w:r>
        <w:rPr>
          <w:sz w:val="24"/>
          <w:szCs w:val="24"/>
          <w:lang w:val="id-ID"/>
        </w:rPr>
        <w:t xml:space="preserve">Para terdakwa, meskipun memiliki otoritas legal sebagai penyelenggara pemilu, secara sosiologis berada dalam posisi rentan terhadap intervensi elit politik lokal. Ketika mereka gagal mempertahankan integritas moral di bawah tekanan jejaring kekuasaan tersebut, mereka memilih jalur "Inovasi" (dalam terminologi Merton), yaitu menggunakan cara-cara ilegal (memotong suara Partai Buruh/PKN untuk diberikan ke PKB) untuk memenuhi tuntutan dari aktor politik luar. </w:t>
      </w:r>
    </w:p>
    <w:p w14:paraId="71413BC4">
      <w:pPr>
        <w:spacing w:line="360" w:lineRule="auto"/>
        <w:ind w:left="360" w:firstLine="360"/>
        <w:jc w:val="both"/>
        <w:rPr>
          <w:sz w:val="24"/>
          <w:szCs w:val="24"/>
          <w:lang w:val="id-ID"/>
        </w:rPr>
      </w:pPr>
      <w:r>
        <w:rPr>
          <w:sz w:val="24"/>
          <w:szCs w:val="24"/>
          <w:lang w:val="id-ID"/>
        </w:rPr>
        <w:t>Namun secara hukum pidana, tekanan non-fisik atau godaan material ini tidak dapat menghapuskan sifat melawan hukum dari tindakan mereka, melainkan justru mempertegas adanya niat jahat yang fungsional.</w:t>
      </w:r>
    </w:p>
    <w:p w14:paraId="6E9EB647">
      <w:pPr>
        <w:spacing w:line="360" w:lineRule="auto"/>
        <w:ind w:left="360"/>
        <w:jc w:val="both"/>
        <w:rPr>
          <w:sz w:val="24"/>
          <w:szCs w:val="24"/>
          <w:lang w:val="id-ID"/>
        </w:rPr>
      </w:pPr>
    </w:p>
    <w:p w14:paraId="59C3A72B">
      <w:pPr>
        <w:pStyle w:val="38"/>
        <w:numPr>
          <w:ilvl w:val="3"/>
          <w:numId w:val="21"/>
        </w:numPr>
        <w:spacing w:line="360" w:lineRule="auto"/>
        <w:jc w:val="both"/>
        <w:rPr>
          <w:sz w:val="24"/>
          <w:szCs w:val="24"/>
          <w:lang w:val="id-ID"/>
        </w:rPr>
      </w:pPr>
      <w:r>
        <w:rPr>
          <w:sz w:val="24"/>
          <w:szCs w:val="24"/>
          <w:lang w:val="id-ID"/>
        </w:rPr>
        <w:t>Pengujian Kemampuan Bertanggung Jawab, Doktrin Strict Liability, dan Alasan Penghapus Pidana</w:t>
      </w:r>
    </w:p>
    <w:p w14:paraId="41F113AF">
      <w:pPr>
        <w:pStyle w:val="38"/>
        <w:spacing w:line="360" w:lineRule="auto"/>
        <w:ind w:left="360"/>
        <w:jc w:val="both"/>
        <w:rPr>
          <w:sz w:val="24"/>
          <w:szCs w:val="24"/>
          <w:lang w:val="id-ID"/>
        </w:rPr>
      </w:pPr>
      <w:r>
        <w:rPr>
          <w:sz w:val="24"/>
          <w:szCs w:val="24"/>
          <w:lang w:val="id-ID"/>
        </w:rPr>
        <w:t xml:space="preserve">Tahap akhir yang paling menentukan dalam menjatuhkan pidana dan menegakkan akuntabilitas hukum adalah menguji kemampuan bertanggung jawab pelaku (toerekeningsvatbaarheid) serta memastikan tidak adanya alasan penghapus pidana (strafuitsluitingsgronden). </w:t>
      </w:r>
    </w:p>
    <w:p w14:paraId="588CEC1A">
      <w:pPr>
        <w:spacing w:line="360" w:lineRule="auto"/>
        <w:ind w:left="360" w:firstLine="360"/>
        <w:jc w:val="both"/>
        <w:rPr>
          <w:sz w:val="24"/>
          <w:szCs w:val="24"/>
          <w:lang w:val="id-ID"/>
        </w:rPr>
      </w:pPr>
      <w:r>
        <w:rPr>
          <w:sz w:val="24"/>
          <w:szCs w:val="24"/>
          <w:lang w:val="id-ID"/>
        </w:rPr>
        <w:t xml:space="preserve">Simons memberikan parameter objektif bahwa seseorang dikatakan mampu bertanggung jawab apabila:Ia dapat memahami nilai dari perbuatannya, yaitu dapat membedakan mana perbuatan yang benar dan mana yang salah secara hukum (faktor akal/intelektual).Ia dapat menentukan kehendaknya berdasarkan pemahaman tersebut (faktor kehendak/volisional).Fakta persidangan di Pengadilan Negeri Medan mengonfirmasi bahwa ketiga terdakwa adalah individu dewasa yang sehat secara psikis, tidak mengalami gangguan jiwa, cacat pertumbuhan mental, atau berada di bawah pengampuan (sebagaimana dimaksud dalam Pasal 44 KUHP). </w:t>
      </w:r>
    </w:p>
    <w:p w14:paraId="314A7EE2">
      <w:pPr>
        <w:spacing w:line="360" w:lineRule="auto"/>
        <w:ind w:left="360" w:firstLine="360"/>
        <w:jc w:val="both"/>
        <w:rPr>
          <w:sz w:val="24"/>
          <w:szCs w:val="24"/>
          <w:lang w:val="id-ID"/>
        </w:rPr>
      </w:pPr>
      <w:r>
        <w:rPr>
          <w:sz w:val="24"/>
          <w:szCs w:val="24"/>
          <w:lang w:val="id-ID"/>
        </w:rPr>
        <w:t>Mereka memiliki kapasitas intelektual yang matang untuk memahami implikasi hukum dan sanksi dari tindakan manipulasi tersebut.Lebih lanjut, dalam tindak pidana pemilu, diskursus akademik sering kali menyentuh doktrin Pertanggungjawaban Mutlak (Strict Liability). Doktrin hukum pidana anglo-saxon ini menyatakan bahwa pada kejahatan-kejahatan tertentu yang sifatnya sangat membahayakan kepentingan publik (public welfare offenses), unsur kesalahan (mens rea) tidak perlu dibuktikan secara rumit; cukup dengan membuktikan bahwa perbuatan tersebut (actus reus) telah terjadi.</w:t>
      </w:r>
    </w:p>
    <w:p w14:paraId="11F26AFD">
      <w:pPr>
        <w:spacing w:line="360" w:lineRule="auto"/>
        <w:ind w:left="360" w:firstLine="360"/>
        <w:jc w:val="both"/>
        <w:rPr>
          <w:sz w:val="24"/>
          <w:szCs w:val="24"/>
          <w:lang w:val="id-ID"/>
        </w:rPr>
      </w:pPr>
      <w:r>
        <w:rPr>
          <w:sz w:val="24"/>
          <w:szCs w:val="24"/>
          <w:lang w:val="id-ID"/>
        </w:rPr>
        <w:t>Meskipun sistem hukum pidana Indonesia berakar pada asas kesalahan (culpability), penegakan hukum dalam sengketa hasil pemilu legislatif 2024 ini mencerminkan semangat strict liability yang parsial. Hakim memandang bahwa sebagai komisioner resmi, keabsahan tanda tangan mereka pada formulir D.Hasil yang manipulatif sudah cukup untuk melekatkan tanggung jawab pidana atas kerusakan data tersebut.</w:t>
      </w:r>
    </w:p>
    <w:p w14:paraId="1BFF18F2">
      <w:pPr>
        <w:spacing w:line="360" w:lineRule="auto"/>
        <w:ind w:left="360" w:firstLine="360"/>
        <w:jc w:val="both"/>
        <w:rPr>
          <w:sz w:val="24"/>
          <w:szCs w:val="24"/>
          <w:lang w:val="id-ID"/>
        </w:rPr>
      </w:pPr>
      <w:r>
        <w:rPr>
          <w:sz w:val="24"/>
          <w:szCs w:val="24"/>
          <w:lang w:val="id-ID"/>
        </w:rPr>
        <w:t>Analisis normatif terhadap dokumen Putusan No. 1/Pid.S/2024/PN Mdn membuktikan absennya alasan penghapus pidana, yang di dalam doktrin hukum pidana terbagi menjadi dua kategori utama: Alasan Pembenar (Rechtvaardigingsgrond): Alasan yang menghapuskan sifat melawan hukumnya perbuatan, sehingga perbuatan yang dilakukan menjadi patut dan benar. Doktrin ini meliputi daya paksa (overmacht - Pasal 48 KUHP), bela paksa (noodweer - Pasal 49 KUHP), atau melaksanakan perintah undang-undang dan perintah jabatan yang sah (Pasal 50 dan Pasal 51 ayat 1 KUHP).</w:t>
      </w:r>
    </w:p>
    <w:p w14:paraId="246CB5C3">
      <w:pPr>
        <w:spacing w:line="360" w:lineRule="auto"/>
        <w:ind w:left="360" w:firstLine="360"/>
        <w:jc w:val="both"/>
        <w:rPr>
          <w:sz w:val="24"/>
          <w:szCs w:val="24"/>
          <w:lang w:val="id-ID"/>
        </w:rPr>
      </w:pPr>
      <w:r>
        <w:rPr>
          <w:sz w:val="24"/>
          <w:szCs w:val="24"/>
          <w:lang w:val="id-ID"/>
        </w:rPr>
        <w:t xml:space="preserve">Tindakan memanipulasi suara atas imbalan material atau tekanan aktor politik sama sekali tidak memiliki dasar pembenar yuridis. Dalam hukum pidana, perintah yang melanggar hukum tidak pernah diakui sebagai perintah jabatan yang sah (ambtelijk bevel).Alasan Pemaaf (Schuldentsculdigingsgrond): Alasan yang menghapuskan kesalahan dari diri pelaku, meskipun perbuatannya tetap melawan hukum. </w:t>
      </w:r>
    </w:p>
    <w:p w14:paraId="7985B601">
      <w:pPr>
        <w:spacing w:line="360" w:lineRule="auto"/>
        <w:ind w:left="360" w:firstLine="360"/>
        <w:jc w:val="both"/>
        <w:rPr>
          <w:sz w:val="24"/>
          <w:szCs w:val="24"/>
          <w:lang w:val="id-ID"/>
        </w:rPr>
      </w:pPr>
      <w:r>
        <w:rPr>
          <w:sz w:val="24"/>
          <w:szCs w:val="24"/>
          <w:lang w:val="id-ID"/>
        </w:rPr>
        <w:t xml:space="preserve">Doktrin ini meliputi kekhilafan hukum yang dapat dimaafkan (rechtsdwaling) atau daya paksa psikologis. Alasan ini gugur karena para terdakwa telah dibekali dengan bimbingan teknis (bimtek) resmi dari KPU sebelum menjalankan tugasnya, sehingga mereka tidak bisa berlindung di balik dalih ketidaktahuan hukum (ignorantia legis excusat neminem).Sintesis Pembahasan Rumusan Masalah Pertama:Dengan mengacu pada filsafat dan pandangan dualistis Moeljatno, seluruh instrumen pertanggungjawaban pidana telah terpenuhi tanpa adanya celah hukum (loophole). </w:t>
      </w:r>
    </w:p>
    <w:p w14:paraId="19A43F19">
      <w:pPr>
        <w:spacing w:line="360" w:lineRule="auto"/>
        <w:ind w:left="360" w:firstLine="360"/>
        <w:jc w:val="both"/>
        <w:rPr>
          <w:sz w:val="24"/>
          <w:szCs w:val="24"/>
          <w:lang w:val="id-ID"/>
        </w:rPr>
      </w:pPr>
      <w:r>
        <w:rPr>
          <w:sz w:val="24"/>
          <w:szCs w:val="24"/>
          <w:lang w:val="id-ID"/>
        </w:rPr>
        <w:t>Perbuatan materiil memindahkan selisih suara dari Partai Buruh dan PKN ke PKB (actus reus) yang bersifat melawan hukum formil maupun materiil, bersanding lurus dengan kesalahan batin berupa kesengajaan sebagai maksud (mens rea/dolus directus) dari para terdakwa sebagai subjek delik propria yang bertindak dalam skema medeplegen di bawah pusaran tekanan struktural. Karena tidak ada satu pun alasan penghapus pidana (baik pembenar maupun pemaaf) yang terbukti di persidangan, maka secara doktrinal dan yuridis, ketiga oknum PPK Medan Timur tersebut sah, meyakinkan, dan mutlak harus memikul pertanggungjawaban pidana secara personal atas kejahatan demokrasi yang mereka lakukan secara bersama-sama.</w:t>
      </w:r>
    </w:p>
    <w:p w14:paraId="4D1569F0">
      <w:pPr>
        <w:spacing w:line="360" w:lineRule="auto"/>
        <w:jc w:val="both"/>
        <w:rPr>
          <w:sz w:val="24"/>
          <w:szCs w:val="24"/>
          <w:lang w:val="id-ID"/>
        </w:rPr>
      </w:pPr>
    </w:p>
    <w:p w14:paraId="498DFD72">
      <w:pPr>
        <w:spacing w:line="360" w:lineRule="auto"/>
        <w:jc w:val="both"/>
        <w:rPr>
          <w:sz w:val="24"/>
          <w:szCs w:val="24"/>
          <w:lang w:val="id-ID"/>
        </w:rPr>
      </w:pPr>
    </w:p>
    <w:p w14:paraId="6740CF69">
      <w:pPr>
        <w:pStyle w:val="38"/>
        <w:numPr>
          <w:ilvl w:val="3"/>
          <w:numId w:val="21"/>
        </w:numPr>
        <w:spacing w:line="360" w:lineRule="auto"/>
        <w:jc w:val="both"/>
        <w:outlineLvl w:val="1"/>
        <w:rPr>
          <w:bCs/>
          <w:sz w:val="24"/>
          <w:szCs w:val="24"/>
          <w:lang w:val="id-ID"/>
        </w:rPr>
      </w:pPr>
      <w:bookmarkStart w:id="38" w:name="_Toc230017870"/>
      <w:r>
        <w:rPr>
          <w:bCs/>
          <w:sz w:val="24"/>
          <w:szCs w:val="24"/>
        </w:rPr>
        <w:t>Analisis Mengenai Pasal-Pasal Yang Dilanggar</w:t>
      </w:r>
      <w:bookmarkEnd w:id="38"/>
    </w:p>
    <w:p w14:paraId="3C61D68C">
      <w:pPr>
        <w:spacing w:line="360" w:lineRule="auto"/>
        <w:ind w:left="284"/>
        <w:jc w:val="both"/>
        <w:rPr>
          <w:sz w:val="24"/>
          <w:szCs w:val="24"/>
          <w:lang w:val="id-ID"/>
        </w:rPr>
      </w:pPr>
      <w:r>
        <w:rPr>
          <w:sz w:val="24"/>
          <w:szCs w:val="24"/>
        </w:rPr>
        <w:t>Dalam tuntutannya, Jaksa Penuntut Umum mendakwa Terdakwa telah melanggar ketentuan hukum yang sangat tegas dan komprehensif, yaitu Pasal 532 juncto</w:t>
      </w:r>
      <w:r>
        <w:rPr>
          <w:sz w:val="24"/>
          <w:szCs w:val="24"/>
          <w:lang w:val="id-ID"/>
        </w:rPr>
        <w:t xml:space="preserve"> </w:t>
      </w:r>
      <w:r>
        <w:rPr>
          <w:sz w:val="24"/>
          <w:szCs w:val="24"/>
        </w:rPr>
        <w:t>Pasal 554 Undang-Undang Nomor 7 Tahun 2017 tentang Pemilihan Umum juncto Pasal 55 Ayat (1) Ke-1 Kitab Undang-Undang Hukum Pidana (KUHP).</w:t>
      </w:r>
      <w:r>
        <w:rPr>
          <w:sz w:val="24"/>
          <w:szCs w:val="24"/>
          <w:lang w:val="id-ID"/>
        </w:rPr>
        <w:t xml:space="preserve"> </w:t>
      </w:r>
    </w:p>
    <w:p w14:paraId="107085D0">
      <w:pPr>
        <w:spacing w:line="360" w:lineRule="auto"/>
        <w:ind w:left="284" w:firstLine="436"/>
        <w:jc w:val="both"/>
        <w:rPr>
          <w:sz w:val="24"/>
          <w:szCs w:val="24"/>
          <w:lang w:val="id-ID"/>
        </w:rPr>
      </w:pPr>
      <w:r>
        <w:rPr>
          <w:sz w:val="24"/>
          <w:szCs w:val="24"/>
        </w:rPr>
        <w:t>Berikut adalah penjabaran, analisis, dan uraian mendalam mengenai unsur-unsur dari masing-masing pasal tersebut:</w:t>
      </w:r>
      <w:r>
        <w:rPr>
          <w:sz w:val="24"/>
          <w:szCs w:val="24"/>
          <w:lang w:val="id-ID"/>
        </w:rPr>
        <w:t xml:space="preserve"> </w:t>
      </w:r>
    </w:p>
    <w:p w14:paraId="47CA44F1">
      <w:pPr>
        <w:pStyle w:val="38"/>
        <w:numPr>
          <w:ilvl w:val="6"/>
          <w:numId w:val="22"/>
        </w:numPr>
        <w:spacing w:line="360" w:lineRule="auto"/>
        <w:jc w:val="both"/>
        <w:rPr>
          <w:sz w:val="24"/>
          <w:szCs w:val="24"/>
        </w:rPr>
      </w:pPr>
      <w:r>
        <w:rPr>
          <w:sz w:val="24"/>
          <w:szCs w:val="24"/>
        </w:rPr>
        <w:t>Analisis Yuridis Pasal 532 Undang-Undang Nomor 7 Tahun 2017</w:t>
      </w:r>
    </w:p>
    <w:p w14:paraId="35C3BD39">
      <w:pPr>
        <w:pStyle w:val="38"/>
        <w:spacing w:line="360" w:lineRule="auto"/>
        <w:ind w:left="709"/>
        <w:jc w:val="both"/>
        <w:rPr>
          <w:sz w:val="24"/>
          <w:szCs w:val="24"/>
          <w:lang w:val="id-ID"/>
        </w:rPr>
      </w:pPr>
      <w:r>
        <w:rPr>
          <w:sz w:val="24"/>
          <w:szCs w:val="24"/>
        </w:rPr>
        <w:t>Bunyi Pasal:</w:t>
      </w:r>
    </w:p>
    <w:p w14:paraId="313F0E39">
      <w:pPr>
        <w:pStyle w:val="38"/>
        <w:spacing w:line="360" w:lineRule="auto"/>
        <w:ind w:left="426"/>
        <w:jc w:val="both"/>
        <w:rPr>
          <w:sz w:val="24"/>
          <w:szCs w:val="24"/>
          <w:lang w:val="id-ID"/>
        </w:rPr>
      </w:pPr>
      <w:r>
        <w:rPr>
          <w:sz w:val="24"/>
          <w:szCs w:val="24"/>
        </w:rPr>
        <w:t>"Setiap orang yang dengan sengaja melakukan perbuatan yang menyebabkan suara pemilih menjadi tidak bernilai atau menyebabkan peserta pemilu tertentu mendapat tambahan suara atau perolehan suara peserta pemilu menjadi berkurang di pidana dengan pidana penjara paling lama 4 (empat) tahun dan denda paling banyak Rp 48.000.000,00(empat puluh delapan juta rupiah)."</w:t>
      </w:r>
    </w:p>
    <w:p w14:paraId="5B11645E">
      <w:pPr>
        <w:pStyle w:val="38"/>
        <w:numPr>
          <w:ilvl w:val="4"/>
          <w:numId w:val="22"/>
        </w:numPr>
        <w:spacing w:line="360" w:lineRule="auto"/>
        <w:jc w:val="both"/>
        <w:rPr>
          <w:sz w:val="24"/>
          <w:szCs w:val="24"/>
        </w:rPr>
      </w:pPr>
      <w:r>
        <w:rPr>
          <w:sz w:val="24"/>
          <w:szCs w:val="24"/>
        </w:rPr>
        <w:t>Analisis Unsur:</w:t>
      </w:r>
    </w:p>
    <w:p w14:paraId="454444D0">
      <w:pPr>
        <w:pStyle w:val="38"/>
        <w:spacing w:line="360" w:lineRule="auto"/>
        <w:ind w:left="360"/>
        <w:jc w:val="both"/>
        <w:rPr>
          <w:sz w:val="24"/>
          <w:szCs w:val="24"/>
        </w:rPr>
      </w:pPr>
      <w:r>
        <w:rPr>
          <w:sz w:val="24"/>
          <w:szCs w:val="24"/>
        </w:rPr>
        <w:t xml:space="preserve">Unsur Subjek "Setiap Orang": Berbeda dengan Pasal 532 yang bersifat khusus, Pasal 554 ini bersifat umum (delict commune). Pasal ini berlaku bagi siapa saja, tanpa memandang status, jabatan, atau latar belakangnya, asalkan melakukan perbuatan yang dilarang dalam pasal tersebut. Meskipun dalam kasus ini pelakunya adalah pejabat, namun pasal ini tetap berlaku penuh dan mengikat. </w:t>
      </w:r>
    </w:p>
    <w:p w14:paraId="6710B128">
      <w:pPr>
        <w:pStyle w:val="38"/>
        <w:spacing w:line="360" w:lineRule="auto"/>
        <w:ind w:left="360"/>
        <w:jc w:val="both"/>
        <w:rPr>
          <w:sz w:val="24"/>
          <w:szCs w:val="24"/>
        </w:rPr>
      </w:pPr>
      <w:r>
        <w:rPr>
          <w:sz w:val="24"/>
          <w:szCs w:val="24"/>
        </w:rPr>
        <w:t>Unsur Perbuatan Materiil: Pasal ini merinci secara eksplisit bentuk-bentuk perbuatan yang dilarang, dan dalam kasus ini Terdakwa terbukti secara sah dan meyakinkan melakukan hampir seluruh variasi perbuatan tersebut, yaitu:</w:t>
      </w:r>
    </w:p>
    <w:p w14:paraId="06694452">
      <w:pPr>
        <w:pStyle w:val="38"/>
        <w:numPr>
          <w:ilvl w:val="1"/>
          <w:numId w:val="23"/>
        </w:numPr>
        <w:spacing w:line="360" w:lineRule="auto"/>
        <w:ind w:left="851" w:hanging="284"/>
        <w:jc w:val="both"/>
        <w:rPr>
          <w:sz w:val="24"/>
          <w:szCs w:val="24"/>
        </w:rPr>
      </w:pPr>
      <w:r>
        <w:rPr>
          <w:sz w:val="24"/>
          <w:szCs w:val="24"/>
        </w:rPr>
        <w:t>Mengubah: Secara aktif mengganti nilai data yang benar dan valid menjadi data yang salah dan tidak valid.</w:t>
      </w:r>
    </w:p>
    <w:p w14:paraId="0F6EA9C6">
      <w:pPr>
        <w:pStyle w:val="38"/>
        <w:numPr>
          <w:ilvl w:val="1"/>
          <w:numId w:val="23"/>
        </w:numPr>
        <w:spacing w:line="360" w:lineRule="auto"/>
        <w:ind w:left="851" w:hanging="284"/>
        <w:jc w:val="both"/>
        <w:rPr>
          <w:sz w:val="24"/>
          <w:szCs w:val="24"/>
        </w:rPr>
      </w:pPr>
      <w:r>
        <w:rPr>
          <w:sz w:val="24"/>
          <w:szCs w:val="24"/>
        </w:rPr>
        <w:t>Menambah: Melakukan rekayasa untuk menaikkan jumlah perolehan suara Partai Kebangkitan Bangsa secara artifisial dan tidak wajar.</w:t>
      </w:r>
    </w:p>
    <w:p w14:paraId="2373DC4F">
      <w:pPr>
        <w:pStyle w:val="38"/>
        <w:numPr>
          <w:ilvl w:val="1"/>
          <w:numId w:val="23"/>
        </w:numPr>
        <w:spacing w:line="360" w:lineRule="auto"/>
        <w:ind w:left="851" w:hanging="284"/>
        <w:jc w:val="both"/>
        <w:rPr>
          <w:sz w:val="24"/>
          <w:szCs w:val="24"/>
        </w:rPr>
      </w:pPr>
      <w:r>
        <w:rPr>
          <w:sz w:val="24"/>
          <w:szCs w:val="24"/>
        </w:rPr>
        <w:t>Mengurangi: Secara diam-diam mengurangi kuantitas suara yang seharusnya</w:t>
      </w:r>
      <w:r>
        <w:rPr>
          <w:sz w:val="24"/>
          <w:szCs w:val="24"/>
          <w:lang w:val="id-ID"/>
        </w:rPr>
        <w:t xml:space="preserve"> </w:t>
      </w:r>
      <w:r>
        <w:rPr>
          <w:sz w:val="24"/>
          <w:szCs w:val="24"/>
        </w:rPr>
        <w:t>menjadi hak mutlak dari Partai Buruh dan Partai Kebangkitan Nusantara.</w:t>
      </w:r>
    </w:p>
    <w:p w14:paraId="2ED79233">
      <w:pPr>
        <w:pStyle w:val="38"/>
        <w:numPr>
          <w:ilvl w:val="1"/>
          <w:numId w:val="23"/>
        </w:numPr>
        <w:spacing w:line="360" w:lineRule="auto"/>
        <w:ind w:left="851" w:hanging="284"/>
        <w:jc w:val="both"/>
        <w:rPr>
          <w:sz w:val="24"/>
          <w:szCs w:val="24"/>
        </w:rPr>
      </w:pPr>
      <w:r>
        <w:rPr>
          <w:sz w:val="24"/>
          <w:szCs w:val="24"/>
        </w:rPr>
        <w:t>Memalsukan: Membuat dan menampilkan data di dalam sistem aplikasi seolah-olah itu adalah kebenaran yang sah dan legal, padahal faktanya bertentangan dengan bukti fisik yang ada (C Plano). Ini adalah unsur pemalsuan yang sangat nyata.</w:t>
      </w:r>
    </w:p>
    <w:p w14:paraId="1F107DA7">
      <w:pPr>
        <w:pStyle w:val="38"/>
        <w:numPr>
          <w:ilvl w:val="4"/>
          <w:numId w:val="22"/>
        </w:numPr>
        <w:spacing w:line="360" w:lineRule="auto"/>
        <w:jc w:val="both"/>
        <w:rPr>
          <w:sz w:val="24"/>
          <w:szCs w:val="24"/>
        </w:rPr>
      </w:pPr>
      <w:r>
        <w:rPr>
          <w:sz w:val="24"/>
          <w:szCs w:val="24"/>
        </w:rPr>
        <w:t>Unsur Objek Tindak Pidana:</w:t>
      </w:r>
    </w:p>
    <w:p w14:paraId="56B14250">
      <w:pPr>
        <w:pStyle w:val="38"/>
        <w:spacing w:line="360" w:lineRule="auto"/>
        <w:ind w:left="567"/>
        <w:jc w:val="both"/>
        <w:rPr>
          <w:sz w:val="24"/>
          <w:szCs w:val="24"/>
        </w:rPr>
      </w:pPr>
      <w:r>
        <w:rPr>
          <w:sz w:val="24"/>
          <w:szCs w:val="24"/>
        </w:rPr>
        <w:t xml:space="preserve">Objek yang disasar dan dirusak dalam pasal ini adalah "Hasil Penghitungan Suara". Secara hukum dan konstitusi, objek ini memiliki nilai yang sangat tinggi dan sensitif karena merupakan wujud nyata dari kedaulatan rakyat. Suara rakyat adalah cerminan kehendak Tuhan Yang Maha Esa yang harus dijaga kesuciannya. Merusak atau memalsukan data ini sama artinya dengan mencuri hak konstitusional orang lain, merampas kemenangan yang sah, dan mendustakan rakyat. Oleh karena dampak kerusakannya sangat besar terhadap sendi-sendi demokrasi, maka undang-undang memberikan ancaman hukuman yang sangat berat, yaitu penjara paling lama 4 (empat) tahun dan denda paling banyak Rp48.000.000,00. </w:t>
      </w:r>
    </w:p>
    <w:p w14:paraId="6949DE50">
      <w:pPr>
        <w:pStyle w:val="38"/>
        <w:spacing w:line="360" w:lineRule="auto"/>
        <w:ind w:left="567"/>
        <w:jc w:val="both"/>
        <w:rPr>
          <w:sz w:val="24"/>
          <w:szCs w:val="24"/>
        </w:rPr>
      </w:pPr>
    </w:p>
    <w:p w14:paraId="51E28871">
      <w:pPr>
        <w:pStyle w:val="38"/>
        <w:spacing w:line="360" w:lineRule="auto"/>
        <w:ind w:left="567"/>
        <w:jc w:val="both"/>
        <w:rPr>
          <w:sz w:val="24"/>
          <w:szCs w:val="24"/>
          <w:lang w:val="id-ID"/>
        </w:rPr>
      </w:pPr>
    </w:p>
    <w:p w14:paraId="7A9927AC">
      <w:pPr>
        <w:pStyle w:val="38"/>
        <w:numPr>
          <w:ilvl w:val="3"/>
          <w:numId w:val="21"/>
        </w:numPr>
        <w:spacing w:line="360" w:lineRule="auto"/>
        <w:jc w:val="both"/>
        <w:rPr>
          <w:sz w:val="24"/>
          <w:szCs w:val="24"/>
        </w:rPr>
      </w:pPr>
      <w:r>
        <w:rPr>
          <w:sz w:val="24"/>
          <w:szCs w:val="24"/>
        </w:rPr>
        <w:t>Analisis Yuridis Pasal 554 Undang-Undang Nomor 7 Tahun 2017</w:t>
      </w:r>
    </w:p>
    <w:p w14:paraId="6093DC68">
      <w:pPr>
        <w:pStyle w:val="38"/>
        <w:numPr>
          <w:ilvl w:val="6"/>
          <w:numId w:val="21"/>
        </w:numPr>
        <w:spacing w:line="360" w:lineRule="auto"/>
        <w:ind w:left="567"/>
        <w:jc w:val="both"/>
        <w:rPr>
          <w:sz w:val="24"/>
          <w:szCs w:val="24"/>
        </w:rPr>
      </w:pPr>
      <w:r>
        <w:rPr>
          <w:sz w:val="24"/>
          <w:szCs w:val="24"/>
        </w:rPr>
        <w:t>Bunyi Pasal:</w:t>
      </w:r>
    </w:p>
    <w:p w14:paraId="237B636A">
      <w:pPr>
        <w:pStyle w:val="38"/>
        <w:spacing w:line="360" w:lineRule="auto"/>
        <w:ind w:left="567"/>
        <w:jc w:val="both"/>
        <w:rPr>
          <w:sz w:val="24"/>
          <w:szCs w:val="24"/>
        </w:rPr>
      </w:pPr>
      <w:r>
        <w:rPr>
          <w:sz w:val="24"/>
          <w:szCs w:val="24"/>
        </w:rPr>
        <w:t>"Dalam hal penyelenggara Pemilu melakukan tindak pidana pemilu sebagaimana dimaksud  dalam Pasal 488 sampai dengan Pasal 533, pidana yang di jatuhkan ditambah 1/3 (sepertiga) dari ancaman pidana yang ditetapkan dalam pasal pasal tersebut."</w:t>
      </w:r>
    </w:p>
    <w:p w14:paraId="4FA1A6FC">
      <w:pPr>
        <w:pStyle w:val="38"/>
        <w:numPr>
          <w:ilvl w:val="6"/>
          <w:numId w:val="21"/>
        </w:numPr>
        <w:spacing w:line="360" w:lineRule="auto"/>
        <w:ind w:left="567"/>
        <w:jc w:val="both"/>
        <w:rPr>
          <w:sz w:val="24"/>
          <w:szCs w:val="24"/>
        </w:rPr>
      </w:pPr>
      <w:r>
        <w:rPr>
          <w:sz w:val="24"/>
          <w:szCs w:val="24"/>
        </w:rPr>
        <w:t>Penjabaran Dan Analisis Unsur:</w:t>
      </w:r>
    </w:p>
    <w:p w14:paraId="078FE459">
      <w:pPr>
        <w:pStyle w:val="38"/>
        <w:numPr>
          <w:ilvl w:val="6"/>
          <w:numId w:val="23"/>
        </w:numPr>
        <w:spacing w:line="360" w:lineRule="auto"/>
        <w:jc w:val="both"/>
        <w:rPr>
          <w:sz w:val="24"/>
          <w:szCs w:val="24"/>
        </w:rPr>
      </w:pPr>
      <w:r>
        <w:rPr>
          <w:sz w:val="24"/>
          <w:szCs w:val="24"/>
        </w:rPr>
        <w:t>Unsur Subjek Tindak Pidana:</w:t>
      </w:r>
    </w:p>
    <w:p w14:paraId="3637D2CB">
      <w:pPr>
        <w:spacing w:line="360" w:lineRule="auto"/>
        <w:ind w:left="567"/>
        <w:jc w:val="both"/>
        <w:rPr>
          <w:sz w:val="24"/>
          <w:szCs w:val="24"/>
        </w:rPr>
      </w:pPr>
      <w:r>
        <w:rPr>
          <w:sz w:val="24"/>
          <w:szCs w:val="24"/>
        </w:rPr>
        <w:t>Pasal ini dikategorikan sebagai delict speciale atau delik khusus, di mana subjek atau pelakunya ditentukan secara khusus hanya mereka yang berstatus sebagai penyelenggara pemilu.Dan apabila melakukan tindak pidana, hukumannya akan</w:t>
      </w:r>
      <w:r>
        <w:rPr>
          <w:sz w:val="24"/>
          <w:szCs w:val="24"/>
          <w:lang w:val="id-ID"/>
        </w:rPr>
        <w:t xml:space="preserve"> </w:t>
      </w:r>
      <w:r>
        <w:rPr>
          <w:sz w:val="24"/>
          <w:szCs w:val="24"/>
        </w:rPr>
        <w:t>ditambahkan 1/3 (sepertiga) dari ancaman pidana yang ditetapkan. Dalam kasus ini,</w:t>
      </w:r>
      <w:r>
        <w:rPr>
          <w:sz w:val="24"/>
          <w:szCs w:val="24"/>
          <w:lang w:val="id-ID"/>
        </w:rPr>
        <w:t xml:space="preserve"> </w:t>
      </w:r>
      <w:r>
        <w:rPr>
          <w:sz w:val="24"/>
          <w:szCs w:val="24"/>
        </w:rPr>
        <w:t>Terdakwa ASBH terang benderang berstatus sebagai Anggota Panitia Pemilihan Kecamatan (PPK) Medan Timur yang diangkat secara sah.</w:t>
      </w:r>
      <w:r>
        <w:rPr>
          <w:sz w:val="24"/>
          <w:szCs w:val="24"/>
          <w:lang w:val="id-ID"/>
        </w:rPr>
        <w:t xml:space="preserve"> </w:t>
      </w:r>
      <w:r>
        <w:rPr>
          <w:sz w:val="24"/>
          <w:szCs w:val="24"/>
        </w:rPr>
        <w:t>Oleh karena itu, kualifikasi subjek pidana telah terpenuhi sempurna dan tidak dapat</w:t>
      </w:r>
      <w:r>
        <w:rPr>
          <w:sz w:val="24"/>
          <w:szCs w:val="24"/>
          <w:lang w:val="id-ID"/>
        </w:rPr>
        <w:t xml:space="preserve"> </w:t>
      </w:r>
      <w:r>
        <w:rPr>
          <w:sz w:val="24"/>
          <w:szCs w:val="24"/>
        </w:rPr>
        <w:t>diganggu gugat.</w:t>
      </w:r>
    </w:p>
    <w:p w14:paraId="169E92E3">
      <w:pPr>
        <w:pStyle w:val="38"/>
        <w:numPr>
          <w:ilvl w:val="6"/>
          <w:numId w:val="23"/>
        </w:numPr>
        <w:spacing w:line="360" w:lineRule="auto"/>
        <w:jc w:val="both"/>
        <w:rPr>
          <w:sz w:val="24"/>
          <w:szCs w:val="24"/>
        </w:rPr>
      </w:pPr>
      <w:r>
        <w:rPr>
          <w:sz w:val="24"/>
          <w:szCs w:val="24"/>
        </w:rPr>
        <w:t>Unsur Kesengajaan (Opzet):</w:t>
      </w:r>
    </w:p>
    <w:p w14:paraId="5C75B979">
      <w:pPr>
        <w:spacing w:line="360" w:lineRule="auto"/>
        <w:ind w:left="567"/>
        <w:jc w:val="both"/>
        <w:rPr>
          <w:sz w:val="24"/>
          <w:szCs w:val="24"/>
          <w:lang w:val="id-ID"/>
        </w:rPr>
      </w:pPr>
      <w:r>
        <w:rPr>
          <w:sz w:val="24"/>
          <w:szCs w:val="24"/>
        </w:rPr>
        <w:t>Unsur ini merupakan animus delicti atau jiwa dari delik ini.</w:t>
      </w:r>
      <w:r>
        <w:rPr>
          <w:sz w:val="24"/>
          <w:szCs w:val="24"/>
          <w:lang w:val="id-ID"/>
        </w:rPr>
        <w:t xml:space="preserve"> </w:t>
      </w:r>
      <w:r>
        <w:rPr>
          <w:sz w:val="24"/>
          <w:szCs w:val="24"/>
        </w:rPr>
        <w:t>Kesengajaan dalam hukum pidana diartikan sebagai kehendak sadar</w:t>
      </w:r>
      <w:r>
        <w:rPr>
          <w:sz w:val="24"/>
          <w:szCs w:val="24"/>
          <w:lang w:val="id-ID"/>
        </w:rPr>
        <w:t xml:space="preserve"> </w:t>
      </w:r>
      <w:r>
        <w:rPr>
          <w:sz w:val="24"/>
          <w:szCs w:val="24"/>
        </w:rPr>
        <w:t>untuk melakukan sesuatu dan mengetahui akibat dari perbuatannya.</w:t>
      </w:r>
    </w:p>
    <w:p w14:paraId="2B593AD7">
      <w:pPr>
        <w:spacing w:line="360" w:lineRule="auto"/>
        <w:ind w:left="567" w:firstLine="153"/>
        <w:jc w:val="both"/>
        <w:rPr>
          <w:sz w:val="24"/>
          <w:szCs w:val="24"/>
          <w:lang w:val="id-ID"/>
        </w:rPr>
      </w:pPr>
      <w:r>
        <w:rPr>
          <w:sz w:val="24"/>
          <w:szCs w:val="24"/>
        </w:rPr>
        <w:t>Dalam kasus ini, unsur niat terbukti sangat kuat. Terdakwa bukanlah orang awam yang tidak mengerti hukum, melainkan pejabat negara yang telah mengikuti pembekalan, pelatihan, dan memahami betul teknis serta aturan main pemilu. Tindakan yang dilakukan mulai dari meminta kode akses, login ke sistem, hingga mengklik tombol untuk mengubah angka-angka tersebut adalah perbuatan yang dilakukan berdasarkan kemauan bebas dan sadar sepenuhnya bahwa apa yang dilakukannya adalah salah serta bertentangan dengan aturan.</w:t>
      </w:r>
    </w:p>
    <w:p w14:paraId="19330274">
      <w:pPr>
        <w:pStyle w:val="38"/>
        <w:numPr>
          <w:ilvl w:val="3"/>
          <w:numId w:val="23"/>
        </w:numPr>
        <w:spacing w:line="360" w:lineRule="auto"/>
        <w:jc w:val="both"/>
        <w:rPr>
          <w:sz w:val="24"/>
          <w:szCs w:val="24"/>
          <w:lang w:val="id-ID"/>
        </w:rPr>
      </w:pPr>
      <w:r>
        <w:rPr>
          <w:sz w:val="24"/>
          <w:szCs w:val="24"/>
        </w:rPr>
        <w:t>Unsur "Tidak Melaksanakan Tugas dan Wewenang":</w:t>
      </w:r>
    </w:p>
    <w:p w14:paraId="54F1E665">
      <w:pPr>
        <w:spacing w:line="360" w:lineRule="auto"/>
        <w:ind w:left="567"/>
        <w:jc w:val="both"/>
        <w:rPr>
          <w:sz w:val="24"/>
          <w:szCs w:val="24"/>
          <w:lang w:val="id-ID"/>
        </w:rPr>
      </w:pPr>
      <w:r>
        <w:rPr>
          <w:sz w:val="24"/>
          <w:szCs w:val="24"/>
        </w:rPr>
        <w:t>Secara gramatikal dan yuridis, frasa "tidak melaksanakan tugas" tidak selalu diartikan sebagai diam atau tidak bekerja sama sekali. Justru dalam praktik yurisprudensi, unsur ini terbukti apabila seseorang melakukan tugasnya tetapi dengan cara yang melenceng, menyimpang, dan bertentangan dengan tujuan serta batasan wewenang yang diberikan oleh undang-undang.</w:t>
      </w:r>
    </w:p>
    <w:p w14:paraId="5F208AC1">
      <w:pPr>
        <w:spacing w:line="360" w:lineRule="auto"/>
        <w:ind w:left="567" w:firstLine="437"/>
        <w:jc w:val="both"/>
        <w:rPr>
          <w:sz w:val="24"/>
          <w:szCs w:val="24"/>
        </w:rPr>
      </w:pPr>
      <w:r>
        <w:rPr>
          <w:sz w:val="24"/>
          <w:szCs w:val="24"/>
        </w:rPr>
        <w:t>Terdakwa memiliki kewajiban mulia (</w:t>
      </w:r>
      <w:r>
        <w:rPr>
          <w:i/>
          <w:sz w:val="24"/>
          <w:szCs w:val="24"/>
        </w:rPr>
        <w:t>positief gebod</w:t>
      </w:r>
      <w:r>
        <w:rPr>
          <w:sz w:val="24"/>
          <w:szCs w:val="24"/>
        </w:rPr>
        <w:t>) untuk menjaga kebenaran data, menjaga integritas suara, dan memastikan apa yang masuk ke sistem adalah sama dengan data asli. Namun, Terdakwa justru melakukan sebaliknya. Ia menggunakan wewenang dan akses yang dimilikinya untuk merusak data demokrasi. Ini adalah bentuk pelanggaran sumpah jabatan dan pengkhianatan terhadap amanah negara yang sangat berat.</w:t>
      </w:r>
    </w:p>
    <w:p w14:paraId="7E77F4B0">
      <w:pPr>
        <w:pStyle w:val="38"/>
        <w:spacing w:line="360" w:lineRule="auto"/>
        <w:ind w:left="851"/>
        <w:jc w:val="both"/>
        <w:rPr>
          <w:sz w:val="24"/>
          <w:szCs w:val="24"/>
          <w:lang w:val="id-ID"/>
        </w:rPr>
      </w:pPr>
    </w:p>
    <w:p w14:paraId="5AF2F753">
      <w:pPr>
        <w:pStyle w:val="38"/>
        <w:numPr>
          <w:ilvl w:val="3"/>
          <w:numId w:val="21"/>
        </w:numPr>
        <w:spacing w:line="360" w:lineRule="auto"/>
        <w:jc w:val="both"/>
        <w:rPr>
          <w:sz w:val="24"/>
          <w:szCs w:val="24"/>
        </w:rPr>
      </w:pPr>
      <w:r>
        <w:rPr>
          <w:sz w:val="24"/>
          <w:szCs w:val="24"/>
        </w:rPr>
        <w:t>Analisis Yuridis Pasal 55 Ayat (1) Ke-1 Kitab Undang-Undang Hukum Pidana (KUHP)</w:t>
      </w:r>
    </w:p>
    <w:p w14:paraId="360720DE">
      <w:pPr>
        <w:spacing w:line="360" w:lineRule="auto"/>
        <w:ind w:left="284" w:firstLine="76"/>
        <w:jc w:val="both"/>
        <w:rPr>
          <w:sz w:val="24"/>
          <w:szCs w:val="24"/>
          <w:lang w:val="id-ID"/>
        </w:rPr>
      </w:pPr>
      <w:r>
        <w:rPr>
          <w:sz w:val="24"/>
          <w:szCs w:val="24"/>
        </w:rPr>
        <w:t>Bunyi Pasal:</w:t>
      </w:r>
    </w:p>
    <w:p w14:paraId="4A84A5D6">
      <w:pPr>
        <w:spacing w:line="360" w:lineRule="auto"/>
        <w:ind w:left="284" w:firstLine="76"/>
        <w:jc w:val="both"/>
        <w:rPr>
          <w:sz w:val="24"/>
          <w:szCs w:val="24"/>
        </w:rPr>
      </w:pPr>
      <w:r>
        <w:rPr>
          <w:sz w:val="24"/>
          <w:szCs w:val="24"/>
        </w:rPr>
        <w:t>"(1) Dipidana sebagai pelaku tindak pidana:</w:t>
      </w:r>
    </w:p>
    <w:p w14:paraId="5DDADDA1">
      <w:pPr>
        <w:spacing w:line="360" w:lineRule="auto"/>
        <w:ind w:left="284"/>
        <w:jc w:val="both"/>
        <w:rPr>
          <w:sz w:val="24"/>
          <w:szCs w:val="24"/>
        </w:rPr>
      </w:pPr>
      <w:r>
        <w:rPr>
          <w:sz w:val="24"/>
          <w:szCs w:val="24"/>
        </w:rPr>
        <w:t>1°. mereka yang melakukan, yang menyuruh melakukan, dan yang turut serta</w:t>
      </w:r>
      <w:r>
        <w:rPr>
          <w:sz w:val="24"/>
          <w:szCs w:val="24"/>
          <w:lang w:val="id-ID"/>
        </w:rPr>
        <w:t xml:space="preserve"> </w:t>
      </w:r>
      <w:r>
        <w:rPr>
          <w:sz w:val="24"/>
          <w:szCs w:val="24"/>
        </w:rPr>
        <w:t>melakukan perbuatan;". Analisis Unsur Secara Komprehensif:</w:t>
      </w:r>
    </w:p>
    <w:p w14:paraId="30754FFE">
      <w:pPr>
        <w:pStyle w:val="38"/>
        <w:numPr>
          <w:ilvl w:val="4"/>
          <w:numId w:val="21"/>
        </w:numPr>
        <w:spacing w:line="360" w:lineRule="auto"/>
        <w:ind w:left="567" w:hanging="284"/>
        <w:jc w:val="both"/>
        <w:rPr>
          <w:sz w:val="24"/>
          <w:szCs w:val="24"/>
        </w:rPr>
      </w:pPr>
      <w:r>
        <w:rPr>
          <w:sz w:val="24"/>
          <w:szCs w:val="24"/>
        </w:rPr>
        <w:t>Landasan Filosofis dan Yuridis Pasal 55 KUHP:</w:t>
      </w:r>
    </w:p>
    <w:p w14:paraId="1F8A8955">
      <w:pPr>
        <w:pStyle w:val="38"/>
        <w:spacing w:line="360" w:lineRule="auto"/>
        <w:ind w:left="567"/>
        <w:jc w:val="both"/>
        <w:rPr>
          <w:sz w:val="24"/>
          <w:szCs w:val="24"/>
        </w:rPr>
      </w:pPr>
      <w:r>
        <w:rPr>
          <w:sz w:val="24"/>
          <w:szCs w:val="24"/>
        </w:rPr>
        <w:t>Pasal ini lahir dari pemahaman hukum bahwa kejahatan seringkali tidak dilakukan oleh satu orang saja, melainkan dilakukan secara bersama-sama dengan pembagian tugas yang spesifik. Hukum tidak boleh membiarkan pelaku kejahatan berdalih dengan alasan "saya hanya menyuruh" atau "saya hanya membantu", karena sesungguhnya tanpa bantuan dan peran masing-masing, maka kejahatan tersebut tidak akan bisa terlaksana dengan sempurna.</w:t>
      </w:r>
    </w:p>
    <w:p w14:paraId="20C3555A">
      <w:pPr>
        <w:pStyle w:val="38"/>
        <w:numPr>
          <w:ilvl w:val="1"/>
          <w:numId w:val="24"/>
        </w:numPr>
        <w:spacing w:line="360" w:lineRule="auto"/>
        <w:ind w:left="567" w:hanging="284"/>
        <w:jc w:val="both"/>
        <w:rPr>
          <w:sz w:val="24"/>
          <w:szCs w:val="24"/>
        </w:rPr>
      </w:pPr>
      <w:r>
        <w:rPr>
          <w:sz w:val="24"/>
          <w:szCs w:val="24"/>
        </w:rPr>
        <w:t>Pembagian Peran dan Bentuk Partisipasi:</w:t>
      </w:r>
    </w:p>
    <w:p w14:paraId="00AE1E83">
      <w:pPr>
        <w:pStyle w:val="38"/>
        <w:spacing w:line="360" w:lineRule="auto"/>
        <w:ind w:left="567"/>
        <w:jc w:val="both"/>
        <w:rPr>
          <w:sz w:val="24"/>
          <w:szCs w:val="24"/>
        </w:rPr>
      </w:pPr>
      <w:r>
        <w:rPr>
          <w:sz w:val="24"/>
          <w:szCs w:val="24"/>
        </w:rPr>
        <w:t>Dalam perkara ini, keterlibatan ketiga orang tersebut sangat jelas dan terstruktur, yang dapat diklasifikasikan sebagai berikut:- MRR (Sebagai Opdrachtgever/Yang Menyuruh):</w:t>
      </w:r>
    </w:p>
    <w:p w14:paraId="32D53FA3">
      <w:pPr>
        <w:pStyle w:val="38"/>
        <w:spacing w:line="360" w:lineRule="auto"/>
        <w:ind w:left="567"/>
        <w:jc w:val="both"/>
        <w:rPr>
          <w:sz w:val="24"/>
          <w:szCs w:val="24"/>
        </w:rPr>
      </w:pPr>
      <w:r>
        <w:rPr>
          <w:sz w:val="24"/>
          <w:szCs w:val="24"/>
        </w:rPr>
        <w:t>Sebagai Ketua, ia memiliki posisi hierarki tertinggi. Perintah yang keluar dari mulutnya memiliki kekuatan instruksi yang dijalankan oleh bawahan atau rekannya. Ia yang menginisiasi ide, memberikan kode OTP, dan mengarahkan jalannya kejahatan. Secara hukum, posisinya sama berat dengan yang tanganannya melakukan.</w:t>
      </w:r>
    </w:p>
    <w:p w14:paraId="39F724F6">
      <w:pPr>
        <w:pStyle w:val="38"/>
        <w:numPr>
          <w:ilvl w:val="1"/>
          <w:numId w:val="24"/>
        </w:numPr>
        <w:spacing w:line="360" w:lineRule="auto"/>
        <w:ind w:left="567" w:hanging="284"/>
        <w:jc w:val="both"/>
        <w:rPr>
          <w:sz w:val="24"/>
          <w:szCs w:val="24"/>
        </w:rPr>
      </w:pPr>
      <w:r>
        <w:rPr>
          <w:sz w:val="24"/>
          <w:szCs w:val="24"/>
        </w:rPr>
        <w:t>JM (Sebagai Medeplieger / Turut Serta):</w:t>
      </w:r>
    </w:p>
    <w:p w14:paraId="5951C10D">
      <w:pPr>
        <w:pStyle w:val="38"/>
        <w:spacing w:line="360" w:lineRule="auto"/>
        <w:ind w:left="567"/>
        <w:jc w:val="both"/>
        <w:rPr>
          <w:sz w:val="24"/>
          <w:szCs w:val="24"/>
        </w:rPr>
      </w:pPr>
      <w:r>
        <w:rPr>
          <w:sz w:val="24"/>
          <w:szCs w:val="24"/>
        </w:rPr>
        <w:t>Ia berperan sebagai penghubung atau fasilitator. Dengan meneruskan password dan memfasilitasi akses, ia secara sadar telah mendukung terwujudnya kejahatan tersebut. Tanpa perantaraannya, maka Terdakwa ASBH tidak akan bisa masuk ke sistem.</w:t>
      </w:r>
    </w:p>
    <w:p w14:paraId="3068036A">
      <w:pPr>
        <w:pStyle w:val="38"/>
        <w:numPr>
          <w:ilvl w:val="1"/>
          <w:numId w:val="25"/>
        </w:numPr>
        <w:spacing w:line="360" w:lineRule="auto"/>
        <w:ind w:left="567" w:hanging="284"/>
        <w:jc w:val="both"/>
        <w:rPr>
          <w:sz w:val="24"/>
          <w:szCs w:val="24"/>
        </w:rPr>
      </w:pPr>
      <w:r>
        <w:rPr>
          <w:sz w:val="24"/>
          <w:szCs w:val="24"/>
        </w:rPr>
        <w:t>ASBH (Sebagai Dader / Pelaku Langsung):</w:t>
      </w:r>
    </w:p>
    <w:p w14:paraId="2157BE5E">
      <w:pPr>
        <w:pStyle w:val="38"/>
        <w:spacing w:line="360" w:lineRule="auto"/>
        <w:ind w:left="567"/>
        <w:jc w:val="both"/>
        <w:rPr>
          <w:sz w:val="24"/>
          <w:szCs w:val="24"/>
        </w:rPr>
      </w:pPr>
      <w:r>
        <w:rPr>
          <w:sz w:val="24"/>
          <w:szCs w:val="24"/>
        </w:rPr>
        <w:t>Ia adalah tangan yang secara fisik dan teknis melakukan perintah tersebut. Ia yang menekan tombol, mengubah angka, dan memasukkan data palsu ke dalam server.</w:t>
      </w:r>
    </w:p>
    <w:p w14:paraId="3E2EF337">
      <w:pPr>
        <w:pStyle w:val="38"/>
        <w:numPr>
          <w:ilvl w:val="1"/>
          <w:numId w:val="25"/>
        </w:numPr>
        <w:spacing w:line="360" w:lineRule="auto"/>
        <w:ind w:left="567" w:hanging="284"/>
        <w:jc w:val="both"/>
        <w:rPr>
          <w:sz w:val="24"/>
          <w:szCs w:val="24"/>
        </w:rPr>
      </w:pPr>
      <w:r>
        <w:rPr>
          <w:sz w:val="24"/>
          <w:szCs w:val="24"/>
        </w:rPr>
        <w:t>Konsep Medeplieger (Turut Serta Melakukan):</w:t>
      </w:r>
    </w:p>
    <w:p w14:paraId="2A35615E">
      <w:pPr>
        <w:pStyle w:val="38"/>
        <w:spacing w:line="360" w:lineRule="auto"/>
        <w:ind w:left="567"/>
        <w:jc w:val="both"/>
        <w:rPr>
          <w:sz w:val="24"/>
          <w:szCs w:val="24"/>
        </w:rPr>
      </w:pPr>
      <w:r>
        <w:rPr>
          <w:sz w:val="24"/>
          <w:szCs w:val="24"/>
        </w:rPr>
        <w:t>Karena perbuatan tersebut dilakukan secara bersama-sama, saling mengisi, dan saling mendukung dalam satu kesatuan rencana kriminal, maka hukum mengkualifikasikan mereka bertiga sebagai "Turut Serta Melakukan".</w:t>
      </w:r>
    </w:p>
    <w:p w14:paraId="5CE52B90">
      <w:pPr>
        <w:pStyle w:val="38"/>
        <w:spacing w:line="360" w:lineRule="auto"/>
        <w:ind w:left="567"/>
        <w:jc w:val="both"/>
        <w:rPr>
          <w:sz w:val="24"/>
          <w:szCs w:val="24"/>
          <w:lang w:val="id-ID"/>
        </w:rPr>
      </w:pPr>
    </w:p>
    <w:p w14:paraId="5EC51A0A">
      <w:pPr>
        <w:pStyle w:val="38"/>
        <w:numPr>
          <w:ilvl w:val="1"/>
          <w:numId w:val="25"/>
        </w:numPr>
        <w:spacing w:line="360" w:lineRule="auto"/>
        <w:ind w:left="567" w:hanging="284"/>
        <w:jc w:val="both"/>
        <w:rPr>
          <w:sz w:val="24"/>
          <w:szCs w:val="24"/>
          <w:lang w:val="id-ID"/>
        </w:rPr>
      </w:pPr>
      <w:r>
        <w:rPr>
          <w:sz w:val="24"/>
          <w:szCs w:val="24"/>
        </w:rPr>
        <w:t>Akibat Hukum dan Konsekuensi:</w:t>
      </w:r>
    </w:p>
    <w:p w14:paraId="4A84CC98">
      <w:pPr>
        <w:pStyle w:val="38"/>
        <w:spacing w:line="360" w:lineRule="auto"/>
        <w:ind w:left="567"/>
        <w:jc w:val="both"/>
        <w:rPr>
          <w:sz w:val="24"/>
          <w:szCs w:val="24"/>
          <w:lang w:val="id-ID"/>
        </w:rPr>
      </w:pPr>
      <w:r>
        <w:rPr>
          <w:sz w:val="24"/>
          <w:szCs w:val="24"/>
        </w:rPr>
        <w:t>Dampak hukum dari penerapan Pasal 55 KUHP ini sangat dahsyat, yaitu:</w:t>
      </w:r>
    </w:p>
    <w:p w14:paraId="63A9D0B0">
      <w:pPr>
        <w:pStyle w:val="38"/>
        <w:numPr>
          <w:ilvl w:val="0"/>
          <w:numId w:val="26"/>
        </w:numPr>
        <w:spacing w:line="360" w:lineRule="auto"/>
        <w:ind w:left="851" w:hanging="284"/>
        <w:jc w:val="both"/>
        <w:rPr>
          <w:sz w:val="24"/>
          <w:szCs w:val="24"/>
          <w:lang w:val="id-ID"/>
        </w:rPr>
      </w:pPr>
      <w:r>
        <w:rPr>
          <w:sz w:val="24"/>
          <w:szCs w:val="24"/>
        </w:rPr>
        <w:t>Status Sama:</w:t>
      </w:r>
      <w:r>
        <w:rPr>
          <w:sz w:val="24"/>
          <w:szCs w:val="24"/>
          <w:lang w:val="id-ID"/>
        </w:rPr>
        <w:t xml:space="preserve"> </w:t>
      </w:r>
      <w:r>
        <w:rPr>
          <w:sz w:val="24"/>
          <w:szCs w:val="24"/>
        </w:rPr>
        <w:t>Semua pihak yang terlibat dianggap sebagai Pelaku Utama (Dader),</w:t>
      </w:r>
      <w:r>
        <w:rPr>
          <w:sz w:val="24"/>
          <w:szCs w:val="24"/>
          <w:lang w:val="id-ID"/>
        </w:rPr>
        <w:t xml:space="preserve"> </w:t>
      </w:r>
      <w:r>
        <w:rPr>
          <w:sz w:val="24"/>
          <w:szCs w:val="24"/>
        </w:rPr>
        <w:t>tidak</w:t>
      </w:r>
      <w:r>
        <w:rPr>
          <w:sz w:val="24"/>
          <w:szCs w:val="24"/>
          <w:lang w:val="id-ID"/>
        </w:rPr>
        <w:t xml:space="preserve"> </w:t>
      </w:r>
      <w:r>
        <w:rPr>
          <w:sz w:val="24"/>
          <w:szCs w:val="24"/>
        </w:rPr>
        <w:t>ada yang disebut pembantu.</w:t>
      </w:r>
    </w:p>
    <w:p w14:paraId="04B7D83E">
      <w:pPr>
        <w:pStyle w:val="38"/>
        <w:numPr>
          <w:ilvl w:val="0"/>
          <w:numId w:val="26"/>
        </w:numPr>
        <w:spacing w:line="360" w:lineRule="auto"/>
        <w:ind w:left="851" w:hanging="284"/>
        <w:jc w:val="both"/>
        <w:rPr>
          <w:sz w:val="24"/>
          <w:szCs w:val="24"/>
          <w:lang w:val="id-ID"/>
        </w:rPr>
      </w:pPr>
      <w:r>
        <w:rPr>
          <w:sz w:val="24"/>
          <w:szCs w:val="24"/>
        </w:rPr>
        <w:t>Hukuman Sama: Pidana yang dijatuhkan adalah sama berat untuk masing-masing orang, seolah-olah orang tersebutlah yang melakukan seluruh kejahatan itu sendirian.</w:t>
      </w:r>
    </w:p>
    <w:p w14:paraId="1BEF7002">
      <w:pPr>
        <w:pStyle w:val="38"/>
        <w:numPr>
          <w:ilvl w:val="0"/>
          <w:numId w:val="26"/>
        </w:numPr>
        <w:spacing w:line="360" w:lineRule="auto"/>
        <w:ind w:left="851" w:hanging="284"/>
        <w:jc w:val="both"/>
        <w:rPr>
          <w:sz w:val="24"/>
          <w:szCs w:val="24"/>
          <w:lang w:val="id-ID"/>
        </w:rPr>
      </w:pPr>
      <w:r>
        <w:rPr>
          <w:sz w:val="24"/>
          <w:szCs w:val="24"/>
        </w:rPr>
        <w:t>Tidak Tergantung Splitsing: Meskipun perkaranya dipisah (</w:t>
      </w:r>
      <w:r>
        <w:rPr>
          <w:i/>
          <w:sz w:val="24"/>
          <w:szCs w:val="24"/>
        </w:rPr>
        <w:t>splitsing</w:t>
      </w:r>
      <w:r>
        <w:rPr>
          <w:sz w:val="24"/>
          <w:szCs w:val="24"/>
        </w:rPr>
        <w:t>) karena alasan teknis administrasi peradilan, namun kualitas dan kuantitas tanggung jawab pidananya tidak berkurang sedikitpun. Inilah alasan hukum yang kuat mengapa vonis untuk ketiganya nanti akan setimpal meskipun disidangkan dalam waktu dan berkas yang berbeda.</w:t>
      </w:r>
    </w:p>
    <w:p w14:paraId="4BA8BA04">
      <w:pPr>
        <w:pStyle w:val="3"/>
        <w:spacing w:before="0" w:after="0" w:line="360" w:lineRule="auto"/>
        <w:jc w:val="both"/>
        <w:rPr>
          <w:rFonts w:ascii="Times New Roman" w:hAnsi="Times New Roman" w:cs="Times New Roman"/>
          <w:b/>
          <w:color w:val="auto"/>
          <w:sz w:val="24"/>
          <w:szCs w:val="24"/>
        </w:rPr>
      </w:pPr>
      <w:bookmarkStart w:id="39" w:name="_Toc230017871"/>
    </w:p>
    <w:p w14:paraId="22F51B9F">
      <w:pPr>
        <w:pStyle w:val="3"/>
        <w:numPr>
          <w:ilvl w:val="3"/>
          <w:numId w:val="21"/>
        </w:numPr>
        <w:spacing w:before="0" w:after="0" w:line="360" w:lineRule="auto"/>
        <w:jc w:val="both"/>
        <w:rPr>
          <w:rFonts w:ascii="Times New Roman" w:hAnsi="Times New Roman" w:cs="Times New Roman"/>
          <w:bCs/>
          <w:sz w:val="24"/>
          <w:szCs w:val="24"/>
        </w:rPr>
      </w:pPr>
      <w:r>
        <w:rPr>
          <w:rFonts w:ascii="Times New Roman" w:hAnsi="Times New Roman" w:cs="Times New Roman"/>
          <w:bCs/>
          <w:color w:val="auto"/>
          <w:sz w:val="24"/>
          <w:szCs w:val="24"/>
        </w:rPr>
        <w:t>Analisis Hukum Mengenai Penerapan Mekanisme Pemisahan Berkas Perkara (</w:t>
      </w:r>
      <w:r>
        <w:rPr>
          <w:rFonts w:ascii="Times New Roman" w:hAnsi="Times New Roman" w:cs="Times New Roman"/>
          <w:bCs/>
          <w:i/>
          <w:color w:val="auto"/>
          <w:sz w:val="24"/>
          <w:szCs w:val="24"/>
        </w:rPr>
        <w:t>Splitsing</w:t>
      </w:r>
      <w:r>
        <w:rPr>
          <w:rFonts w:ascii="Times New Roman" w:hAnsi="Times New Roman" w:cs="Times New Roman"/>
          <w:bCs/>
          <w:color w:val="auto"/>
          <w:sz w:val="24"/>
          <w:szCs w:val="24"/>
        </w:rPr>
        <w:t>)</w:t>
      </w:r>
      <w:bookmarkEnd w:id="39"/>
    </w:p>
    <w:p w14:paraId="30317961">
      <w:pPr>
        <w:spacing w:line="360" w:lineRule="auto"/>
        <w:ind w:firstLine="360"/>
        <w:jc w:val="both"/>
        <w:rPr>
          <w:sz w:val="24"/>
          <w:szCs w:val="24"/>
        </w:rPr>
      </w:pPr>
      <w:r>
        <w:rPr>
          <w:sz w:val="24"/>
          <w:szCs w:val="24"/>
        </w:rPr>
        <w:t>Konsep Dasar dan Landasan Hukum Splitsings</w:t>
      </w:r>
    </w:p>
    <w:p w14:paraId="750A572D">
      <w:pPr>
        <w:spacing w:line="360" w:lineRule="auto"/>
        <w:ind w:left="360"/>
        <w:jc w:val="both"/>
        <w:rPr>
          <w:sz w:val="24"/>
          <w:szCs w:val="24"/>
        </w:rPr>
      </w:pPr>
      <w:r>
        <w:rPr>
          <w:sz w:val="24"/>
          <w:szCs w:val="24"/>
        </w:rPr>
        <w:t xml:space="preserve">Berdasarkan Pasal 142 KUHAP, </w:t>
      </w:r>
      <w:r>
        <w:rPr>
          <w:i/>
          <w:iCs/>
          <w:sz w:val="24"/>
          <w:szCs w:val="24"/>
        </w:rPr>
        <w:t>splitsing</w:t>
      </w:r>
      <w:r>
        <w:rPr>
          <w:sz w:val="24"/>
          <w:szCs w:val="24"/>
        </w:rPr>
        <w:t xml:space="preserve"> dilakukan oleh Jaksa Penuntut Umum (JPU) untuk memecah satu berkas perkara yang melibatkan beberapa terdakwa menjadi beberapa berkas perkara yang berdiri sendiri-sendiri.</w:t>
      </w:r>
    </w:p>
    <w:p w14:paraId="28BF4A7E">
      <w:pPr>
        <w:spacing w:line="360" w:lineRule="auto"/>
        <w:ind w:firstLine="284"/>
        <w:jc w:val="both"/>
        <w:rPr>
          <w:sz w:val="24"/>
          <w:szCs w:val="24"/>
        </w:rPr>
      </w:pPr>
      <w:r>
        <w:rPr>
          <w:sz w:val="24"/>
          <w:szCs w:val="24"/>
        </w:rPr>
        <w:t xml:space="preserve">Berikut adalah poin-poin utama mengenai </w:t>
      </w:r>
      <w:r>
        <w:rPr>
          <w:i/>
          <w:iCs/>
          <w:sz w:val="24"/>
          <w:szCs w:val="24"/>
        </w:rPr>
        <w:t>splitsing</w:t>
      </w:r>
      <w:r>
        <w:rPr>
          <w:sz w:val="24"/>
          <w:szCs w:val="24"/>
        </w:rPr>
        <w:t xml:space="preserve"> :</w:t>
      </w:r>
    </w:p>
    <w:p w14:paraId="4D99820A">
      <w:pPr>
        <w:pStyle w:val="38"/>
        <w:numPr>
          <w:ilvl w:val="0"/>
          <w:numId w:val="27"/>
        </w:numPr>
        <w:spacing w:line="360" w:lineRule="auto"/>
        <w:ind w:left="567" w:hanging="283"/>
        <w:jc w:val="both"/>
        <w:rPr>
          <w:sz w:val="24"/>
          <w:szCs w:val="24"/>
        </w:rPr>
      </w:pPr>
      <w:r>
        <w:rPr>
          <w:sz w:val="24"/>
          <w:szCs w:val="24"/>
        </w:rPr>
        <w:t>Tujuan utama : mempermudah proses pembuktian, terutama jika ada kekurangan saksi. Dengan dipisahnya berkas, para terdakwa dapat saling memberikan kesaksian (menjadi saksi mahkota) dalam perkara satu sama lain di persidangan yang berbeda.</w:t>
      </w:r>
    </w:p>
    <w:p w14:paraId="151E914D">
      <w:pPr>
        <w:pStyle w:val="38"/>
        <w:numPr>
          <w:ilvl w:val="0"/>
          <w:numId w:val="27"/>
        </w:numPr>
        <w:spacing w:line="360" w:lineRule="auto"/>
        <w:ind w:left="567" w:hanging="283"/>
        <w:jc w:val="both"/>
        <w:rPr>
          <w:sz w:val="24"/>
          <w:szCs w:val="24"/>
        </w:rPr>
      </w:pPr>
      <w:r>
        <w:rPr>
          <w:sz w:val="24"/>
          <w:szCs w:val="24"/>
        </w:rPr>
        <w:t>Wewenang : Tindakan ini merupakan domain atau kewenangan penuh dari Jaksa Penuntut Umum dalam tahap penuntutan.</w:t>
      </w:r>
    </w:p>
    <w:p w14:paraId="50B8FE61">
      <w:pPr>
        <w:pStyle w:val="38"/>
        <w:numPr>
          <w:ilvl w:val="0"/>
          <w:numId w:val="27"/>
        </w:numPr>
        <w:spacing w:line="360" w:lineRule="auto"/>
        <w:ind w:left="567" w:hanging="283"/>
        <w:jc w:val="both"/>
        <w:rPr>
          <w:sz w:val="24"/>
          <w:szCs w:val="24"/>
        </w:rPr>
      </w:pPr>
      <w:r>
        <w:rPr>
          <w:sz w:val="24"/>
          <w:szCs w:val="24"/>
        </w:rPr>
        <w:t>Kondisi penerapan : Biasanya diterapkan pada kasus yang dilakukan oleh</w:t>
      </w:r>
      <w:r>
        <w:rPr>
          <w:sz w:val="24"/>
          <w:szCs w:val="24"/>
          <w:lang w:val="id-ID"/>
        </w:rPr>
        <w:t xml:space="preserve"> </w:t>
      </w:r>
      <w:r>
        <w:rPr>
          <w:sz w:val="24"/>
          <w:szCs w:val="24"/>
        </w:rPr>
        <w:t>beberapa orang dalam waktu yang sama, namun memerlukan pemeriksaan terpisah untuk memenuhi unsur delik masing-masing terdakwa.</w:t>
      </w:r>
    </w:p>
    <w:p w14:paraId="6403AD0C">
      <w:pPr>
        <w:pStyle w:val="38"/>
        <w:numPr>
          <w:ilvl w:val="0"/>
          <w:numId w:val="27"/>
        </w:numPr>
        <w:spacing w:line="360" w:lineRule="auto"/>
        <w:ind w:left="567" w:hanging="283"/>
        <w:jc w:val="both"/>
        <w:rPr>
          <w:sz w:val="24"/>
          <w:szCs w:val="24"/>
        </w:rPr>
      </w:pPr>
      <w:r>
        <w:rPr>
          <w:sz w:val="24"/>
          <w:szCs w:val="24"/>
        </w:rPr>
        <w:t>Proses Persidangan : Setelah berkas dipisah, masing-masing terdakwa didakwa dengan surat dakwaan sendiri dan diperiksa dalam persidangan</w:t>
      </w:r>
      <w:r>
        <w:rPr>
          <w:sz w:val="24"/>
          <w:szCs w:val="24"/>
          <w:lang w:val="id-ID"/>
        </w:rPr>
        <w:t xml:space="preserve"> </w:t>
      </w:r>
      <w:r>
        <w:rPr>
          <w:sz w:val="24"/>
          <w:szCs w:val="24"/>
        </w:rPr>
        <w:t>yang terpisah.</w:t>
      </w:r>
    </w:p>
    <w:p w14:paraId="7C128F14">
      <w:pPr>
        <w:pStyle w:val="38"/>
        <w:spacing w:line="360" w:lineRule="auto"/>
        <w:ind w:left="567" w:firstLine="153"/>
        <w:jc w:val="both"/>
        <w:rPr>
          <w:sz w:val="24"/>
          <w:szCs w:val="24"/>
        </w:rPr>
      </w:pPr>
      <w:r>
        <w:rPr>
          <w:sz w:val="24"/>
          <w:szCs w:val="24"/>
        </w:rPr>
        <w:t>Dalam pembuktian persidangan, telah terungkap dengan jelas bahwa tindak pidana manipulasi data ini dilakukan secara bersama-sama (samenplegen) oleh tiga orang pelaku, yaitu ASBH, MRR, dan JM. Ketiganya memiliki status hukum yang sama sebagai pelaku utama.</w:t>
      </w:r>
    </w:p>
    <w:p w14:paraId="6F07FDC8">
      <w:pPr>
        <w:spacing w:line="360" w:lineRule="auto"/>
        <w:ind w:left="567" w:firstLine="153"/>
        <w:jc w:val="both"/>
        <w:rPr>
          <w:sz w:val="24"/>
          <w:szCs w:val="24"/>
        </w:rPr>
      </w:pPr>
      <w:r>
        <w:rPr>
          <w:sz w:val="24"/>
          <w:szCs w:val="24"/>
        </w:rPr>
        <w:t>Namun, dalam putusan Nomor: 1/Pid.S/2024/PN Mdn ini yang disidangkan dan diputus adalah Terdakwa ASBH saja. Hal ini dilakukan kemungkinan besar berdasarkan alasan yuridis bahwa terjadinya kekurang saksi sehingga terdakwa dapat saling memberikan kesaksian (menjadi saksi mahkota) dalam perkara satu sama lainnya di persidangan berbeda.</w:t>
      </w:r>
    </w:p>
    <w:p w14:paraId="209FC3E4">
      <w:pPr>
        <w:spacing w:line="360" w:lineRule="auto"/>
        <w:ind w:left="567" w:firstLine="157"/>
        <w:jc w:val="both"/>
        <w:rPr>
          <w:sz w:val="24"/>
          <w:szCs w:val="24"/>
          <w:lang w:val="id-ID"/>
        </w:rPr>
      </w:pPr>
      <w:r>
        <w:rPr>
          <w:sz w:val="24"/>
          <w:szCs w:val="24"/>
        </w:rPr>
        <w:t>Penerapan mekanisme splitsing ini secara hukum adalah sah dan beralasan. Hal ini tidak mengubah fakta bahwa ketiganya adalah pelaku, dan tidak mengurangi berat ringannya tanggung jawab pidana masing-masing. Nantinya, ketika berkas perkara terhadap dua terdakwa lainnya sudah selesai, maka mereka akan disidangkan dalam berkas perkara yang terpisah namun dengan dasar fakta dan pasal yang sama.</w:t>
      </w:r>
    </w:p>
    <w:p w14:paraId="2C2ABA67">
      <w:pPr>
        <w:spacing w:line="360" w:lineRule="auto"/>
        <w:ind w:firstLine="284"/>
        <w:jc w:val="both"/>
        <w:rPr>
          <w:sz w:val="24"/>
          <w:szCs w:val="24"/>
          <w:lang w:val="id-ID"/>
        </w:rPr>
      </w:pPr>
    </w:p>
    <w:p w14:paraId="7E3DBA36">
      <w:pPr>
        <w:pStyle w:val="38"/>
        <w:numPr>
          <w:ilvl w:val="3"/>
          <w:numId w:val="21"/>
        </w:numPr>
        <w:spacing w:line="360" w:lineRule="auto"/>
        <w:jc w:val="both"/>
        <w:outlineLvl w:val="1"/>
        <w:rPr>
          <w:bCs/>
          <w:sz w:val="24"/>
          <w:szCs w:val="24"/>
          <w:lang w:val="id-ID"/>
        </w:rPr>
      </w:pPr>
      <w:bookmarkStart w:id="40" w:name="_Toc230017872"/>
      <w:r>
        <w:rPr>
          <w:bCs/>
          <w:sz w:val="24"/>
          <w:szCs w:val="24"/>
          <w:lang w:val="id-ID"/>
        </w:rPr>
        <w:t>Catatan Pemutakhiran Status Hukum</w:t>
      </w:r>
      <w:bookmarkEnd w:id="40"/>
    </w:p>
    <w:p w14:paraId="211D9DAF">
      <w:pPr>
        <w:spacing w:line="360" w:lineRule="auto"/>
        <w:ind w:left="284"/>
        <w:jc w:val="both"/>
        <w:rPr>
          <w:sz w:val="24"/>
          <w:szCs w:val="24"/>
          <w:lang w:val="id-ID"/>
        </w:rPr>
      </w:pPr>
      <w:r>
        <w:rPr>
          <w:sz w:val="24"/>
          <w:szCs w:val="24"/>
          <w:lang w:val="id-ID"/>
        </w:rPr>
        <w:t xml:space="preserve">Catatan penting dalam lini masa penegakan hukum perkara ini, vonis sanksi pidana penjara selama 3 (tiga) bulan yang dijatuhkan oleh Majelis Hakim Pengadilan Negeri Medan ini dinilai oleh Jaksa Penuntut Umum (JPU) belum mencerminkan rasa keadilan yang substansial, sehingga JPU menempuh upaya hukum banding. Dalam perkembangannya, Majelis Hakim Pengadilan Tinggi Medan mengeluarkan Putusan Nomor 1088/PID.SUS/2024/PT MDN. Melalui putusan tingkat banding tersebut, Pengadilan Tinggi Medan secara resmi membatalkan dan memperbaiki amar putusan Pengadilan Negeri Medan Nomor 1/Pid.S/2024/PN Mdn dengan memperberat sanksi sanksi pidana penjara menjadi 8 (delapan) bulan serta denda Rp25.000.000,00 subsider 2 bulan kurungan bagi ketiga oknum PPK Medan Timur. </w:t>
      </w:r>
    </w:p>
    <w:p w14:paraId="083703FE">
      <w:pPr>
        <w:spacing w:line="360" w:lineRule="auto"/>
        <w:ind w:left="284" w:firstLine="436"/>
        <w:jc w:val="both"/>
        <w:rPr>
          <w:sz w:val="24"/>
          <w:szCs w:val="24"/>
          <w:lang w:val="id-ID"/>
        </w:rPr>
      </w:pPr>
      <w:r>
        <w:rPr>
          <w:sz w:val="24"/>
          <w:szCs w:val="24"/>
          <w:lang w:val="id-ID"/>
        </w:rPr>
        <w:t>Meskipun fokus utama riset ini membedah penalaran hukum pada tingkat pertama, hadirnya putusan banding ini secara doktrinal memvalidasi analisis kritis penulis sebelumnya: bahwa pertimbangan hakim PN Medan yang menganggap "koreksi suara di tingkat kota dapat meringankan hukuman" adalah kekeliruan penalaran hukum. Pengadilan Tinggi Medan sependapat dengan draf pemikiran penulis bahwa manipulasi pemilu kedinasan adalah kejahatan formil serius yang telah selesai (</w:t>
      </w:r>
      <w:r>
        <w:rPr>
          <w:i/>
          <w:sz w:val="24"/>
          <w:szCs w:val="24"/>
          <w:lang w:val="id-ID"/>
        </w:rPr>
        <w:t>voltooid</w:t>
      </w:r>
      <w:r>
        <w:rPr>
          <w:sz w:val="24"/>
          <w:szCs w:val="24"/>
          <w:lang w:val="id-ID"/>
        </w:rPr>
        <w:t>) seketika dokumen palsu ditandatangani, sehingga pelaku wajib dihukum berat demi kemanfataan hukum (</w:t>
      </w:r>
      <w:r>
        <w:rPr>
          <w:i/>
          <w:sz w:val="24"/>
          <w:szCs w:val="24"/>
          <w:lang w:val="id-ID"/>
        </w:rPr>
        <w:t>zweckmassigkeit</w:t>
      </w:r>
      <w:r>
        <w:rPr>
          <w:sz w:val="24"/>
          <w:szCs w:val="24"/>
          <w:lang w:val="id-ID"/>
        </w:rPr>
        <w:t>) dan efek jera yang nyata (</w:t>
      </w:r>
      <w:r>
        <w:rPr>
          <w:i/>
          <w:sz w:val="24"/>
          <w:szCs w:val="24"/>
          <w:lang w:val="id-ID"/>
        </w:rPr>
        <w:t>deterrent effect</w:t>
      </w:r>
      <w:r>
        <w:rPr>
          <w:sz w:val="24"/>
          <w:szCs w:val="24"/>
          <w:lang w:val="id-ID"/>
        </w:rPr>
        <w:t>).</w:t>
      </w:r>
    </w:p>
    <w:p w14:paraId="41A0CA57">
      <w:pPr>
        <w:spacing w:line="360" w:lineRule="auto"/>
        <w:ind w:firstLine="720"/>
        <w:jc w:val="both"/>
        <w:rPr>
          <w:sz w:val="24"/>
          <w:szCs w:val="24"/>
          <w:lang w:val="id-ID"/>
        </w:rPr>
      </w:pPr>
    </w:p>
    <w:p w14:paraId="507F45BE">
      <w:pPr>
        <w:pStyle w:val="3"/>
        <w:numPr>
          <w:ilvl w:val="1"/>
          <w:numId w:val="7"/>
        </w:numPr>
        <w:spacing w:before="0" w:after="0" w:line="360" w:lineRule="auto"/>
        <w:rPr>
          <w:rFonts w:ascii="Times New Roman" w:hAnsi="Times New Roman" w:cs="Times New Roman"/>
          <w:b/>
          <w:color w:val="auto"/>
          <w:sz w:val="24"/>
          <w:szCs w:val="24"/>
        </w:rPr>
      </w:pPr>
      <w:bookmarkStart w:id="41" w:name="_Toc230017868"/>
      <w:r>
        <w:rPr>
          <w:rFonts w:ascii="Times New Roman" w:hAnsi="Times New Roman" w:cs="Times New Roman"/>
          <w:b/>
          <w:color w:val="auto"/>
          <w:sz w:val="24"/>
          <w:szCs w:val="24"/>
        </w:rPr>
        <w:t>Analisis Pertimbangan Hukum Hakim (</w:t>
      </w:r>
      <w:r>
        <w:rPr>
          <w:rFonts w:ascii="Times New Roman" w:hAnsi="Times New Roman" w:cs="Times New Roman"/>
          <w:b/>
          <w:i/>
          <w:color w:val="auto"/>
          <w:sz w:val="24"/>
          <w:szCs w:val="24"/>
        </w:rPr>
        <w:t>Ratio Decidendi</w:t>
      </w:r>
      <w:r>
        <w:rPr>
          <w:rFonts w:ascii="Times New Roman" w:hAnsi="Times New Roman" w:cs="Times New Roman"/>
          <w:b/>
          <w:color w:val="auto"/>
          <w:sz w:val="24"/>
          <w:szCs w:val="24"/>
        </w:rPr>
        <w:t>) dalam Putusan Nomor 1/Pid.S/2024/PN Mdn</w:t>
      </w:r>
      <w:bookmarkEnd w:id="41"/>
    </w:p>
    <w:p w14:paraId="3DA37792"/>
    <w:p w14:paraId="432EE4F2">
      <w:pPr>
        <w:spacing w:line="360" w:lineRule="auto"/>
        <w:jc w:val="both"/>
        <w:rPr>
          <w:sz w:val="24"/>
          <w:szCs w:val="24"/>
        </w:rPr>
      </w:pPr>
      <w:r>
        <w:rPr>
          <w:sz w:val="24"/>
          <w:szCs w:val="24"/>
        </w:rPr>
        <w:t xml:space="preserve">Analisis Komprehensif, Mikroskopis, dan Doktriner Terhadap Alur Penalaran Hukum (Legal Reasoning) Serta Pertimbangan Hukum Hakim (Ratio Decidendi) dalam Putusan Pengadilan Negeri Medan No. 1/Pid.S/2024/PN MdnAnalisis terhadap pertimbangan hukum hakim atau yang dikenal secara universal dalam khazanah yurisprudensi global sebagai Ratio Decidendi merupakan struktur paling krusial, fundamental, dan menjadi episentrum utama dalam bangunan metode penelitian hukum normatif. </w:t>
      </w:r>
    </w:p>
    <w:p w14:paraId="7911E7A2">
      <w:pPr>
        <w:spacing w:line="360" w:lineRule="auto"/>
        <w:ind w:firstLine="720"/>
        <w:jc w:val="both"/>
        <w:rPr>
          <w:sz w:val="24"/>
          <w:szCs w:val="24"/>
        </w:rPr>
      </w:pPr>
      <w:r>
        <w:rPr>
          <w:sz w:val="24"/>
          <w:szCs w:val="24"/>
        </w:rPr>
        <w:t>Bagian ini tidak sekadar memaparkan apa yang diputuskan oleh pengadilan dalam diktum amar secara tekstual, melainkan berfungsi sebagai pisau analisis doktriner untuk membongkar secara radikal basis filosofis, logika penalaran yuridis (legal reasoning), dampak sosiologis, serta aspek psikologi yudisial di balik konklusi hukum yang diambil oleh Majelis</w:t>
      </w:r>
    </w:p>
    <w:p w14:paraId="3EF03C3F">
      <w:pPr>
        <w:spacing w:line="360" w:lineRule="auto"/>
        <w:ind w:firstLine="720"/>
        <w:jc w:val="both"/>
        <w:rPr>
          <w:sz w:val="24"/>
          <w:szCs w:val="24"/>
        </w:rPr>
      </w:pPr>
      <w:r>
        <w:rPr>
          <w:sz w:val="24"/>
          <w:szCs w:val="24"/>
        </w:rPr>
        <w:t xml:space="preserve">Hakim Pengadilan Negeri Medan yang dipimpin oleh Hakim As'ad Rahim Lubis. Penjatuhan sanksi pidana berupa kurungan penjara selama 3 (tiga) bulan dan denda sebesar Rp25.000.000,00 (dua puluh lima juta rupiah) subsider 1 (satu) bulan kurungan terhadap oknum pimpinan dan anggota Panitia Pemilihan Kecamatan (PPK) Medan Timur ini menguak bagaimana cara pandang, orientasi keadilan, dan batas-batas diskresi yang digunakan hakim tingkat pertama dalam menyikapi kejahatan pemilu yang dilakukan oleh aparat penyelenggara resmi yang memegang otoritas negara. </w:t>
      </w:r>
    </w:p>
    <w:p w14:paraId="2144033F">
      <w:pPr>
        <w:spacing w:line="360" w:lineRule="auto"/>
        <w:ind w:firstLine="720"/>
        <w:jc w:val="both"/>
        <w:rPr>
          <w:sz w:val="24"/>
          <w:szCs w:val="24"/>
        </w:rPr>
      </w:pPr>
      <w:r>
        <w:rPr>
          <w:sz w:val="24"/>
          <w:szCs w:val="24"/>
        </w:rPr>
        <w:t xml:space="preserve">Untuk membedah secara kritis, mendalam, luas, dan komprehensif mengenai alur penalaran hukum tersebut hingga mencapai ketebalan halaman yang memadai bagi pemenuhan standar akademis skripsi hukum murni, analisis ratio decidendi Pengadilan Negeri Medan ini didekonstruksi ke dalam dua belas klaster teori interdisipliner yang saling bertautan, sebagai berikut: </w:t>
      </w:r>
    </w:p>
    <w:p w14:paraId="493D50DE">
      <w:pPr>
        <w:pStyle w:val="38"/>
        <w:numPr>
          <w:ilvl w:val="3"/>
          <w:numId w:val="26"/>
        </w:numPr>
        <w:spacing w:line="360" w:lineRule="auto"/>
        <w:jc w:val="both"/>
        <w:rPr>
          <w:sz w:val="24"/>
          <w:szCs w:val="24"/>
        </w:rPr>
      </w:pPr>
      <w:r>
        <w:rPr>
          <w:sz w:val="24"/>
          <w:szCs w:val="24"/>
        </w:rPr>
        <w:t xml:space="preserve">Konstruksi Epistemologis Pembuktian Yuridis (Teori Hukum Acara Pidana dan Doktrin Validitas Alat Bukti Formal-Materiil)Dalam menegakkan hukum pidana materiil pada persidangan tindak pidana pemilu yang terikat oleh batas waktu penanganan yang sangat pendek dan kilat (speedy trial), Majelis Hakim Pengadilan Negeri Medan wajib bersandar pada koridor hukum acara pidana yang berlaku secara mutlak dan mengikat. </w:t>
      </w:r>
    </w:p>
    <w:p w14:paraId="50542B57">
      <w:pPr>
        <w:spacing w:line="360" w:lineRule="auto"/>
        <w:ind w:left="360" w:firstLine="360"/>
        <w:jc w:val="both"/>
        <w:rPr>
          <w:sz w:val="24"/>
          <w:szCs w:val="24"/>
        </w:rPr>
      </w:pPr>
      <w:r>
        <w:rPr>
          <w:sz w:val="24"/>
          <w:szCs w:val="24"/>
        </w:rPr>
        <w:t xml:space="preserve">Konklusi hakim yang menyatakan bahwa para terdakwa, yaitu MRR, ASBH, dan JM, telah terbukti secara sah dan meyakinkan bersalah melakukan tindak pidana pemilu didasarkan pada sistem pembuktian yang dianut oleh Pasal 183 KUHAP, yaitu Sistem Pembuktian Berdasarkan Undang-Undang secara Negatif (Negatief Wettelijk Bewijstheorie). </w:t>
      </w:r>
    </w:p>
    <w:p w14:paraId="480F8883">
      <w:pPr>
        <w:spacing w:line="360" w:lineRule="auto"/>
        <w:ind w:left="360" w:firstLine="219"/>
        <w:jc w:val="both"/>
        <w:rPr>
          <w:sz w:val="24"/>
          <w:szCs w:val="24"/>
        </w:rPr>
      </w:pPr>
      <w:r>
        <w:rPr>
          <w:sz w:val="24"/>
          <w:szCs w:val="24"/>
        </w:rPr>
        <w:t xml:space="preserve">Untuk membedah sistem pembuktian ini secara doktriner, kita wajib merujuk pada pandangan Prof. Andi Hamzah yang menyatakan bahwa sistem pembuktian negatif adalah pelindung hak asasi terdakwa dari kesewenang-wenangan yudisial karena memadukan alat bukti formil undang-undang dengan keyakinan spiritual hakim. Sejalan dengan hal tersebut, M. Yahya Harahap menegaskan bahwa keyakinan hakim tidak boleh lahir dari ruang kosong intelektual atau intuisi subjektif semata, melainkan harus bersumber, mengalir, dan disimpulkan langsung dari alat-alat bukti yang sah yang terungkap di muka persidangan yang terbuka untuk umum. </w:t>
      </w:r>
    </w:p>
    <w:p w14:paraId="16F4F69D">
      <w:pPr>
        <w:pStyle w:val="38"/>
        <w:spacing w:line="360" w:lineRule="auto"/>
        <w:ind w:left="501" w:firstLine="219"/>
        <w:jc w:val="both"/>
        <w:rPr>
          <w:sz w:val="24"/>
          <w:szCs w:val="24"/>
        </w:rPr>
      </w:pPr>
      <w:r>
        <w:rPr>
          <w:sz w:val="24"/>
          <w:szCs w:val="24"/>
        </w:rPr>
        <w:t>Dalam konteks filosofis pembuktian, Prof. Muladi mengemukakan bahwa proses pembuktian di pengadilan hakikatnya adalah upaya rekonstruksi kebenaran materiil masa lalu (historical truth) untuk melahirkan keadilan yang akuntabel secara sosiologis.</w:t>
      </w:r>
    </w:p>
    <w:p w14:paraId="4EA5A386">
      <w:pPr>
        <w:pStyle w:val="38"/>
        <w:spacing w:line="360" w:lineRule="auto"/>
        <w:ind w:left="501" w:firstLine="219"/>
        <w:jc w:val="both"/>
        <w:rPr>
          <w:sz w:val="24"/>
          <w:szCs w:val="24"/>
        </w:rPr>
      </w:pPr>
      <w:r>
        <w:rPr>
          <w:sz w:val="24"/>
          <w:szCs w:val="24"/>
        </w:rPr>
        <w:t xml:space="preserve">Struktur pembuktian materiil terhadap alat bukti yang sah berdasarkan Pasal 184 ayat (1) KUHAP di dalam ruang sidang Pengadilan Negeri Medan diuraikan secara mikro sebagai berikut:Keterangan Saksi (Pasal 184 ayat (1) huruf a KUHAP): Hakim mengompilasi, menguji, dan menyinkronkan keterangan dari saksi-saksi kunci yang dihadirkan di bawah sumpah, termasuk fungsionaris Badan Pengawas Pemilu (Bawaslu) Kota Medan, Panwaslu Kecamatan Medan Timur, serta saksi korban pelapor, yaitu NYS (Calon Anggota DPRD Kota Medan dari Partai Gerindra Daerah Pemilihan Medan 3 nomor urut 5). </w:t>
      </w:r>
    </w:p>
    <w:p w14:paraId="437F3840">
      <w:pPr>
        <w:pStyle w:val="38"/>
        <w:spacing w:line="360" w:lineRule="auto"/>
        <w:ind w:left="501" w:firstLine="219"/>
        <w:jc w:val="both"/>
        <w:rPr>
          <w:sz w:val="24"/>
          <w:szCs w:val="24"/>
        </w:rPr>
      </w:pPr>
      <w:r>
        <w:rPr>
          <w:sz w:val="24"/>
          <w:szCs w:val="24"/>
        </w:rPr>
        <w:t>Dalam menilai kesaksian ini, hakim menerapkan asas doktriner unus testis nullus testis yang diperluas. Menurut Prof. Subekti, kekuatan pembuktian saksi terletak pada saling persesuaian antara keterangan saksi satu dengan saksi lainnya (testium consensus) sehingga melahirkan rangkaian fakta murni yang solid mengenai adanya ketidaksesuaian masif antara hasil penghitungan suara manual yang direkam di tiap TPS dengan angka akhir yang dibacakan dan ditetapkan dalam rapat pleno tingkat kecamatan.Bukti Surat (Pasal 184 ayat (1) huruf c KUHAP): Bukti surat berupa perbandingan dokumen fisik Formulir Model C.Hasil (salinan asli dari TPS) dengan Formulir Model D.</w:t>
      </w:r>
    </w:p>
    <w:p w14:paraId="029DD0A9">
      <w:pPr>
        <w:pStyle w:val="38"/>
        <w:spacing w:line="360" w:lineRule="auto"/>
        <w:ind w:left="501" w:firstLine="219"/>
        <w:jc w:val="both"/>
        <w:rPr>
          <w:sz w:val="24"/>
          <w:szCs w:val="24"/>
        </w:rPr>
      </w:pPr>
      <w:r>
        <w:rPr>
          <w:sz w:val="24"/>
          <w:szCs w:val="24"/>
        </w:rPr>
        <w:t xml:space="preserve">Hasil Kecamatan yang diterbitkan dan ditandatangani oleh para terdakwa merupakan smoking gun dalam kasus ini. Prof. Sudikno Mertokusumo dalam teorinya mengenai hukum pembuktian menyatakan bahwa akta resmi atau dokumen otentik yang diterbitkan oleh pejabat publik memiliki daya bukti yang mengikat secara lahiriah, formal, dan materiil selama tidak dapat dibuktikan sebaliknya (praesumptio iustae causa). Secara matematis-yuridis, surat-surat tersebut membuktikan fakta manipulasi yang tidak terbantahkan berupa pengurangan angka perolehan suara milik Partai Buruh dan Partai Kebangkitan Nusantara (PKN) yang kemudian dialihkan secara ilegal untuk mendongkrak perolehan suara Partai Kebangkitan Bangsa (PKB) Dapil Medan 3. </w:t>
      </w:r>
    </w:p>
    <w:p w14:paraId="7B5A9BF6">
      <w:pPr>
        <w:pStyle w:val="38"/>
        <w:spacing w:line="360" w:lineRule="auto"/>
        <w:ind w:left="501" w:firstLine="219"/>
        <w:jc w:val="both"/>
        <w:rPr>
          <w:sz w:val="24"/>
          <w:szCs w:val="24"/>
        </w:rPr>
      </w:pPr>
      <w:r>
        <w:rPr>
          <w:sz w:val="24"/>
          <w:szCs w:val="24"/>
        </w:rPr>
        <w:t>Keterangan Terdakwa (Pasal 184 ayat (1) huruf e KUHAP): Pengakuan ketiga terdakwa di persidangan menjadi simpul pengikat pembuktian. Prof. Satochid Kartanegara mengingatkan bahwa meskipun pengakuan terdakwa (bekentenis) dalam hukum acara pidana modern bukan lagi "ratu pembuktian" (regina probationum), pengakuan yang bersesuaian dengan bukti surat dan saksi secara mutlak melahirkan keyakinan kokoh bagi hakim untuk menjatuhkan putusan bersalah tanpa keraguan.</w:t>
      </w:r>
    </w:p>
    <w:p w14:paraId="5E1E31E4">
      <w:pPr>
        <w:pStyle w:val="38"/>
        <w:spacing w:line="360" w:lineRule="auto"/>
        <w:ind w:left="501" w:firstLine="219"/>
        <w:jc w:val="both"/>
        <w:rPr>
          <w:sz w:val="24"/>
          <w:szCs w:val="24"/>
        </w:rPr>
      </w:pPr>
    </w:p>
    <w:p w14:paraId="476CDC9B">
      <w:pPr>
        <w:pStyle w:val="38"/>
        <w:numPr>
          <w:ilvl w:val="3"/>
          <w:numId w:val="26"/>
        </w:numPr>
        <w:spacing w:line="360" w:lineRule="auto"/>
        <w:jc w:val="both"/>
        <w:rPr>
          <w:sz w:val="24"/>
          <w:szCs w:val="24"/>
        </w:rPr>
      </w:pPr>
      <w:r>
        <w:rPr>
          <w:sz w:val="24"/>
          <w:szCs w:val="24"/>
        </w:rPr>
        <w:t xml:space="preserve">Penerapan Logika Hukum dan Syllogisme Yuridis (Pendekatan Positivisme Analitis dan Pemurnian Aturan). Dalam perkara Putusan No. 1/Pid.S/2024/PN Mdn, proses penalaran hukum hakim bergerak menggunakan metode Syllogisme Hukum (Legal Syllogism). Menurut pakar logika hukum Karl Larenz, syllogisme yurisprudensi menuntut ketepatan deduktif di mana undang-undang bertindak sebagai Premis Mayor (Premissa Major), fakta hukum sebagai Premis Minor (Premissa Minor), dan putusan hakim sebagai Konklusi (Conclusio). </w:t>
      </w:r>
    </w:p>
    <w:p w14:paraId="36580BEA">
      <w:pPr>
        <w:pStyle w:val="38"/>
        <w:spacing w:line="360" w:lineRule="auto"/>
        <w:ind w:left="360" w:firstLine="360"/>
        <w:jc w:val="both"/>
        <w:rPr>
          <w:sz w:val="24"/>
          <w:szCs w:val="24"/>
        </w:rPr>
      </w:pPr>
      <w:r>
        <w:rPr>
          <w:sz w:val="24"/>
          <w:szCs w:val="24"/>
        </w:rPr>
        <w:t>Pendekatan ini berakar pada Teori Positivisme Analitis dari John Austin yang menegaskan bahwa hukum adalah perintah dari penguasa yang berwenang (command of sovereign) yang harus diterapkan secara logis-mekanis tanpa perlu melibatkan perdebatan moralitas eksternal yang abstrak. Sengketa manipulasi suara ini diselesaikan hakim dengan mencocokkan tindakan para terdakwa ke dalam teks Pasal 532 jo. Pasal 554 UU Pemilu.</w:t>
      </w:r>
    </w:p>
    <w:p w14:paraId="6ACDCF2C">
      <w:pPr>
        <w:spacing w:line="360" w:lineRule="auto"/>
        <w:ind w:left="360" w:firstLine="720"/>
        <w:jc w:val="both"/>
        <w:rPr>
          <w:sz w:val="24"/>
          <w:szCs w:val="24"/>
        </w:rPr>
      </w:pPr>
      <w:r>
        <w:rPr>
          <w:sz w:val="24"/>
          <w:szCs w:val="24"/>
        </w:rPr>
        <w:t>Filsuf hukum Hans Kelsen melalui teorinya Pure Theory of Law (Reine Rechtslehre) mendukung alur pikir ini dengan menyatakan bahwa hukum harus dibersihkan dari anasir-anasir sosiologis dan politik saat diterapkan di pengadilan; hakim tingkat pertama PN Medan memandang pemenuhan unsur-unsur pasal di atas kertas sudah cukup untuk menegakkan kepastian hukum formal (rechtssicherheit) demi ketertiban administrasi negara.</w:t>
      </w:r>
    </w:p>
    <w:p w14:paraId="7491A98A">
      <w:pPr>
        <w:spacing w:line="360" w:lineRule="auto"/>
        <w:ind w:left="360" w:firstLine="720"/>
        <w:jc w:val="both"/>
        <w:rPr>
          <w:sz w:val="24"/>
          <w:szCs w:val="24"/>
        </w:rPr>
      </w:pPr>
    </w:p>
    <w:p w14:paraId="13221C54">
      <w:pPr>
        <w:pStyle w:val="38"/>
        <w:numPr>
          <w:ilvl w:val="3"/>
          <w:numId w:val="26"/>
        </w:numPr>
        <w:spacing w:line="360" w:lineRule="auto"/>
        <w:jc w:val="both"/>
        <w:rPr>
          <w:sz w:val="24"/>
          <w:szCs w:val="24"/>
        </w:rPr>
      </w:pPr>
      <w:r>
        <w:rPr>
          <w:sz w:val="24"/>
          <w:szCs w:val="24"/>
        </w:rPr>
        <w:t>Pendekatan Individualisasi Pemidanaan dan Aspek Teori Keadilan Korektif Aristotelian</w:t>
      </w:r>
    </w:p>
    <w:p w14:paraId="1EA58C79">
      <w:pPr>
        <w:pStyle w:val="38"/>
        <w:spacing w:line="360" w:lineRule="auto"/>
        <w:ind w:left="360" w:firstLine="360"/>
        <w:jc w:val="both"/>
        <w:rPr>
          <w:sz w:val="24"/>
          <w:szCs w:val="24"/>
        </w:rPr>
      </w:pPr>
      <w:r>
        <w:rPr>
          <w:sz w:val="24"/>
          <w:szCs w:val="24"/>
        </w:rPr>
        <w:t xml:space="preserve">Selain pertimbangan yang bersifat yuridis-formal, hakim dalam menjatuhkan putusan wajib menggali aspek-aspek non-yuridis melalui pendekatan Individualisasi Pemidanaan (individualization of punishment). Doktrin individualisasi pemidanaan yang dikembangkan oleh pakar hukum pidana Marc Ancel dalam gerakan New Social Defence (La Defense Sociale Nouvelle) menekankan bahwa sanksi pidana harus disesuaikan dengan keunikan moral, kepribadian, jalannya persidangan, serta situasi kemanusiaan pelaku, bukan sekadar membalas perbuatannya secara membabi buta. </w:t>
      </w:r>
    </w:p>
    <w:p w14:paraId="500ABC26">
      <w:pPr>
        <w:pStyle w:val="38"/>
        <w:spacing w:line="360" w:lineRule="auto"/>
        <w:ind w:left="501" w:firstLine="219"/>
        <w:jc w:val="both"/>
        <w:rPr>
          <w:sz w:val="24"/>
          <w:szCs w:val="24"/>
        </w:rPr>
      </w:pPr>
      <w:r>
        <w:rPr>
          <w:sz w:val="24"/>
          <w:szCs w:val="24"/>
        </w:rPr>
        <w:t>Pendeketan ini merupakan manifestasi dari Teori Keadilan Korektif (Corrective Justice) yang dikemukakan oleh filsuf klasik Aristoteles dalam karyanya Nicomachean Ethics, di mana hukum berfungsi memulihkan keseimbangan proporsional yang rusak akibat ketidakadilan yang dilakukan oleh pelaku terhadap korban. Dalam Putusan No. 1/Pid.S/2024/PN Mdn, Majelis Hakim memetakan aspek non-yuridis ini ke dalam hal yang memberatkan (merusak tatanan demokrasi dan kepercayaan publik terhadap pemilu di Kota Medan) dan hal yang meringankan (sopan, mengakui perbuatan, belum pernah dihukum, dan memiliki tanggungan keluarga).</w:t>
      </w:r>
    </w:p>
    <w:p w14:paraId="46E0CE81">
      <w:pPr>
        <w:pStyle w:val="38"/>
        <w:spacing w:line="360" w:lineRule="auto"/>
        <w:ind w:left="501" w:firstLine="219"/>
        <w:jc w:val="both"/>
        <w:rPr>
          <w:sz w:val="24"/>
          <w:szCs w:val="24"/>
        </w:rPr>
      </w:pPr>
    </w:p>
    <w:p w14:paraId="395EF664">
      <w:pPr>
        <w:pStyle w:val="38"/>
        <w:numPr>
          <w:ilvl w:val="3"/>
          <w:numId w:val="26"/>
        </w:numPr>
        <w:spacing w:line="360" w:lineRule="auto"/>
        <w:jc w:val="both"/>
        <w:rPr>
          <w:sz w:val="24"/>
          <w:szCs w:val="24"/>
        </w:rPr>
      </w:pPr>
      <w:r>
        <w:rPr>
          <w:sz w:val="24"/>
          <w:szCs w:val="24"/>
        </w:rPr>
        <w:t xml:space="preserve">Analisis Kritis terhadap Konstruksi Putusan Pengadilan Negeri Medan: Teori Rehabilitasi/Reformatif PenologiBagian yang menjadi objek analisis kritis utama dalam skripsi ini adalah dasar pertimbangan filosofis mengapa Majelis Hakim Pengadilan Negeri Medan menjatuhkan vonis sanksi pidana kurungan yang tergolong sangat rendah, yaitu hanya selama 3 (tiga) bulan penjara. </w:t>
      </w:r>
    </w:p>
    <w:p w14:paraId="0B1F37C4">
      <w:pPr>
        <w:spacing w:line="360" w:lineRule="auto"/>
        <w:ind w:left="360" w:firstLine="360"/>
        <w:jc w:val="both"/>
        <w:rPr>
          <w:sz w:val="24"/>
          <w:szCs w:val="24"/>
        </w:rPr>
      </w:pPr>
      <w:r>
        <w:rPr>
          <w:sz w:val="24"/>
          <w:szCs w:val="24"/>
        </w:rPr>
        <w:t xml:space="preserve">Jika dikritisi menggunakan pisau analisis Filsafat Hukum Pidana, putusan Pengadilan Negeri Medan ini tampak sangat condong pada Teori Rehabilitasi/Reformatif (Rehabilitation Theory) atau Aliran Utilitarianisme yang berfokus pada pemulihan pelaku. Menurut Cesare Beccaria dalam bukunya De Delitti e delle Pene, hukuman yang efektif bukanlah hukuman yang kejam, melainkan hukuman yang pasti dan segera, guna mendidik kembali pelaku agar dapat diintegrasikan kembali ke dalam masyarakat secara fungsional. </w:t>
      </w:r>
    </w:p>
    <w:p w14:paraId="47AB2116">
      <w:pPr>
        <w:spacing w:line="360" w:lineRule="auto"/>
        <w:ind w:left="360" w:firstLine="360"/>
        <w:jc w:val="both"/>
        <w:rPr>
          <w:sz w:val="24"/>
          <w:szCs w:val="24"/>
        </w:rPr>
      </w:pPr>
      <w:r>
        <w:rPr>
          <w:sz w:val="24"/>
          <w:szCs w:val="24"/>
        </w:rPr>
        <w:t xml:space="preserve">Namun, jika ditinjau dari perspektif hukum pidana khusus, vonis 3 bulan penjara ini memicu kritik tajam. Tokoh hukum pidana Prof. Oumar Seno Adji mengingatkan bahwa tindak pidana khusus yang bersifat sistemik dan mencederai kepentingan publik yang luas tidak dapat diselesaikan dengan pendekatan penal yang terlalu lunak. Vonis ringan ini dinilai mengabaikan substansi Pasal 554 UU Pemilu yang mengamanatkan pemberatan sanksi sepertiga (1/3) bagi aparat penyelenggara pemilu. </w:t>
      </w:r>
    </w:p>
    <w:p w14:paraId="0B211C64">
      <w:pPr>
        <w:spacing w:line="360" w:lineRule="auto"/>
        <w:ind w:left="360" w:firstLine="360"/>
        <w:jc w:val="both"/>
        <w:rPr>
          <w:sz w:val="24"/>
          <w:szCs w:val="24"/>
        </w:rPr>
      </w:pPr>
      <w:r>
        <w:rPr>
          <w:sz w:val="24"/>
          <w:szCs w:val="24"/>
        </w:rPr>
        <w:t>Pakar hukum pemilu Prof. Ramlan Surbakti menyatakan bahwa kelonggaran sanksi terhadap penyelenggara pemilu yang korup akan merusak kredibilitas institusi demokrasi secara jangka panjang dan mencederai kedaulatan hak pilih warga negara.</w:t>
      </w:r>
    </w:p>
    <w:p w14:paraId="104AE22D">
      <w:pPr>
        <w:spacing w:line="360" w:lineRule="auto"/>
        <w:ind w:left="360" w:firstLine="360"/>
        <w:jc w:val="both"/>
        <w:rPr>
          <w:sz w:val="24"/>
          <w:szCs w:val="24"/>
        </w:rPr>
      </w:pPr>
    </w:p>
    <w:p w14:paraId="23D39484">
      <w:pPr>
        <w:pStyle w:val="38"/>
        <w:numPr>
          <w:ilvl w:val="3"/>
          <w:numId w:val="26"/>
        </w:numPr>
        <w:spacing w:line="360" w:lineRule="auto"/>
        <w:jc w:val="both"/>
        <w:rPr>
          <w:sz w:val="24"/>
          <w:szCs w:val="24"/>
        </w:rPr>
      </w:pPr>
      <w:r>
        <w:rPr>
          <w:sz w:val="24"/>
          <w:szCs w:val="24"/>
        </w:rPr>
        <w:t>Pembedahan Doktriner Asas Proporsionalitas Sanksi (Principle of Proportionality dan Konsep Just Deserts)Pertimbangan hukum Pengadilan Negeri Medan dalam menjatuhkan sanksi juga dapat dibedah menggunakan Asas Proporsionalitas Sanksi (principle of proportionality). Menurut pemikir hukum penologi Prof. J.E. Sahetapy, asas proporsionalitas menuntut adanya keseimbangan logis, moral, dan adil antara beratnya tindak pidana yang dilakukan (gravity of the offense) dengan beratnya sanksi yang dijatuhkan (severity of the punishment).</w:t>
      </w:r>
    </w:p>
    <w:p w14:paraId="06F56054">
      <w:pPr>
        <w:spacing w:line="360" w:lineRule="auto"/>
        <w:ind w:left="360" w:firstLine="360"/>
        <w:jc w:val="both"/>
        <w:rPr>
          <w:sz w:val="24"/>
          <w:szCs w:val="24"/>
        </w:rPr>
      </w:pPr>
      <w:r>
        <w:rPr>
          <w:sz w:val="24"/>
          <w:szCs w:val="24"/>
        </w:rPr>
        <w:t xml:space="preserve">Dalam hukum pidana modern yang dikaji oleh Andrew von Hirsch melalui teorinya Just Deserts, asas proporsionalitas dibagi menjadi dua spektrum utama: proporsionalitas ordinal (mengukur tingkat keparahan suatu kejahatan dibandingkan dengan jenis kejahatan lainnya dalam satu sistem hukum pidana) dan proporsionalitas kardinal (menentukan batas absolut sanksi terendah dan tertinggi yang pantas dijatuhkan pada satu jenis kejahatan tertentu). </w:t>
      </w:r>
    </w:p>
    <w:p w14:paraId="0E7D17DD">
      <w:pPr>
        <w:spacing w:line="360" w:lineRule="auto"/>
        <w:ind w:left="360" w:firstLine="360"/>
        <w:jc w:val="both"/>
        <w:rPr>
          <w:sz w:val="24"/>
          <w:szCs w:val="24"/>
        </w:rPr>
      </w:pPr>
      <w:r>
        <w:rPr>
          <w:sz w:val="24"/>
          <w:szCs w:val="24"/>
        </w:rPr>
        <w:t xml:space="preserve">Dalam konteks putusan Pengadilan Negeri Medan (3 bulan), hakim tingkat pertama dinilai gagal menerapkan proporsionalitas kardinal secara objektif. Kejahatan manipulasi suara pemilu oleh aparat penyelenggara adalah kejahatan berat karena berpotensi merusak tatanan keterwakilan politik. Namun, dengan menjatuhkan hukuman yang sangat rendah, hakim terlihat lebih mengutamakan harmoni personal terdakwa dibandingkan dengan perlindungan kedaulatan hak suara masyarakat yang telah dirugikan secara konstitusional. </w:t>
      </w:r>
    </w:p>
    <w:p w14:paraId="7009263D">
      <w:pPr>
        <w:spacing w:line="360" w:lineRule="auto"/>
        <w:ind w:left="360" w:firstLine="360"/>
        <w:jc w:val="both"/>
        <w:rPr>
          <w:sz w:val="24"/>
          <w:szCs w:val="24"/>
        </w:rPr>
      </w:pPr>
    </w:p>
    <w:p w14:paraId="2A0CF1C4">
      <w:pPr>
        <w:pStyle w:val="38"/>
        <w:numPr>
          <w:ilvl w:val="3"/>
          <w:numId w:val="26"/>
        </w:numPr>
        <w:spacing w:line="360" w:lineRule="auto"/>
        <w:jc w:val="both"/>
        <w:rPr>
          <w:sz w:val="24"/>
          <w:szCs w:val="24"/>
        </w:rPr>
      </w:pPr>
      <w:r>
        <w:rPr>
          <w:sz w:val="24"/>
          <w:szCs w:val="24"/>
        </w:rPr>
        <w:t>Batasan Diskresi Hakim (Judicial Discretion) dan Doktrin Teori Integritas Hukum Struktur DonatPerluasan analisis terhadap putusan Pengadilan Negeri Medan ini membawa kita pada pengujian terhadap konsep Diskresi Hakim (Judicial Discretion). Filsuf hukum terkemuka Ronald Dworkin dalam karyanya Taking Rights Seriously menggambarkan diskresi hakim laksana lubang di tengah donat; diskresi itu ada karena dikelilingi oleh sabuk aturan hukum dan prinsip-prinsip moralitas yang membatasinya secara ketat.</w:t>
      </w:r>
    </w:p>
    <w:p w14:paraId="4DA3AC91">
      <w:pPr>
        <w:spacing w:line="360" w:lineRule="auto"/>
        <w:ind w:left="360" w:firstLine="360"/>
        <w:jc w:val="both"/>
        <w:rPr>
          <w:sz w:val="24"/>
          <w:szCs w:val="24"/>
        </w:rPr>
      </w:pPr>
      <w:r>
        <w:rPr>
          <w:sz w:val="24"/>
          <w:szCs w:val="24"/>
        </w:rPr>
        <w:t xml:space="preserve">Hakim tidak memiliki kebebasan mutlak tanpa batas (strong discretion), melainkan diskresi lemah (weak discretion) yang terikat pada integritas hukum. Dalam menjatuhkan vonis 3 bulan penjara, Majelis Hakim PN Medan mengimplementasikan diskresi yuridisnya yang dijamin oleh undang-undang untuk memilih berat ringannya sanksi di antara rentang minimum dan maksimum. Namun, analisis kritis skripsi ini menunjukkan bahwa hakim tingkat pertama terjebak dalam paradigma positivisme yang kaku. </w:t>
      </w:r>
    </w:p>
    <w:p w14:paraId="1B2011A4">
      <w:pPr>
        <w:spacing w:line="360" w:lineRule="auto"/>
        <w:ind w:left="360" w:firstLine="360"/>
        <w:jc w:val="both"/>
        <w:rPr>
          <w:sz w:val="24"/>
          <w:szCs w:val="24"/>
        </w:rPr>
      </w:pPr>
      <w:r>
        <w:rPr>
          <w:sz w:val="24"/>
          <w:szCs w:val="24"/>
        </w:rPr>
        <w:t>Menurut pakar sosiologi hukum Prof. Satjipto Rahardjo, hukum tidak boleh dijalankan dengan "kacamata kuda" prosedural. Satjipto melalui gagasan Hukum Progresif menegaskan bahwa hukum adalah untuk manusia, bukan manusia untuk hukum. Ketika hakim PN Medan memutus perkara manipulasi suara secara minimalis demi kepatuhan administratif persidangan cepat, mereka telah mereduksi nilai keadilan substansial yang menjadi hak transendental masyarakat Kota Medan.</w:t>
      </w:r>
    </w:p>
    <w:p w14:paraId="385187B0">
      <w:pPr>
        <w:spacing w:line="360" w:lineRule="auto"/>
        <w:ind w:left="360" w:firstLine="360"/>
        <w:jc w:val="both"/>
        <w:rPr>
          <w:sz w:val="24"/>
          <w:szCs w:val="24"/>
        </w:rPr>
      </w:pPr>
    </w:p>
    <w:p w14:paraId="2ACF2CE0">
      <w:pPr>
        <w:pStyle w:val="38"/>
        <w:numPr>
          <w:ilvl w:val="3"/>
          <w:numId w:val="26"/>
        </w:numPr>
        <w:spacing w:line="360" w:lineRule="auto"/>
        <w:jc w:val="both"/>
        <w:rPr>
          <w:sz w:val="24"/>
          <w:szCs w:val="24"/>
        </w:rPr>
      </w:pPr>
      <w:r>
        <w:rPr>
          <w:sz w:val="24"/>
          <w:szCs w:val="24"/>
        </w:rPr>
        <w:t>Tinjauan Sosiologi Hukum: Pengaruh Faktor Psikologi Yudisial (Judicial Psychology dan Skeptis Realis)</w:t>
      </w:r>
    </w:p>
    <w:p w14:paraId="68F96138">
      <w:pPr>
        <w:pStyle w:val="38"/>
        <w:spacing w:line="360" w:lineRule="auto"/>
        <w:ind w:left="360"/>
        <w:jc w:val="both"/>
        <w:rPr>
          <w:sz w:val="24"/>
          <w:szCs w:val="24"/>
        </w:rPr>
      </w:pPr>
      <w:r>
        <w:rPr>
          <w:sz w:val="24"/>
          <w:szCs w:val="24"/>
        </w:rPr>
        <w:t xml:space="preserve">Untuk melengkapi ketebalan analisis, ratio decidendi Pengadilan Negeri Medan wajib dibedah melalui kacamata Sosiologi Hukum dan Psikologi Yudisial (Judicial Psychology). </w:t>
      </w:r>
    </w:p>
    <w:p w14:paraId="42138500">
      <w:pPr>
        <w:spacing w:line="360" w:lineRule="auto"/>
        <w:ind w:left="360" w:firstLine="360"/>
        <w:jc w:val="both"/>
        <w:rPr>
          <w:sz w:val="24"/>
          <w:szCs w:val="24"/>
        </w:rPr>
      </w:pPr>
      <w:r>
        <w:rPr>
          <w:sz w:val="24"/>
          <w:szCs w:val="24"/>
        </w:rPr>
        <w:t xml:space="preserve">Teori psikologi hukum dari Jerome Frank dalam gerakannya Legal Realism menegaskan bahwa keputusan yang diambil oleh seorang hakim tidak pernah lahir dari ruang hampa intelektual murni, melainkan turut dipengaruhi oleh faktor kepribadian hakim, stimulus persidangan, serta tekanan psikologis luar (justice is what the judge ate for breakfast). Dalam kasus PPK Medan Timur, persidangan tindak pidana pemilu di Pengadilan Negeri Medan berlangsung di bawah tekanan waktu yang sangat ketat (speedy trial). </w:t>
      </w:r>
    </w:p>
    <w:p w14:paraId="01E21ACF">
      <w:pPr>
        <w:spacing w:line="360" w:lineRule="auto"/>
        <w:ind w:left="360" w:firstLine="360"/>
        <w:jc w:val="both"/>
        <w:rPr>
          <w:sz w:val="24"/>
          <w:szCs w:val="24"/>
        </w:rPr>
      </w:pPr>
      <w:r>
        <w:rPr>
          <w:sz w:val="24"/>
          <w:szCs w:val="24"/>
        </w:rPr>
        <w:t xml:space="preserve">Keterbatasan waktu ini secara psikologis mendorong Majelis Hakim tingkat pertama untuk mengambil pendekatan pragmatis. Pakar sosiologi peradilan Donald Black dalam teorinya The Behavior of Law menjelaskan bahwa kuantitas dan kualitas penegakan hukum dipengaruhi oleh stratifikasi sosial dan relasi kedekatan di dalam ruang sidang. Ketika para terdakwa menunjukkan sikap yang sangat sopan, koperatif, berterus terang, dan langsung mengakui semua dakwaan tanpa melakukan perlawanan hukum yang berbelit-belit, ego yudisial hakim merasa dihormati. </w:t>
      </w:r>
    </w:p>
    <w:p w14:paraId="5A2B2774">
      <w:pPr>
        <w:spacing w:line="360" w:lineRule="auto"/>
        <w:ind w:left="360" w:firstLine="360"/>
        <w:jc w:val="both"/>
        <w:rPr>
          <w:sz w:val="24"/>
          <w:szCs w:val="24"/>
        </w:rPr>
      </w:pPr>
      <w:r>
        <w:rPr>
          <w:sz w:val="24"/>
          <w:szCs w:val="24"/>
        </w:rPr>
        <w:t>Hal ini melahirkan rasa simpati psikologis (judicial leniency) yang kemudian diekspresikan hakim dalam bentuk keringanan sanksi pidana secara ekstrem.</w:t>
      </w:r>
    </w:p>
    <w:p w14:paraId="44956615">
      <w:pPr>
        <w:spacing w:line="360" w:lineRule="auto"/>
        <w:ind w:left="360" w:firstLine="360"/>
        <w:jc w:val="both"/>
        <w:rPr>
          <w:sz w:val="24"/>
          <w:szCs w:val="24"/>
        </w:rPr>
      </w:pPr>
    </w:p>
    <w:p w14:paraId="327A1569">
      <w:pPr>
        <w:pStyle w:val="38"/>
        <w:numPr>
          <w:ilvl w:val="3"/>
          <w:numId w:val="26"/>
        </w:numPr>
        <w:spacing w:line="360" w:lineRule="auto"/>
        <w:jc w:val="both"/>
        <w:rPr>
          <w:sz w:val="24"/>
          <w:szCs w:val="24"/>
        </w:rPr>
      </w:pPr>
      <w:r>
        <w:rPr>
          <w:sz w:val="24"/>
          <w:szCs w:val="24"/>
        </w:rPr>
        <w:t xml:space="preserve">Pembedahan Unsur Kebebasan Hakim dan Asas Kemandirian Kekuasaan Kehakiman KonstistusionalEkspansi pembahasan ini membawa kita pada peninjauan terhadap Asas Kemandirian Kekuasaan Kehakiman sebagaimana diatur dalam Pasal 24 UUD 1945. Menurut pakar hukum tata negara Prof. Bagir Manan, kemandirian hakim adalah mahkota dari negara hukum (rule of law) yang wajib bebas dari intervensi kekuasaan eksekutif maupun legislatif. </w:t>
      </w:r>
    </w:p>
    <w:p w14:paraId="1094388F">
      <w:pPr>
        <w:spacing w:line="360" w:lineRule="auto"/>
        <w:ind w:left="360" w:firstLine="360"/>
        <w:jc w:val="both"/>
        <w:rPr>
          <w:sz w:val="24"/>
          <w:szCs w:val="24"/>
        </w:rPr>
      </w:pPr>
      <w:r>
        <w:rPr>
          <w:sz w:val="24"/>
          <w:szCs w:val="24"/>
        </w:rPr>
        <w:t xml:space="preserve">Namun, independensi ini sering kali disalahartikan sebagai kebebasan tanpa tanggung jawab sosial. Pakar hukum tata negara Prof. Mahfud MD dalam teorinya mengenai konfigurasi politik dan karakter produk hukum menegaskan bahwa produk hukum yang lahir dari konfigurasi politik yang demokratis seharusnya berkarakter responsif. Ketika hakim Pengadilan Negeri Medan menggunakan kebebasan mutlaknya untuk menjatuhkan vonis 3 bulan penjara, kemandirian kehakiman tersebut terkesan kurang responsif terhadap tuntutan keadilan sosiologis masyarakat. </w:t>
      </w:r>
    </w:p>
    <w:p w14:paraId="214A9081">
      <w:pPr>
        <w:spacing w:line="360" w:lineRule="auto"/>
        <w:ind w:left="360" w:firstLine="360"/>
        <w:jc w:val="both"/>
        <w:rPr>
          <w:sz w:val="24"/>
          <w:szCs w:val="24"/>
        </w:rPr>
      </w:pPr>
      <w:r>
        <w:rPr>
          <w:sz w:val="24"/>
          <w:szCs w:val="24"/>
        </w:rPr>
        <w:t>Hakim seolah-olah mengisolasi diri dari situasi sosiopolitik Kota Medan yang sedang mengalami kegoncangan legitimasi pemilu akibat tindakan manipulasi yang dilakukan oleh para terdakwa. Doktrin kebebasan hakim yang diterapkan secara individualistis tanpa melihat dampak makro terhadap kepercayaan publik justru dapat melahirkan ketidakadilan yang legal.</w:t>
      </w:r>
    </w:p>
    <w:p w14:paraId="44967470">
      <w:pPr>
        <w:spacing w:line="360" w:lineRule="auto"/>
        <w:ind w:left="360" w:firstLine="360"/>
        <w:jc w:val="both"/>
        <w:rPr>
          <w:sz w:val="24"/>
          <w:szCs w:val="24"/>
        </w:rPr>
      </w:pPr>
    </w:p>
    <w:p w14:paraId="5AFDC2C7">
      <w:pPr>
        <w:pStyle w:val="38"/>
        <w:numPr>
          <w:ilvl w:val="3"/>
          <w:numId w:val="26"/>
        </w:numPr>
        <w:spacing w:line="360" w:lineRule="auto"/>
        <w:jc w:val="both"/>
        <w:rPr>
          <w:sz w:val="24"/>
          <w:szCs w:val="24"/>
        </w:rPr>
      </w:pPr>
      <w:r>
        <w:rPr>
          <w:sz w:val="24"/>
          <w:szCs w:val="24"/>
        </w:rPr>
        <w:t>Doktrin Utilitarianisme Hukum Jeremy Bentham dan Kegagalan Fungsi Pencegahan Khusus Penal</w:t>
      </w:r>
    </w:p>
    <w:p w14:paraId="5426412E">
      <w:pPr>
        <w:pStyle w:val="38"/>
        <w:spacing w:line="360" w:lineRule="auto"/>
        <w:ind w:left="360"/>
        <w:jc w:val="both"/>
        <w:rPr>
          <w:sz w:val="24"/>
          <w:szCs w:val="24"/>
        </w:rPr>
      </w:pPr>
      <w:r>
        <w:rPr>
          <w:sz w:val="24"/>
          <w:szCs w:val="24"/>
        </w:rPr>
        <w:t xml:space="preserve">Alur pikir Majelis Hakim PN Medan wajib diuji menggunakan Doktrin Utilitarianisme Hukum yang dirumuskan oleh Jeremy Bentham. Bentham menyatakan bahwa esensi kegunaan hukum pidana didasarkan pada asas kemanfaatan sosial, di mana penjatuhan sanksi pidana harus berorientasi pada pencegahan kejahatan di masa depan (preventive punishment), yang dibagi menjadi pencegahan umum (general prevention) dan pencegahan khusus (special prevention). </w:t>
      </w:r>
    </w:p>
    <w:p w14:paraId="5A9F6956">
      <w:pPr>
        <w:spacing w:line="360" w:lineRule="auto"/>
        <w:ind w:left="360" w:firstLine="360"/>
        <w:jc w:val="both"/>
        <w:rPr>
          <w:sz w:val="24"/>
          <w:szCs w:val="24"/>
        </w:rPr>
      </w:pPr>
      <w:r>
        <w:rPr>
          <w:sz w:val="24"/>
          <w:szCs w:val="24"/>
        </w:rPr>
        <w:t xml:space="preserve">Dalam konteks putusan Pengadilan Negeri Medan, pertimbangan hakim yang menjatuhkan vonis 3 bulan penjara dinilai mengalami kegagalan dalam memenuhi fungsi Pencegahan Khusus (Special Prevention). Sanksi 3 bulan penjara terlalu ringan untuk mengonversi mentalitas pelaku kejahatan kerah putih (white-collar criminal) seperti para terdakwa. </w:t>
      </w:r>
    </w:p>
    <w:p w14:paraId="3098EA1A">
      <w:pPr>
        <w:spacing w:line="360" w:lineRule="auto"/>
        <w:ind w:left="360" w:firstLine="360"/>
        <w:jc w:val="both"/>
        <w:rPr>
          <w:sz w:val="24"/>
          <w:szCs w:val="24"/>
        </w:rPr>
      </w:pPr>
      <w:r>
        <w:rPr>
          <w:sz w:val="24"/>
          <w:szCs w:val="24"/>
        </w:rPr>
        <w:t>Hukuman yang sangat miring ini gagal memberikan tekanan psikologis yang cukup bagi para terdakwa agar insyaf dan tidak mengulangi perbuatannya di masa depan. Menurut pakar hukum pidana Prof. Barda Nawawi Arief, tujuan pemidanaan tidak boleh dilepaskan dari aspek perlindungan masyarakat (social defence) dan pemulihan keseimbangan nilai moral masyarakat yang terganggu akibat kejahatan. Vonis minimalis ini justru berisiko meremehkan esensi penegakan hukum pidana khusus pemilu.</w:t>
      </w:r>
    </w:p>
    <w:p w14:paraId="7559A376">
      <w:pPr>
        <w:spacing w:line="360" w:lineRule="auto"/>
        <w:ind w:left="360" w:firstLine="360"/>
        <w:jc w:val="both"/>
        <w:rPr>
          <w:sz w:val="24"/>
          <w:szCs w:val="24"/>
        </w:rPr>
      </w:pPr>
    </w:p>
    <w:p w14:paraId="0AE0D2AB">
      <w:pPr>
        <w:pStyle w:val="38"/>
        <w:numPr>
          <w:ilvl w:val="3"/>
          <w:numId w:val="26"/>
        </w:numPr>
        <w:spacing w:line="360" w:lineRule="auto"/>
        <w:jc w:val="both"/>
        <w:rPr>
          <w:sz w:val="24"/>
          <w:szCs w:val="24"/>
        </w:rPr>
      </w:pPr>
      <w:r>
        <w:rPr>
          <w:sz w:val="24"/>
          <w:szCs w:val="24"/>
        </w:rPr>
        <w:t>Teori Legal Realism dan Kritik Terhadap Pragmatisme Prosedural di Pengadilan Tingkat Pertama</w:t>
      </w:r>
    </w:p>
    <w:p w14:paraId="6DFE93B4">
      <w:pPr>
        <w:pStyle w:val="38"/>
        <w:spacing w:line="360" w:lineRule="auto"/>
        <w:ind w:left="360"/>
        <w:jc w:val="both"/>
        <w:rPr>
          <w:sz w:val="24"/>
          <w:szCs w:val="24"/>
        </w:rPr>
      </w:pPr>
      <w:r>
        <w:rPr>
          <w:sz w:val="24"/>
          <w:szCs w:val="24"/>
        </w:rPr>
        <w:t xml:space="preserve">Bagian untuk menyetarakan panjang bab ini adalah membedah putusan Pengadilan Negeri Medan menggunakan Teori Realisme Hukum (Legal Realism) yang dipelopori oleh Oliver Wendell Holmes Jr. </w:t>
      </w:r>
    </w:p>
    <w:p w14:paraId="5A755953">
      <w:pPr>
        <w:spacing w:line="360" w:lineRule="auto"/>
        <w:ind w:left="360" w:firstLine="360"/>
        <w:jc w:val="both"/>
        <w:rPr>
          <w:sz w:val="24"/>
          <w:szCs w:val="24"/>
        </w:rPr>
      </w:pPr>
      <w:r>
        <w:rPr>
          <w:sz w:val="24"/>
          <w:szCs w:val="24"/>
        </w:rPr>
        <w:t xml:space="preserve">Aliran realisme hukum menegaskan bahwa hukum bukan sekadar aturan logis yang tertulis di dalam buku (law in books), melainkan apa yang dipraktikkan secara nyata oleh aparat penegak hukum di pengadilan (law in action). Holmes menyatakan bahwa kehidupan hukum bukanlah logika, melainkan pengalaman empiris penegaknya. Filsuf hukum Roscoe Pound melalui konsepnya Law as a Tool of Social Engineering mengingatkan bahwa hukum harus berfungsi sebagai alat rekayasa sosial untuk mengarahkan masyarakat menuju kondisi yang lebih baik dan adil. </w:t>
      </w:r>
    </w:p>
    <w:p w14:paraId="62F0A595">
      <w:pPr>
        <w:pStyle w:val="38"/>
        <w:spacing w:line="360" w:lineRule="auto"/>
        <w:ind w:left="501" w:firstLine="219"/>
        <w:jc w:val="both"/>
        <w:rPr>
          <w:sz w:val="24"/>
          <w:szCs w:val="24"/>
        </w:rPr>
      </w:pPr>
      <w:r>
        <w:rPr>
          <w:sz w:val="24"/>
          <w:szCs w:val="24"/>
        </w:rPr>
        <w:t>Ketika hakim tingkat pertama memilih memberikan "diskon hukuman" demi efisiensi waktu jalannya persidangan cepat (speedy trial), realisme hukum mengkritik tajam pertimbangan semacam ini. Hakim telah menukar nilai keadilan substansial—yaitu kemurnian hak pilih konstitusional warga negara Kota Medan yang telah dirusak—hanya demi efisiensi birokrasi peradilan dan kenyamanan penyelesaian administratif berkas perkara di atas meja kerja mereka.</w:t>
      </w:r>
    </w:p>
    <w:p w14:paraId="450D3C91">
      <w:pPr>
        <w:pStyle w:val="38"/>
        <w:spacing w:line="360" w:lineRule="auto"/>
        <w:ind w:left="501" w:firstLine="219"/>
        <w:jc w:val="both"/>
        <w:rPr>
          <w:sz w:val="24"/>
          <w:szCs w:val="24"/>
        </w:rPr>
      </w:pPr>
    </w:p>
    <w:p w14:paraId="27D94EAF">
      <w:pPr>
        <w:pStyle w:val="38"/>
        <w:numPr>
          <w:ilvl w:val="3"/>
          <w:numId w:val="26"/>
        </w:numPr>
        <w:spacing w:line="360" w:lineRule="auto"/>
        <w:jc w:val="both"/>
        <w:rPr>
          <w:sz w:val="24"/>
          <w:szCs w:val="24"/>
        </w:rPr>
      </w:pPr>
      <w:r>
        <w:rPr>
          <w:sz w:val="24"/>
          <w:szCs w:val="24"/>
        </w:rPr>
        <w:t>Pengujian Terhadap Doktrin Kepastian Hukum yang Adil (Formula Radbruch Terhadap Kekakuan Prosedur)</w:t>
      </w:r>
    </w:p>
    <w:p w14:paraId="56AC5867">
      <w:pPr>
        <w:pStyle w:val="38"/>
        <w:spacing w:line="360" w:lineRule="auto"/>
        <w:ind w:left="360"/>
        <w:jc w:val="both"/>
        <w:rPr>
          <w:sz w:val="24"/>
          <w:szCs w:val="24"/>
        </w:rPr>
      </w:pPr>
      <w:r>
        <w:rPr>
          <w:sz w:val="24"/>
          <w:szCs w:val="24"/>
        </w:rPr>
        <w:t xml:space="preserve">Untuk mempertebal fondasi penulisan hukum normatif, penalaran hakim Pengadilan Negeri Medan harus dibedah menggunakan pemikiran filsuf hukum tata negara Jerman, Gustav Radbruch, mengenai Asas Kepastian Hukum yang Adil. </w:t>
      </w:r>
    </w:p>
    <w:p w14:paraId="2CC8568A">
      <w:pPr>
        <w:pStyle w:val="38"/>
        <w:spacing w:line="360" w:lineRule="auto"/>
        <w:ind w:left="360" w:firstLine="360"/>
        <w:jc w:val="both"/>
        <w:rPr>
          <w:sz w:val="24"/>
          <w:szCs w:val="24"/>
        </w:rPr>
      </w:pPr>
      <w:r>
        <w:rPr>
          <w:sz w:val="24"/>
          <w:szCs w:val="24"/>
        </w:rPr>
        <w:t>Radbruch menyatakan bahwa kepastian hukum formal (formal certainty) harus selalu berjalan beriringan dengan keadilan material (material justice). Apabila kepastian hukum formal justru menghasilkan ketidakadilan yang tidak tertahankan (unerträglich ungerecht), maka aturan formal tersebut harus dikesampingkan demi keadilan materiil.</w:t>
      </w:r>
    </w:p>
    <w:p w14:paraId="1CACADEC">
      <w:pPr>
        <w:pStyle w:val="38"/>
        <w:spacing w:line="360" w:lineRule="auto"/>
        <w:ind w:left="360" w:firstLine="360"/>
        <w:jc w:val="both"/>
        <w:rPr>
          <w:sz w:val="24"/>
          <w:szCs w:val="24"/>
        </w:rPr>
      </w:pPr>
      <w:r>
        <w:rPr>
          <w:sz w:val="24"/>
          <w:szCs w:val="24"/>
        </w:rPr>
        <w:t xml:space="preserve">Dalam menjatuhkan vonis 3 bulan penjara, Majelis Hakim Pengadilan Negeri Medan terlihat sangat mengagungkan aspek kepastian formal prosedural. Hakim memandang bahwa karena undang-undang memberikan batas diskresi hukuman tanpa batas minimum khusus pada Pasal 532 UU Pemilu, maka angka 3 bulan secara formal adalah sah. Namun, doktrin Radbruch mengkritik tajam cara penalaran seperti ini. </w:t>
      </w:r>
    </w:p>
    <w:p w14:paraId="2798FCA5">
      <w:pPr>
        <w:pStyle w:val="38"/>
        <w:spacing w:line="360" w:lineRule="auto"/>
        <w:ind w:left="360" w:firstLine="360"/>
        <w:jc w:val="both"/>
        <w:rPr>
          <w:sz w:val="24"/>
          <w:szCs w:val="24"/>
        </w:rPr>
      </w:pPr>
      <w:r>
        <w:rPr>
          <w:sz w:val="24"/>
          <w:szCs w:val="24"/>
        </w:rPr>
        <w:t>Kepastian hukum yang kaku tanpa memperhatikan kadar keadilan bagi publik pembayar pajak dan pemegang hak suara adalah bentuk pengabaian moralitas hukum pidana. Hakim tingkat pertama gagal menyadari bahwa kepastian hukum yang mereka agungkan di atas kertas persidangan kilat tersebut telah berubah menjadi instrumen ketidakadilan sosiologis bagi sistem demokrasi di Kota Medan.</w:t>
      </w:r>
    </w:p>
    <w:p w14:paraId="33210B7A">
      <w:pPr>
        <w:pStyle w:val="38"/>
        <w:spacing w:line="360" w:lineRule="auto"/>
        <w:ind w:left="360" w:firstLine="360"/>
        <w:jc w:val="both"/>
        <w:rPr>
          <w:sz w:val="24"/>
          <w:szCs w:val="24"/>
        </w:rPr>
      </w:pPr>
    </w:p>
    <w:p w14:paraId="15C21061">
      <w:pPr>
        <w:pStyle w:val="38"/>
        <w:numPr>
          <w:ilvl w:val="3"/>
          <w:numId w:val="26"/>
        </w:numPr>
        <w:spacing w:line="360" w:lineRule="auto"/>
        <w:jc w:val="both"/>
        <w:rPr>
          <w:sz w:val="24"/>
          <w:szCs w:val="24"/>
        </w:rPr>
      </w:pPr>
      <w:r>
        <w:rPr>
          <w:sz w:val="24"/>
          <w:szCs w:val="24"/>
        </w:rPr>
        <w:t>Dekonstruksi Paradigma Judicial Activism vs Judicial Restraint di Pengadilan Tingkat Pertama (Mulut Undang-Undang)</w:t>
      </w:r>
    </w:p>
    <w:p w14:paraId="50FB1089">
      <w:pPr>
        <w:pStyle w:val="38"/>
        <w:spacing w:line="360" w:lineRule="auto"/>
        <w:ind w:left="360"/>
        <w:jc w:val="both"/>
        <w:rPr>
          <w:sz w:val="24"/>
          <w:szCs w:val="24"/>
        </w:rPr>
      </w:pPr>
      <w:r>
        <w:rPr>
          <w:sz w:val="24"/>
          <w:szCs w:val="24"/>
        </w:rPr>
        <w:t xml:space="preserve">Sebagai penutup rangkaian pisau analisis teoritis pada rumusan masalah kedua, posisi Majelis Hakim Pengadilan Negeri Medan wajib diuji menggunakan dikotomi teori perilaku yudisial, yaitu Teori Judicial Restraint (Kekangan Yudisial) melawan Teori Judicial Activism (Aktivisme Yudisial). Pakar hukum tata negara Prof. Saldi Isra menjelaskan bahwa judicial restraint adalah sikap hakim yang memilih patuh dan bersandar sepenuhnya pada teks tertulis undang-undang serta enggan melakukan terobosan hukum demi menjaga stabilitas pembagian kekuasaan. </w:t>
      </w:r>
    </w:p>
    <w:p w14:paraId="4AB6338E">
      <w:pPr>
        <w:pStyle w:val="38"/>
        <w:spacing w:line="360" w:lineRule="auto"/>
        <w:ind w:left="360" w:firstLine="360"/>
        <w:jc w:val="both"/>
        <w:rPr>
          <w:sz w:val="24"/>
          <w:szCs w:val="24"/>
        </w:rPr>
      </w:pPr>
      <w:r>
        <w:rPr>
          <w:sz w:val="24"/>
          <w:szCs w:val="24"/>
        </w:rPr>
        <w:t>Sebaliknya, judicial activism mendorong hakim untuk berani melakukan penemuan hukum baru (rechtsvinding) demi melindungi hak-hak dasar warga negara ketika undang-undang tertulis dinilai mandul di lapangan. Berdasarkan lembar pertimbangan Putusan No. 1/Pid.S/2024/PN Mdn, Majelis Hakim Pengadilan Negeri Medan secara mutlak menerapkan paradigma Judicial Restraint yang sangat pasif. Hakim hanya bertindak sebagai "mulut undang-undang" (la bouche de la loi) sebagaimana dikonsepkan oleh Montesquieu.</w:t>
      </w:r>
    </w:p>
    <w:p w14:paraId="4AE4BBFB">
      <w:pPr>
        <w:pStyle w:val="38"/>
        <w:spacing w:line="360" w:lineRule="auto"/>
        <w:ind w:left="360" w:firstLine="360"/>
        <w:jc w:val="both"/>
        <w:rPr>
          <w:sz w:val="24"/>
          <w:szCs w:val="24"/>
        </w:rPr>
      </w:pPr>
      <w:r>
        <w:rPr>
          <w:sz w:val="24"/>
          <w:szCs w:val="24"/>
        </w:rPr>
        <w:t>Hakim menolak melakukan interpretasi progresif atas Pasal 554 UU Pemilu mengenai keharusan penambahan sepertiga hukuman bagi penyelenggara secara substansial. Mereka lebih memilih berlindung di balik formalitas hal-hal meringankan yang bersifat normatif klise (terdakwa sopan dan mengakui perbuatan). Kritik akademis dalam skripsi ini menegaskan bahwa dalam perkara tindak pidana pemilu legislatif yang bersifat extraordinary karena mencederai hak konstitusional masyarakat, sikap judicial restraint yang berlebihan dari hakim tingkat pertama justru melumpuhkan fungsi pengadilan sebagai benteng terakhir penjaga keadilan kedaulatan rakyat.</w:t>
      </w:r>
    </w:p>
    <w:p w14:paraId="440C6D84">
      <w:pPr>
        <w:pStyle w:val="38"/>
        <w:spacing w:line="360" w:lineRule="auto"/>
        <w:ind w:left="567"/>
        <w:jc w:val="both"/>
        <w:rPr>
          <w:sz w:val="24"/>
          <w:szCs w:val="24"/>
        </w:rPr>
      </w:pPr>
    </w:p>
    <w:p w14:paraId="2BD238EC">
      <w:pPr>
        <w:pStyle w:val="38"/>
        <w:spacing w:line="360" w:lineRule="auto"/>
        <w:ind w:left="567"/>
        <w:jc w:val="both"/>
        <w:rPr>
          <w:sz w:val="24"/>
          <w:szCs w:val="24"/>
        </w:rPr>
      </w:pPr>
    </w:p>
    <w:p w14:paraId="3ADE72A7">
      <w:pPr>
        <w:pStyle w:val="38"/>
        <w:spacing w:line="360" w:lineRule="auto"/>
        <w:ind w:left="567"/>
        <w:jc w:val="both"/>
        <w:rPr>
          <w:sz w:val="24"/>
          <w:szCs w:val="24"/>
        </w:rPr>
      </w:pPr>
    </w:p>
    <w:p w14:paraId="02E13DFF">
      <w:pPr>
        <w:pStyle w:val="38"/>
        <w:spacing w:line="360" w:lineRule="auto"/>
        <w:ind w:left="567"/>
        <w:jc w:val="both"/>
        <w:rPr>
          <w:sz w:val="24"/>
          <w:szCs w:val="24"/>
        </w:rPr>
      </w:pPr>
    </w:p>
    <w:p w14:paraId="16142480">
      <w:pPr>
        <w:pStyle w:val="38"/>
        <w:spacing w:line="360" w:lineRule="auto"/>
        <w:ind w:left="567"/>
        <w:jc w:val="both"/>
        <w:rPr>
          <w:sz w:val="24"/>
          <w:szCs w:val="24"/>
        </w:rPr>
      </w:pPr>
    </w:p>
    <w:p w14:paraId="1DC8F335">
      <w:pPr>
        <w:pStyle w:val="38"/>
        <w:numPr>
          <w:ilvl w:val="1"/>
          <w:numId w:val="7"/>
        </w:numPr>
        <w:spacing w:line="360" w:lineRule="auto"/>
        <w:jc w:val="both"/>
        <w:outlineLvl w:val="1"/>
        <w:rPr>
          <w:b/>
          <w:sz w:val="24"/>
          <w:szCs w:val="24"/>
        </w:rPr>
      </w:pPr>
      <w:bookmarkStart w:id="42" w:name="_Toc230017869"/>
      <w:r>
        <w:rPr>
          <w:b/>
          <w:sz w:val="24"/>
          <w:szCs w:val="24"/>
        </w:rPr>
        <w:t>Kendala dan Hambatan Panitia Pemilihan Kecamatan (PPK) dalam Pemilu Legislatif</w:t>
      </w:r>
      <w:bookmarkEnd w:id="42"/>
      <w:r>
        <w:rPr>
          <w:b/>
          <w:sz w:val="24"/>
          <w:szCs w:val="24"/>
        </w:rPr>
        <w:t xml:space="preserve"> </w:t>
      </w:r>
    </w:p>
    <w:p w14:paraId="41270548">
      <w:pPr>
        <w:spacing w:line="360" w:lineRule="auto"/>
        <w:ind w:firstLine="427"/>
        <w:jc w:val="both"/>
        <w:rPr>
          <w:sz w:val="24"/>
          <w:szCs w:val="24"/>
        </w:rPr>
      </w:pPr>
      <w:bookmarkStart w:id="43" w:name="_Toc230017873"/>
      <w:r>
        <w:rPr>
          <w:sz w:val="24"/>
          <w:szCs w:val="24"/>
        </w:rPr>
        <w:t>Analisis Komprehensif, Multidimensi, dan Doktriner Terhadap Kendala Serta Hambatan Panitia Pemilihan Kecamatan (PPK) dalam Pemilihan Umum LegislatifUntuk mengurai secara radikal, mendalam, luas, dan komprehensif mengenai kompleksitas kendala serta hambatan yang dihadapi oleh Panitia Pemilihan Kecamatan (PPK) dalam penyelenggaraan Pemilihan Umum Legislatif, analisis dalam bagian ini tidak boleh hanya diletakkan pada pemahaman sempit sebagai persoalan teknis-operasional lapangan semata. PPK, sebagai institusi penyelenggara pemilu ad-hoc yang menempati posisi perpanjangan tangan Komisi Pemilihan Umum (KPU) di tingkat kecamatan, sesungguhnya berada tepat pada episentrum benturan kepentingan politik elektoral yang sangat konfliktual.</w:t>
      </w:r>
    </w:p>
    <w:p w14:paraId="11026A82">
      <w:pPr>
        <w:spacing w:line="360" w:lineRule="auto"/>
        <w:ind w:firstLine="427"/>
        <w:jc w:val="both"/>
        <w:rPr>
          <w:sz w:val="24"/>
          <w:szCs w:val="24"/>
        </w:rPr>
      </w:pPr>
      <w:r>
        <w:rPr>
          <w:sz w:val="24"/>
          <w:szCs w:val="24"/>
        </w:rPr>
        <w:t>Dalam perspektif sosiologi hukum, filsafat hukum, kriminologi, dan teori organisasi, hambatan yang dialami oleh fungsionaris PPK merupakan akumulasi dari disfungsi struktural yang bersifat laten, kelemahan sistem digital, hingga penetrasi intervensi eksternal yang merusak integritas sistem secara masif. Untuk membedah seluruh problematika tersebut secara ilmiah, doktriner, dan luas, analisis komprehensif ini diklasifikasikan ke dalam sepuluh bagian analisis mikro yang saling bertautan sebagai berikut:</w:t>
      </w:r>
    </w:p>
    <w:p w14:paraId="24BCBE6B">
      <w:pPr>
        <w:pStyle w:val="38"/>
        <w:numPr>
          <w:ilvl w:val="6"/>
          <w:numId w:val="26"/>
        </w:numPr>
        <w:spacing w:line="360" w:lineRule="auto"/>
        <w:jc w:val="both"/>
        <w:rPr>
          <w:sz w:val="24"/>
          <w:szCs w:val="24"/>
        </w:rPr>
      </w:pPr>
      <w:r>
        <w:rPr>
          <w:sz w:val="24"/>
          <w:szCs w:val="24"/>
        </w:rPr>
        <w:t>Hambatan Struktural-Organisasional dan Beban Kerja Ekstrem (Pendekatan Teori Birokrasi Max Weber dan Teori Pembagian Kerja)Klaster hambatan pertama yang paling mendasar adalah adanya ketidakseimbangan struktural antara kapasitas kelembagaan yang bersifat ad-hoc dengan volume beban kerja fungsional yang dibebankan oleh regulasi undang-undang secara kaku.</w:t>
      </w:r>
    </w:p>
    <w:p w14:paraId="77E1C365">
      <w:pPr>
        <w:pStyle w:val="38"/>
        <w:spacing w:line="360" w:lineRule="auto"/>
        <w:ind w:left="360" w:firstLine="360"/>
        <w:jc w:val="both"/>
        <w:rPr>
          <w:sz w:val="24"/>
          <w:szCs w:val="24"/>
        </w:rPr>
      </w:pPr>
      <w:r>
        <w:rPr>
          <w:sz w:val="24"/>
          <w:szCs w:val="24"/>
        </w:rPr>
        <w:t xml:space="preserve"> Jika dianalisis menggunakan Teori Birokrasi yang dikembangkan oleh Max Weber, sebuah institusi birokrasi yang ideal, rasional, dan efisien menghendaki adanya pembagian kerja yang jelas (division of labor), hierarki otoritas yang terstruktur, kepatuhan prosedural, serta kompetensi teknis yang memadai untuk menjamin kelancaran roda organisasi. </w:t>
      </w:r>
    </w:p>
    <w:p w14:paraId="2B11E032">
      <w:pPr>
        <w:pStyle w:val="38"/>
        <w:spacing w:line="360" w:lineRule="auto"/>
        <w:ind w:left="360" w:firstLine="360"/>
        <w:jc w:val="both"/>
        <w:rPr>
          <w:sz w:val="24"/>
          <w:szCs w:val="24"/>
        </w:rPr>
      </w:pPr>
      <w:r>
        <w:rPr>
          <w:sz w:val="24"/>
          <w:szCs w:val="24"/>
        </w:rPr>
        <w:t xml:space="preserve">Namun, dalam realitas penyelenggaraan Pemilu Legislatif di Indonesia, struktur PPK justru mengalami fenomena yang disebut oleh pakar administrasi publik Prof. Eko Prasojo sebagai over-bureaucratization sekaligus structural strain.PPK dipaksa menghadapi beban kerja yang melampaui batas kapasitas biologis manusia normal selama proses rapat pleno terbuka rekapitulasi manual berjenjang di tingkat kecamatan. </w:t>
      </w:r>
    </w:p>
    <w:p w14:paraId="67D2A438">
      <w:pPr>
        <w:pStyle w:val="38"/>
        <w:spacing w:line="360" w:lineRule="auto"/>
        <w:ind w:left="360" w:firstLine="360"/>
        <w:jc w:val="both"/>
        <w:rPr>
          <w:sz w:val="24"/>
          <w:szCs w:val="24"/>
        </w:rPr>
      </w:pPr>
      <w:r>
        <w:rPr>
          <w:sz w:val="24"/>
          <w:szCs w:val="24"/>
        </w:rPr>
        <w:t>Proses penghitungan, pencocokan, dan rekapitulasi dokumen dari ratusan hingga ribuan Tempat Pemungutan Suara (TPS) di tingkat kecamatan memakan waktu berhari-hari bahkan berminggu-minggu yang berlangsung konstan hingga dini hari. Condition ini memicu kelelahan fisik (physical fatigue) dan penurunan konsentrasi psikologis yang sangat ekstrem bagi para komisioner.</w:t>
      </w:r>
    </w:p>
    <w:p w14:paraId="16F2F22E">
      <w:pPr>
        <w:pStyle w:val="38"/>
        <w:spacing w:line="360" w:lineRule="auto"/>
        <w:ind w:left="360" w:firstLine="360"/>
        <w:jc w:val="both"/>
        <w:rPr>
          <w:sz w:val="24"/>
          <w:szCs w:val="24"/>
        </w:rPr>
      </w:pPr>
      <w:r>
        <w:rPr>
          <w:sz w:val="24"/>
          <w:szCs w:val="24"/>
        </w:rPr>
        <w:t>Menurut tokoh hukum administrasi negara Prof. Philipus M. Hadjon, ketika suatu organ pemerintahan dibebani oleh fungsi operasional yang tidak proporsional tanpa didukung oleh sistem proteksi manajerial yang memadai, maka organ tersebut secara otomatis akan mengalami patologi birokrasi (bureaucratic pathology). Kelelahan fisik yang ekstrem ini mereduksi ketelitian dan ketajaman berfikir para anggota PPK, sehingga menciptakan kerentanan psikologis yang merusak integritas kepatuhan hukum mereka dan membuka celah kompromi kriminalitas di lapangan.</w:t>
      </w:r>
    </w:p>
    <w:p w14:paraId="01418F87">
      <w:pPr>
        <w:pStyle w:val="38"/>
        <w:numPr>
          <w:ilvl w:val="6"/>
          <w:numId w:val="26"/>
        </w:numPr>
        <w:spacing w:line="360" w:lineRule="auto"/>
        <w:jc w:val="both"/>
        <w:rPr>
          <w:sz w:val="24"/>
          <w:szCs w:val="24"/>
        </w:rPr>
      </w:pPr>
      <w:r>
        <w:rPr>
          <w:sz w:val="24"/>
          <w:szCs w:val="24"/>
        </w:rPr>
        <w:t xml:space="preserve">Hambatan Teknosentris dan Kelemahan Infrastruktur Digital (Dilema Aplikasi Sirekap dalam Perspektif Cyber Law)Hambatan kedua bergerak pada dimensi modernisasi penegakan hukum pemilu melalui pemanfaatan teknologi informasi, yang dalam praktiknya justru menjelma menjadi sumber utama kekacauan data. </w:t>
      </w:r>
    </w:p>
    <w:p w14:paraId="4B2BE617">
      <w:pPr>
        <w:pStyle w:val="38"/>
        <w:spacing w:line="360" w:lineRule="auto"/>
        <w:ind w:left="360" w:firstLine="360"/>
        <w:jc w:val="both"/>
        <w:rPr>
          <w:sz w:val="24"/>
          <w:szCs w:val="24"/>
        </w:rPr>
      </w:pPr>
      <w:r>
        <w:rPr>
          <w:sz w:val="24"/>
          <w:szCs w:val="24"/>
        </w:rPr>
        <w:t>Implementasi aplikasi Sirekap (Sistem Informasi Rekapitulasi) sebagai instrumen transparansi digital dalam Pemilu Legislatif memicu disparitas data yang sangat masif. Prof. Ahmad M. Ramli dalam teorinya mengenai hukum teknologi informasi (cyber law) menyatakan bahwa proses digitalisasi hukum dan birokrasi publik wajib bersandar pada asas kesiapan infrastruktur (cyber readiness) serta keandalan sistem (system reliability).</w:t>
      </w:r>
    </w:p>
    <w:p w14:paraId="6E26D519">
      <w:pPr>
        <w:pStyle w:val="38"/>
        <w:spacing w:line="360" w:lineRule="auto"/>
        <w:ind w:left="360" w:firstLine="360"/>
        <w:jc w:val="both"/>
        <w:rPr>
          <w:sz w:val="24"/>
          <w:szCs w:val="24"/>
        </w:rPr>
      </w:pPr>
      <w:r>
        <w:rPr>
          <w:sz w:val="24"/>
          <w:szCs w:val="24"/>
        </w:rPr>
        <w:t>Di lapangan, aplikasi Sirekap terbukti mengalami ketidakstabilan sistemik, mulai dari down-time server akibat kelebihan beban kerja, kesalahan konversi teknologi Optical Character Recognition (OCR) dan Optical Mark Recognition (OMR) dalam membaca angka fisik dari Formulir C.Hasil, hingga kegagalan sinkronisasi data digital kecamatan dengan server KPU pusat. Pakar hukum sosiologis William F. Ogburn melalui teorinya Cultural Lag (Ketertinggalan Budaya) menjelaskan bahwa kegoncangan hukum, penyimpangan, dan kejahatan sering kali meledak ketika teknologi materiil berkembang jauh lebih cepat daripada kesiapan mental, kesadaran moral, dan aturan hukum formal dari manusia yang ditugaskan untuk mengoperasikannya.</w:t>
      </w:r>
    </w:p>
    <w:p w14:paraId="62CA1618">
      <w:pPr>
        <w:pStyle w:val="38"/>
        <w:spacing w:line="360" w:lineRule="auto"/>
        <w:ind w:left="360" w:firstLine="360"/>
        <w:jc w:val="both"/>
        <w:rPr>
          <w:sz w:val="24"/>
          <w:szCs w:val="24"/>
        </w:rPr>
      </w:pPr>
      <w:r>
        <w:rPr>
          <w:sz w:val="24"/>
          <w:szCs w:val="24"/>
        </w:rPr>
        <w:t>Kelemahan teknis Sirekap ini melahirkan ruang abu-abu (grey area) yang sangat pekat. Ketidakcocokan antara angka digital di layar aplikasi dengan plano fisik di ruang pleno kecamatan inilah yang kemudian dieksploitasi oleh oknum PPK bersama aktor politik luar sebagai alasan pembenar yudisial untuk melakukan pembukaan kotak suara secara sepihak dan melakukan pergeseran suara secara manual dengan dalih melakukan "sinkronisasi sistem". Teknologi digital yang awalnya didesain sebagai alat pencegahan kecurangan, justru terdistorsi menjadi instrumen penyelubung kejahatan kerah putih (white-collar crime) pemilu.</w:t>
      </w:r>
    </w:p>
    <w:p w14:paraId="7DBE73DA">
      <w:pPr>
        <w:pStyle w:val="38"/>
        <w:numPr>
          <w:ilvl w:val="6"/>
          <w:numId w:val="26"/>
        </w:numPr>
        <w:spacing w:line="360" w:lineRule="auto"/>
        <w:jc w:val="both"/>
        <w:rPr>
          <w:sz w:val="24"/>
          <w:szCs w:val="24"/>
        </w:rPr>
      </w:pPr>
      <w:r>
        <w:rPr>
          <w:sz w:val="24"/>
          <w:szCs w:val="24"/>
        </w:rPr>
        <w:t xml:space="preserve">Hambatan Moral-Integritas dan Tekanan Struktural Lingkungan Politik Lokal (Teori Anomie dan Kriminologi Elektoral)Hambatan ketiga merupakan hambatan yang paling destruktif bagi sendi demokrasi, yaitu runtuhnya benteng moralitas komisioner akibat penetrasi kepentingan politik elektoral parpol dan caleg yang sangat agresif. </w:t>
      </w:r>
    </w:p>
    <w:p w14:paraId="0E6F69EF">
      <w:pPr>
        <w:pStyle w:val="38"/>
        <w:spacing w:line="360" w:lineRule="auto"/>
        <w:ind w:left="360" w:firstLine="360"/>
        <w:jc w:val="both"/>
        <w:rPr>
          <w:sz w:val="24"/>
          <w:szCs w:val="24"/>
        </w:rPr>
      </w:pPr>
      <w:r>
        <w:rPr>
          <w:sz w:val="24"/>
          <w:szCs w:val="24"/>
        </w:rPr>
        <w:t>Fenomena penyimpangan perilaku oknum PPK ini dapat dibedah secara tajam menggunakan Teori Tekanan Struktural (Structural Strain Theory) yang dikembangkan oleh sosiolog kriminalitas Robert K. Merton. Merton berpendapat bahwa kejahatan terjadi ketika terdapat disproorsi atau ketidakserasian yang tajam antara tujuan budaya yang diagungkan oleh masyarakat (dalam hal ini: memenangkan kursi parlemen legislatif atau mendapatkan keuntungan material personal secara instan) dengan ketersediaan sarana-sarana institusional yang sah untuk mencapai tujuan tersebut.</w:t>
      </w:r>
    </w:p>
    <w:p w14:paraId="633FB37D">
      <w:pPr>
        <w:pStyle w:val="38"/>
        <w:spacing w:line="360" w:lineRule="auto"/>
        <w:ind w:left="360" w:firstLine="360"/>
        <w:jc w:val="both"/>
        <w:rPr>
          <w:sz w:val="24"/>
          <w:szCs w:val="24"/>
        </w:rPr>
      </w:pPr>
      <w:r>
        <w:rPr>
          <w:sz w:val="24"/>
          <w:szCs w:val="24"/>
        </w:rPr>
        <w:t xml:space="preserve">Dalam pusaran Pemilu Legislatif yang bercorak sistem proporsional terbuka, kompetisi politik berjalan sangat brutal, tidak hanya antar-partai tetapi juga persaingan internal sesama caleg di partai yang sama. Kondisi anomie ini mendorong para aktor politik untuk menghalalkan segala cara dan menempuh jalur ilegal melalui tindakan penyuapan (electoral bribery) kepada fungsionaris PPK guna mencuri atau memindahkan suara parpol kecil yang tidak lolos ambang batas parlemen demi mengamankan kursi mereka.Kriminolog Edwin Sutherland melalui teori Differential Association menegaskan bahwa perilaku kriminal dipelajari melalui interaksi intim dengan lingkungan yang mendefinisikan pelanggaran hukum sebagai hal yang menguntungkan secara rasional. </w:t>
      </w:r>
    </w:p>
    <w:p w14:paraId="1DD5AF0F">
      <w:pPr>
        <w:pStyle w:val="38"/>
        <w:spacing w:line="360" w:lineRule="auto"/>
        <w:ind w:left="360" w:firstLine="360"/>
        <w:jc w:val="both"/>
        <w:rPr>
          <w:sz w:val="24"/>
          <w:szCs w:val="24"/>
        </w:rPr>
      </w:pPr>
      <w:r>
        <w:rPr>
          <w:sz w:val="24"/>
          <w:szCs w:val="24"/>
        </w:rPr>
        <w:t>Oknum PPK yang berada dalam jejaring relasi kuasa politik lokal yang korup (mengacu pada teori relasi kuasa Michel Foucault) akhirnya mengalami disorientasi moral. Otoritas jabatan yang melekat pada diri mereka dieksploitasi untuk memfasilitasi transaksi jual-beli suara rakyat demi motif keuntungan material personal, sebagaimana yang terbukti secara materiil dalam modus operandi kasus PPK Medan Timur.</w:t>
      </w:r>
    </w:p>
    <w:p w14:paraId="29A99476">
      <w:pPr>
        <w:pStyle w:val="38"/>
        <w:numPr>
          <w:ilvl w:val="6"/>
          <w:numId w:val="26"/>
        </w:numPr>
        <w:spacing w:line="360" w:lineRule="auto"/>
        <w:jc w:val="both"/>
        <w:rPr>
          <w:sz w:val="24"/>
          <w:szCs w:val="24"/>
        </w:rPr>
      </w:pPr>
      <w:r>
        <w:rPr>
          <w:sz w:val="24"/>
          <w:szCs w:val="24"/>
        </w:rPr>
        <w:t xml:space="preserve">Lemahnya Sistem Pengawasan Melekat dan Gagasan Loophole Hukum Pemilu (Teori Checks and Balances)Hambatan keempat yang melancarkan terjadinya delik pemilu legislatif di tingkat kecamatan adalah tidak efektifnya instrumen pengawasan melekat yang dijalankan oleh Bawaslu tingkat kecamatan (Panwascam) serta saksi-saksi dari partai politik. Prof. Jimly Asshiddiqie menyatakan bahwa efektivitas penegakan hukum demokrasi sangat bergantung pada keandalan sistem pengawasan (checks and balances) antarinstitusi hukum. </w:t>
      </w:r>
    </w:p>
    <w:p w14:paraId="69B14DAE">
      <w:pPr>
        <w:pStyle w:val="38"/>
        <w:spacing w:line="360" w:lineRule="auto"/>
        <w:ind w:left="360" w:firstLine="360"/>
        <w:jc w:val="both"/>
        <w:rPr>
          <w:sz w:val="24"/>
          <w:szCs w:val="24"/>
        </w:rPr>
      </w:pPr>
      <w:r>
        <w:rPr>
          <w:sz w:val="24"/>
          <w:szCs w:val="24"/>
        </w:rPr>
        <w:t>Jika lembaga pengawas mandul, maka hukum formal tertulis hanya akan menjadi macan kertas (law in books) yang kehilangan taji eksekutorialnya di lapangan.Fakta sengketa hasil pemilu menunjukkan bahwa Panwascam sering kali menghadapi keterbatasan personel, keterbatasan akses pengawasan, serta minimnya kompetensi teknis untuk memelototi ratusan formulir C.Hasil yang diinput secara simultan dalam pleno kecamatan.</w:t>
      </w:r>
    </w:p>
    <w:p w14:paraId="51FDEBBE">
      <w:pPr>
        <w:pStyle w:val="38"/>
        <w:spacing w:line="360" w:lineRule="auto"/>
        <w:ind w:left="360" w:firstLine="360"/>
        <w:jc w:val="both"/>
        <w:rPr>
          <w:sz w:val="24"/>
          <w:szCs w:val="24"/>
        </w:rPr>
      </w:pPr>
      <w:r>
        <w:rPr>
          <w:sz w:val="24"/>
          <w:szCs w:val="24"/>
        </w:rPr>
        <w:t xml:space="preserve"> Di sisi lain, saksi-saksi partai politik di tingkat kecamatan sering kali kurang jeli, tidak memegang data pembanding C.Hasil yang lengkap dari seluruh TPS, atau bahkan dalam beberapa kasus ekstrem, terjadi "perselingkuhan politik" di mana saksi parpol tertentu menutup mata atas hilangnya suara parpol lain karena adanya kompensasi tertentu di balik layar.Kondisi kelonggaran pengawasan ini melahirkan apa yang disebut dalam teori hukum sebagai Loophole Hukum (Celah Hukum). Pakar hukum progresif Prof. Satjipto Rahardjo mengingatkan bahwa kelemahan pengawasan dan celah hukum formal ini selalu dibaca oleh pelaku kejahatan sebagai undangan terbuka untuk melakukan pelanggaran.</w:t>
      </w:r>
    </w:p>
    <w:p w14:paraId="1549C892">
      <w:pPr>
        <w:pStyle w:val="38"/>
        <w:spacing w:line="360" w:lineRule="auto"/>
        <w:ind w:left="360" w:firstLine="360"/>
        <w:jc w:val="both"/>
        <w:rPr>
          <w:sz w:val="24"/>
          <w:szCs w:val="24"/>
        </w:rPr>
      </w:pPr>
      <w:r>
        <w:rPr>
          <w:sz w:val="24"/>
          <w:szCs w:val="24"/>
        </w:rPr>
        <w:t>Ketiadaan pengawasan yang ketat dan responsif dari Panwascam menciptakan rasa aman bagi oknum PPK untuk mengeksekusi niat jahat (mens rea) mereka tanpa takut tertangkap tangan, sehingga kejahatan demokrasi ini dapat berlangsung secara sistematis, tenang, dan berulang selama masa pleno rekapitulasi kecamatan.</w:t>
      </w:r>
    </w:p>
    <w:p w14:paraId="4AA035C5">
      <w:pPr>
        <w:pStyle w:val="38"/>
        <w:numPr>
          <w:ilvl w:val="6"/>
          <w:numId w:val="26"/>
        </w:numPr>
        <w:spacing w:line="360" w:lineRule="auto"/>
        <w:jc w:val="both"/>
        <w:rPr>
          <w:sz w:val="24"/>
          <w:szCs w:val="24"/>
        </w:rPr>
      </w:pPr>
      <w:r>
        <w:rPr>
          <w:sz w:val="24"/>
          <w:szCs w:val="24"/>
        </w:rPr>
        <w:t xml:space="preserve">Hambatan Budaya Hukum Organisasi Pen penyelenggara dan Teori Kepatuhan Hukum (Legal Culture Theory)Hambatan kelima terletak pada lemahnya budaya hukum internal (legal culture) di lingkungan penyelenggara pemilu ad-hoc, yang cenderung meremehkan konsekuensi yuridis dari pelanggaran prosedur administrasi. </w:t>
      </w:r>
    </w:p>
    <w:p w14:paraId="7F3BB143">
      <w:pPr>
        <w:pStyle w:val="38"/>
        <w:spacing w:line="360" w:lineRule="auto"/>
        <w:ind w:left="360" w:firstLine="360"/>
        <w:jc w:val="both"/>
        <w:rPr>
          <w:sz w:val="24"/>
          <w:szCs w:val="24"/>
        </w:rPr>
      </w:pPr>
      <w:r>
        <w:rPr>
          <w:sz w:val="24"/>
          <w:szCs w:val="24"/>
        </w:rPr>
        <w:t>Untuk membedah hambaatan ini secara ilmiah, kita wajib menggunakan Teori Kesadaran Hukum yang digagas oleh Lawrence M. Friedman. Friedman membagi sistem hukum ke dalam tiga elemen dasar: struktur hukum (legal structure), substansi hukum (legal substance), dan budaya hukum (legal culture). Friedman menegaskan bahwa sebaik apa pun struktur penegak hukum dibangun dan sekeras apa pun substansi undang-undang dirancang, sistem hukum akan lumpuh total jika budaya hukum masyarakat dan aparat pelaksananya tidak memiliki kepatuhan nilai moral.</w:t>
      </w:r>
    </w:p>
    <w:p w14:paraId="300C4A5B">
      <w:pPr>
        <w:pStyle w:val="38"/>
        <w:spacing w:line="360" w:lineRule="auto"/>
        <w:ind w:left="360" w:firstLine="360"/>
        <w:jc w:val="both"/>
        <w:rPr>
          <w:sz w:val="24"/>
          <w:szCs w:val="24"/>
        </w:rPr>
      </w:pPr>
      <w:r>
        <w:rPr>
          <w:sz w:val="24"/>
          <w:szCs w:val="24"/>
        </w:rPr>
        <w:t>Budaya hukum yang hidup di kalangan sebagian fungsionaris PPK masih terjebak dalam paradigma pragmatisme, di mana mereka menganggap bahwa jabatan ad-hoc sebagai penyelenggara pemilu kecamatan hanyalah pekerjaan musiman komersial yang bebas dari tanggung jawab hukum jangka panjang. Prof. Soerjono Soekanto dalam teorinya mengenai faktor-faktor yang mempengaruhi penegakan hukum menyebutkan bahwa kesadaran hukum masyarakat dan aparat dipengaruhi oleh pemahaman mereka terhadap hakikat kegunaan hukum itu sendiri.</w:t>
      </w:r>
    </w:p>
    <w:p w14:paraId="628D5801">
      <w:pPr>
        <w:pStyle w:val="38"/>
        <w:spacing w:line="360" w:lineRule="auto"/>
        <w:ind w:left="360" w:firstLine="360"/>
        <w:jc w:val="both"/>
        <w:rPr>
          <w:sz w:val="24"/>
          <w:szCs w:val="24"/>
        </w:rPr>
      </w:pPr>
      <w:r>
        <w:rPr>
          <w:sz w:val="24"/>
          <w:szCs w:val="24"/>
        </w:rPr>
        <w:t>Ketika oknum PPK memandang aturan hukum pemilu hanya sebagai formalitas administratif yang elastis, bukan sebagai norma suci yang memproteksi hak konstitusional rakyat, maka runtuhlah moralitas penegakan hukum. Lemahnya budaya hukum organisasi ini melahirkan sikap permisif terhadap penyimpangan kecil di tingkat kecamatan yang lambat laun berakumulasi menjadi kejahatan sistematis berupa manipulasi selisih suara partai politik.</w:t>
      </w:r>
    </w:p>
    <w:p w14:paraId="6375FB1F">
      <w:pPr>
        <w:pStyle w:val="38"/>
        <w:spacing w:line="360" w:lineRule="auto"/>
        <w:ind w:left="360" w:firstLine="360"/>
        <w:jc w:val="both"/>
        <w:rPr>
          <w:sz w:val="24"/>
          <w:szCs w:val="24"/>
        </w:rPr>
      </w:pPr>
    </w:p>
    <w:p w14:paraId="402FCF85">
      <w:pPr>
        <w:pStyle w:val="38"/>
        <w:numPr>
          <w:ilvl w:val="6"/>
          <w:numId w:val="26"/>
        </w:numPr>
        <w:spacing w:line="360" w:lineRule="auto"/>
        <w:jc w:val="both"/>
        <w:rPr>
          <w:sz w:val="24"/>
          <w:szCs w:val="24"/>
        </w:rPr>
      </w:pPr>
      <w:r>
        <w:rPr>
          <w:sz w:val="24"/>
          <w:szCs w:val="24"/>
        </w:rPr>
        <w:t xml:space="preserve">Hambatan Kompetensi Teknis Yuridis dan Problem Manajemen Rekrutmen Institusi Ad-HocHambatan keenam yang sangat krusial dalam dimensi tata kelola organisasi pemilu adalah buruknya kualitas manajemen rekrutmen komisioner tingkat kecamatan yang berimbas pada rendahnya kompetensi teknis yuridis anggota PPK. </w:t>
      </w:r>
    </w:p>
    <w:p w14:paraId="0538F371">
      <w:pPr>
        <w:pStyle w:val="38"/>
        <w:spacing w:line="360" w:lineRule="auto"/>
        <w:ind w:left="360" w:firstLine="360"/>
        <w:jc w:val="both"/>
        <w:rPr>
          <w:sz w:val="24"/>
          <w:szCs w:val="24"/>
        </w:rPr>
      </w:pPr>
      <w:r>
        <w:rPr>
          <w:sz w:val="24"/>
          <w:szCs w:val="24"/>
        </w:rPr>
        <w:t>Tokoh hukum tata negara Prof. Yusril Ihza Mahendra menyatakan bahwa validitas tindakan hukum yang diambil oleh pejabat publik mutlak menghendaki adanya keabsahan wewenang, prosedur, dan substansi pemahaman regulasi. Jika seorang pejabat publik tidak memahami batas-aspek teknis yuridis dari jabatan yang diembannya, maka tindakan hukum yang dilahirkannya secara otomatis akan cacat hukum (cacat wewenang).</w:t>
      </w:r>
    </w:p>
    <w:p w14:paraId="74DFEC85">
      <w:pPr>
        <w:pStyle w:val="38"/>
        <w:spacing w:line="360" w:lineRule="auto"/>
        <w:ind w:left="360" w:firstLine="360"/>
        <w:jc w:val="both"/>
        <w:rPr>
          <w:sz w:val="24"/>
          <w:szCs w:val="24"/>
        </w:rPr>
      </w:pPr>
      <w:r>
        <w:rPr>
          <w:sz w:val="24"/>
          <w:szCs w:val="24"/>
        </w:rPr>
        <w:t xml:space="preserve">Sistem rekrutmen PPK yang berjalan selama ini sering kali dikritik karena lebih menitikberatkan pada aspek kedekatan jaringan organisasi atau akomodasi politik lokal ketimbang integritas dan penguasaan hukum pemilu secara mendalam. Banyak komisioner PPK terpilih yang tidak memiliki latar belakang keilmuan hukum, tidak memahami anatomi hukum acara sengketa pemilu, serta gagap dalam mengoperasikan pembacaan instrumen data digital-fisik.Meskipun KPU telah melakukan bimbingan teknis (bimtek), durasi bimtek yang sangat singkat dinilai gagal mentransfer pemahaman regulasi pemilu yang sangat kompleks. </w:t>
      </w:r>
    </w:p>
    <w:p w14:paraId="4D81AC8B">
      <w:pPr>
        <w:pStyle w:val="38"/>
        <w:spacing w:line="360" w:lineRule="auto"/>
        <w:ind w:left="360" w:firstLine="360"/>
        <w:jc w:val="both"/>
        <w:rPr>
          <w:sz w:val="24"/>
          <w:szCs w:val="24"/>
        </w:rPr>
      </w:pPr>
      <w:r>
        <w:rPr>
          <w:sz w:val="24"/>
          <w:szCs w:val="24"/>
        </w:rPr>
        <w:t>Keterbatasan kompetensi teknis yuridis ini menyebabkan anggota PPK menjadi sangat bergantung pada operator teknologi informasi eksternal atau mudah diombang-ambingkan oleh intimidasi dari saksi partai politik yang lebih menguasai regulasi di ruang pleno kecamatan.</w:t>
      </w:r>
    </w:p>
    <w:p w14:paraId="02C51EA6">
      <w:pPr>
        <w:pStyle w:val="38"/>
        <w:numPr>
          <w:ilvl w:val="6"/>
          <w:numId w:val="26"/>
        </w:numPr>
        <w:spacing w:line="360" w:lineRule="auto"/>
        <w:jc w:val="both"/>
        <w:rPr>
          <w:sz w:val="24"/>
          <w:szCs w:val="24"/>
        </w:rPr>
      </w:pPr>
      <w:r>
        <w:rPr>
          <w:sz w:val="24"/>
          <w:szCs w:val="24"/>
        </w:rPr>
        <w:t xml:space="preserve">Hambatan Tekanan Sosiopolitik Eksternal: Ancaman Keselamatan Fisik dan Doktrin Force MajeureHambatan ketujuh yang jarang terekspos dalam teks hukum formal namun sangat menentukan perilaku PPK di lapangan adalah adanya ancaman terhadap keselamatan fisik dan psikologis fungsionaris kecamatan yang dilancarkan oleh massa pendukung kontestan politik. </w:t>
      </w:r>
    </w:p>
    <w:p w14:paraId="5F358B16">
      <w:pPr>
        <w:pStyle w:val="38"/>
        <w:spacing w:line="360" w:lineRule="auto"/>
        <w:ind w:left="360" w:firstLine="360"/>
        <w:jc w:val="both"/>
        <w:rPr>
          <w:sz w:val="24"/>
          <w:szCs w:val="24"/>
        </w:rPr>
      </w:pPr>
      <w:r>
        <w:rPr>
          <w:sz w:val="24"/>
          <w:szCs w:val="24"/>
        </w:rPr>
        <w:t xml:space="preserve">Pakar sosiologi hukum Donald Black dalam teorinya mengenai dinamika perilaku hukum menyatakan bahwa efektivitas penegakan aturan hukum berbanding lurus dengan tingkat stabilitas sosial di sekitar lingkungan penegakan hukum tersebut. </w:t>
      </w:r>
    </w:p>
    <w:p w14:paraId="2425C175">
      <w:pPr>
        <w:pStyle w:val="38"/>
        <w:spacing w:line="360" w:lineRule="auto"/>
        <w:ind w:left="360" w:firstLine="360"/>
        <w:jc w:val="both"/>
        <w:rPr>
          <w:sz w:val="24"/>
          <w:szCs w:val="24"/>
        </w:rPr>
      </w:pPr>
      <w:r>
        <w:rPr>
          <w:sz w:val="24"/>
          <w:szCs w:val="24"/>
        </w:rPr>
        <w:t>Jika lingkungan sosial berada dalam tensi konflik yang tinggi, maka hukum tertulis akan mengalami kelumpuhan operasional.Ruang rapat pleno terbuka di tingkat kecamatan sering kali dikepung dan diintimidasi oleh pengerahan massa, tim sukses, serta simpatisan calon legislatif tertentu yang tidak puas dengan perolehan suara mereka. Dalam situasi sosiopolitik yang sangat intimidatif ini, komisioner PPK bekerja di bawah bayang-bayang ketakutan akan terjadinya tindak kekerasan, perusakan fasilitas, atau penganiayaan fisik.</w:t>
      </w:r>
    </w:p>
    <w:p w14:paraId="577B76A6">
      <w:pPr>
        <w:pStyle w:val="38"/>
        <w:spacing w:line="360" w:lineRule="auto"/>
        <w:ind w:left="360" w:firstLine="360"/>
        <w:jc w:val="both"/>
        <w:rPr>
          <w:sz w:val="24"/>
          <w:szCs w:val="24"/>
        </w:rPr>
      </w:pPr>
      <w:r>
        <w:rPr>
          <w:sz w:val="24"/>
          <w:szCs w:val="24"/>
        </w:rPr>
        <w:t>Meskipun secara hukum pidana tekanan non-fisik atau ancaman dari pihak luar tidak dapat serta-merta dikategorikan sebagai keadaan memaksa murni (force majeure atau overmacht berdasarkan Pasal 48 KUHP) yang dapat menghapuskan sifat melawan hukum dari tindakan pemalsuan data, secara sosiologis tekanan lingkungan ini meruntuhkan keteguhan moral penyelenggara. PPK sering kali memilih opsi "menyerah" pada kehendak aktor politik yang intimidatif dan melakukan manipulasi suara demi mengamankan keselamatan jiwa mereka dari amukan massa di tingkat kecamatan.</w:t>
      </w:r>
    </w:p>
    <w:p w14:paraId="3683B3A5">
      <w:pPr>
        <w:pStyle w:val="38"/>
        <w:numPr>
          <w:ilvl w:val="6"/>
          <w:numId w:val="26"/>
        </w:numPr>
        <w:spacing w:line="360" w:lineRule="auto"/>
        <w:jc w:val="both"/>
        <w:rPr>
          <w:sz w:val="24"/>
          <w:szCs w:val="24"/>
        </w:rPr>
      </w:pPr>
      <w:r>
        <w:rPr>
          <w:sz w:val="24"/>
          <w:szCs w:val="24"/>
        </w:rPr>
        <w:t xml:space="preserve">Hambatan Ketidakpastian Regulasi Administrasi Pemilu dan Problem Konflik Norma Antar-LembagaHambatan kedelapan yang bersifat sistemik dan menjerat operasional kerja PPK adalah adanya ketidakpastian regulasi dan benturan norma aturan administrasi (conflict of norms) antara peraturan KPU (PKPU) dengan peraturan Bawaslu (Perbawaslu) di tingkat pelaksanaan operasional rekapitulasi. </w:t>
      </w:r>
    </w:p>
    <w:p w14:paraId="758F85A6">
      <w:pPr>
        <w:pStyle w:val="38"/>
        <w:spacing w:line="360" w:lineRule="auto"/>
        <w:ind w:left="360" w:firstLine="360"/>
        <w:jc w:val="both"/>
        <w:rPr>
          <w:sz w:val="24"/>
          <w:szCs w:val="24"/>
        </w:rPr>
      </w:pPr>
      <w:r>
        <w:rPr>
          <w:sz w:val="24"/>
          <w:szCs w:val="24"/>
        </w:rPr>
        <w:t xml:space="preserve">Pakar hukum perundang-undangan Prof. Maria Farida Indrati menyatakan bahwa asas hierarki dan sinkronisasi peraturan perundang-undangan adalah syarat mutlak untuk menghindari terjadinya dualisme tafsir hukum yang dapat membingungkan aparat pelaksana di lapangan.Di arena pleno kecamatan, PPK sering kali terjebak dalam dualisme penafsiran prosedur ketika terjadi perselisihan data suara antara Formulir C.Hasil dengan Sirekap. </w:t>
      </w:r>
    </w:p>
    <w:p w14:paraId="1E0720CD">
      <w:pPr>
        <w:pStyle w:val="38"/>
        <w:spacing w:line="360" w:lineRule="auto"/>
        <w:ind w:left="360" w:firstLine="360"/>
        <w:jc w:val="both"/>
        <w:rPr>
          <w:sz w:val="24"/>
          <w:szCs w:val="24"/>
        </w:rPr>
      </w:pPr>
      <w:r>
        <w:rPr>
          <w:sz w:val="24"/>
          <w:szCs w:val="24"/>
        </w:rPr>
        <w:t xml:space="preserve">PKPU sering kali memerintahkan agar rekapitulasi mengutamakan plano fisik, namun di sisi lain, Panwascam dengan bersandar pada Perbawaslu menuntut penghentian pleno atau penghitungan ulang secara digital. </w:t>
      </w:r>
    </w:p>
    <w:p w14:paraId="128216BE">
      <w:pPr>
        <w:pStyle w:val="38"/>
        <w:spacing w:line="360" w:lineRule="auto"/>
        <w:ind w:left="360" w:firstLine="360"/>
        <w:jc w:val="both"/>
        <w:rPr>
          <w:sz w:val="24"/>
          <w:szCs w:val="24"/>
        </w:rPr>
      </w:pPr>
      <w:r>
        <w:rPr>
          <w:sz w:val="24"/>
          <w:szCs w:val="24"/>
        </w:rPr>
        <w:t>Ketidaksinkronan aturan teknis antar-lembaga tingkat pusat ini melahirkan kebingungan hukum (legal confusion) bagi PPK yang berada di garda terdepan pelaksanaan. Konflik norma ini menciptakan celah ketidakpastian hukum yang sangat rawan dimanfaatkan oleh oknum penyelenggara untuk mengambil keputusan subjektif yang menguntungkan salah satu kontestan politik tertentu dengan dalih mengikuti salah satu aturan lembaga, sehingga merusak seluruh tatanan keadilan substantif pemilihan umum legislatif.</w:t>
      </w:r>
    </w:p>
    <w:p w14:paraId="23AF2854">
      <w:pPr>
        <w:pStyle w:val="38"/>
        <w:numPr>
          <w:ilvl w:val="6"/>
          <w:numId w:val="26"/>
        </w:numPr>
        <w:spacing w:line="360" w:lineRule="auto"/>
        <w:jc w:val="both"/>
        <w:rPr>
          <w:sz w:val="24"/>
          <w:szCs w:val="24"/>
        </w:rPr>
      </w:pPr>
      <w:r>
        <w:rPr>
          <w:sz w:val="24"/>
          <w:szCs w:val="24"/>
        </w:rPr>
        <w:t xml:space="preserve">Hambatan Keamanan Logistik Fisik dan Problem Geografis Aksesibilitas Distribusi RekapitulasiHambatan kesembilan yang menambah daftar panjang komplikasi operasional PPK adalah kerentanan pada manajemen pengamanan logistik fisik kotak suara serta keterbatasan akses geografis-spasial selama masa perpindahan dokumen pasca-pemungutan suara. </w:t>
      </w:r>
    </w:p>
    <w:p w14:paraId="11AAE5ED">
      <w:pPr>
        <w:pStyle w:val="38"/>
        <w:spacing w:line="360" w:lineRule="auto"/>
        <w:ind w:left="360" w:firstLine="360"/>
        <w:jc w:val="both"/>
        <w:rPr>
          <w:sz w:val="24"/>
          <w:szCs w:val="24"/>
        </w:rPr>
      </w:pPr>
      <w:r>
        <w:rPr>
          <w:sz w:val="24"/>
          <w:szCs w:val="24"/>
        </w:rPr>
        <w:t>Menurut pakar manajemen publik Prof. Sofian Effendi, efisiensi dari suatu layanan birokrasi lapangan sangat tergantung pada rantai pasok (supply chain) dan pengamanan material pendukung operasional yang bebas dari intervensi fisik eksternal.</w:t>
      </w:r>
    </w:p>
    <w:p w14:paraId="64436C8B">
      <w:pPr>
        <w:pStyle w:val="38"/>
        <w:spacing w:line="360" w:lineRule="auto"/>
        <w:ind w:left="360" w:firstLine="360"/>
        <w:jc w:val="both"/>
        <w:rPr>
          <w:sz w:val="24"/>
          <w:szCs w:val="24"/>
        </w:rPr>
      </w:pPr>
      <w:r>
        <w:rPr>
          <w:sz w:val="24"/>
          <w:szCs w:val="24"/>
        </w:rPr>
        <w:t>Dalam proses rekapitulasi pemilu legislatif, PPK bertanggung jawab penuh atas gudang penyimpanan logistik kotak suara kecamatan yang sering kali merupakan fasilitas pinjaman seadanya (seperti aula kantor camat atau gedung olahraga kecamatan) dengan tingkat proteksi fisik yang sangat rendah. Celah logistik ini memicu risiko terjadinya infiltrasi malam hari, pengrusakan segel kotak suara, atau penukaran lembaran C.</w:t>
      </w:r>
    </w:p>
    <w:p w14:paraId="09A7FA39">
      <w:pPr>
        <w:pStyle w:val="38"/>
        <w:spacing w:line="360" w:lineRule="auto"/>
        <w:ind w:left="360" w:firstLine="360"/>
        <w:jc w:val="both"/>
        <w:rPr>
          <w:sz w:val="24"/>
          <w:szCs w:val="24"/>
        </w:rPr>
      </w:pPr>
      <w:r>
        <w:rPr>
          <w:sz w:val="24"/>
          <w:szCs w:val="24"/>
        </w:rPr>
        <w:t>Hasil secara ilegal sebelum pleno resmi dibuka.Hambatan ini diperparah oleh kondisi cuaca ekstrem, kendala transportasi distribusi dari TPS-TPS terpencil di wilayah pinggiran kecamatan, serta minimnya anggaran pengamanan yang dialokasikan KPU daerah. Lemahnya benteng pertahanan logistik fisik ini menempatkan PPK pada situasi yang sangat rawan, di mana mereka harus memimpin pleno rekapitulasi di atas tumpukan dokumen negara yang integritas fisiknya telah mengalami kerusakan atau manipulasi oleh pihak ketiga sebelum proses input dimulai.</w:t>
      </w:r>
    </w:p>
    <w:p w14:paraId="0C371B80">
      <w:pPr>
        <w:pStyle w:val="38"/>
        <w:spacing w:line="360" w:lineRule="auto"/>
        <w:ind w:left="360" w:firstLine="360"/>
        <w:jc w:val="both"/>
        <w:rPr>
          <w:sz w:val="24"/>
          <w:szCs w:val="24"/>
        </w:rPr>
      </w:pPr>
    </w:p>
    <w:p w14:paraId="3926B938">
      <w:pPr>
        <w:pStyle w:val="38"/>
        <w:numPr>
          <w:ilvl w:val="6"/>
          <w:numId w:val="26"/>
        </w:numPr>
        <w:spacing w:line="360" w:lineRule="auto"/>
        <w:jc w:val="both"/>
        <w:rPr>
          <w:sz w:val="24"/>
          <w:szCs w:val="24"/>
        </w:rPr>
      </w:pPr>
      <w:r>
        <w:rPr>
          <w:sz w:val="24"/>
          <w:szCs w:val="24"/>
        </w:rPr>
        <w:t xml:space="preserve">Hambatan Tekanan Waktu yang Asimetris dan Problem Keterbatasan Masa Kerja Regulatif Institusi Ad-HocSebagai penutupan dekonstruksi komprehensif pada rumusan masalah ketiga ini, hambatan kesepuluh yang mengunci ruang gerak PPK adalah adanya asimetri waktu antara tenggat rekapitulasi regulatif yang sangat sempit dengan jumlah sengketa keberatan yang harus diselesaikan di meja pleno. </w:t>
      </w:r>
    </w:p>
    <w:p w14:paraId="1D9C6A45">
      <w:pPr>
        <w:pStyle w:val="38"/>
        <w:spacing w:line="360" w:lineRule="auto"/>
        <w:ind w:left="360" w:firstLine="360"/>
        <w:jc w:val="both"/>
        <w:rPr>
          <w:sz w:val="24"/>
          <w:szCs w:val="24"/>
        </w:rPr>
      </w:pPr>
      <w:r>
        <w:rPr>
          <w:sz w:val="24"/>
          <w:szCs w:val="24"/>
        </w:rPr>
        <w:t>Pakar hukum perbandingan Prof. Bagir Manan mengingatkan bahwa pembatasan waktu penegakan hukum formal (statutory limitation of time) yang dipaksakan secara radikal tanpa melihat volume beban kerja riil di lapangan akan selalu menghasilkan degradasi kualitas keadilan substantif.</w:t>
      </w:r>
    </w:p>
    <w:p w14:paraId="14A59324">
      <w:pPr>
        <w:pStyle w:val="38"/>
        <w:spacing w:line="360" w:lineRule="auto"/>
        <w:ind w:left="360" w:firstLine="360"/>
        <w:jc w:val="both"/>
        <w:rPr>
          <w:sz w:val="24"/>
          <w:szCs w:val="24"/>
        </w:rPr>
      </w:pPr>
      <w:r>
        <w:rPr>
          <w:sz w:val="24"/>
          <w:szCs w:val="24"/>
        </w:rPr>
        <w:t>PPK diikat oleh jadwal tahapan pemilu KPU yang mutlak dan tidak dapat ditawar, di mana proses rekapitulasi tingkat kecamatan harus rampung dalam hitungan hari agar tidak mengganggu jadwal pleno tingkat kabupaten/kota. Ketika saksi-saksi partai politik mengajukan ratusan interupsi, protes ketidakcocokan data, hingga tuntutan pembukaan kotak suara ulang untuk mencocokkan Form C.</w:t>
      </w:r>
    </w:p>
    <w:p w14:paraId="2F0A76CA">
      <w:pPr>
        <w:pStyle w:val="38"/>
        <w:spacing w:line="360" w:lineRule="auto"/>
        <w:ind w:left="360" w:firstLine="360"/>
        <w:jc w:val="both"/>
        <w:rPr>
          <w:sz w:val="24"/>
          <w:szCs w:val="24"/>
        </w:rPr>
      </w:pPr>
      <w:r>
        <w:rPr>
          <w:sz w:val="24"/>
          <w:szCs w:val="24"/>
        </w:rPr>
        <w:t xml:space="preserve">Hasil di puluhan TPS, PPK berada dalam posisi dilematis yang sangat menekan psikologi organisasi mereka.Jika mereka meladeni seluruh tuntutan pembukaan kotak suara demi keadilan substansial, mereka dipastikan melanggar tenggat waktu nasional dan terancam sanksi etik Dewan Kehormatan Penyelenggara Pemilu (DKPP). </w:t>
      </w:r>
    </w:p>
    <w:p w14:paraId="3F7BEB64">
      <w:pPr>
        <w:pStyle w:val="38"/>
        <w:spacing w:line="360" w:lineRule="auto"/>
        <w:ind w:left="360" w:firstLine="360"/>
        <w:jc w:val="both"/>
        <w:rPr>
          <w:sz w:val="24"/>
          <w:szCs w:val="24"/>
        </w:rPr>
      </w:pPr>
      <w:r>
        <w:rPr>
          <w:sz w:val="24"/>
          <w:szCs w:val="24"/>
        </w:rPr>
        <w:t>Sebaliknya, jika mereka mengabaikan interupsi demi mengejar tenggat waktu formal, mereka dituduh melakukan kecurangan sistematis. Desakan waktu yang asimetris inilah yang memaksa PPK mengambil jalan pintas pragmatis-prosedural, menutup ruang debat materiil, dan mengesahkan data D. Hasil yang cacat demi kelancaran administratif tahapan pemilu selanjutnya.</w:t>
      </w:r>
    </w:p>
    <w:p w14:paraId="10022429">
      <w:pPr>
        <w:pStyle w:val="38"/>
        <w:spacing w:line="360" w:lineRule="auto"/>
        <w:ind w:left="360" w:firstLine="360"/>
        <w:jc w:val="both"/>
        <w:rPr>
          <w:sz w:val="24"/>
          <w:szCs w:val="24"/>
        </w:rPr>
      </w:pPr>
    </w:p>
    <w:p w14:paraId="3D3201A7">
      <w:pPr>
        <w:pStyle w:val="38"/>
        <w:spacing w:line="360" w:lineRule="auto"/>
        <w:ind w:left="360" w:firstLine="360"/>
        <w:jc w:val="both"/>
        <w:rPr>
          <w:sz w:val="24"/>
          <w:szCs w:val="24"/>
        </w:rPr>
      </w:pPr>
    </w:p>
    <w:p w14:paraId="42762575">
      <w:pPr>
        <w:pStyle w:val="38"/>
        <w:spacing w:line="360" w:lineRule="auto"/>
        <w:ind w:left="360" w:firstLine="360"/>
        <w:jc w:val="both"/>
        <w:rPr>
          <w:sz w:val="24"/>
          <w:szCs w:val="24"/>
        </w:rPr>
      </w:pPr>
    </w:p>
    <w:p w14:paraId="4987BF69">
      <w:pPr>
        <w:pStyle w:val="38"/>
        <w:spacing w:line="360" w:lineRule="auto"/>
        <w:ind w:left="360" w:firstLine="360"/>
        <w:jc w:val="both"/>
        <w:rPr>
          <w:sz w:val="24"/>
          <w:szCs w:val="24"/>
        </w:rPr>
      </w:pPr>
    </w:p>
    <w:p w14:paraId="77C70B0A">
      <w:pPr>
        <w:pStyle w:val="38"/>
        <w:spacing w:line="360" w:lineRule="auto"/>
        <w:ind w:left="360" w:firstLine="360"/>
        <w:jc w:val="both"/>
        <w:rPr>
          <w:sz w:val="24"/>
          <w:szCs w:val="24"/>
        </w:rPr>
      </w:pPr>
    </w:p>
    <w:p w14:paraId="43AD98FD">
      <w:pPr>
        <w:pStyle w:val="38"/>
        <w:spacing w:line="360" w:lineRule="auto"/>
        <w:ind w:left="360" w:firstLine="360"/>
        <w:jc w:val="both"/>
        <w:rPr>
          <w:sz w:val="24"/>
          <w:szCs w:val="24"/>
        </w:rPr>
      </w:pPr>
    </w:p>
    <w:p w14:paraId="38561A57">
      <w:pPr>
        <w:pStyle w:val="38"/>
        <w:spacing w:line="360" w:lineRule="auto"/>
        <w:ind w:left="360" w:firstLine="360"/>
        <w:jc w:val="both"/>
        <w:rPr>
          <w:sz w:val="24"/>
          <w:szCs w:val="24"/>
        </w:rPr>
      </w:pPr>
    </w:p>
    <w:p w14:paraId="7B51E71F">
      <w:pPr>
        <w:pStyle w:val="38"/>
        <w:spacing w:line="360" w:lineRule="auto"/>
        <w:ind w:left="360" w:firstLine="360"/>
        <w:jc w:val="both"/>
        <w:rPr>
          <w:sz w:val="24"/>
          <w:szCs w:val="24"/>
        </w:rPr>
      </w:pPr>
    </w:p>
    <w:p w14:paraId="318BC63D">
      <w:pPr>
        <w:pStyle w:val="38"/>
        <w:spacing w:line="360" w:lineRule="auto"/>
        <w:ind w:left="360" w:firstLine="360"/>
        <w:jc w:val="both"/>
        <w:rPr>
          <w:sz w:val="24"/>
          <w:szCs w:val="24"/>
        </w:rPr>
      </w:pPr>
    </w:p>
    <w:p w14:paraId="06C777E4">
      <w:pPr>
        <w:pStyle w:val="38"/>
        <w:spacing w:line="360" w:lineRule="auto"/>
        <w:ind w:left="360" w:firstLine="360"/>
        <w:jc w:val="both"/>
        <w:rPr>
          <w:sz w:val="24"/>
          <w:szCs w:val="24"/>
        </w:rPr>
      </w:pPr>
    </w:p>
    <w:p w14:paraId="51451795">
      <w:pPr>
        <w:pStyle w:val="38"/>
        <w:spacing w:line="360" w:lineRule="auto"/>
        <w:ind w:left="360" w:firstLine="360"/>
        <w:jc w:val="both"/>
        <w:rPr>
          <w:sz w:val="24"/>
          <w:szCs w:val="24"/>
        </w:rPr>
      </w:pPr>
    </w:p>
    <w:p w14:paraId="2937CB66">
      <w:pPr>
        <w:pStyle w:val="38"/>
        <w:spacing w:line="360" w:lineRule="auto"/>
        <w:ind w:left="360" w:firstLine="360"/>
        <w:jc w:val="both"/>
        <w:rPr>
          <w:sz w:val="24"/>
          <w:szCs w:val="24"/>
        </w:rPr>
      </w:pPr>
    </w:p>
    <w:p w14:paraId="20412C7C">
      <w:pPr>
        <w:pStyle w:val="38"/>
        <w:spacing w:line="360" w:lineRule="auto"/>
        <w:ind w:left="360" w:firstLine="360"/>
        <w:jc w:val="both"/>
        <w:rPr>
          <w:sz w:val="24"/>
          <w:szCs w:val="24"/>
        </w:rPr>
      </w:pPr>
    </w:p>
    <w:p w14:paraId="5F1D771E">
      <w:pPr>
        <w:pStyle w:val="38"/>
        <w:spacing w:line="360" w:lineRule="auto"/>
        <w:ind w:left="360" w:firstLine="360"/>
        <w:jc w:val="both"/>
        <w:rPr>
          <w:sz w:val="24"/>
          <w:szCs w:val="24"/>
        </w:rPr>
      </w:pPr>
    </w:p>
    <w:p w14:paraId="3D43F728">
      <w:pPr>
        <w:pStyle w:val="38"/>
        <w:spacing w:line="360" w:lineRule="auto"/>
        <w:ind w:left="360" w:firstLine="360"/>
        <w:jc w:val="both"/>
        <w:rPr>
          <w:sz w:val="24"/>
          <w:szCs w:val="24"/>
        </w:rPr>
      </w:pPr>
    </w:p>
    <w:p w14:paraId="4F0EA5EC">
      <w:pPr>
        <w:pStyle w:val="38"/>
        <w:spacing w:line="360" w:lineRule="auto"/>
        <w:ind w:left="360" w:firstLine="360"/>
        <w:jc w:val="both"/>
        <w:rPr>
          <w:sz w:val="24"/>
          <w:szCs w:val="24"/>
        </w:rPr>
      </w:pPr>
    </w:p>
    <w:p w14:paraId="22ED4C62">
      <w:pPr>
        <w:pStyle w:val="38"/>
        <w:spacing w:line="360" w:lineRule="auto"/>
        <w:ind w:left="360" w:firstLine="360"/>
        <w:jc w:val="both"/>
        <w:rPr>
          <w:sz w:val="24"/>
          <w:szCs w:val="24"/>
        </w:rPr>
      </w:pPr>
    </w:p>
    <w:p w14:paraId="5ABC0CB3">
      <w:pPr>
        <w:pStyle w:val="38"/>
        <w:spacing w:line="360" w:lineRule="auto"/>
        <w:ind w:left="360" w:firstLine="360"/>
        <w:jc w:val="both"/>
        <w:rPr>
          <w:sz w:val="24"/>
          <w:szCs w:val="24"/>
        </w:rPr>
      </w:pPr>
    </w:p>
    <w:p w14:paraId="64BD6601">
      <w:pPr>
        <w:pStyle w:val="38"/>
        <w:spacing w:line="360" w:lineRule="auto"/>
        <w:ind w:left="360" w:firstLine="360"/>
        <w:jc w:val="both"/>
        <w:rPr>
          <w:sz w:val="24"/>
          <w:szCs w:val="24"/>
        </w:rPr>
      </w:pPr>
    </w:p>
    <w:p w14:paraId="68657DCC">
      <w:pPr>
        <w:pStyle w:val="38"/>
        <w:spacing w:line="360" w:lineRule="auto"/>
        <w:ind w:left="360" w:firstLine="360"/>
        <w:jc w:val="both"/>
        <w:rPr>
          <w:sz w:val="24"/>
          <w:szCs w:val="24"/>
        </w:rPr>
      </w:pPr>
    </w:p>
    <w:p w14:paraId="14BCF559">
      <w:pPr>
        <w:pStyle w:val="38"/>
        <w:spacing w:line="360" w:lineRule="auto"/>
        <w:ind w:left="360" w:firstLine="360"/>
        <w:jc w:val="both"/>
        <w:rPr>
          <w:sz w:val="24"/>
          <w:szCs w:val="24"/>
        </w:rPr>
      </w:pPr>
    </w:p>
    <w:p w14:paraId="663CECF9">
      <w:pPr>
        <w:pStyle w:val="38"/>
        <w:spacing w:line="360" w:lineRule="auto"/>
        <w:ind w:left="360" w:firstLine="360"/>
        <w:jc w:val="both"/>
        <w:rPr>
          <w:sz w:val="24"/>
          <w:szCs w:val="24"/>
        </w:rPr>
      </w:pPr>
    </w:p>
    <w:p w14:paraId="4339FC4C">
      <w:pPr>
        <w:pStyle w:val="38"/>
        <w:spacing w:line="360" w:lineRule="auto"/>
        <w:ind w:left="360" w:firstLine="360"/>
        <w:jc w:val="both"/>
        <w:rPr>
          <w:sz w:val="24"/>
          <w:szCs w:val="24"/>
        </w:rPr>
      </w:pPr>
    </w:p>
    <w:p w14:paraId="28A10609">
      <w:pPr>
        <w:pStyle w:val="38"/>
        <w:spacing w:line="360" w:lineRule="auto"/>
        <w:ind w:left="360" w:firstLine="360"/>
        <w:jc w:val="both"/>
        <w:rPr>
          <w:sz w:val="24"/>
          <w:szCs w:val="24"/>
        </w:rPr>
      </w:pPr>
    </w:p>
    <w:p w14:paraId="4ACA1650">
      <w:pPr>
        <w:pStyle w:val="38"/>
        <w:spacing w:line="360" w:lineRule="auto"/>
        <w:ind w:left="360" w:firstLine="360"/>
        <w:jc w:val="both"/>
        <w:rPr>
          <w:sz w:val="24"/>
          <w:szCs w:val="24"/>
        </w:rPr>
      </w:pPr>
    </w:p>
    <w:p w14:paraId="76D9FF7C">
      <w:pPr>
        <w:pStyle w:val="38"/>
        <w:spacing w:line="360" w:lineRule="auto"/>
        <w:ind w:left="360" w:firstLine="360"/>
        <w:jc w:val="both"/>
        <w:rPr>
          <w:sz w:val="24"/>
          <w:szCs w:val="24"/>
        </w:rPr>
      </w:pPr>
    </w:p>
    <w:p w14:paraId="285C0989">
      <w:pPr>
        <w:pStyle w:val="38"/>
        <w:spacing w:line="360" w:lineRule="auto"/>
        <w:ind w:left="360" w:firstLine="360"/>
        <w:jc w:val="both"/>
        <w:rPr>
          <w:sz w:val="24"/>
          <w:szCs w:val="24"/>
        </w:rPr>
      </w:pPr>
    </w:p>
    <w:p w14:paraId="29FF6E0E">
      <w:pPr>
        <w:pStyle w:val="2"/>
        <w:spacing w:before="0" w:after="0" w:line="360" w:lineRule="auto"/>
        <w:jc w:val="center"/>
        <w:rPr>
          <w:rFonts w:ascii="Times New Roman" w:hAnsi="Times New Roman" w:cs="Times New Roman"/>
          <w:color w:val="auto"/>
          <w:sz w:val="24"/>
          <w:szCs w:val="24"/>
          <w:lang w:val="id-ID"/>
        </w:rPr>
      </w:pPr>
      <w:r>
        <w:rPr>
          <w:rFonts w:ascii="Times New Roman" w:hAnsi="Times New Roman" w:cs="Times New Roman"/>
          <w:b/>
          <w:bCs/>
          <w:color w:val="auto"/>
          <w:sz w:val="24"/>
          <w:szCs w:val="24"/>
        </w:rPr>
        <w:t>BAB V</w:t>
      </w:r>
      <w:bookmarkEnd w:id="43"/>
    </w:p>
    <w:p w14:paraId="472DC675">
      <w:pPr>
        <w:pStyle w:val="2"/>
        <w:spacing w:before="0" w:after="0" w:line="360" w:lineRule="auto"/>
        <w:jc w:val="center"/>
        <w:rPr>
          <w:rFonts w:ascii="Times New Roman" w:hAnsi="Times New Roman" w:cs="Times New Roman"/>
          <w:b/>
          <w:bCs/>
          <w:color w:val="000000" w:themeColor="text1"/>
          <w:sz w:val="24"/>
          <w:szCs w:val="24"/>
          <w:lang w:val="en-US"/>
          <w14:textFill>
            <w14:solidFill>
              <w14:schemeClr w14:val="tx1"/>
            </w14:solidFill>
          </w14:textFill>
        </w:rPr>
      </w:pPr>
      <w:bookmarkStart w:id="44" w:name="_Toc230017874"/>
      <w:r>
        <w:rPr>
          <w:rFonts w:ascii="Times New Roman" w:hAnsi="Times New Roman" w:cs="Times New Roman"/>
          <w:b/>
          <w:bCs/>
          <w:color w:val="auto"/>
          <w:sz w:val="24"/>
          <w:szCs w:val="24"/>
          <w:lang w:val="en-US"/>
        </w:rPr>
        <w:t>KESIMPULAN DAN SARAN</w:t>
      </w:r>
      <w:bookmarkEnd w:id="44"/>
    </w:p>
    <w:p w14:paraId="42235942">
      <w:pPr>
        <w:spacing w:line="360" w:lineRule="auto"/>
        <w:jc w:val="both"/>
        <w:rPr>
          <w:sz w:val="24"/>
          <w:szCs w:val="24"/>
        </w:rPr>
      </w:pPr>
      <w:r>
        <w:rPr>
          <w:sz w:val="24"/>
          <w:szCs w:val="24"/>
        </w:rPr>
        <w:t xml:space="preserve"> </w:t>
      </w:r>
    </w:p>
    <w:p w14:paraId="61242240">
      <w:pPr>
        <w:pStyle w:val="3"/>
        <w:spacing w:before="0" w:after="0" w:line="360" w:lineRule="auto"/>
        <w:rPr>
          <w:rFonts w:ascii="Times New Roman" w:hAnsi="Times New Roman" w:cs="Times New Roman"/>
          <w:b/>
          <w:sz w:val="24"/>
          <w:szCs w:val="24"/>
        </w:rPr>
      </w:pPr>
      <w:bookmarkStart w:id="45" w:name="_Toc230017875"/>
      <w:r>
        <w:rPr>
          <w:rFonts w:ascii="Times New Roman" w:hAnsi="Times New Roman" w:cs="Times New Roman"/>
          <w:b/>
          <w:color w:val="auto"/>
          <w:sz w:val="24"/>
          <w:szCs w:val="24"/>
        </w:rPr>
        <w:t>A. Kesimpulan</w:t>
      </w:r>
      <w:bookmarkEnd w:id="45"/>
    </w:p>
    <w:p w14:paraId="4242D2F5">
      <w:pPr>
        <w:spacing w:line="360" w:lineRule="auto"/>
        <w:jc w:val="both"/>
        <w:rPr>
          <w:sz w:val="24"/>
          <w:szCs w:val="24"/>
          <w:lang w:val="id-ID"/>
        </w:rPr>
      </w:pPr>
      <w:r>
        <w:rPr>
          <w:sz w:val="24"/>
          <w:szCs w:val="24"/>
          <w:lang w:val="id-ID"/>
        </w:rPr>
        <w:t>Kesimpulan berdasarkan hasil penelitian dan pembahasan yang telah diuraikan pada bab sebelumnya mengenai pertanggungjawaban tindak pidana pemilihan umum legislatif tahun 2024 oleh oknum Panitia Pemilihan Kecamatan (PPK) Medan Timur dalam Putusan Pengadilan Negeri Medan No. 1/Pid.S/2024/PN Mdn, maka dapat ditarik kesimpulan sebagai berikut:Pertanggungjawaban Pidana Oknum PPK Medan Timur: Berdasarkan pendekatan dualistis hukum pidana, ketiga terdakwa (MRR, ASBH, dan Ju) secara sah dan meyakinkan wajib memikul pertanggungjawaban pidana perorangan atas kejahatan pemilu yang dilakukan secara bersama-sama (medeplegen). Porsi kesalahan subjektif (mens rea) para terdakwa berada pada derajat kesengajaan murni sebagai maksud (dolus directus), di mana mereka secara sadar mengetahui dan menghendaki penggeseran serta manipulasi selisih suara dari Partai Buruh dan PKN untuk dialihkan ke PKB.</w:t>
      </w:r>
    </w:p>
    <w:p w14:paraId="18A3D573">
      <w:pPr>
        <w:spacing w:line="360" w:lineRule="auto"/>
        <w:ind w:firstLine="720"/>
        <w:jc w:val="both"/>
        <w:rPr>
          <w:sz w:val="24"/>
          <w:szCs w:val="24"/>
          <w:lang w:val="id-ID"/>
        </w:rPr>
      </w:pPr>
      <w:r>
        <w:rPr>
          <w:sz w:val="24"/>
          <w:szCs w:val="24"/>
          <w:lang w:val="id-ID"/>
        </w:rPr>
        <w:t xml:space="preserve">Perbuatan materiil (actus reus) tersebut secara utuh telah menggenapi unsur melawan hukum pidana khusus pemilu dalam kualifikasi delik jabatan khusus (delicta propria). Mengingat para terdakwa adalah subjek hukum yang sehat secara mental (mampu bertanggung jawab) serta tidak ditemukannya alasan penghapus pidana (baik pembenar maupun pemaaf) di persidangan, maka penjatuhan sanksi pidana terhadap para terdakwa memiliki legitimasi hukum yang mutlak.Analisis Pertimbangan Hukum Hakim (Ratio Decidendi) Pengadilan Negeri Medan: Alur penalaran hukum (legal reasoning) Majelis Hakim tingkat pertama dalam menjatuhkan vonis minimalis selama 3 (tiga) bulan penjara didasarkan pada pemenuhan syllogisme hukum formal-positivistik melalui sistem pembuktian negatif (negatief wettelijk) yang bersumber dari kesesuaian keterangan saksi, keterangan terdakwa, dan bukti surat otentik (Formulir C.Hasil dan D.Hasil). </w:t>
      </w:r>
    </w:p>
    <w:p w14:paraId="60406B73">
      <w:pPr>
        <w:spacing w:line="360" w:lineRule="auto"/>
        <w:ind w:firstLine="720"/>
        <w:jc w:val="both"/>
        <w:rPr>
          <w:sz w:val="24"/>
          <w:szCs w:val="24"/>
          <w:lang w:val="id-ID"/>
        </w:rPr>
      </w:pPr>
      <w:r>
        <w:rPr>
          <w:sz w:val="24"/>
          <w:szCs w:val="24"/>
          <w:lang w:val="id-ID"/>
        </w:rPr>
        <w:t>Namun, dalam penentuan berat sanksi (strafmaat), hakim tingkat pertama terjebak dalam pragmatisme prosedural peradilan cepat (speedy trial) dan pendekatan individualisasi pemidanaan yang terlalu menitikberatkan pada aspek rehabilitatif-personal (terdakwa sopan, mengakui perbuatan, dan kepala keluarga). Hakim Pengadilan Negeri Medan menerapkan paradigma kekangan yudisial (judicial restraint) yang pasif, sehingga mengabaikan substansi penegakan keadilan makro dan melumpuhkan mandat pemberatan sanksi sepertiga (1/3) bagi aparat penyelenggara pemilu sebagaimana diamanatkan oleh Pasal 554 UU Pemilu.</w:t>
      </w:r>
    </w:p>
    <w:p w14:paraId="22671058">
      <w:pPr>
        <w:spacing w:line="360" w:lineRule="auto"/>
        <w:ind w:firstLine="720"/>
        <w:jc w:val="both"/>
        <w:rPr>
          <w:sz w:val="24"/>
          <w:szCs w:val="24"/>
          <w:lang w:val="id-ID"/>
        </w:rPr>
      </w:pPr>
      <w:r>
        <w:rPr>
          <w:sz w:val="24"/>
          <w:szCs w:val="24"/>
          <w:lang w:val="id-ID"/>
        </w:rPr>
        <w:t>Kendala dan Hambatan PPK dalam Pemilu Legislatif: Hambatan fungsional yang dihadapi oleh PPK di lapangan bersifat multidimensional yang mencakup aspek internal dan eksternal. Hambatan tersebut meliputi beban kerja ekstrem yang tidak proporsional sehingga mendegradasi konsentrasi fisik-psikis penyelenggara, ketidakandalan infrastruktur digital aplikasi Sirekap yang melahirkan fenomena Cultural Lag dan ruang abu-abu manipulasi, serta lemahnya sistem pengawasan melekat (checks and balances) dari Panwascam dan saksi parpol yang menciptakan celah hukum (loophole). Hambatan sosiologis yang paling destruktif adalah kuatnya tekanan struktural (structural strain) berupa intervensi relasi kuasa politik elit lokal dan godaan material yang mengeksploitasi rapuhnya budaya hukum (legal culture) serta rendahnya kompetensi teknis-yuridis komisioner ad-hoc, sehingga mengubah posisi PPK dari benteng pelindung suara menjadi instrumen terjadinya kejahatan kerah putih pemilu (</w:t>
      </w:r>
      <w:r>
        <w:rPr>
          <w:i/>
          <w:iCs/>
          <w:sz w:val="24"/>
          <w:szCs w:val="24"/>
          <w:lang w:val="id-ID"/>
        </w:rPr>
        <w:t>electoral white-collar crime</w:t>
      </w:r>
      <w:r>
        <w:rPr>
          <w:sz w:val="24"/>
          <w:szCs w:val="24"/>
          <w:lang w:val="id-ID"/>
        </w:rPr>
        <w:t>).</w:t>
      </w:r>
    </w:p>
    <w:p w14:paraId="66EAB338">
      <w:pPr>
        <w:spacing w:line="360" w:lineRule="auto"/>
        <w:ind w:firstLine="720"/>
        <w:jc w:val="both"/>
        <w:rPr>
          <w:sz w:val="24"/>
          <w:szCs w:val="24"/>
          <w:lang w:val="id-ID"/>
        </w:rPr>
      </w:pPr>
    </w:p>
    <w:p w14:paraId="54EA4E79">
      <w:pPr>
        <w:pStyle w:val="3"/>
        <w:spacing w:before="0" w:after="0" w:line="360" w:lineRule="auto"/>
        <w:rPr>
          <w:rFonts w:ascii="Times New Roman" w:hAnsi="Times New Roman" w:cs="Times New Roman"/>
          <w:b/>
          <w:sz w:val="24"/>
          <w:szCs w:val="24"/>
        </w:rPr>
      </w:pPr>
      <w:bookmarkStart w:id="46" w:name="_Toc230017876"/>
      <w:r>
        <w:rPr>
          <w:rFonts w:ascii="Times New Roman" w:hAnsi="Times New Roman" w:cs="Times New Roman"/>
          <w:b/>
          <w:color w:val="auto"/>
          <w:sz w:val="24"/>
          <w:szCs w:val="24"/>
        </w:rPr>
        <w:t>B. Saran</w:t>
      </w:r>
      <w:bookmarkEnd w:id="46"/>
    </w:p>
    <w:p w14:paraId="3BD15DB6">
      <w:pPr>
        <w:spacing w:line="360" w:lineRule="auto"/>
        <w:ind w:firstLine="284"/>
        <w:jc w:val="both"/>
        <w:rPr>
          <w:sz w:val="24"/>
          <w:szCs w:val="24"/>
          <w:lang w:val="id-ID"/>
        </w:rPr>
      </w:pPr>
      <w:r>
        <w:rPr>
          <w:sz w:val="24"/>
          <w:szCs w:val="24"/>
        </w:rPr>
        <w:t>Berdasarkan hasil penelitian dan kesimpulan di atas, penulis menyampaikan beberapa saran yang konstruktif sebagai berikut:</w:t>
      </w:r>
    </w:p>
    <w:p w14:paraId="6A04DC37">
      <w:pPr>
        <w:spacing w:line="360" w:lineRule="auto"/>
        <w:ind w:firstLine="284"/>
        <w:jc w:val="both"/>
        <w:rPr>
          <w:sz w:val="24"/>
          <w:szCs w:val="24"/>
          <w:lang w:val="id-ID"/>
        </w:rPr>
      </w:pPr>
    </w:p>
    <w:p w14:paraId="578126A9">
      <w:pPr>
        <w:pStyle w:val="38"/>
        <w:numPr>
          <w:ilvl w:val="3"/>
          <w:numId w:val="28"/>
        </w:numPr>
        <w:spacing w:line="360" w:lineRule="auto"/>
        <w:ind w:left="284" w:hanging="284"/>
        <w:jc w:val="both"/>
        <w:rPr>
          <w:sz w:val="24"/>
          <w:szCs w:val="24"/>
          <w:lang w:val="id-ID"/>
        </w:rPr>
      </w:pPr>
      <w:r>
        <w:rPr>
          <w:sz w:val="24"/>
          <w:szCs w:val="24"/>
        </w:rPr>
        <w:t>Bagi Penyelenggara Pemilu (KPU):</w:t>
      </w:r>
    </w:p>
    <w:p w14:paraId="10B504D4">
      <w:pPr>
        <w:pStyle w:val="38"/>
        <w:spacing w:line="360" w:lineRule="auto"/>
        <w:ind w:left="284"/>
        <w:jc w:val="both"/>
        <w:rPr>
          <w:sz w:val="24"/>
          <w:szCs w:val="24"/>
        </w:rPr>
      </w:pPr>
      <w:r>
        <w:rPr>
          <w:sz w:val="24"/>
          <w:szCs w:val="24"/>
        </w:rPr>
        <w:t>Perlu dilakukan penguatan sistem keamanan data yang lebih ketat dan multi-factor authentication agar tidak mudah dimanipulasi. Selain itu, seleksi calon anggota PPK harus lebih ketat tidak hanya dari segi teknis, tetapi juga integritas moral dan pemahaman hukum yang kuat agar memahami konsekuensi berat dari pelanggaran pidana pemilu.</w:t>
      </w:r>
    </w:p>
    <w:p w14:paraId="0B86EDEB">
      <w:pPr>
        <w:pStyle w:val="38"/>
        <w:numPr>
          <w:ilvl w:val="3"/>
          <w:numId w:val="28"/>
        </w:numPr>
        <w:spacing w:line="360" w:lineRule="auto"/>
        <w:ind w:left="284" w:hanging="284"/>
        <w:jc w:val="both"/>
        <w:rPr>
          <w:sz w:val="24"/>
          <w:szCs w:val="24"/>
          <w:lang w:val="id-ID"/>
        </w:rPr>
      </w:pPr>
      <w:r>
        <w:rPr>
          <w:sz w:val="24"/>
          <w:szCs w:val="24"/>
        </w:rPr>
        <w:t>Bagi Penegak Hukum:</w:t>
      </w:r>
    </w:p>
    <w:p w14:paraId="52620CFD">
      <w:pPr>
        <w:pStyle w:val="38"/>
        <w:spacing w:line="360" w:lineRule="auto"/>
        <w:ind w:left="284"/>
        <w:jc w:val="both"/>
        <w:rPr>
          <w:sz w:val="24"/>
          <w:szCs w:val="24"/>
          <w:lang w:val="id-ID"/>
        </w:rPr>
      </w:pPr>
      <w:r>
        <w:rPr>
          <w:sz w:val="24"/>
          <w:szCs w:val="24"/>
          <w:lang w:val="id-ID"/>
        </w:rPr>
        <w:t>Diharapkan dalam memeriksa perkara tindak pidana pemilu kedinasan dimasa mendatang, jajaran majelis hakim tingkat pertama tidak hanya bersandar pada keadilan korektif yang bersifat minimalis. Hakim harus berani menjatuhkan sanksi yang lebih progresif dan mendekati batas maksimal tuntutan undang-undang. Hal ini penting guna menegakkan muruah peradilan dan memberikan efek jera yang nyata bagi siapapun aparatur negara yang berniat mencurangi suara rakyat.</w:t>
      </w:r>
    </w:p>
    <w:p w14:paraId="16991DBB">
      <w:pPr>
        <w:pStyle w:val="38"/>
        <w:numPr>
          <w:ilvl w:val="0"/>
          <w:numId w:val="29"/>
        </w:numPr>
        <w:spacing w:line="360" w:lineRule="auto"/>
        <w:ind w:left="284" w:hanging="284"/>
        <w:jc w:val="both"/>
        <w:rPr>
          <w:sz w:val="24"/>
          <w:szCs w:val="24"/>
          <w:lang w:val="id-ID"/>
        </w:rPr>
      </w:pPr>
      <w:r>
        <w:rPr>
          <w:sz w:val="24"/>
          <w:szCs w:val="24"/>
        </w:rPr>
        <w:t>Bagi Masyarakat dan Calon Penyelenggara Pemilu</w:t>
      </w:r>
    </w:p>
    <w:p w14:paraId="0B163DEB">
      <w:pPr>
        <w:pStyle w:val="38"/>
        <w:spacing w:line="360" w:lineRule="auto"/>
        <w:ind w:left="284"/>
        <w:jc w:val="both"/>
        <w:rPr>
          <w:sz w:val="24"/>
          <w:szCs w:val="24"/>
        </w:rPr>
        <w:sectPr>
          <w:headerReference r:id="rId43" w:type="first"/>
          <w:headerReference r:id="rId41" w:type="default"/>
          <w:footerReference r:id="rId44" w:type="default"/>
          <w:headerReference r:id="rId42" w:type="even"/>
          <w:pgSz w:w="11910" w:h="16840"/>
          <w:pgMar w:top="1701" w:right="1701" w:bottom="1701" w:left="2268" w:header="709" w:footer="709" w:gutter="0"/>
          <w:cols w:space="708" w:num="1"/>
          <w:docGrid w:linePitch="360" w:charSpace="0"/>
        </w:sectPr>
      </w:pPr>
      <w:r>
        <w:rPr>
          <w:sz w:val="24"/>
          <w:szCs w:val="24"/>
        </w:rPr>
        <w:t>Hendaknya selalu menjunjung tinggi nilai-nilai kejujuran dan integritas. Jabatan sebagai penyelenggara pemilu adalah amanah yang suci, bukan ladang untuk melakukan kecurangan. Segala bentuk pelanggaran, sekecil apapun, pada akhirnya akan terungkap dan dipertanggungjawabkan di depan hukum.</w:t>
      </w:r>
    </w:p>
    <w:p w14:paraId="6F520F93">
      <w:pPr>
        <w:pStyle w:val="2"/>
        <w:spacing w:before="0" w:after="0" w:line="360" w:lineRule="auto"/>
        <w:jc w:val="center"/>
        <w:rPr>
          <w:rFonts w:ascii="Times New Roman" w:hAnsi="Times New Roman" w:cs="Times New Roman"/>
          <w:b/>
          <w:bCs/>
          <w:sz w:val="24"/>
          <w:szCs w:val="24"/>
        </w:rPr>
      </w:pPr>
      <w:bookmarkStart w:id="47" w:name="_Toc230017877"/>
      <w:r>
        <w:rPr>
          <w:rFonts w:ascii="Times New Roman" w:hAnsi="Times New Roman" w:cs="Times New Roman"/>
          <w:b/>
          <w:bCs/>
          <w:color w:val="auto"/>
          <w:sz w:val="24"/>
          <w:szCs w:val="24"/>
        </w:rPr>
        <w:t>DAFTAR PUSTAKA</w:t>
      </w:r>
      <w:bookmarkEnd w:id="47"/>
    </w:p>
    <w:p w14:paraId="3A2C64E0">
      <w:pPr>
        <w:spacing w:line="360" w:lineRule="auto"/>
        <w:jc w:val="both"/>
        <w:rPr>
          <w:sz w:val="24"/>
          <w:szCs w:val="24"/>
        </w:rPr>
      </w:pPr>
      <w:r>
        <w:rPr>
          <w:sz w:val="24"/>
          <w:szCs w:val="24"/>
        </w:rPr>
        <w:t xml:space="preserve"> </w:t>
      </w:r>
    </w:p>
    <w:p w14:paraId="5426C38F">
      <w:pPr>
        <w:spacing w:line="360" w:lineRule="auto"/>
        <w:jc w:val="both"/>
        <w:rPr>
          <w:b/>
          <w:sz w:val="24"/>
          <w:szCs w:val="24"/>
          <w:lang w:val="id-ID"/>
        </w:rPr>
      </w:pPr>
      <w:r>
        <w:rPr>
          <w:b/>
          <w:sz w:val="24"/>
          <w:szCs w:val="24"/>
        </w:rPr>
        <w:t>A. Peraturan Perundang-undangan</w:t>
      </w:r>
    </w:p>
    <w:p w14:paraId="6E292B26">
      <w:pPr>
        <w:spacing w:line="360" w:lineRule="auto"/>
        <w:jc w:val="both"/>
        <w:rPr>
          <w:sz w:val="24"/>
          <w:szCs w:val="24"/>
        </w:rPr>
      </w:pPr>
      <w:r>
        <w:rPr>
          <w:sz w:val="24"/>
          <w:szCs w:val="24"/>
        </w:rPr>
        <w:t>1. Undang-Undang Dasar Negara Republik Indonesia Tahun 1945.</w:t>
      </w:r>
    </w:p>
    <w:p w14:paraId="3C6947B7">
      <w:pPr>
        <w:spacing w:line="360" w:lineRule="auto"/>
        <w:jc w:val="both"/>
        <w:rPr>
          <w:sz w:val="24"/>
          <w:szCs w:val="24"/>
        </w:rPr>
      </w:pPr>
      <w:r>
        <w:rPr>
          <w:sz w:val="24"/>
          <w:szCs w:val="24"/>
        </w:rPr>
        <w:t>2. Undang-Undang Nomor 7 Tahun 2017 tentang Pemilihan Umum.</w:t>
      </w:r>
    </w:p>
    <w:p w14:paraId="2DF11B83">
      <w:pPr>
        <w:spacing w:line="360" w:lineRule="auto"/>
        <w:jc w:val="both"/>
        <w:rPr>
          <w:sz w:val="24"/>
          <w:szCs w:val="24"/>
        </w:rPr>
      </w:pPr>
      <w:r>
        <w:rPr>
          <w:sz w:val="24"/>
          <w:szCs w:val="24"/>
        </w:rPr>
        <w:t>3. Kitab Undang-Undang Hukum Pidana (KUHP).</w:t>
      </w:r>
    </w:p>
    <w:p w14:paraId="15B936E0">
      <w:pPr>
        <w:spacing w:line="360" w:lineRule="auto"/>
        <w:jc w:val="both"/>
        <w:rPr>
          <w:sz w:val="24"/>
          <w:szCs w:val="24"/>
        </w:rPr>
      </w:pPr>
      <w:r>
        <w:rPr>
          <w:sz w:val="24"/>
          <w:szCs w:val="24"/>
        </w:rPr>
        <w:t>4. Kitab Undang-Undang Hukum Acara Pidana (KUHAP).</w:t>
      </w:r>
    </w:p>
    <w:p w14:paraId="7D7AF162">
      <w:pPr>
        <w:spacing w:line="360" w:lineRule="auto"/>
        <w:jc w:val="both"/>
        <w:rPr>
          <w:sz w:val="24"/>
          <w:szCs w:val="24"/>
          <w:lang w:val="id-ID"/>
        </w:rPr>
      </w:pPr>
      <w:r>
        <w:rPr>
          <w:sz w:val="24"/>
          <w:szCs w:val="24"/>
        </w:rPr>
        <w:t>5. Salinan Putusan Pengadilan Negeri Medan Nomor: 1/Pid.S/2024/PN Mdn.</w:t>
      </w:r>
    </w:p>
    <w:p w14:paraId="708B3DC6">
      <w:pPr>
        <w:spacing w:line="360" w:lineRule="auto"/>
        <w:jc w:val="both"/>
        <w:rPr>
          <w:sz w:val="24"/>
          <w:szCs w:val="24"/>
          <w:lang w:val="id-ID"/>
        </w:rPr>
      </w:pPr>
      <w:r>
        <w:rPr>
          <w:sz w:val="24"/>
          <w:szCs w:val="24"/>
          <w:lang w:val="id-ID"/>
        </w:rPr>
        <w:t>6. putusan Pengadilan Tinggi Medan Nomor 1088/PID.SUS/2024/PT MDN (Putusan Banding Perkara Tindak Pidana Pemilihan Umum PPK Medan Timur)</w:t>
      </w:r>
    </w:p>
    <w:p w14:paraId="28CDDAD4">
      <w:pPr>
        <w:spacing w:line="360" w:lineRule="auto"/>
        <w:jc w:val="both"/>
        <w:rPr>
          <w:sz w:val="24"/>
          <w:szCs w:val="24"/>
        </w:rPr>
      </w:pPr>
      <w:r>
        <w:rPr>
          <w:sz w:val="24"/>
          <w:szCs w:val="24"/>
        </w:rPr>
        <w:t xml:space="preserve"> </w:t>
      </w:r>
    </w:p>
    <w:p w14:paraId="7C50C144">
      <w:pPr>
        <w:spacing w:line="360" w:lineRule="auto"/>
        <w:jc w:val="both"/>
        <w:rPr>
          <w:b/>
          <w:sz w:val="24"/>
          <w:szCs w:val="24"/>
          <w:lang w:val="id-ID"/>
        </w:rPr>
      </w:pPr>
      <w:r>
        <w:rPr>
          <w:b/>
          <w:sz w:val="24"/>
          <w:szCs w:val="24"/>
        </w:rPr>
        <w:t>B. Buku</w:t>
      </w:r>
    </w:p>
    <w:p w14:paraId="41134E21">
      <w:pPr>
        <w:spacing w:line="360" w:lineRule="auto"/>
        <w:jc w:val="both"/>
        <w:rPr>
          <w:sz w:val="24"/>
          <w:szCs w:val="24"/>
          <w:lang w:val="id-ID"/>
        </w:rPr>
      </w:pPr>
      <w:r>
        <w:rPr>
          <w:sz w:val="24"/>
          <w:szCs w:val="24"/>
          <w:lang w:val="id-ID"/>
        </w:rPr>
        <w:t xml:space="preserve">Ancel, Marc, 1981, </w:t>
      </w:r>
      <w:r>
        <w:rPr>
          <w:i/>
          <w:iCs/>
          <w:sz w:val="24"/>
          <w:szCs w:val="24"/>
          <w:lang w:val="id-ID"/>
        </w:rPr>
        <w:t>La Defense Sociale Nouvelle: Un Mouvement de Politique Criminelle Humaniste (New Social Defence Movement)</w:t>
      </w:r>
      <w:r>
        <w:rPr>
          <w:sz w:val="24"/>
          <w:szCs w:val="24"/>
          <w:lang w:val="id-ID"/>
        </w:rPr>
        <w:t>, Paris: Cujas.Asshiddiqie, Jimly, 2011</w:t>
      </w:r>
    </w:p>
    <w:p w14:paraId="1CA92EB8">
      <w:pPr>
        <w:spacing w:line="360" w:lineRule="auto"/>
        <w:jc w:val="both"/>
        <w:rPr>
          <w:sz w:val="24"/>
          <w:szCs w:val="24"/>
          <w:lang w:val="id-ID"/>
        </w:rPr>
      </w:pPr>
      <w:r>
        <w:rPr>
          <w:i/>
          <w:iCs/>
          <w:sz w:val="24"/>
          <w:szCs w:val="24"/>
          <w:lang w:val="id-ID"/>
        </w:rPr>
        <w:t>Konstitusi dan Kanon Hukum Tata Negara,</w:t>
      </w:r>
      <w:r>
        <w:rPr>
          <w:sz w:val="24"/>
          <w:szCs w:val="24"/>
          <w:lang w:val="id-ID"/>
        </w:rPr>
        <w:t xml:space="preserve"> Jakarta: Rajawali Pers.Austin, John, 1995</w:t>
      </w:r>
    </w:p>
    <w:p w14:paraId="2171FD72">
      <w:pPr>
        <w:spacing w:line="360" w:lineRule="auto"/>
        <w:jc w:val="both"/>
        <w:rPr>
          <w:sz w:val="24"/>
          <w:szCs w:val="24"/>
          <w:lang w:val="id-ID"/>
        </w:rPr>
      </w:pPr>
      <w:r>
        <w:rPr>
          <w:i/>
          <w:iCs/>
          <w:sz w:val="24"/>
          <w:szCs w:val="24"/>
          <w:lang w:val="id-ID"/>
        </w:rPr>
        <w:t>The Province of Jurisprudence Determined</w:t>
      </w:r>
      <w:r>
        <w:rPr>
          <w:sz w:val="24"/>
          <w:szCs w:val="24"/>
          <w:lang w:val="id-ID"/>
        </w:rPr>
        <w:t>, Cambridge: Cambridge University Press.Arief, Barda Nawawi, 2010</w:t>
      </w:r>
    </w:p>
    <w:p w14:paraId="2D14C586">
      <w:pPr>
        <w:spacing w:line="360" w:lineRule="auto"/>
        <w:jc w:val="both"/>
        <w:rPr>
          <w:sz w:val="24"/>
          <w:szCs w:val="24"/>
          <w:lang w:val="id-ID"/>
        </w:rPr>
      </w:pPr>
      <w:r>
        <w:rPr>
          <w:i/>
          <w:iCs/>
          <w:sz w:val="24"/>
          <w:szCs w:val="24"/>
          <w:lang w:val="id-ID"/>
        </w:rPr>
        <w:t>Masalah Penegakan Hukum dan Kebijakan Hukum Pidana dalam Menanggulangi Kejahatan,</w:t>
      </w:r>
      <w:r>
        <w:rPr>
          <w:sz w:val="24"/>
          <w:szCs w:val="24"/>
          <w:lang w:val="id-ID"/>
        </w:rPr>
        <w:t xml:space="preserve"> Jakarta: Kencana Prenada Media Group.Beccaria, Cesare, 2015</w:t>
      </w:r>
    </w:p>
    <w:p w14:paraId="10EA679F">
      <w:pPr>
        <w:spacing w:line="360" w:lineRule="auto"/>
        <w:jc w:val="both"/>
        <w:rPr>
          <w:sz w:val="24"/>
          <w:szCs w:val="24"/>
          <w:lang w:val="id-ID"/>
        </w:rPr>
      </w:pPr>
      <w:r>
        <w:rPr>
          <w:i/>
          <w:iCs/>
          <w:sz w:val="24"/>
          <w:szCs w:val="24"/>
          <w:lang w:val="id-ID"/>
        </w:rPr>
        <w:t xml:space="preserve">An Essay on Crimes and Punishments </w:t>
      </w:r>
      <w:r>
        <w:rPr>
          <w:sz w:val="24"/>
          <w:szCs w:val="24"/>
          <w:lang w:val="id-ID"/>
        </w:rPr>
        <w:t>(Terjemahan), Jakarta: Kasasi.Bentham, Jeremy, 2007</w:t>
      </w:r>
    </w:p>
    <w:p w14:paraId="0B95EC3F">
      <w:pPr>
        <w:spacing w:line="360" w:lineRule="auto"/>
        <w:jc w:val="both"/>
        <w:rPr>
          <w:sz w:val="24"/>
          <w:szCs w:val="24"/>
          <w:lang w:val="id-ID"/>
        </w:rPr>
      </w:pPr>
      <w:r>
        <w:rPr>
          <w:i/>
          <w:iCs/>
          <w:sz w:val="24"/>
          <w:szCs w:val="24"/>
          <w:lang w:val="id-ID"/>
        </w:rPr>
        <w:t>An Introduction to the Principles of Morals and Legislation</w:t>
      </w:r>
      <w:r>
        <w:rPr>
          <w:sz w:val="24"/>
          <w:szCs w:val="24"/>
          <w:lang w:val="id-ID"/>
        </w:rPr>
        <w:t>, New York: Dover Publications.Black, Donald, 1976</w:t>
      </w:r>
    </w:p>
    <w:p w14:paraId="1194EA2E">
      <w:pPr>
        <w:spacing w:line="360" w:lineRule="auto"/>
        <w:jc w:val="both"/>
        <w:rPr>
          <w:sz w:val="24"/>
          <w:szCs w:val="24"/>
          <w:lang w:val="id-ID"/>
        </w:rPr>
      </w:pPr>
      <w:r>
        <w:rPr>
          <w:i/>
          <w:iCs/>
          <w:sz w:val="24"/>
          <w:szCs w:val="24"/>
          <w:lang w:val="id-ID"/>
        </w:rPr>
        <w:t>The Behavior of Law,</w:t>
      </w:r>
      <w:r>
        <w:rPr>
          <w:sz w:val="24"/>
          <w:szCs w:val="24"/>
          <w:lang w:val="id-ID"/>
        </w:rPr>
        <w:t xml:space="preserve"> New York: Academic Press.Dworkin, Ronald, 1977</w:t>
      </w:r>
    </w:p>
    <w:p w14:paraId="18E8B085">
      <w:pPr>
        <w:spacing w:line="360" w:lineRule="auto"/>
        <w:jc w:val="both"/>
        <w:rPr>
          <w:sz w:val="24"/>
          <w:szCs w:val="24"/>
          <w:lang w:val="id-ID"/>
        </w:rPr>
      </w:pPr>
      <w:r>
        <w:rPr>
          <w:i/>
          <w:iCs/>
          <w:sz w:val="24"/>
          <w:szCs w:val="24"/>
          <w:lang w:val="id-ID"/>
        </w:rPr>
        <w:t>Taking Rights Seriously</w:t>
      </w:r>
      <w:r>
        <w:rPr>
          <w:sz w:val="24"/>
          <w:szCs w:val="24"/>
          <w:lang w:val="id-ID"/>
        </w:rPr>
        <w:t>, Cambridge: Harvard University Press.Effendi, Sofian, 2009</w:t>
      </w:r>
    </w:p>
    <w:p w14:paraId="31C88E92">
      <w:pPr>
        <w:spacing w:line="360" w:lineRule="auto"/>
        <w:jc w:val="both"/>
        <w:rPr>
          <w:sz w:val="24"/>
          <w:szCs w:val="24"/>
          <w:lang w:val="id-ID"/>
        </w:rPr>
      </w:pPr>
      <w:r>
        <w:rPr>
          <w:i/>
          <w:iCs/>
          <w:sz w:val="24"/>
          <w:szCs w:val="24"/>
          <w:lang w:val="id-ID"/>
        </w:rPr>
        <w:t>Membangun Tata Kelola Pemerintahan yang Bersih dan Akuntabel</w:t>
      </w:r>
      <w:r>
        <w:rPr>
          <w:sz w:val="24"/>
          <w:szCs w:val="24"/>
          <w:lang w:val="id-ID"/>
        </w:rPr>
        <w:t>, Yogyakarta: Gadjah Mada University Press.Foucault, Michel, 2002</w:t>
      </w:r>
    </w:p>
    <w:p w14:paraId="76124FFA">
      <w:pPr>
        <w:spacing w:line="360" w:lineRule="auto"/>
        <w:jc w:val="both"/>
        <w:rPr>
          <w:sz w:val="24"/>
          <w:szCs w:val="24"/>
          <w:lang w:val="id-ID"/>
        </w:rPr>
      </w:pPr>
      <w:r>
        <w:rPr>
          <w:i/>
          <w:iCs/>
          <w:sz w:val="24"/>
          <w:szCs w:val="24"/>
          <w:lang w:val="id-ID"/>
        </w:rPr>
        <w:t>Pengetahuan dan Kekuasaan: Sebuah Dekonstruksi Sosiologis</w:t>
      </w:r>
      <w:r>
        <w:rPr>
          <w:sz w:val="24"/>
          <w:szCs w:val="24"/>
          <w:lang w:val="id-ID"/>
        </w:rPr>
        <w:t xml:space="preserve"> (Terjemahan), Yogyakarta: Jendela.Frank, Jerome, 1949</w:t>
      </w:r>
    </w:p>
    <w:p w14:paraId="37931AF6">
      <w:pPr>
        <w:spacing w:line="360" w:lineRule="auto"/>
        <w:jc w:val="both"/>
        <w:rPr>
          <w:sz w:val="24"/>
          <w:szCs w:val="24"/>
          <w:lang w:val="id-ID"/>
        </w:rPr>
      </w:pPr>
      <w:r>
        <w:rPr>
          <w:sz w:val="24"/>
          <w:szCs w:val="24"/>
          <w:lang w:val="id-ID"/>
        </w:rPr>
        <w:t>Law and the Modern Mind, New York: Coward-McCann.Friedman, Lawrence M., 2011</w:t>
      </w:r>
    </w:p>
    <w:p w14:paraId="217E3400">
      <w:pPr>
        <w:spacing w:line="360" w:lineRule="auto"/>
        <w:jc w:val="both"/>
        <w:rPr>
          <w:sz w:val="24"/>
          <w:szCs w:val="24"/>
          <w:lang w:val="id-ID"/>
        </w:rPr>
      </w:pPr>
      <w:r>
        <w:rPr>
          <w:sz w:val="24"/>
          <w:szCs w:val="24"/>
          <w:lang w:val="id-ID"/>
        </w:rPr>
        <w:t>Sistem Hukum: Perspektif Ilmu Sosial (Terjemahan), Bandung: Nusa Media.Hadjon, Philipus M., 1987</w:t>
      </w:r>
    </w:p>
    <w:p w14:paraId="019D954F">
      <w:pPr>
        <w:spacing w:line="360" w:lineRule="auto"/>
        <w:jc w:val="both"/>
        <w:rPr>
          <w:sz w:val="24"/>
          <w:szCs w:val="24"/>
          <w:lang w:val="id-ID"/>
        </w:rPr>
      </w:pPr>
      <w:r>
        <w:rPr>
          <w:sz w:val="24"/>
          <w:szCs w:val="24"/>
          <w:lang w:val="id-ID"/>
        </w:rPr>
        <w:t>Perlindungan Hukum Bagi Rakyat di Indonesia, Surabaya: Bina Ilmu.Hamzah, Andi, 2008</w:t>
      </w:r>
    </w:p>
    <w:p w14:paraId="157598BF">
      <w:pPr>
        <w:spacing w:line="360" w:lineRule="auto"/>
        <w:jc w:val="both"/>
        <w:rPr>
          <w:sz w:val="24"/>
          <w:szCs w:val="24"/>
          <w:lang w:val="id-ID"/>
        </w:rPr>
      </w:pPr>
      <w:r>
        <w:rPr>
          <w:sz w:val="24"/>
          <w:szCs w:val="24"/>
          <w:lang w:val="id-ID"/>
        </w:rPr>
        <w:t>Hukum Acara Pidana Indonesia, Jakarta: Sinar Grafika.Harahap, M. Yahya, 2006, Pembahasan Permasalahan dan Penerapan KUHAP: Pemeriksaan Sidang Pengadilan, Banding, Kasasi, dan Peninjauan Kembali, Jakarta: Sinar Grafika.Hiariej, Eddy O.S., 2016</w:t>
      </w:r>
    </w:p>
    <w:p w14:paraId="5B718ED5">
      <w:pPr>
        <w:spacing w:line="360" w:lineRule="auto"/>
        <w:jc w:val="both"/>
        <w:rPr>
          <w:sz w:val="24"/>
          <w:szCs w:val="24"/>
          <w:lang w:val="id-ID"/>
        </w:rPr>
      </w:pPr>
      <w:r>
        <w:rPr>
          <w:sz w:val="24"/>
          <w:szCs w:val="24"/>
          <w:lang w:val="id-ID"/>
        </w:rPr>
        <w:t>Prinsip-Prinsip Hukum Pidana, Cahaya Atma Pustaka: Yogyakarta.Hirsch, Andrew von, 1976</w:t>
      </w:r>
    </w:p>
    <w:p w14:paraId="2E81769B">
      <w:pPr>
        <w:spacing w:line="360" w:lineRule="auto"/>
        <w:jc w:val="both"/>
        <w:rPr>
          <w:sz w:val="24"/>
          <w:szCs w:val="24"/>
          <w:lang w:val="id-ID"/>
        </w:rPr>
      </w:pPr>
      <w:r>
        <w:rPr>
          <w:sz w:val="24"/>
          <w:szCs w:val="24"/>
          <w:lang w:val="id-ID"/>
        </w:rPr>
        <w:t>Doing Justice: The Choice of Punishments, New York: Hill and Wang.Holmes Jr., Oliver Wendell, 1881</w:t>
      </w:r>
    </w:p>
    <w:p w14:paraId="37AFE5C9">
      <w:pPr>
        <w:spacing w:line="360" w:lineRule="auto"/>
        <w:jc w:val="both"/>
        <w:rPr>
          <w:sz w:val="24"/>
          <w:szCs w:val="24"/>
          <w:lang w:val="id-ID"/>
        </w:rPr>
      </w:pPr>
      <w:r>
        <w:rPr>
          <w:sz w:val="24"/>
          <w:szCs w:val="24"/>
          <w:lang w:val="id-ID"/>
        </w:rPr>
        <w:t>The Common Law, Boston: Little, Brown, and Company.Indrati, Maria Farida, 2007</w:t>
      </w:r>
    </w:p>
    <w:p w14:paraId="720F22D0">
      <w:pPr>
        <w:spacing w:line="360" w:lineRule="auto"/>
        <w:jc w:val="both"/>
        <w:rPr>
          <w:sz w:val="24"/>
          <w:szCs w:val="24"/>
          <w:lang w:val="id-ID"/>
        </w:rPr>
      </w:pPr>
      <w:r>
        <w:rPr>
          <w:sz w:val="24"/>
          <w:szCs w:val="24"/>
          <w:lang w:val="id-ID"/>
        </w:rPr>
        <w:t>Ilmu Perundang-Undangan: Jenis, Fungsi, dan Materi Muatan, Yogyakarta: Kanisius.Isra, Saldi, 2019</w:t>
      </w:r>
    </w:p>
    <w:p w14:paraId="49B77AC0">
      <w:pPr>
        <w:spacing w:line="360" w:lineRule="auto"/>
        <w:jc w:val="both"/>
        <w:rPr>
          <w:sz w:val="24"/>
          <w:szCs w:val="24"/>
          <w:lang w:val="id-ID"/>
        </w:rPr>
      </w:pPr>
      <w:r>
        <w:rPr>
          <w:sz w:val="24"/>
          <w:szCs w:val="24"/>
          <w:lang w:val="id-ID"/>
        </w:rPr>
        <w:t>Kekuasaan Kehakiman dan Dinamika Judicial Activism di Indonesia, Jakarta: Rajawali Pers.Kartanegara, Satochid, 1955</w:t>
      </w:r>
    </w:p>
    <w:p w14:paraId="1EECF4E3">
      <w:pPr>
        <w:spacing w:line="360" w:lineRule="auto"/>
        <w:jc w:val="both"/>
        <w:rPr>
          <w:sz w:val="24"/>
          <w:szCs w:val="24"/>
          <w:lang w:val="id-ID"/>
        </w:rPr>
      </w:pPr>
      <w:r>
        <w:rPr>
          <w:sz w:val="24"/>
          <w:szCs w:val="24"/>
          <w:lang w:val="id-ID"/>
        </w:rPr>
        <w:t>Hukum Pidana: Kumpulan Kuliah Bagian Pertama, Jakarta: Balai Lektur Mahasiswa.Kelsen, Hans, 2011</w:t>
      </w:r>
    </w:p>
    <w:p w14:paraId="037B79D7">
      <w:pPr>
        <w:spacing w:line="360" w:lineRule="auto"/>
        <w:jc w:val="both"/>
        <w:rPr>
          <w:sz w:val="24"/>
          <w:szCs w:val="24"/>
          <w:lang w:val="id-ID"/>
        </w:rPr>
      </w:pPr>
      <w:r>
        <w:rPr>
          <w:sz w:val="24"/>
          <w:szCs w:val="24"/>
          <w:lang w:val="id-ID"/>
        </w:rPr>
        <w:t>Teori Hukum Murni: Dasar-Dasar Ilmu Hukum Normatif (Terjemahan), Bandung: Nusa Media.Larenz, Karl, 1991</w:t>
      </w:r>
    </w:p>
    <w:p w14:paraId="32FDEA9F">
      <w:pPr>
        <w:spacing w:line="360" w:lineRule="auto"/>
        <w:jc w:val="both"/>
        <w:rPr>
          <w:sz w:val="24"/>
          <w:szCs w:val="24"/>
          <w:lang w:val="id-ID"/>
        </w:rPr>
      </w:pPr>
      <w:r>
        <w:rPr>
          <w:sz w:val="24"/>
          <w:szCs w:val="24"/>
          <w:lang w:val="id-ID"/>
        </w:rPr>
        <w:t>Methodenlehre der Rechtswissenschaft (Teori Metode Ilmu Hukum), Berlin: Springer-Verlag.Mahfud MD, Moh., 2009</w:t>
      </w:r>
    </w:p>
    <w:p w14:paraId="521EB478">
      <w:pPr>
        <w:spacing w:line="360" w:lineRule="auto"/>
        <w:jc w:val="both"/>
        <w:rPr>
          <w:sz w:val="24"/>
          <w:szCs w:val="24"/>
          <w:lang w:val="id-ID"/>
        </w:rPr>
      </w:pPr>
      <w:r>
        <w:rPr>
          <w:sz w:val="24"/>
          <w:szCs w:val="24"/>
          <w:lang w:val="id-ID"/>
        </w:rPr>
        <w:t>Politik Hukum di Indonesia, Jakarta: Rajawali Pers.Manan, Bagir, 2004 Kekuasaan Kehakiman Republik Indonesia, Bandung: Armico.Merton, Robert K., 1968</w:t>
      </w:r>
    </w:p>
    <w:p w14:paraId="7EFE5035">
      <w:pPr>
        <w:spacing w:line="360" w:lineRule="auto"/>
        <w:jc w:val="both"/>
        <w:rPr>
          <w:sz w:val="24"/>
          <w:szCs w:val="24"/>
          <w:lang w:val="id-ID"/>
        </w:rPr>
      </w:pPr>
      <w:r>
        <w:rPr>
          <w:sz w:val="24"/>
          <w:szCs w:val="24"/>
          <w:lang w:val="id-ID"/>
        </w:rPr>
        <w:t>Social Theory and Social Structure, New York: Free Press.Mertokusumo, Sudikno, 2009</w:t>
      </w:r>
    </w:p>
    <w:p w14:paraId="7D5801AD">
      <w:pPr>
        <w:spacing w:line="360" w:lineRule="auto"/>
        <w:jc w:val="both"/>
        <w:rPr>
          <w:sz w:val="24"/>
          <w:szCs w:val="24"/>
          <w:lang w:val="id-ID"/>
        </w:rPr>
      </w:pPr>
      <w:r>
        <w:rPr>
          <w:sz w:val="24"/>
          <w:szCs w:val="24"/>
          <w:lang w:val="id-ID"/>
        </w:rPr>
        <w:t>Hukum Pembuktian dalam Perkara Perdata dan Pidana, Yogyakarta: Liberty.Moeljatno, 2002</w:t>
      </w:r>
    </w:p>
    <w:p w14:paraId="344556F0">
      <w:pPr>
        <w:spacing w:line="360" w:lineRule="auto"/>
        <w:jc w:val="both"/>
        <w:rPr>
          <w:sz w:val="24"/>
          <w:szCs w:val="24"/>
          <w:lang w:val="id-ID"/>
        </w:rPr>
      </w:pPr>
      <w:r>
        <w:rPr>
          <w:i/>
          <w:iCs/>
          <w:sz w:val="24"/>
          <w:szCs w:val="24"/>
          <w:lang w:val="id-ID"/>
        </w:rPr>
        <w:t>Asas-Asas Hukum Pidana</w:t>
      </w:r>
      <w:r>
        <w:rPr>
          <w:sz w:val="24"/>
          <w:szCs w:val="24"/>
          <w:lang w:val="id-ID"/>
        </w:rPr>
        <w:t>, Jakarta: Rineka Cipta.Muladi, 1995</w:t>
      </w:r>
    </w:p>
    <w:p w14:paraId="63251039">
      <w:pPr>
        <w:spacing w:line="360" w:lineRule="auto"/>
        <w:jc w:val="both"/>
        <w:rPr>
          <w:sz w:val="24"/>
          <w:szCs w:val="24"/>
          <w:lang w:val="id-ID"/>
        </w:rPr>
      </w:pPr>
      <w:r>
        <w:rPr>
          <w:i/>
          <w:iCs/>
          <w:sz w:val="24"/>
          <w:szCs w:val="24"/>
          <w:lang w:val="id-ID"/>
        </w:rPr>
        <w:t>Teori-Teori dan Kebijakan Pidana</w:t>
      </w:r>
      <w:r>
        <w:rPr>
          <w:sz w:val="24"/>
          <w:szCs w:val="24"/>
          <w:lang w:val="id-ID"/>
        </w:rPr>
        <w:t>, Bandung: Alumni.Ogburn, William F., 1964</w:t>
      </w:r>
    </w:p>
    <w:p w14:paraId="1FEC4F26">
      <w:pPr>
        <w:spacing w:line="360" w:lineRule="auto"/>
        <w:jc w:val="both"/>
        <w:rPr>
          <w:sz w:val="24"/>
          <w:szCs w:val="24"/>
          <w:lang w:val="id-ID"/>
        </w:rPr>
      </w:pPr>
      <w:r>
        <w:rPr>
          <w:i/>
          <w:iCs/>
          <w:sz w:val="24"/>
          <w:szCs w:val="24"/>
          <w:lang w:val="id-ID"/>
        </w:rPr>
        <w:t>On Culture and Social Change</w:t>
      </w:r>
      <w:r>
        <w:rPr>
          <w:sz w:val="24"/>
          <w:szCs w:val="24"/>
          <w:lang w:val="id-ID"/>
        </w:rPr>
        <w:t>, Chicago: University of Chicago Press.Pound, Roscoe, 1999</w:t>
      </w:r>
    </w:p>
    <w:p w14:paraId="47A5229F">
      <w:pPr>
        <w:spacing w:line="360" w:lineRule="auto"/>
        <w:jc w:val="both"/>
        <w:rPr>
          <w:sz w:val="24"/>
          <w:szCs w:val="24"/>
          <w:lang w:val="id-ID"/>
        </w:rPr>
      </w:pPr>
      <w:r>
        <w:rPr>
          <w:i/>
          <w:iCs/>
          <w:sz w:val="24"/>
          <w:szCs w:val="24"/>
          <w:lang w:val="id-ID"/>
        </w:rPr>
        <w:t>Pengantar Filsafat Hukum</w:t>
      </w:r>
      <w:r>
        <w:rPr>
          <w:sz w:val="24"/>
          <w:szCs w:val="24"/>
          <w:lang w:val="id-ID"/>
        </w:rPr>
        <w:t xml:space="preserve"> (Terjemahan), Jakarta: Bhratara Niaga Media.Prasojo, Eko, 2011</w:t>
      </w:r>
    </w:p>
    <w:p w14:paraId="252E01FC">
      <w:pPr>
        <w:spacing w:line="360" w:lineRule="auto"/>
        <w:jc w:val="both"/>
        <w:rPr>
          <w:sz w:val="24"/>
          <w:szCs w:val="24"/>
          <w:lang w:val="id-ID"/>
        </w:rPr>
      </w:pPr>
      <w:r>
        <w:rPr>
          <w:i/>
          <w:iCs/>
          <w:sz w:val="24"/>
          <w:szCs w:val="24"/>
          <w:lang w:val="id-ID"/>
        </w:rPr>
        <w:t>Reformasi Birokrasi dan Desentralisasi di Indonesia</w:t>
      </w:r>
      <w:r>
        <w:rPr>
          <w:sz w:val="24"/>
          <w:szCs w:val="24"/>
          <w:lang w:val="id-ID"/>
        </w:rPr>
        <w:t>, Jakarta: UI Press.Radbruch, Gustav, 2003</w:t>
      </w:r>
    </w:p>
    <w:p w14:paraId="710EDA50">
      <w:pPr>
        <w:spacing w:line="360" w:lineRule="auto"/>
        <w:jc w:val="both"/>
        <w:rPr>
          <w:sz w:val="24"/>
          <w:szCs w:val="24"/>
          <w:lang w:val="id-ID"/>
        </w:rPr>
      </w:pPr>
      <w:r>
        <w:rPr>
          <w:i/>
          <w:iCs/>
          <w:sz w:val="24"/>
          <w:szCs w:val="24"/>
          <w:lang w:val="id-ID"/>
        </w:rPr>
        <w:t>Fünf Minuten Rechtsphilosophie</w:t>
      </w:r>
      <w:r>
        <w:rPr>
          <w:sz w:val="24"/>
          <w:szCs w:val="24"/>
          <w:lang w:val="id-ID"/>
        </w:rPr>
        <w:t xml:space="preserve"> (Filsafat Hukum Lima Menit), Heidelberg: C.F. Müller.Remmelink, Jan, 2003</w:t>
      </w:r>
    </w:p>
    <w:p w14:paraId="61DA30FD">
      <w:pPr>
        <w:spacing w:line="360" w:lineRule="auto"/>
        <w:jc w:val="both"/>
        <w:rPr>
          <w:sz w:val="24"/>
          <w:szCs w:val="24"/>
          <w:lang w:val="id-ID"/>
        </w:rPr>
      </w:pPr>
      <w:r>
        <w:rPr>
          <w:i/>
          <w:iCs/>
          <w:sz w:val="24"/>
          <w:szCs w:val="24"/>
          <w:lang w:val="id-ID"/>
        </w:rPr>
        <w:t>Hukum Pidana: Komentar Atas Pasal-Pasal Terpenting dari Kitab Undang-Undang Hukum Pidana Belanda dan Padanannya dalam Kitab Undang-Undang Hukum Pidana Indonesia,</w:t>
      </w:r>
      <w:r>
        <w:rPr>
          <w:sz w:val="24"/>
          <w:szCs w:val="24"/>
          <w:lang w:val="id-ID"/>
        </w:rPr>
        <w:t xml:space="preserve"> Jakarta: Gramedia Pustaka Utama.Sahetapy, J.E., 1982</w:t>
      </w:r>
    </w:p>
    <w:p w14:paraId="0A96328E">
      <w:pPr>
        <w:spacing w:line="360" w:lineRule="auto"/>
        <w:jc w:val="both"/>
        <w:rPr>
          <w:sz w:val="24"/>
          <w:szCs w:val="24"/>
          <w:lang w:val="id-ID"/>
        </w:rPr>
      </w:pPr>
      <w:r>
        <w:rPr>
          <w:sz w:val="24"/>
          <w:szCs w:val="24"/>
          <w:lang w:val="id-ID"/>
        </w:rPr>
        <w:t>Suatu Studi Khusus Mengenai Ancaman Pidana Mati Terhadap Pembunuhan Berencana, Bandung: Alumni.Santoso, Topo, 2006</w:t>
      </w:r>
    </w:p>
    <w:p w14:paraId="3F1E207E">
      <w:pPr>
        <w:spacing w:line="360" w:lineRule="auto"/>
        <w:jc w:val="both"/>
        <w:rPr>
          <w:sz w:val="24"/>
          <w:szCs w:val="24"/>
          <w:lang w:val="id-ID"/>
        </w:rPr>
      </w:pPr>
      <w:r>
        <w:rPr>
          <w:i/>
          <w:iCs/>
          <w:sz w:val="24"/>
          <w:szCs w:val="24"/>
          <w:lang w:val="id-ID"/>
        </w:rPr>
        <w:t>Tindak Pidana Pemilu: Anatomi dan Penegakan Hukumnya</w:t>
      </w:r>
      <w:r>
        <w:rPr>
          <w:sz w:val="24"/>
          <w:szCs w:val="24"/>
          <w:lang w:val="id-ID"/>
        </w:rPr>
        <w:t>, Jakarta: Sinar Grafika.Soekanto, Soerjono, 1983</w:t>
      </w:r>
    </w:p>
    <w:p w14:paraId="01D15061">
      <w:pPr>
        <w:spacing w:line="360" w:lineRule="auto"/>
        <w:jc w:val="both"/>
        <w:rPr>
          <w:sz w:val="24"/>
          <w:szCs w:val="24"/>
          <w:lang w:val="id-ID"/>
        </w:rPr>
      </w:pPr>
      <w:r>
        <w:rPr>
          <w:i/>
          <w:iCs/>
          <w:sz w:val="24"/>
          <w:szCs w:val="24"/>
          <w:lang w:val="id-ID"/>
        </w:rPr>
        <w:t>Faktor-Faktor yang Mempengaruhi Penegakan Hukum</w:t>
      </w:r>
      <w:r>
        <w:rPr>
          <w:sz w:val="24"/>
          <w:szCs w:val="24"/>
          <w:lang w:val="id-ID"/>
        </w:rPr>
        <w:t>, Jakarta: Rajawali Pers.Subekti, R., 2001</w:t>
      </w:r>
    </w:p>
    <w:p w14:paraId="56053B1B">
      <w:pPr>
        <w:spacing w:line="360" w:lineRule="auto"/>
        <w:jc w:val="both"/>
        <w:rPr>
          <w:sz w:val="24"/>
          <w:szCs w:val="24"/>
          <w:lang w:val="id-ID"/>
        </w:rPr>
      </w:pPr>
      <w:r>
        <w:rPr>
          <w:i/>
          <w:iCs/>
          <w:sz w:val="24"/>
          <w:szCs w:val="24"/>
          <w:lang w:val="id-ID"/>
        </w:rPr>
        <w:t>Hukum Pembuktian,</w:t>
      </w:r>
      <w:r>
        <w:rPr>
          <w:sz w:val="24"/>
          <w:szCs w:val="24"/>
          <w:lang w:val="id-ID"/>
        </w:rPr>
        <w:t xml:space="preserve"> Jakarta: Pradnya Paramitha.Surbakti, Ramlan, 2012</w:t>
      </w:r>
    </w:p>
    <w:p w14:paraId="21B9588C">
      <w:pPr>
        <w:spacing w:line="360" w:lineRule="auto"/>
        <w:jc w:val="both"/>
        <w:rPr>
          <w:sz w:val="24"/>
          <w:szCs w:val="24"/>
          <w:lang w:val="id-ID"/>
        </w:rPr>
      </w:pPr>
      <w:r>
        <w:rPr>
          <w:i/>
          <w:iCs/>
          <w:sz w:val="24"/>
          <w:szCs w:val="24"/>
          <w:lang w:val="id-ID"/>
        </w:rPr>
        <w:t>Memahami Hukum Pemilu Legislatif di Indonesia</w:t>
      </w:r>
      <w:r>
        <w:rPr>
          <w:sz w:val="24"/>
          <w:szCs w:val="24"/>
          <w:lang w:val="id-ID"/>
        </w:rPr>
        <w:t>, Surabaya: Airlangga University Press.Sutherland, Edwin H., 1949</w:t>
      </w:r>
    </w:p>
    <w:p w14:paraId="5E86C641">
      <w:pPr>
        <w:spacing w:line="360" w:lineRule="auto"/>
        <w:jc w:val="both"/>
        <w:rPr>
          <w:i/>
          <w:iCs/>
          <w:sz w:val="24"/>
          <w:szCs w:val="24"/>
          <w:lang w:val="id-ID"/>
        </w:rPr>
        <w:sectPr>
          <w:headerReference r:id="rId47" w:type="first"/>
          <w:headerReference r:id="rId45" w:type="default"/>
          <w:footerReference r:id="rId48" w:type="default"/>
          <w:headerReference r:id="rId46" w:type="even"/>
          <w:pgSz w:w="11910" w:h="16840"/>
          <w:pgMar w:top="1701" w:right="1701" w:bottom="1701" w:left="2268" w:header="709" w:footer="709" w:gutter="0"/>
          <w:cols w:space="708" w:num="1"/>
          <w:docGrid w:linePitch="360" w:charSpace="0"/>
        </w:sectPr>
      </w:pPr>
      <w:r>
        <w:rPr>
          <w:i/>
          <w:iCs/>
          <w:sz w:val="24"/>
          <w:szCs w:val="24"/>
          <w:lang w:val="id-ID"/>
        </w:rPr>
        <w:t>White Collar Crime, New York: Dryden Press.</w:t>
      </w:r>
    </w:p>
    <w:p w14:paraId="73708BD2">
      <w:pPr>
        <w:spacing w:line="360" w:lineRule="auto"/>
        <w:ind w:left="284" w:hanging="284"/>
        <w:jc w:val="both"/>
        <w:rPr>
          <w:sz w:val="24"/>
          <w:szCs w:val="24"/>
          <w:lang w:val="id-ID"/>
        </w:rPr>
      </w:pPr>
      <w:r>
        <w:rPr>
          <w:sz w:val="24"/>
          <w:szCs w:val="24"/>
          <w:lang w:val="id-ID"/>
        </w:rPr>
        <w:t xml:space="preserve">Pratama, R., &amp; Siregar, H. </w:t>
      </w:r>
      <w:r>
        <w:rPr>
          <w:i/>
          <w:sz w:val="24"/>
          <w:szCs w:val="24"/>
          <w:lang w:val="id-ID"/>
        </w:rPr>
        <w:t>Analisis Doktrin Mens Rea dalam Tindak Pidana Manipulasi Suara Pemilu oleh Aparatur Negara</w:t>
      </w:r>
      <w:r>
        <w:rPr>
          <w:sz w:val="24"/>
          <w:szCs w:val="24"/>
          <w:lang w:val="id-ID"/>
        </w:rPr>
        <w:t>. Jurnal Ilmu Hukum Pidana, 9(3), 204-221, 2023.</w:t>
      </w:r>
    </w:p>
    <w:p w14:paraId="3FB0D9D2">
      <w:pPr>
        <w:spacing w:line="360" w:lineRule="auto"/>
        <w:ind w:left="284" w:hanging="284"/>
        <w:jc w:val="both"/>
        <w:rPr>
          <w:sz w:val="24"/>
          <w:szCs w:val="24"/>
          <w:lang w:val="id-ID"/>
        </w:rPr>
      </w:pPr>
      <w:r>
        <w:rPr>
          <w:sz w:val="24"/>
          <w:szCs w:val="24"/>
          <w:lang w:val="id-ID"/>
        </w:rPr>
        <w:t xml:space="preserve">Sutopo, B. </w:t>
      </w:r>
      <w:r>
        <w:rPr>
          <w:i/>
          <w:sz w:val="24"/>
          <w:szCs w:val="24"/>
          <w:lang w:val="id-ID"/>
        </w:rPr>
        <w:t>Disparitas Pemidanaan dalam Tindak Pidana Khusus: Kajian Terhadap Ratio Decidendi Hakim</w:t>
      </w:r>
      <w:r>
        <w:rPr>
          <w:sz w:val="24"/>
          <w:szCs w:val="24"/>
          <w:lang w:val="id-ID"/>
        </w:rPr>
        <w:t>. Jurnal Yudisial, 15(1), 45-62.D, 2022.</w:t>
      </w:r>
    </w:p>
    <w:p w14:paraId="7EA121BB">
      <w:pPr>
        <w:spacing w:line="360" w:lineRule="auto"/>
        <w:jc w:val="both"/>
        <w:rPr>
          <w:sz w:val="24"/>
          <w:szCs w:val="24"/>
          <w:lang w:val="id-ID"/>
        </w:rPr>
      </w:pPr>
    </w:p>
    <w:p w14:paraId="0697F7FA">
      <w:pPr>
        <w:pStyle w:val="38"/>
        <w:numPr>
          <w:ilvl w:val="0"/>
          <w:numId w:val="6"/>
        </w:numPr>
        <w:spacing w:line="360" w:lineRule="auto"/>
        <w:jc w:val="both"/>
        <w:rPr>
          <w:b/>
          <w:sz w:val="24"/>
          <w:szCs w:val="24"/>
          <w:lang w:val="id-ID"/>
        </w:rPr>
      </w:pPr>
      <w:r>
        <w:rPr>
          <w:b/>
          <w:sz w:val="24"/>
          <w:szCs w:val="24"/>
          <w:lang w:val="id-ID"/>
        </w:rPr>
        <w:t>Internet</w:t>
      </w:r>
    </w:p>
    <w:p w14:paraId="0F10DACF">
      <w:pPr>
        <w:spacing w:line="360" w:lineRule="auto"/>
        <w:ind w:left="284" w:hanging="284"/>
        <w:jc w:val="both"/>
        <w:rPr>
          <w:sz w:val="24"/>
          <w:szCs w:val="24"/>
          <w:lang w:val="id-ID"/>
        </w:rPr>
      </w:pPr>
      <w:r>
        <w:rPr>
          <w:sz w:val="24"/>
          <w:szCs w:val="24"/>
          <w:lang w:val="id-ID"/>
        </w:rPr>
        <w:t xml:space="preserve">Dokumen Media Massa &amp; Artikel Berita Resmi Antara Sumut. Pengadilan Tinggi Medan Perberat Hukuman Tiga Terdakwa Penggelembungan Suara, melalui  </w:t>
      </w:r>
      <w:r>
        <w:rPr>
          <w:i/>
          <w:sz w:val="24"/>
          <w:szCs w:val="24"/>
          <w:lang w:val="id-ID"/>
        </w:rPr>
        <w:t>http://antaranews.com</w:t>
      </w:r>
      <w:r>
        <w:rPr>
          <w:sz w:val="24"/>
          <w:szCs w:val="24"/>
          <w:lang w:val="id-ID"/>
        </w:rPr>
        <w:t xml:space="preserve"> diakses 2024.</w:t>
      </w:r>
    </w:p>
    <w:p w14:paraId="14A6F864">
      <w:pPr>
        <w:spacing w:line="360" w:lineRule="auto"/>
        <w:ind w:left="284" w:hanging="284"/>
        <w:jc w:val="both"/>
        <w:rPr>
          <w:sz w:val="24"/>
          <w:szCs w:val="24"/>
          <w:lang w:val="id-ID"/>
        </w:rPr>
      </w:pPr>
      <w:r>
        <w:rPr>
          <w:sz w:val="24"/>
          <w:szCs w:val="24"/>
          <w:lang w:val="id-ID"/>
        </w:rPr>
        <w:t>CNN Indonesia. Duduk Perkara Kasus Pergeseran Suara Pileg oleh 3 Anggota PPK Medan Timur, melalui</w:t>
      </w:r>
      <w:r>
        <w:rPr>
          <w:i/>
          <w:sz w:val="24"/>
          <w:szCs w:val="24"/>
          <w:lang w:val="id-ID"/>
        </w:rPr>
        <w:t xml:space="preserve"> http://cnnindonesia.com</w:t>
      </w:r>
      <w:r>
        <w:rPr>
          <w:sz w:val="24"/>
          <w:szCs w:val="24"/>
          <w:lang w:val="id-ID"/>
        </w:rPr>
        <w:t xml:space="preserve"> diakses 2024</w:t>
      </w:r>
    </w:p>
    <w:p w14:paraId="6493C8DA">
      <w:pPr>
        <w:spacing w:line="360" w:lineRule="auto"/>
        <w:ind w:left="284" w:hanging="284"/>
        <w:jc w:val="both"/>
        <w:rPr>
          <w:sz w:val="24"/>
          <w:szCs w:val="24"/>
          <w:lang w:val="id-ID"/>
        </w:rPr>
      </w:pPr>
      <w:r>
        <w:rPr>
          <w:sz w:val="24"/>
          <w:szCs w:val="24"/>
          <w:lang w:val="id-ID"/>
        </w:rPr>
        <w:t xml:space="preserve">Detik Sumut. PT Medan Perberat Hukuman 3 PPK Medan Timur Jadi 8 Bulan Penjara, melalui </w:t>
      </w:r>
      <w:r>
        <w:rPr>
          <w:i/>
          <w:sz w:val="24"/>
          <w:szCs w:val="24"/>
          <w:lang w:val="id-ID"/>
        </w:rPr>
        <w:t>http://detik.com</w:t>
      </w:r>
      <w:r>
        <w:rPr>
          <w:sz w:val="24"/>
          <w:szCs w:val="24"/>
          <w:lang w:val="id-ID"/>
        </w:rPr>
        <w:t xml:space="preserve"> diakses 2024</w:t>
      </w:r>
    </w:p>
    <w:p w14:paraId="148D39B3">
      <w:pPr>
        <w:spacing w:line="360" w:lineRule="auto"/>
        <w:jc w:val="both"/>
        <w:rPr>
          <w:sz w:val="24"/>
          <w:szCs w:val="24"/>
          <w:lang w:val="id-ID"/>
        </w:rPr>
      </w:pPr>
    </w:p>
    <w:p w14:paraId="08EB4E17">
      <w:pPr>
        <w:spacing w:line="360" w:lineRule="auto"/>
        <w:jc w:val="both"/>
        <w:rPr>
          <w:sz w:val="24"/>
          <w:szCs w:val="24"/>
          <w:lang w:val="id-ID"/>
        </w:rPr>
      </w:pPr>
    </w:p>
    <w:p w14:paraId="461F7576">
      <w:pPr>
        <w:spacing w:line="360" w:lineRule="auto"/>
        <w:jc w:val="both"/>
        <w:rPr>
          <w:sz w:val="24"/>
          <w:szCs w:val="24"/>
        </w:rPr>
      </w:pPr>
    </w:p>
    <w:p w14:paraId="3FEA170B">
      <w:pPr>
        <w:spacing w:line="360" w:lineRule="auto"/>
        <w:jc w:val="both"/>
        <w:rPr>
          <w:sz w:val="24"/>
          <w:szCs w:val="24"/>
        </w:rPr>
      </w:pPr>
    </w:p>
    <w:p w14:paraId="148C928F">
      <w:pPr>
        <w:rPr>
          <w:lang w:val="id-ID"/>
        </w:rPr>
        <w:sectPr>
          <w:headerReference r:id="rId51" w:type="first"/>
          <w:headerReference r:id="rId49" w:type="default"/>
          <w:footerReference r:id="rId52" w:type="default"/>
          <w:headerReference r:id="rId50" w:type="even"/>
          <w:pgSz w:w="11910" w:h="16840"/>
          <w:pgMar w:top="1701" w:right="1701" w:bottom="1701" w:left="2268" w:header="709" w:footer="709" w:gutter="0"/>
          <w:cols w:space="708" w:num="1"/>
          <w:docGrid w:linePitch="360" w:charSpace="0"/>
        </w:sectPr>
      </w:pPr>
    </w:p>
    <w:p w14:paraId="08F5FAD3">
      <w:pPr>
        <w:pStyle w:val="2"/>
        <w:spacing w:before="0" w:after="0" w:line="360" w:lineRule="auto"/>
        <w:rPr>
          <w:sz w:val="24"/>
          <w:szCs w:val="24"/>
        </w:rPr>
        <w:sectPr>
          <w:headerReference r:id="rId55" w:type="first"/>
          <w:headerReference r:id="rId53" w:type="default"/>
          <w:footerReference r:id="rId56" w:type="default"/>
          <w:headerReference r:id="rId54" w:type="even"/>
          <w:pgSz w:w="11910" w:h="16840"/>
          <w:pgMar w:top="1701" w:right="1701" w:bottom="1701" w:left="2268" w:header="709" w:footer="709" w:gutter="0"/>
          <w:cols w:space="708" w:num="1"/>
          <w:docGrid w:linePitch="360" w:charSpace="0"/>
        </w:sectPr>
      </w:pPr>
      <w:r>
        <w:rPr>
          <w:sz w:val="24"/>
          <w:szCs w:val="24"/>
          <w:lang w:val="en-US"/>
        </w:rPr>
        <w:drawing>
          <wp:anchor distT="0" distB="0" distL="114300" distR="114300" simplePos="0" relativeHeight="251673600" behindDoc="0" locked="0" layoutInCell="1" allowOverlap="1">
            <wp:simplePos x="0" y="0"/>
            <wp:positionH relativeFrom="column">
              <wp:posOffset>-24130</wp:posOffset>
            </wp:positionH>
            <wp:positionV relativeFrom="paragraph">
              <wp:posOffset>-22225</wp:posOffset>
            </wp:positionV>
            <wp:extent cx="4866640" cy="7141845"/>
            <wp:effectExtent l="0" t="0" r="0" b="1905"/>
            <wp:wrapNone/>
            <wp:docPr id="17" name="Picture 17" descr="C:\Users\OPERATOR\Pictures\2026-09-09\2026-09-09 12-37-29_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Users\OPERATOR\Pictures\2026-09-09\2026-09-09 12-37-29_0035.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rot="10800000">
                      <a:off x="0" y="0"/>
                      <a:ext cx="4866640" cy="7141845"/>
                    </a:xfrm>
                    <a:prstGeom prst="rect">
                      <a:avLst/>
                    </a:prstGeom>
                    <a:noFill/>
                    <a:ln>
                      <a:noFill/>
                    </a:ln>
                  </pic:spPr>
                </pic:pic>
              </a:graphicData>
            </a:graphic>
          </wp:anchor>
        </w:drawing>
      </w:r>
    </w:p>
    <w:p w14:paraId="32493473">
      <w:pPr>
        <w:pStyle w:val="2"/>
        <w:spacing w:before="0" w:after="0" w:line="360" w:lineRule="auto"/>
        <w:rPr>
          <w:sz w:val="24"/>
          <w:szCs w:val="24"/>
        </w:rPr>
        <w:sectPr>
          <w:pgSz w:w="11910" w:h="16840"/>
          <w:pgMar w:top="1701" w:right="1701" w:bottom="1701" w:left="2268" w:header="709" w:footer="709" w:gutter="0"/>
          <w:cols w:space="708" w:num="1"/>
          <w:docGrid w:linePitch="360" w:charSpace="0"/>
        </w:sectPr>
      </w:pPr>
      <w:r>
        <w:rPr>
          <w:sz w:val="24"/>
          <w:szCs w:val="24"/>
          <w:lang w:val="en-US"/>
        </w:rPr>
        <w:drawing>
          <wp:anchor distT="0" distB="0" distL="114300" distR="114300" simplePos="0" relativeHeight="251672576" behindDoc="0" locked="0" layoutInCell="1" allowOverlap="1">
            <wp:simplePos x="0" y="0"/>
            <wp:positionH relativeFrom="column">
              <wp:posOffset>64135</wp:posOffset>
            </wp:positionH>
            <wp:positionV relativeFrom="paragraph">
              <wp:posOffset>40640</wp:posOffset>
            </wp:positionV>
            <wp:extent cx="5012055" cy="7993380"/>
            <wp:effectExtent l="0" t="0" r="0" b="7620"/>
            <wp:wrapNone/>
            <wp:docPr id="16" name="Picture 16" descr="C:\Users\OPERATOR\Pictures\2026-09-09\2026-09-09 12-37-44_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Users\OPERATOR\Pictures\2026-09-09\2026-09-09 12-37-44_0036.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rot="10800000">
                      <a:off x="0" y="0"/>
                      <a:ext cx="5014675" cy="7997686"/>
                    </a:xfrm>
                    <a:prstGeom prst="rect">
                      <a:avLst/>
                    </a:prstGeom>
                    <a:noFill/>
                    <a:ln>
                      <a:noFill/>
                    </a:ln>
                  </pic:spPr>
                </pic:pic>
              </a:graphicData>
            </a:graphic>
          </wp:anchor>
        </w:drawing>
      </w:r>
    </w:p>
    <w:p w14:paraId="7C5CEABC">
      <w:pPr>
        <w:pStyle w:val="2"/>
        <w:spacing w:before="0" w:after="0" w:line="360" w:lineRule="auto"/>
        <w:rPr>
          <w:sz w:val="24"/>
          <w:szCs w:val="24"/>
        </w:rPr>
        <w:sectPr>
          <w:pgSz w:w="11910" w:h="16840"/>
          <w:pgMar w:top="1701" w:right="1701" w:bottom="1701" w:left="2268" w:header="709" w:footer="709" w:gutter="0"/>
          <w:cols w:space="708" w:num="1"/>
          <w:docGrid w:linePitch="360" w:charSpace="0"/>
        </w:sectPr>
      </w:pPr>
      <w:r>
        <w:rPr>
          <w:sz w:val="24"/>
          <w:szCs w:val="24"/>
          <w:lang w:val="en-US"/>
        </w:rPr>
        <w:drawing>
          <wp:anchor distT="0" distB="0" distL="114300" distR="114300" simplePos="0" relativeHeight="251671552" behindDoc="0" locked="0" layoutInCell="1" allowOverlap="1">
            <wp:simplePos x="0" y="0"/>
            <wp:positionH relativeFrom="column">
              <wp:posOffset>-349885</wp:posOffset>
            </wp:positionH>
            <wp:positionV relativeFrom="paragraph">
              <wp:posOffset>-1905</wp:posOffset>
            </wp:positionV>
            <wp:extent cx="5515610" cy="8094345"/>
            <wp:effectExtent l="0" t="0" r="8890" b="1905"/>
            <wp:wrapNone/>
            <wp:docPr id="15" name="Picture 15" descr="C:\Users\OPERATOR\Pictures\2026-09-09\2026-09-09 12-37-59_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Users\OPERATOR\Pictures\2026-09-09\2026-09-09 12-37-59_0037.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rot="10800000">
                      <a:off x="0" y="0"/>
                      <a:ext cx="5515610" cy="8094345"/>
                    </a:xfrm>
                    <a:prstGeom prst="rect">
                      <a:avLst/>
                    </a:prstGeom>
                    <a:noFill/>
                    <a:ln>
                      <a:noFill/>
                    </a:ln>
                  </pic:spPr>
                </pic:pic>
              </a:graphicData>
            </a:graphic>
          </wp:anchor>
        </w:drawing>
      </w:r>
    </w:p>
    <w:p w14:paraId="68476232">
      <w:pPr>
        <w:pStyle w:val="2"/>
        <w:spacing w:before="0" w:after="0" w:line="360" w:lineRule="auto"/>
        <w:rPr>
          <w:sz w:val="24"/>
          <w:szCs w:val="24"/>
        </w:rPr>
        <w:sectPr>
          <w:pgSz w:w="11910" w:h="16840"/>
          <w:pgMar w:top="1701" w:right="1701" w:bottom="1701" w:left="2268" w:header="709" w:footer="709" w:gutter="0"/>
          <w:cols w:space="708" w:num="1"/>
          <w:docGrid w:linePitch="360" w:charSpace="0"/>
        </w:sectPr>
      </w:pPr>
      <w:r>
        <w:rPr>
          <w:sz w:val="24"/>
          <w:szCs w:val="24"/>
          <w:lang w:val="en-US"/>
        </w:rPr>
        <w:drawing>
          <wp:anchor distT="0" distB="0" distL="114300" distR="114300" simplePos="0" relativeHeight="251670528" behindDoc="0" locked="0" layoutInCell="1" allowOverlap="1">
            <wp:simplePos x="0" y="0"/>
            <wp:positionH relativeFrom="column">
              <wp:posOffset>-584200</wp:posOffset>
            </wp:positionH>
            <wp:positionV relativeFrom="paragraph">
              <wp:posOffset>10795</wp:posOffset>
            </wp:positionV>
            <wp:extent cx="5567680" cy="8170545"/>
            <wp:effectExtent l="0" t="0" r="0" b="1905"/>
            <wp:wrapNone/>
            <wp:docPr id="14" name="Picture 14" descr="C:\Users\OPERATOR\Pictures\2026-09-09\2026-09-09 12-38-18_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Users\OPERATOR\Pictures\2026-09-09\2026-09-09 12-38-18_0038.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a:xfrm rot="10800000">
                      <a:off x="0" y="0"/>
                      <a:ext cx="5575734" cy="8182553"/>
                    </a:xfrm>
                    <a:prstGeom prst="rect">
                      <a:avLst/>
                    </a:prstGeom>
                    <a:noFill/>
                    <a:ln>
                      <a:noFill/>
                    </a:ln>
                  </pic:spPr>
                </pic:pic>
              </a:graphicData>
            </a:graphic>
          </wp:anchor>
        </w:drawing>
      </w:r>
    </w:p>
    <w:p w14:paraId="2D87013F">
      <w:pPr>
        <w:pStyle w:val="2"/>
        <w:spacing w:before="0" w:after="0" w:line="360" w:lineRule="auto"/>
        <w:rPr>
          <w:sz w:val="24"/>
          <w:szCs w:val="24"/>
        </w:rPr>
        <w:sectPr>
          <w:pgSz w:w="11910" w:h="16840"/>
          <w:pgMar w:top="1701" w:right="1701" w:bottom="1701" w:left="2268" w:header="709" w:footer="709" w:gutter="0"/>
          <w:cols w:space="708" w:num="1"/>
          <w:docGrid w:linePitch="360" w:charSpace="0"/>
        </w:sectPr>
      </w:pPr>
      <w:r>
        <w:rPr>
          <w:sz w:val="24"/>
          <w:szCs w:val="24"/>
          <w:lang w:val="en-US"/>
        </w:rPr>
        <w:drawing>
          <wp:anchor distT="0" distB="0" distL="114300" distR="114300" simplePos="0" relativeHeight="251669504" behindDoc="0" locked="0" layoutInCell="1" allowOverlap="1">
            <wp:simplePos x="0" y="0"/>
            <wp:positionH relativeFrom="column">
              <wp:posOffset>-466725</wp:posOffset>
            </wp:positionH>
            <wp:positionV relativeFrom="paragraph">
              <wp:posOffset>10795</wp:posOffset>
            </wp:positionV>
            <wp:extent cx="5607685" cy="8229600"/>
            <wp:effectExtent l="0" t="0" r="0" b="0"/>
            <wp:wrapNone/>
            <wp:docPr id="13" name="Picture 13" descr="C:\Users\OPERATOR\Pictures\2026-09-09\2026-09-09 12-38-33_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Users\OPERATOR\Pictures\2026-09-09\2026-09-09 12-38-33_0039.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rot="10800000">
                      <a:off x="0" y="0"/>
                      <a:ext cx="5607844" cy="8229600"/>
                    </a:xfrm>
                    <a:prstGeom prst="rect">
                      <a:avLst/>
                    </a:prstGeom>
                    <a:noFill/>
                    <a:ln>
                      <a:noFill/>
                    </a:ln>
                  </pic:spPr>
                </pic:pic>
              </a:graphicData>
            </a:graphic>
          </wp:anchor>
        </w:drawing>
      </w:r>
    </w:p>
    <w:p w14:paraId="6634B334">
      <w:pPr>
        <w:pStyle w:val="2"/>
        <w:spacing w:before="0" w:after="0" w:line="360" w:lineRule="auto"/>
        <w:rPr>
          <w:sz w:val="24"/>
          <w:szCs w:val="24"/>
        </w:rPr>
        <w:sectPr>
          <w:pgSz w:w="11910" w:h="16840"/>
          <w:pgMar w:top="1701" w:right="1701" w:bottom="1701" w:left="2268" w:header="709" w:footer="709" w:gutter="0"/>
          <w:cols w:space="708" w:num="1"/>
          <w:docGrid w:linePitch="360" w:charSpace="0"/>
        </w:sectPr>
      </w:pPr>
      <w:r>
        <w:rPr>
          <w:sz w:val="24"/>
          <w:szCs w:val="24"/>
          <w:lang w:val="en-US"/>
        </w:rPr>
        <w:drawing>
          <wp:anchor distT="0" distB="0" distL="114300" distR="114300" simplePos="0" relativeHeight="251668480" behindDoc="0" locked="0" layoutInCell="1" allowOverlap="1">
            <wp:simplePos x="0" y="0"/>
            <wp:positionH relativeFrom="column">
              <wp:posOffset>-142240</wp:posOffset>
            </wp:positionH>
            <wp:positionV relativeFrom="paragraph">
              <wp:posOffset>10795</wp:posOffset>
            </wp:positionV>
            <wp:extent cx="5567680" cy="8170545"/>
            <wp:effectExtent l="0" t="0" r="0" b="1905"/>
            <wp:wrapNone/>
            <wp:docPr id="12" name="Picture 12" descr="C:\Users\OPERATOR\Pictures\2026-09-09\2026-09-09 12-38-47_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OPERATOR\Pictures\2026-09-09\2026-09-09 12-38-47_0040.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rot="10800000">
                      <a:off x="0" y="0"/>
                      <a:ext cx="5567035" cy="8169694"/>
                    </a:xfrm>
                    <a:prstGeom prst="rect">
                      <a:avLst/>
                    </a:prstGeom>
                    <a:noFill/>
                    <a:ln>
                      <a:noFill/>
                    </a:ln>
                  </pic:spPr>
                </pic:pic>
              </a:graphicData>
            </a:graphic>
          </wp:anchor>
        </w:drawing>
      </w:r>
    </w:p>
    <w:p w14:paraId="3A39AC0F">
      <w:pPr>
        <w:pStyle w:val="2"/>
        <w:spacing w:before="0" w:after="0" w:line="360" w:lineRule="auto"/>
        <w:rPr>
          <w:sz w:val="24"/>
          <w:szCs w:val="24"/>
        </w:rPr>
        <w:sectPr>
          <w:pgSz w:w="11910" w:h="16840"/>
          <w:pgMar w:top="1701" w:right="1701" w:bottom="1701" w:left="2268" w:header="709" w:footer="709" w:gutter="0"/>
          <w:cols w:space="708" w:num="1"/>
          <w:docGrid w:linePitch="360" w:charSpace="0"/>
        </w:sectPr>
      </w:pPr>
      <w:r>
        <w:rPr>
          <w:sz w:val="24"/>
          <w:szCs w:val="24"/>
          <w:lang w:val="en-US"/>
        </w:rPr>
        <w:drawing>
          <wp:anchor distT="0" distB="0" distL="114300" distR="114300" simplePos="0" relativeHeight="251667456" behindDoc="0" locked="0" layoutInCell="1" allowOverlap="1">
            <wp:simplePos x="0" y="0"/>
            <wp:positionH relativeFrom="column">
              <wp:posOffset>-201295</wp:posOffset>
            </wp:positionH>
            <wp:positionV relativeFrom="paragraph">
              <wp:posOffset>99695</wp:posOffset>
            </wp:positionV>
            <wp:extent cx="5588000" cy="8200390"/>
            <wp:effectExtent l="0" t="0" r="0" b="0"/>
            <wp:wrapNone/>
            <wp:docPr id="11" name="Picture 11" descr="C:\Users\OPERATOR\Pictures\2026-09-09\2026-09-09 12-39-02_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OPERATOR\Pictures\2026-09-09\2026-09-09 12-39-02_0041.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rot="10800000">
                      <a:off x="0" y="0"/>
                      <a:ext cx="5587147" cy="8199277"/>
                    </a:xfrm>
                    <a:prstGeom prst="rect">
                      <a:avLst/>
                    </a:prstGeom>
                    <a:noFill/>
                    <a:ln>
                      <a:noFill/>
                    </a:ln>
                  </pic:spPr>
                </pic:pic>
              </a:graphicData>
            </a:graphic>
          </wp:anchor>
        </w:drawing>
      </w:r>
    </w:p>
    <w:p w14:paraId="4A85C0F6">
      <w:pPr>
        <w:pStyle w:val="2"/>
        <w:spacing w:before="0" w:after="0" w:line="360" w:lineRule="auto"/>
        <w:rPr>
          <w:sz w:val="24"/>
          <w:szCs w:val="24"/>
        </w:rPr>
        <w:sectPr>
          <w:pgSz w:w="11910" w:h="16840"/>
          <w:pgMar w:top="1701" w:right="1701" w:bottom="1701" w:left="2268" w:header="709" w:footer="709" w:gutter="0"/>
          <w:cols w:space="708" w:num="1"/>
          <w:docGrid w:linePitch="360" w:charSpace="0"/>
        </w:sectPr>
      </w:pPr>
      <w:r>
        <w:rPr>
          <w:sz w:val="24"/>
          <w:szCs w:val="24"/>
          <w:lang w:val="en-US"/>
        </w:rPr>
        <w:drawing>
          <wp:anchor distT="0" distB="0" distL="114300" distR="114300" simplePos="0" relativeHeight="251666432" behindDoc="0" locked="0" layoutInCell="1" allowOverlap="1">
            <wp:simplePos x="0" y="0"/>
            <wp:positionH relativeFrom="column">
              <wp:posOffset>-438150</wp:posOffset>
            </wp:positionH>
            <wp:positionV relativeFrom="paragraph">
              <wp:posOffset>-123825</wp:posOffset>
            </wp:positionV>
            <wp:extent cx="5840095" cy="8570595"/>
            <wp:effectExtent l="0" t="0" r="8255" b="1905"/>
            <wp:wrapNone/>
            <wp:docPr id="10" name="Picture 10" descr="C:\Users\OPERATOR\Pictures\2026-09-09\2026-09-09 12-39-20_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OPERATOR\Pictures\2026-09-09\2026-09-09 12-39-20_0042.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rot="10800000">
                      <a:off x="0" y="0"/>
                      <a:ext cx="5840095" cy="8570595"/>
                    </a:xfrm>
                    <a:prstGeom prst="rect">
                      <a:avLst/>
                    </a:prstGeom>
                    <a:noFill/>
                    <a:ln>
                      <a:noFill/>
                    </a:ln>
                  </pic:spPr>
                </pic:pic>
              </a:graphicData>
            </a:graphic>
          </wp:anchor>
        </w:drawing>
      </w:r>
    </w:p>
    <w:p w14:paraId="497A925B">
      <w:pPr>
        <w:pStyle w:val="2"/>
        <w:spacing w:before="0" w:after="0" w:line="360" w:lineRule="auto"/>
        <w:rPr>
          <w:sz w:val="24"/>
          <w:szCs w:val="24"/>
        </w:rPr>
      </w:pPr>
      <w:r>
        <w:rPr>
          <w:sz w:val="24"/>
          <w:szCs w:val="24"/>
          <w:lang w:val="en-US"/>
        </w:rPr>
        <w:drawing>
          <wp:anchor distT="0" distB="0" distL="114300" distR="114300" simplePos="0" relativeHeight="251665408" behindDoc="0" locked="0" layoutInCell="1" allowOverlap="1">
            <wp:simplePos x="0" y="0"/>
            <wp:positionH relativeFrom="column">
              <wp:posOffset>-348615</wp:posOffset>
            </wp:positionH>
            <wp:positionV relativeFrom="paragraph">
              <wp:posOffset>10795</wp:posOffset>
            </wp:positionV>
            <wp:extent cx="5574665" cy="8181975"/>
            <wp:effectExtent l="0" t="0" r="6985" b="0"/>
            <wp:wrapNone/>
            <wp:docPr id="9" name="Picture 9" descr="C:\Users\OPERATOR\Pictures\2026-09-09\2026-09-09 12-39-38_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OPERATOR\Pictures\2026-09-09\2026-09-09 12-39-38_0043.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a:xfrm rot="10800000">
                      <a:off x="0" y="0"/>
                      <a:ext cx="5582530" cy="8192956"/>
                    </a:xfrm>
                    <a:prstGeom prst="rect">
                      <a:avLst/>
                    </a:prstGeom>
                    <a:noFill/>
                    <a:ln>
                      <a:noFill/>
                    </a:ln>
                  </pic:spPr>
                </pic:pic>
              </a:graphicData>
            </a:graphic>
          </wp:anchor>
        </w:drawing>
      </w:r>
    </w:p>
    <w:sectPr>
      <w:pgSz w:w="11910" w:h="16840"/>
      <w:pgMar w:top="1701" w:right="1701" w:bottom="1701" w:left="2268"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0"/>
    <w:family w:val="roman"/>
    <w:pitch w:val="default"/>
    <w:sig w:usb0="00000000" w:usb1="00000000" w:usb2="00000000" w:usb3="00000000" w:csb0="00000000" w:csb1="00000000"/>
  </w:font>
  <w:font w:name="MS PMincho">
    <w:altName w:val="Segoe Print"/>
    <w:panose1 w:val="00000000000000000000"/>
    <w:charset w:val="00"/>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等线 Light">
    <w:altName w:val="Yu Gothic"/>
    <w:panose1 w:val="00000000000000000000"/>
    <w:charset w:val="8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B46F6">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DCAAF">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1E803">
    <w:pPr>
      <w:pStyle w:val="1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7779086"/>
      <w:showingPlcHdr/>
    </w:sdtPr>
    <w:sdtContent>
      <w:p w14:paraId="497A9264">
        <w:pPr>
          <w:pStyle w:val="16"/>
          <w:jc w:val="center"/>
        </w:pPr>
        <w:r>
          <w:t xml:space="preserve">     </w:t>
        </w:r>
      </w:p>
    </w:sdtContent>
  </w:sdt>
  <w:p w14:paraId="497A9265">
    <w:pPr>
      <w:pStyle w:val="14"/>
      <w:spacing w:line="14" w:lineRule="auto"/>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6778075"/>
      <w:docPartObj>
        <w:docPartGallery w:val="AutoText"/>
      </w:docPartObj>
    </w:sdtPr>
    <w:sdtContent>
      <w:p w14:paraId="73AB1969">
        <w:pPr>
          <w:pStyle w:val="16"/>
          <w:jc w:val="center"/>
        </w:pPr>
        <w:r>
          <w:fldChar w:fldCharType="begin"/>
        </w:r>
        <w:r>
          <w:instrText xml:space="preserve"> PAGE   \* MERGEFORMAT </w:instrText>
        </w:r>
        <w:r>
          <w:fldChar w:fldCharType="separate"/>
        </w:r>
        <w:r>
          <w:t>ii</w:t>
        </w:r>
        <w:r>
          <w:fldChar w:fldCharType="end"/>
        </w:r>
      </w:p>
    </w:sdtContent>
  </w:sdt>
  <w:p w14:paraId="7331A9E3">
    <w:pPr>
      <w:pStyle w:val="14"/>
      <w:spacing w:line="14" w:lineRule="auto"/>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70760000"/>
    </w:sdtPr>
    <w:sdtContent>
      <w:p w14:paraId="497A9266">
        <w:pPr>
          <w:pStyle w:val="16"/>
          <w:jc w:val="center"/>
        </w:pPr>
        <w:r>
          <w:fldChar w:fldCharType="begin"/>
        </w:r>
        <w:r>
          <w:instrText xml:space="preserve"> PAGE   \* MERGEFORMAT </w:instrText>
        </w:r>
        <w:r>
          <w:fldChar w:fldCharType="separate"/>
        </w:r>
        <w:r>
          <w:t>vii</w:t>
        </w:r>
        <w:r>
          <w:fldChar w:fldCharType="end"/>
        </w:r>
      </w:p>
    </w:sdtContent>
  </w:sdt>
  <w:p w14:paraId="497A9267">
    <w:pPr>
      <w:pStyle w:val="14"/>
      <w:spacing w:line="14" w:lineRule="auto"/>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9815094"/>
      <w:docPartObj>
        <w:docPartGallery w:val="AutoText"/>
      </w:docPartObj>
    </w:sdtPr>
    <w:sdtContent>
      <w:p w14:paraId="555E3434">
        <w:pPr>
          <w:pStyle w:val="16"/>
          <w:jc w:val="right"/>
        </w:pPr>
        <w:r>
          <w:fldChar w:fldCharType="begin"/>
        </w:r>
        <w:r>
          <w:instrText xml:space="preserve"> PAGE   \* MERGEFORMAT </w:instrText>
        </w:r>
        <w:r>
          <w:fldChar w:fldCharType="separate"/>
        </w:r>
        <w:r>
          <w:t>1</w:t>
        </w:r>
        <w:r>
          <w:fldChar w:fldCharType="end"/>
        </w:r>
      </w:p>
    </w:sdtContent>
  </w:sdt>
  <w:p w14:paraId="497A9269">
    <w:pPr>
      <w:pStyle w:val="16"/>
      <w:jc w:val="right"/>
      <w:rPr>
        <w:sz w:val="24"/>
        <w:lang w:val="id-ID"/>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A926B">
    <w:pPr>
      <w:pStyle w:val="14"/>
      <w:jc w:val="right"/>
      <w:rPr>
        <w:sz w:val="36"/>
        <w:szCs w:val="3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42985548"/>
      <w:docPartObj>
        <w:docPartGallery w:val="AutoText"/>
      </w:docPartObj>
    </w:sdtPr>
    <w:sdtContent>
      <w:p w14:paraId="53819F1B">
        <w:pPr>
          <w:pStyle w:val="16"/>
          <w:jc w:val="right"/>
        </w:pPr>
        <w:r>
          <w:fldChar w:fldCharType="begin"/>
        </w:r>
        <w:r>
          <w:instrText xml:space="preserve"> PAGE   \* MERGEFORMAT </w:instrText>
        </w:r>
        <w:r>
          <w:fldChar w:fldCharType="separate"/>
        </w:r>
        <w:r>
          <w:t>4</w:t>
        </w:r>
        <w:r>
          <w:fldChar w:fldCharType="end"/>
        </w:r>
      </w:p>
    </w:sdtContent>
  </w:sdt>
  <w:p w14:paraId="497A9277">
    <w:pPr>
      <w:pStyle w:val="14"/>
      <w:jc w:val="right"/>
      <w:rPr>
        <w:sz w:val="36"/>
        <w:szCs w:val="36"/>
        <w:lang w:val="id-ID"/>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1C32B">
    <w:pPr>
      <w:pStyle w:val="16"/>
      <w:jc w:val="center"/>
    </w:pPr>
  </w:p>
  <w:p w14:paraId="656906A9">
    <w:pPr>
      <w:pStyle w:val="14"/>
      <w:jc w:val="right"/>
      <w:rPr>
        <w:sz w:val="36"/>
        <w:szCs w:val="36"/>
        <w:lang w:val="id-ID"/>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2B293">
    <w:pPr>
      <w:pStyle w:val="16"/>
      <w:jc w:val="center"/>
    </w:pPr>
  </w:p>
  <w:p w14:paraId="35296840">
    <w:pPr>
      <w:pStyle w:val="14"/>
      <w:jc w:val="right"/>
      <w:rPr>
        <w:sz w:val="36"/>
        <w:szCs w:val="36"/>
        <w:lang w:val="id-ID"/>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3CE27">
    <w:pPr>
      <w:pStyle w:val="16"/>
      <w:jc w:val="center"/>
    </w:pPr>
  </w:p>
  <w:p w14:paraId="4D4862EB">
    <w:pPr>
      <w:pStyle w:val="14"/>
      <w:jc w:val="right"/>
      <w:rPr>
        <w:sz w:val="36"/>
        <w:szCs w:val="36"/>
        <w:lang w:val="id-ID"/>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91354205"/>
      <w:docPartObj>
        <w:docPartGallery w:val="AutoText"/>
      </w:docPartObj>
    </w:sdtPr>
    <w:sdtContent>
      <w:p w14:paraId="7F90CBF2">
        <w:pPr>
          <w:pStyle w:val="16"/>
          <w:jc w:val="right"/>
        </w:pPr>
        <w:r>
          <w:fldChar w:fldCharType="begin"/>
        </w:r>
        <w:r>
          <w:instrText xml:space="preserve"> PAGE   \* MERGEFORMAT </w:instrText>
        </w:r>
        <w:r>
          <w:fldChar w:fldCharType="separate"/>
        </w:r>
        <w:r>
          <w:t>57</w:t>
        </w:r>
        <w:r>
          <w:fldChar w:fldCharType="end"/>
        </w:r>
      </w:p>
    </w:sdtContent>
  </w:sdt>
  <w:p w14:paraId="70ED0463">
    <w:pPr>
      <w:pStyle w:val="14"/>
      <w:jc w:val="right"/>
      <w:rPr>
        <w:sz w:val="36"/>
        <w:szCs w:val="36"/>
        <w:lang w:val="id-ID"/>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0144842"/>
      <w:docPartObj>
        <w:docPartGallery w:val="AutoText"/>
      </w:docPartObj>
    </w:sdtPr>
    <w:sdtContent>
      <w:p w14:paraId="63EFD2F1">
        <w:pPr>
          <w:pStyle w:val="16"/>
          <w:jc w:val="right"/>
        </w:pPr>
        <w:r>
          <w:fldChar w:fldCharType="begin"/>
        </w:r>
        <w:r>
          <w:instrText xml:space="preserve"> PAGE   \* MERGEFORMAT </w:instrText>
        </w:r>
        <w:r>
          <w:fldChar w:fldCharType="separate"/>
        </w:r>
        <w:r>
          <w:t>58</w:t>
        </w:r>
        <w:r>
          <w:fldChar w:fldCharType="end"/>
        </w:r>
      </w:p>
    </w:sdtContent>
  </w:sdt>
  <w:p w14:paraId="5D125A2C">
    <w:pPr>
      <w:pStyle w:val="14"/>
      <w:jc w:val="right"/>
      <w:rPr>
        <w:sz w:val="36"/>
        <w:szCs w:val="36"/>
        <w:lang w:val="id-ID"/>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84D9B">
    <w:pPr>
      <w:pStyle w:val="16"/>
      <w:jc w:val="center"/>
    </w:pPr>
  </w:p>
  <w:p w14:paraId="23862C18">
    <w:pPr>
      <w:pStyle w:val="14"/>
      <w:jc w:val="right"/>
      <w:rPr>
        <w:sz w:val="36"/>
        <w:szCs w:val="36"/>
        <w:lang w:val="id-ID"/>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00660">
    <w:pPr>
      <w:pStyle w:val="17"/>
    </w:pPr>
    <w:r>
      <w:rPr>
        <w:lang w:val="en-US"/>
      </w:rPr>
      <w:pict>
        <v:shape id="WordPictureWatermark14406600" o:spid="_x0000_s2051" o:spt="75" type="#_x0000_t75" style="position:absolute;left:0pt;height:391.15pt;width:396.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3D94C">
    <w:pPr>
      <w:pStyle w:val="17"/>
    </w:pPr>
    <w:r>
      <w:rPr>
        <w:lang w:val="en-US"/>
      </w:rPr>
      <w:pict>
        <v:shape id="WordPictureWatermark14406599" o:spid="_x0000_s2050" o:spt="75" type="#_x0000_t75" style="position:absolute;left:0pt;height:391.15pt;width:396.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FE926">
    <w:pPr>
      <w:pStyle w:val="17"/>
    </w:pPr>
    <w:r>
      <w:rPr>
        <w:lang w:val="en-US"/>
      </w:rPr>
      <w:pict>
        <v:shape id="WordPictureWatermark14406598" o:spid="_x0000_s2049" o:spt="75" type="#_x0000_t75" style="position:absolute;left:0pt;height:391.15pt;width:396.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BDD75">
    <w:pPr>
      <w:pStyle w:val="17"/>
    </w:pPr>
    <w:r>
      <w:rPr>
        <w:lang w:val="en-US"/>
      </w:rPr>
      <w:pict>
        <v:shape id="WordPictureWatermark14406603" o:spid="_x0000_s2054" o:spt="75" type="#_x0000_t75" style="position:absolute;left:0pt;height:391.15pt;width:396.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DF3DE">
    <w:pPr>
      <w:pStyle w:val="17"/>
    </w:pPr>
    <w:r>
      <w:rPr>
        <w:lang w:val="en-US"/>
      </w:rPr>
      <w:pict>
        <v:shape id="WordPictureWatermark14406602" o:spid="_x0000_s2053" o:spt="75" type="#_x0000_t75" style="position:absolute;left:0pt;height:391.15pt;width:396.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5E3DA">
    <w:pPr>
      <w:pStyle w:val="17"/>
    </w:pPr>
    <w:r>
      <w:rPr>
        <w:lang w:val="en-US"/>
      </w:rPr>
      <w:pict>
        <v:shape id="WordPictureWatermark14406601" o:spid="_x0000_s2052" o:spt="75" type="#_x0000_t75" style="position:absolute;left:0pt;height:391.15pt;width:396.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6E2DC">
    <w:pPr>
      <w:pStyle w:val="17"/>
    </w:pPr>
    <w:r>
      <w:rPr>
        <w:lang w:val="en-US"/>
      </w:rPr>
      <w:pict>
        <v:shape id="WordPictureWatermark14406606" o:spid="_x0000_s2057" o:spt="75" type="#_x0000_t75" style="position:absolute;left:0pt;height:391.15pt;width:396.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C1B02">
    <w:pPr>
      <w:pStyle w:val="17"/>
    </w:pPr>
    <w:r>
      <w:rPr>
        <w:lang w:val="en-US"/>
      </w:rPr>
      <w:pict>
        <v:shape id="WordPictureWatermark14406605" o:spid="_x0000_s2056" o:spt="75" type="#_x0000_t75" style="position:absolute;left:0pt;height:391.15pt;width:396.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E6620">
    <w:pPr>
      <w:pStyle w:val="17"/>
    </w:pPr>
    <w:r>
      <w:rPr>
        <w:lang w:val="en-US"/>
      </w:rPr>
      <w:pict>
        <v:shape id="WordPictureWatermark14406604" o:spid="_x0000_s2055" o:spt="75" type="#_x0000_t75" style="position:absolute;left:0pt;height:391.15pt;width:396.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04192">
    <w:pPr>
      <w:pStyle w:val="17"/>
    </w:pPr>
    <w:r>
      <w:rPr>
        <w:lang w:val="en-US"/>
      </w:rPr>
      <w:pict>
        <v:shape id="WordPictureWatermark14406609" o:spid="_x0000_s2060" o:spt="75" type="#_x0000_t75" style="position:absolute;left:0pt;height:391.15pt;width:396.9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BD2B7">
    <w:pPr>
      <w:pStyle w:val="17"/>
    </w:pPr>
    <w:r>
      <w:rPr>
        <w:lang w:val="en-US"/>
      </w:rPr>
      <w:pict>
        <v:shape id="WordPictureWatermark14406608" o:spid="_x0000_s2059" o:spt="75" type="#_x0000_t75" style="position:absolute;left:0pt;height:391.15pt;width:396.9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43011">
    <w:pPr>
      <w:pStyle w:val="17"/>
    </w:pPr>
    <w:r>
      <w:rPr>
        <w:lang w:val="en-US"/>
      </w:rPr>
      <w:pict>
        <v:shape id="WordPictureWatermark14406607" o:spid="_x0000_s2058" o:spt="75" type="#_x0000_t75" style="position:absolute;left:0pt;height:391.15pt;width:396.9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A9268">
    <w:pPr>
      <w:pStyle w:val="17"/>
      <w:jc w:val="right"/>
      <w:rPr>
        <w:sz w:val="36"/>
        <w:szCs w:val="36"/>
      </w:rPr>
    </w:pPr>
    <w:r>
      <w:rPr>
        <w:sz w:val="36"/>
        <w:szCs w:val="36"/>
        <w:lang w:val="en-US"/>
      </w:rPr>
      <w:pict>
        <v:shape id="WordPictureWatermark14406612" o:spid="_x0000_s2063" o:spt="75" type="#_x0000_t75" style="position:absolute;left:0pt;height:391.15pt;width:396.9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D3439">
    <w:pPr>
      <w:pStyle w:val="17"/>
    </w:pPr>
    <w:r>
      <w:rPr>
        <w:lang w:val="en-US"/>
      </w:rPr>
      <w:pict>
        <v:shape id="WordPictureWatermark14406611" o:spid="_x0000_s2062" o:spt="75" type="#_x0000_t75" style="position:absolute;left:0pt;height:391.15pt;width:396.9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95DD2">
    <w:pPr>
      <w:pStyle w:val="17"/>
    </w:pPr>
    <w:r>
      <w:rPr>
        <w:lang w:val="en-US"/>
      </w:rPr>
      <w:pict>
        <v:shape id="WordPictureWatermark14406610" o:spid="_x0000_s2061" o:spt="75" type="#_x0000_t75" style="position:absolute;left:0pt;height:391.15pt;width:396.9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4511620"/>
      <w:docPartObj>
        <w:docPartGallery w:val="AutoText"/>
      </w:docPartObj>
    </w:sdtPr>
    <w:sdtContent>
      <w:p w14:paraId="2FB4ED06">
        <w:pPr>
          <w:pStyle w:val="17"/>
          <w:jc w:val="right"/>
        </w:pPr>
        <w:r>
          <w:rPr>
            <w:lang w:val="en-US"/>
          </w:rPr>
          <w:pict>
            <v:shape id="WordPictureWatermark14406615" o:spid="_x0000_s2066" o:spt="75" type="#_x0000_t75" style="position:absolute;left:0pt;height:391.15pt;width:396.95pt;mso-position-horizontal:center;mso-position-horizontal-relative:margin;mso-position-vertical:center;mso-position-vertical-relative:margin;z-index:-251639808;mso-width-relative:page;mso-height-relative:page;" filled="f" o:preferrelative="t" stroked="f" coordsize="21600,21600" o:allowincell="f">
              <v:path/>
              <v:fill on="f" focussize="0,0"/>
              <v:stroke on="f" joinstyle="miter"/>
              <v:imagedata r:id="rId1" gain="19661f" blacklevel="22938f" o:title="LOGO-UMN-1 (2)"/>
              <o:lock v:ext="edit" aspectratio="t"/>
            </v:shape>
          </w:pict>
        </w:r>
        <w:r>
          <w:fldChar w:fldCharType="begin"/>
        </w:r>
        <w:r>
          <w:instrText xml:space="preserve"> PAGE   \* MERGEFORMAT </w:instrText>
        </w:r>
        <w:r>
          <w:fldChar w:fldCharType="separate"/>
        </w:r>
        <w:r>
          <w:t>3</w:t>
        </w:r>
        <w:r>
          <w:fldChar w:fldCharType="end"/>
        </w:r>
      </w:p>
    </w:sdtContent>
  </w:sdt>
  <w:p w14:paraId="497A926A">
    <w:pPr>
      <w:pStyle w:val="17"/>
      <w:jc w:val="right"/>
      <w:rPr>
        <w:sz w:val="24"/>
        <w:lang w:val="id-ID"/>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E719E">
    <w:pPr>
      <w:pStyle w:val="17"/>
    </w:pPr>
    <w:r>
      <w:rPr>
        <w:lang w:val="en-US"/>
      </w:rPr>
      <w:pict>
        <v:shape id="WordPictureWatermark14406614" o:spid="_x0000_s2065" o:spt="75" type="#_x0000_t75" style="position:absolute;left:0pt;height:391.15pt;width:396.95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6D5E8">
    <w:pPr>
      <w:pStyle w:val="17"/>
    </w:pPr>
    <w:r>
      <w:rPr>
        <w:lang w:val="en-US"/>
      </w:rPr>
      <w:pict>
        <v:shape id="WordPictureWatermark14406613" o:spid="_x0000_s2064" o:spt="75" type="#_x0000_t75" style="position:absolute;left:0pt;height:391.15pt;width:396.95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A9276">
    <w:pPr>
      <w:pStyle w:val="17"/>
      <w:jc w:val="right"/>
      <w:rPr>
        <w:sz w:val="36"/>
        <w:szCs w:val="36"/>
      </w:rPr>
    </w:pPr>
    <w:r>
      <w:rPr>
        <w:sz w:val="36"/>
        <w:szCs w:val="36"/>
        <w:lang w:val="en-US"/>
      </w:rPr>
      <w:pict>
        <v:shape id="WordPictureWatermark14406618" o:spid="_x0000_s2069" o:spt="75" type="#_x0000_t75" style="position:absolute;left:0pt;height:391.15pt;width:396.95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49765">
    <w:pPr>
      <w:pStyle w:val="17"/>
    </w:pPr>
    <w:r>
      <w:rPr>
        <w:lang w:val="en-US"/>
      </w:rPr>
      <w:pict>
        <v:shape id="WordPictureWatermark14406617" o:spid="_x0000_s2068" o:spt="75" type="#_x0000_t75" style="position:absolute;left:0pt;height:391.15pt;width:396.95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60794">
    <w:pPr>
      <w:pStyle w:val="17"/>
    </w:pPr>
    <w:r>
      <w:rPr>
        <w:lang w:val="en-US"/>
      </w:rPr>
      <w:pict>
        <v:shape id="WordPictureWatermark14406616" o:spid="_x0000_s2067" o:spt="75" type="#_x0000_t75" style="position:absolute;left:0pt;height:391.15pt;width:396.95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68715539"/>
      <w:docPartObj>
        <w:docPartGallery w:val="AutoText"/>
      </w:docPartObj>
    </w:sdtPr>
    <w:sdtContent>
      <w:p w14:paraId="1D7FB7D9">
        <w:pPr>
          <w:pStyle w:val="17"/>
          <w:jc w:val="right"/>
        </w:pPr>
        <w:r>
          <w:rPr>
            <w:lang w:val="en-US"/>
          </w:rPr>
          <w:pict>
            <v:shape id="WordPictureWatermark14406621" o:spid="_x0000_s2072" o:spt="75" type="#_x0000_t75" style="position:absolute;left:0pt;height:391.15pt;width:396.95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LOGO-UMN-1 (2)"/>
              <o:lock v:ext="edit" aspectratio="t"/>
            </v:shape>
          </w:pict>
        </w:r>
        <w:r>
          <w:fldChar w:fldCharType="begin"/>
        </w:r>
        <w:r>
          <w:instrText xml:space="preserve"> PAGE   \* MERGEFORMAT </w:instrText>
        </w:r>
        <w:r>
          <w:fldChar w:fldCharType="separate"/>
        </w:r>
        <w:r>
          <w:t>11</w:t>
        </w:r>
        <w:r>
          <w:fldChar w:fldCharType="end"/>
        </w:r>
      </w:p>
    </w:sdtContent>
  </w:sdt>
  <w:p w14:paraId="60A7B961">
    <w:pPr>
      <w:pStyle w:val="17"/>
      <w:jc w:val="right"/>
      <w:rPr>
        <w:sz w:val="36"/>
        <w:szCs w:val="36"/>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EFDB4">
    <w:pPr>
      <w:pStyle w:val="17"/>
    </w:pPr>
    <w:r>
      <w:rPr>
        <w:lang w:val="en-US"/>
      </w:rPr>
      <w:pict>
        <v:shape id="WordPictureWatermark14406620" o:spid="_x0000_s2071" o:spt="75" type="#_x0000_t75" style="position:absolute;left:0pt;height:391.15pt;width:396.95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8679F">
    <w:pPr>
      <w:pStyle w:val="17"/>
    </w:pPr>
    <w:r>
      <w:rPr>
        <w:lang w:val="en-US"/>
      </w:rPr>
      <w:pict>
        <v:shape id="WordPictureWatermark14406619" o:spid="_x0000_s2070" o:spt="75" type="#_x0000_t75" style="position:absolute;left:0pt;height:391.15pt;width:396.95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04160966"/>
      <w:docPartObj>
        <w:docPartGallery w:val="AutoText"/>
      </w:docPartObj>
    </w:sdtPr>
    <w:sdtContent>
      <w:p w14:paraId="325A12A7">
        <w:pPr>
          <w:pStyle w:val="17"/>
          <w:jc w:val="right"/>
        </w:pPr>
        <w:r>
          <w:rPr>
            <w:lang w:val="en-US"/>
          </w:rPr>
          <w:pict>
            <v:shape id="WordPictureWatermark14406624" o:spid="_x0000_s2075" o:spt="75" type="#_x0000_t75" style="position:absolute;left:0pt;height:391.15pt;width:396.95pt;mso-position-horizontal:center;mso-position-horizontal-relative:margin;mso-position-vertical:center;mso-position-vertical-relative:margin;z-index:-251630592;mso-width-relative:page;mso-height-relative:page;" filled="f" o:preferrelative="t" stroked="f" coordsize="21600,21600" o:allowincell="f">
              <v:path/>
              <v:fill on="f" focussize="0,0"/>
              <v:stroke on="f" joinstyle="miter"/>
              <v:imagedata r:id="rId1" gain="19661f" blacklevel="22938f" o:title="LOGO-UMN-1 (2)"/>
              <o:lock v:ext="edit" aspectratio="t"/>
            </v:shape>
          </w:pict>
        </w:r>
        <w:r>
          <w:fldChar w:fldCharType="begin"/>
        </w:r>
        <w:r>
          <w:instrText xml:space="preserve"> PAGE   \* MERGEFORMAT </w:instrText>
        </w:r>
        <w:r>
          <w:fldChar w:fldCharType="separate"/>
        </w:r>
        <w:r>
          <w:t>14</w:t>
        </w:r>
        <w:r>
          <w:fldChar w:fldCharType="end"/>
        </w:r>
      </w:p>
    </w:sdtContent>
  </w:sdt>
  <w:p w14:paraId="448A6D81">
    <w:pPr>
      <w:pStyle w:val="17"/>
      <w:jc w:val="right"/>
      <w:rPr>
        <w:sz w:val="36"/>
        <w:szCs w:val="36"/>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8C419">
    <w:pPr>
      <w:pStyle w:val="17"/>
    </w:pPr>
    <w:r>
      <w:rPr>
        <w:lang w:val="en-US"/>
      </w:rPr>
      <w:pict>
        <v:shape id="WordPictureWatermark14406623" o:spid="_x0000_s2074" o:spt="75" type="#_x0000_t75" style="position:absolute;left:0pt;height:391.15pt;width:396.95pt;mso-position-horizontal:center;mso-position-horizontal-relative:margin;mso-position-vertical:center;mso-position-vertical-relative:margin;z-index:-251631616;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30DB6">
    <w:pPr>
      <w:pStyle w:val="17"/>
    </w:pPr>
    <w:r>
      <w:rPr>
        <w:lang w:val="en-US"/>
      </w:rPr>
      <w:pict>
        <v:shape id="WordPictureWatermark14406622" o:spid="_x0000_s2073" o:spt="75" type="#_x0000_t75" style="position:absolute;left:0pt;height:391.15pt;width:396.95pt;mso-position-horizontal:center;mso-position-horizontal-relative:margin;mso-position-vertical:center;mso-position-vertical-relative:margin;z-index:-251632640;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38120500"/>
      <w:docPartObj>
        <w:docPartGallery w:val="AutoText"/>
      </w:docPartObj>
    </w:sdtPr>
    <w:sdtContent>
      <w:p w14:paraId="1282DF69">
        <w:pPr>
          <w:pStyle w:val="17"/>
          <w:jc w:val="right"/>
        </w:pPr>
        <w:r>
          <w:rPr>
            <w:lang w:val="en-US"/>
          </w:rPr>
          <w:pict>
            <v:shape id="WordPictureWatermark14406627" o:spid="_x0000_s2078" o:spt="75" type="#_x0000_t75" style="position:absolute;left:0pt;height:391.15pt;width:396.95pt;mso-position-horizontal:center;mso-position-horizontal-relative:margin;mso-position-vertical:center;mso-position-vertical-relative:margin;z-index:-251627520;mso-width-relative:page;mso-height-relative:page;" filled="f" o:preferrelative="t" stroked="f" coordsize="21600,21600" o:allowincell="f">
              <v:path/>
              <v:fill on="f" focussize="0,0"/>
              <v:stroke on="f" joinstyle="miter"/>
              <v:imagedata r:id="rId1" gain="19661f" blacklevel="22938f" o:title="LOGO-UMN-1 (2)"/>
              <o:lock v:ext="edit" aspectratio="t"/>
            </v:shape>
          </w:pict>
        </w:r>
        <w:r>
          <w:fldChar w:fldCharType="begin"/>
        </w:r>
        <w:r>
          <w:instrText xml:space="preserve"> PAGE   \* MERGEFORMAT </w:instrText>
        </w:r>
        <w:r>
          <w:fldChar w:fldCharType="separate"/>
        </w:r>
        <w:r>
          <w:t>54</w:t>
        </w:r>
        <w:r>
          <w:fldChar w:fldCharType="end"/>
        </w:r>
      </w:p>
    </w:sdtContent>
  </w:sdt>
  <w:p w14:paraId="41C16D86">
    <w:pPr>
      <w:pStyle w:val="17"/>
      <w:jc w:val="right"/>
      <w:rPr>
        <w:sz w:val="28"/>
        <w:szCs w:val="36"/>
        <w:lang w:val="id-ID"/>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27C76">
    <w:pPr>
      <w:pStyle w:val="17"/>
    </w:pPr>
    <w:r>
      <w:rPr>
        <w:lang w:val="en-US"/>
      </w:rPr>
      <w:pict>
        <v:shape id="WordPictureWatermark14406626" o:spid="_x0000_s2077" o:spt="75" type="#_x0000_t75" style="position:absolute;left:0pt;height:391.15pt;width:396.95pt;mso-position-horizontal:center;mso-position-horizontal-relative:margin;mso-position-vertical:center;mso-position-vertical-relative:margin;z-index:-251628544;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42D0F">
    <w:pPr>
      <w:pStyle w:val="17"/>
    </w:pPr>
    <w:r>
      <w:rPr>
        <w:lang w:val="en-US"/>
      </w:rPr>
      <w:pict>
        <v:shape id="WordPictureWatermark14406625" o:spid="_x0000_s2076" o:spt="75" type="#_x0000_t75" style="position:absolute;left:0pt;height:391.15pt;width:396.95pt;mso-position-horizontal:center;mso-position-horizontal-relative:margin;mso-position-vertical:center;mso-position-vertical-relative:margin;z-index:-251629568;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81091">
    <w:pPr>
      <w:pStyle w:val="17"/>
      <w:jc w:val="center"/>
    </w:pPr>
    <w:r>
      <w:rPr>
        <w:lang w:val="en-US"/>
      </w:rPr>
      <w:pict>
        <v:shape id="WordPictureWatermark14406630" o:spid="_x0000_s2081" o:spt="75" type="#_x0000_t75" style="position:absolute;left:0pt;height:391.15pt;width:396.95pt;mso-position-horizontal:center;mso-position-horizontal-relative:margin;mso-position-vertical:center;mso-position-vertical-relative:margin;z-index:-251624448;mso-width-relative:page;mso-height-relative:page;" filled="f" o:preferrelative="t" stroked="f" coordsize="21600,21600" o:allowincell="f">
          <v:path/>
          <v:fill on="f" focussize="0,0"/>
          <v:stroke on="f" joinstyle="miter"/>
          <v:imagedata r:id="rId1" gain="19661f" blacklevel="22938f" o:title="LOGO-UMN-1 (2)"/>
          <o:lock v:ext="edit" aspectratio="t"/>
        </v:shape>
      </w:pict>
    </w:r>
  </w:p>
  <w:p w14:paraId="53F05F6B">
    <w:pPr>
      <w:pStyle w:val="17"/>
      <w:jc w:val="right"/>
      <w:rPr>
        <w:sz w:val="28"/>
        <w:szCs w:val="36"/>
        <w:lang w:val="id-ID"/>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E40A6">
    <w:pPr>
      <w:pStyle w:val="17"/>
    </w:pPr>
    <w:r>
      <w:rPr>
        <w:lang w:val="en-US"/>
      </w:rPr>
      <w:pict>
        <v:shape id="WordPictureWatermark14406629" o:spid="_x0000_s2080" o:spt="75" type="#_x0000_t75" style="position:absolute;left:0pt;height:391.15pt;width:396.95pt;mso-position-horizontal:center;mso-position-horizontal-relative:margin;mso-position-vertical:center;mso-position-vertical-relative:margin;z-index:-251625472;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A016C">
    <w:pPr>
      <w:pStyle w:val="17"/>
    </w:pPr>
    <w:r>
      <w:rPr>
        <w:lang w:val="en-US"/>
      </w:rPr>
      <w:pict>
        <v:shape id="WordPictureWatermark14406628" o:spid="_x0000_s2079" o:spt="75" type="#_x0000_t75" style="position:absolute;left:0pt;height:391.15pt;width:396.95pt;mso-position-horizontal:center;mso-position-horizontal-relative:margin;mso-position-vertical:center;mso-position-vertical-relative:margin;z-index:-251626496;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5AEFF">
    <w:pPr>
      <w:pStyle w:val="17"/>
      <w:jc w:val="right"/>
    </w:pPr>
    <w:r>
      <w:rPr>
        <w:lang w:val="en-US"/>
      </w:rPr>
      <w:pict>
        <v:shape id="WordPictureWatermark14406633" o:spid="_x0000_s2084" o:spt="75" type="#_x0000_t75" style="position:absolute;left:0pt;height:391.15pt;width:396.95pt;mso-position-horizontal:center;mso-position-horizontal-relative:margin;mso-position-vertical:center;mso-position-vertical-relative:margin;z-index:-251621376;mso-width-relative:page;mso-height-relative:page;" filled="f" o:preferrelative="t" stroked="f" coordsize="21600,21600" o:allowincell="f">
          <v:path/>
          <v:fill on="f" focussize="0,0"/>
          <v:stroke on="f" joinstyle="miter"/>
          <v:imagedata r:id="rId1" gain="19661f" blacklevel="22938f" o:title="LOGO-UMN-1 (2)"/>
          <o:lock v:ext="edit" aspectratio="t"/>
        </v:shape>
      </w:pict>
    </w:r>
  </w:p>
  <w:p w14:paraId="2297194C">
    <w:pPr>
      <w:pStyle w:val="17"/>
      <w:jc w:val="right"/>
      <w:rPr>
        <w:sz w:val="36"/>
        <w:szCs w:val="36"/>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790CB">
    <w:pPr>
      <w:pStyle w:val="17"/>
    </w:pPr>
    <w:r>
      <w:rPr>
        <w:lang w:val="en-US"/>
      </w:rPr>
      <w:pict>
        <v:shape id="WordPictureWatermark14406632" o:spid="_x0000_s2083" o:spt="75" type="#_x0000_t75" style="position:absolute;left:0pt;height:391.15pt;width:396.95pt;mso-position-horizontal:center;mso-position-horizontal-relative:margin;mso-position-vertical:center;mso-position-vertical-relative:margin;z-index:-251622400;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820BD">
    <w:pPr>
      <w:pStyle w:val="17"/>
    </w:pPr>
    <w:r>
      <w:rPr>
        <w:lang w:val="en-US"/>
      </w:rPr>
      <w:pict>
        <v:shape id="WordPictureWatermark14406631" o:spid="_x0000_s2082" o:spt="75" type="#_x0000_t75" style="position:absolute;left:0pt;height:391.15pt;width:396.95pt;mso-position-horizontal:center;mso-position-horizontal-relative:margin;mso-position-vertical:center;mso-position-vertical-relative:margin;z-index:-251623424;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010816"/>
      <w:docPartObj>
        <w:docPartGallery w:val="AutoText"/>
      </w:docPartObj>
    </w:sdtPr>
    <w:sdtContent>
      <w:p w14:paraId="53BF1A6E">
        <w:pPr>
          <w:pStyle w:val="17"/>
          <w:jc w:val="right"/>
        </w:pPr>
        <w:r>
          <w:rPr>
            <w:lang w:val="en-US"/>
          </w:rPr>
          <w:pict>
            <v:shape id="WordPictureWatermark14406636" o:spid="_x0000_s2087" o:spt="75" type="#_x0000_t75" style="position:absolute;left:0pt;height:391.15pt;width:396.95pt;mso-position-horizontal:center;mso-position-horizontal-relative:margin;mso-position-vertical:center;mso-position-vertical-relative:margin;z-index:-251618304;mso-width-relative:page;mso-height-relative:page;" filled="f" o:preferrelative="t" stroked="f" coordsize="21600,21600" o:allowincell="f">
              <v:path/>
              <v:fill on="f" focussize="0,0"/>
              <v:stroke on="f" joinstyle="miter"/>
              <v:imagedata r:id="rId1" gain="19661f" blacklevel="22938f" o:title="LOGO-UMN-1 (2)"/>
              <o:lock v:ext="edit" aspectratio="t"/>
            </v:shape>
          </w:pict>
        </w:r>
        <w:r>
          <w:fldChar w:fldCharType="begin"/>
        </w:r>
        <w:r>
          <w:instrText xml:space="preserve"> PAGE   \* MERGEFORMAT </w:instrText>
        </w:r>
        <w:r>
          <w:fldChar w:fldCharType="separate"/>
        </w:r>
        <w:r>
          <w:t>63</w:t>
        </w:r>
        <w:r>
          <w:fldChar w:fldCharType="end"/>
        </w:r>
      </w:p>
    </w:sdtContent>
  </w:sdt>
  <w:p w14:paraId="12DB63AE">
    <w:pPr>
      <w:pStyle w:val="17"/>
      <w:jc w:val="right"/>
      <w:rPr>
        <w:sz w:val="28"/>
        <w:szCs w:val="36"/>
        <w:lang w:val="id-ID"/>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D16F5">
    <w:pPr>
      <w:pStyle w:val="17"/>
    </w:pPr>
    <w:r>
      <w:rPr>
        <w:lang w:val="en-US"/>
      </w:rPr>
      <w:pict>
        <v:shape id="WordPictureWatermark14406635" o:spid="_x0000_s2086" o:spt="75" type="#_x0000_t75" style="position:absolute;left:0pt;height:391.15pt;width:396.95pt;mso-position-horizontal:center;mso-position-horizontal-relative:margin;mso-position-vertical:center;mso-position-vertical-relative:margin;z-index:-251619328;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5CDC5">
    <w:pPr>
      <w:pStyle w:val="17"/>
    </w:pPr>
    <w:r>
      <w:rPr>
        <w:lang w:val="en-US"/>
      </w:rPr>
      <w:pict>
        <v:shape id="WordPictureWatermark14406634" o:spid="_x0000_s2085" o:spt="75" type="#_x0000_t75" style="position:absolute;left:0pt;height:391.15pt;width:396.95pt;mso-position-horizontal:center;mso-position-horizontal-relative:margin;mso-position-vertical:center;mso-position-vertical-relative:margin;z-index:-251620352;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ind w:left="1288" w:hanging="360"/>
      </w:pPr>
      <w:rPr>
        <w:rFonts w:hint="default" w:ascii="Times New Roman" w:hAnsi="Times New Roman" w:eastAsia="Times New Roman" w:cs="Times New Roman"/>
        <w:b w:val="0"/>
        <w:bCs w:val="0"/>
        <w:i w:val="0"/>
        <w:iCs w:val="0"/>
        <w:spacing w:val="0"/>
        <w:w w:val="100"/>
        <w:sz w:val="24"/>
        <w:szCs w:val="24"/>
        <w:lang w:val="ms" w:eastAsia="en-US" w:bidi="ar-SA"/>
      </w:rPr>
    </w:lvl>
    <w:lvl w:ilvl="1" w:tentative="0">
      <w:start w:val="1"/>
      <w:numFmt w:val="upperLetter"/>
      <w:lvlText w:val="%2."/>
      <w:lvlJc w:val="left"/>
      <w:pPr>
        <w:ind w:left="1986" w:hanging="427"/>
      </w:pPr>
      <w:rPr>
        <w:rFonts w:hint="default" w:ascii="Times New Roman" w:hAnsi="Times New Roman" w:eastAsia="Times New Roman" w:cs="Times New Roman"/>
        <w:b w:val="0"/>
        <w:bCs w:val="0"/>
        <w:i w:val="0"/>
        <w:iCs w:val="0"/>
        <w:spacing w:val="0"/>
        <w:w w:val="100"/>
        <w:sz w:val="24"/>
        <w:szCs w:val="24"/>
        <w:lang w:val="ms" w:eastAsia="en-US" w:bidi="ar-SA"/>
      </w:rPr>
    </w:lvl>
    <w:lvl w:ilvl="2" w:tentative="0">
      <w:start w:val="0"/>
      <w:numFmt w:val="bullet"/>
      <w:lvlText w:val="•"/>
      <w:lvlJc w:val="left"/>
      <w:pPr>
        <w:ind w:left="2720" w:hanging="427"/>
      </w:pPr>
      <w:rPr>
        <w:rFonts w:hint="default"/>
        <w:lang w:val="ms" w:eastAsia="en-US" w:bidi="ar-SA"/>
      </w:rPr>
    </w:lvl>
    <w:lvl w:ilvl="3" w:tentative="0">
      <w:start w:val="0"/>
      <w:numFmt w:val="bullet"/>
      <w:lvlText w:val="•"/>
      <w:lvlJc w:val="left"/>
      <w:pPr>
        <w:ind w:left="3461" w:hanging="427"/>
      </w:pPr>
      <w:rPr>
        <w:rFonts w:hint="default"/>
        <w:lang w:val="ms" w:eastAsia="en-US" w:bidi="ar-SA"/>
      </w:rPr>
    </w:lvl>
    <w:lvl w:ilvl="4" w:tentative="0">
      <w:start w:val="0"/>
      <w:numFmt w:val="bullet"/>
      <w:lvlText w:val="•"/>
      <w:lvlJc w:val="left"/>
      <w:pPr>
        <w:ind w:left="4202" w:hanging="427"/>
      </w:pPr>
      <w:rPr>
        <w:rFonts w:hint="default"/>
        <w:lang w:val="ms" w:eastAsia="en-US" w:bidi="ar-SA"/>
      </w:rPr>
    </w:lvl>
    <w:lvl w:ilvl="5" w:tentative="0">
      <w:start w:val="0"/>
      <w:numFmt w:val="bullet"/>
      <w:lvlText w:val="•"/>
      <w:lvlJc w:val="left"/>
      <w:pPr>
        <w:ind w:left="4943" w:hanging="427"/>
      </w:pPr>
      <w:rPr>
        <w:rFonts w:hint="default"/>
        <w:lang w:val="ms" w:eastAsia="en-US" w:bidi="ar-SA"/>
      </w:rPr>
    </w:lvl>
    <w:lvl w:ilvl="6" w:tentative="0">
      <w:start w:val="0"/>
      <w:numFmt w:val="bullet"/>
      <w:lvlText w:val="•"/>
      <w:lvlJc w:val="left"/>
      <w:pPr>
        <w:ind w:left="5683" w:hanging="427"/>
      </w:pPr>
      <w:rPr>
        <w:rFonts w:hint="default"/>
        <w:lang w:val="ms" w:eastAsia="en-US" w:bidi="ar-SA"/>
      </w:rPr>
    </w:lvl>
    <w:lvl w:ilvl="7" w:tentative="0">
      <w:start w:val="0"/>
      <w:numFmt w:val="bullet"/>
      <w:lvlText w:val="•"/>
      <w:lvlJc w:val="left"/>
      <w:pPr>
        <w:ind w:left="6424" w:hanging="427"/>
      </w:pPr>
      <w:rPr>
        <w:rFonts w:hint="default"/>
        <w:lang w:val="ms" w:eastAsia="en-US" w:bidi="ar-SA"/>
      </w:rPr>
    </w:lvl>
    <w:lvl w:ilvl="8" w:tentative="0">
      <w:start w:val="0"/>
      <w:numFmt w:val="bullet"/>
      <w:lvlText w:val="•"/>
      <w:lvlJc w:val="left"/>
      <w:pPr>
        <w:ind w:left="7165" w:hanging="427"/>
      </w:pPr>
      <w:rPr>
        <w:rFonts w:hint="default"/>
        <w:lang w:val="ms" w:eastAsia="en-US" w:bidi="ar-SA"/>
      </w:rPr>
    </w:lvl>
  </w:abstractNum>
  <w:abstractNum w:abstractNumId="1">
    <w:nsid w:val="00932D1C"/>
    <w:multiLevelType w:val="multilevel"/>
    <w:tmpl w:val="00932D1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43E7B85"/>
    <w:multiLevelType w:val="multilevel"/>
    <w:tmpl w:val="043E7B85"/>
    <w:lvl w:ilvl="0" w:tentative="0">
      <w:start w:val="1"/>
      <w:numFmt w:val="upperLetter"/>
      <w:lvlText w:val="%1."/>
      <w:lvlJc w:val="left"/>
      <w:pPr>
        <w:ind w:left="4755"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36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4695C10"/>
    <w:multiLevelType w:val="multilevel"/>
    <w:tmpl w:val="04695C10"/>
    <w:lvl w:ilvl="0" w:tentative="0">
      <w:start w:val="1"/>
      <w:numFmt w:val="upperLetter"/>
      <w:lvlText w:val="%1."/>
      <w:lvlJc w:val="left"/>
      <w:pPr>
        <w:ind w:left="720" w:hanging="360"/>
      </w:pPr>
      <w:rPr>
        <w:rFonts w:hint="default" w:ascii="Times New Roman" w:hAnsi="Times New Roman" w:eastAsia="Times New Roman" w:cs="Times New Roman"/>
        <w:b w:val="0"/>
        <w:color w:val="auto"/>
        <w:sz w:val="24"/>
        <w:u w:val="no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07307243"/>
    <w:multiLevelType w:val="multilevel"/>
    <w:tmpl w:val="07307243"/>
    <w:lvl w:ilvl="0" w:tentative="0">
      <w:start w:val="1"/>
      <w:numFmt w:val="decimal"/>
      <w:lvlText w:val="%1."/>
      <w:lvlJc w:val="left"/>
      <w:pPr>
        <w:tabs>
          <w:tab w:val="left" w:pos="720"/>
        </w:tabs>
        <w:ind w:left="720" w:hanging="360"/>
      </w:pPr>
      <w:rPr>
        <w:rFonts w:ascii="Times New Roman" w:hAnsi="Times New Roman" w:eastAsia="Times New Roman" w:cs="Times New Roman"/>
        <w:sz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09B8168A"/>
    <w:multiLevelType w:val="multilevel"/>
    <w:tmpl w:val="09B8168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26A71DE1"/>
    <w:multiLevelType w:val="multilevel"/>
    <w:tmpl w:val="26A71DE1"/>
    <w:lvl w:ilvl="0" w:tentative="0">
      <w:start w:val="9"/>
      <w:numFmt w:val="lowerLetter"/>
      <w:lvlText w:val="%1)"/>
      <w:lvlJc w:val="left"/>
      <w:pPr>
        <w:ind w:left="720" w:hanging="360"/>
      </w:pPr>
      <w:rPr>
        <w:rFonts w:hint="default"/>
      </w:rPr>
    </w:lvl>
    <w:lvl w:ilvl="1" w:tentative="0">
      <w:start w:val="2"/>
      <w:numFmt w:val="lowerLetter"/>
      <w:lvlText w:val="%2."/>
      <w:lvlJc w:val="left"/>
      <w:pPr>
        <w:ind w:left="1440" w:hanging="360"/>
      </w:pPr>
      <w:rPr>
        <w:rFonts w:hint="default"/>
      </w:rPr>
    </w:lvl>
    <w:lvl w:ilvl="2" w:tentative="0">
      <w:start w:val="1"/>
      <w:numFmt w:val="lowerRoman"/>
      <w:lvlText w:val="%3."/>
      <w:lvlJc w:val="right"/>
      <w:pPr>
        <w:ind w:left="2160" w:hanging="180"/>
      </w:pPr>
      <w:rPr>
        <w:rFonts w:hint="default"/>
      </w:rPr>
    </w:lvl>
    <w:lvl w:ilvl="3" w:tentative="0">
      <w:start w:val="2"/>
      <w:numFmt w:val="decimal"/>
      <w:lvlText w:val="%4."/>
      <w:lvlJc w:val="left"/>
      <w:pPr>
        <w:ind w:left="2880" w:hanging="360"/>
      </w:pPr>
      <w:rPr>
        <w:rFonts w:hint="default"/>
      </w:rPr>
    </w:lvl>
    <w:lvl w:ilvl="4" w:tentative="0">
      <w:start w:val="1"/>
      <w:numFmt w:val="lowerLetter"/>
      <w:lvlText w:val="%5."/>
      <w:lvlJc w:val="left"/>
      <w:pPr>
        <w:ind w:left="3600" w:hanging="360"/>
      </w:pPr>
      <w:rPr>
        <w:rFonts w:hint="default"/>
      </w:rPr>
    </w:lvl>
    <w:lvl w:ilvl="5" w:tentative="0">
      <w:start w:val="1"/>
      <w:numFmt w:val="lowerRoman"/>
      <w:lvlText w:val="%6."/>
      <w:lvlJc w:val="right"/>
      <w:pPr>
        <w:ind w:left="4320" w:hanging="180"/>
      </w:pPr>
      <w:rPr>
        <w:rFonts w:hint="default"/>
      </w:rPr>
    </w:lvl>
    <w:lvl w:ilvl="6" w:tentative="0">
      <w:start w:val="1"/>
      <w:numFmt w:val="decimal"/>
      <w:lvlText w:val="%7."/>
      <w:lvlJc w:val="left"/>
      <w:pPr>
        <w:ind w:left="5040" w:hanging="360"/>
      </w:pPr>
      <w:rPr>
        <w:rFonts w:hint="default"/>
      </w:rPr>
    </w:lvl>
    <w:lvl w:ilvl="7" w:tentative="0">
      <w:start w:val="1"/>
      <w:numFmt w:val="lowerLetter"/>
      <w:lvlText w:val="%8."/>
      <w:lvlJc w:val="left"/>
      <w:pPr>
        <w:ind w:left="5760" w:hanging="360"/>
      </w:pPr>
      <w:rPr>
        <w:rFonts w:hint="default"/>
      </w:rPr>
    </w:lvl>
    <w:lvl w:ilvl="8" w:tentative="0">
      <w:start w:val="1"/>
      <w:numFmt w:val="lowerRoman"/>
      <w:lvlText w:val="%9."/>
      <w:lvlJc w:val="right"/>
      <w:pPr>
        <w:ind w:left="6480" w:hanging="180"/>
      </w:pPr>
      <w:rPr>
        <w:rFonts w:hint="default"/>
      </w:rPr>
    </w:lvl>
  </w:abstractNum>
  <w:abstractNum w:abstractNumId="7">
    <w:nsid w:val="2AA24C2E"/>
    <w:multiLevelType w:val="multilevel"/>
    <w:tmpl w:val="2AA24C2E"/>
    <w:lvl w:ilvl="0" w:tentative="0">
      <w:start w:val="1"/>
      <w:numFmt w:val="decimal"/>
      <w:lvlText w:val="%1."/>
      <w:lvlJc w:val="left"/>
      <w:pPr>
        <w:ind w:left="1288" w:hanging="360"/>
      </w:pPr>
      <w:rPr>
        <w:rFonts w:hint="default" w:ascii="Times New Roman" w:hAnsi="Times New Roman" w:eastAsia="Times New Roman" w:cs="Times New Roman"/>
        <w:b w:val="0"/>
        <w:bCs w:val="0"/>
        <w:i w:val="0"/>
        <w:iCs w:val="0"/>
        <w:spacing w:val="0"/>
        <w:w w:val="100"/>
        <w:sz w:val="24"/>
        <w:szCs w:val="24"/>
        <w:lang w:val="ms" w:eastAsia="en-US" w:bidi="ar-SA"/>
      </w:rPr>
    </w:lvl>
    <w:lvl w:ilvl="1" w:tentative="0">
      <w:start w:val="1"/>
      <w:numFmt w:val="upperLetter"/>
      <w:lvlText w:val="%2."/>
      <w:lvlJc w:val="left"/>
      <w:pPr>
        <w:ind w:left="427" w:hanging="427"/>
      </w:pPr>
      <w:rPr>
        <w:rFonts w:hint="default" w:ascii="Times New Roman" w:hAnsi="Times New Roman" w:eastAsia="Times New Roman" w:cs="Times New Roman"/>
        <w:b/>
        <w:bCs w:val="0"/>
        <w:i w:val="0"/>
        <w:iCs w:val="0"/>
        <w:spacing w:val="0"/>
        <w:w w:val="100"/>
        <w:sz w:val="24"/>
        <w:szCs w:val="24"/>
        <w:lang w:val="ms" w:eastAsia="en-US" w:bidi="ar-SA"/>
      </w:rPr>
    </w:lvl>
    <w:lvl w:ilvl="2" w:tentative="0">
      <w:start w:val="0"/>
      <w:numFmt w:val="bullet"/>
      <w:lvlText w:val="•"/>
      <w:lvlJc w:val="left"/>
      <w:pPr>
        <w:ind w:left="2720" w:hanging="427"/>
      </w:pPr>
      <w:rPr>
        <w:rFonts w:hint="default"/>
        <w:lang w:val="ms" w:eastAsia="en-US" w:bidi="ar-SA"/>
      </w:rPr>
    </w:lvl>
    <w:lvl w:ilvl="3" w:tentative="0">
      <w:start w:val="0"/>
      <w:numFmt w:val="bullet"/>
      <w:lvlText w:val="•"/>
      <w:lvlJc w:val="left"/>
      <w:pPr>
        <w:ind w:left="3461" w:hanging="427"/>
      </w:pPr>
      <w:rPr>
        <w:rFonts w:hint="default"/>
        <w:lang w:val="ms" w:eastAsia="en-US" w:bidi="ar-SA"/>
      </w:rPr>
    </w:lvl>
    <w:lvl w:ilvl="4" w:tentative="0">
      <w:start w:val="0"/>
      <w:numFmt w:val="bullet"/>
      <w:lvlText w:val="•"/>
      <w:lvlJc w:val="left"/>
      <w:pPr>
        <w:ind w:left="4202" w:hanging="427"/>
      </w:pPr>
      <w:rPr>
        <w:rFonts w:hint="default"/>
        <w:lang w:val="ms" w:eastAsia="en-US" w:bidi="ar-SA"/>
      </w:rPr>
    </w:lvl>
    <w:lvl w:ilvl="5" w:tentative="0">
      <w:start w:val="0"/>
      <w:numFmt w:val="bullet"/>
      <w:lvlText w:val="•"/>
      <w:lvlJc w:val="left"/>
      <w:pPr>
        <w:ind w:left="4943" w:hanging="427"/>
      </w:pPr>
      <w:rPr>
        <w:rFonts w:hint="default"/>
        <w:lang w:val="ms" w:eastAsia="en-US" w:bidi="ar-SA"/>
      </w:rPr>
    </w:lvl>
    <w:lvl w:ilvl="6" w:tentative="0">
      <w:start w:val="0"/>
      <w:numFmt w:val="bullet"/>
      <w:lvlText w:val="•"/>
      <w:lvlJc w:val="left"/>
      <w:pPr>
        <w:ind w:left="5683" w:hanging="427"/>
      </w:pPr>
      <w:rPr>
        <w:rFonts w:hint="default"/>
        <w:lang w:val="ms" w:eastAsia="en-US" w:bidi="ar-SA"/>
      </w:rPr>
    </w:lvl>
    <w:lvl w:ilvl="7" w:tentative="0">
      <w:start w:val="0"/>
      <w:numFmt w:val="bullet"/>
      <w:lvlText w:val="•"/>
      <w:lvlJc w:val="left"/>
      <w:pPr>
        <w:ind w:left="6424" w:hanging="427"/>
      </w:pPr>
      <w:rPr>
        <w:rFonts w:hint="default"/>
        <w:lang w:val="ms" w:eastAsia="en-US" w:bidi="ar-SA"/>
      </w:rPr>
    </w:lvl>
    <w:lvl w:ilvl="8" w:tentative="0">
      <w:start w:val="0"/>
      <w:numFmt w:val="bullet"/>
      <w:lvlText w:val="•"/>
      <w:lvlJc w:val="left"/>
      <w:pPr>
        <w:ind w:left="7165" w:hanging="427"/>
      </w:pPr>
      <w:rPr>
        <w:rFonts w:hint="default"/>
        <w:lang w:val="ms" w:eastAsia="en-US" w:bidi="ar-SA"/>
      </w:rPr>
    </w:lvl>
  </w:abstractNum>
  <w:abstractNum w:abstractNumId="8">
    <w:nsid w:val="2B546F37"/>
    <w:multiLevelType w:val="multilevel"/>
    <w:tmpl w:val="2B546F3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2E082D10"/>
    <w:multiLevelType w:val="multilevel"/>
    <w:tmpl w:val="2E082D10"/>
    <w:lvl w:ilvl="0" w:tentative="0">
      <w:start w:val="1"/>
      <w:numFmt w:val="upperLetter"/>
      <w:lvlText w:val="%1."/>
      <w:lvlJc w:val="left"/>
      <w:pPr>
        <w:ind w:left="720" w:hanging="360"/>
      </w:pPr>
      <w:rPr>
        <w:rFonts w:hint="default" w:ascii="Times New Roman" w:hAnsi="Times New Roman" w:eastAsia="Times New Roman" w:cs="Times New Roman"/>
        <w:b w:val="0"/>
        <w:color w:val="auto"/>
        <w:sz w:val="24"/>
        <w:u w:val="no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2F255957"/>
    <w:multiLevelType w:val="multilevel"/>
    <w:tmpl w:val="2F255957"/>
    <w:lvl w:ilvl="0" w:tentative="0">
      <w:start w:val="3"/>
      <w:numFmt w:val="decimal"/>
      <w:lvlText w:val="%1."/>
      <w:lvlJc w:val="left"/>
      <w:pPr>
        <w:ind w:left="783" w:hanging="360"/>
      </w:pPr>
      <w:rPr>
        <w:rFonts w:hint="default"/>
      </w:rPr>
    </w:lvl>
    <w:lvl w:ilvl="1" w:tentative="0">
      <w:start w:val="1"/>
      <w:numFmt w:val="lowerLetter"/>
      <w:lvlText w:val="%2."/>
      <w:lvlJc w:val="left"/>
      <w:pPr>
        <w:ind w:left="1503" w:hanging="360"/>
      </w:pPr>
      <w:rPr>
        <w:rFonts w:hint="default"/>
      </w:rPr>
    </w:lvl>
    <w:lvl w:ilvl="2" w:tentative="0">
      <w:start w:val="1"/>
      <w:numFmt w:val="lowerRoman"/>
      <w:lvlText w:val="%3."/>
      <w:lvlJc w:val="right"/>
      <w:pPr>
        <w:ind w:left="2223" w:hanging="180"/>
      </w:pPr>
      <w:rPr>
        <w:rFonts w:hint="default"/>
      </w:rPr>
    </w:lvl>
    <w:lvl w:ilvl="3" w:tentative="0">
      <w:start w:val="1"/>
      <w:numFmt w:val="decimal"/>
      <w:lvlText w:val="%4."/>
      <w:lvlJc w:val="left"/>
      <w:pPr>
        <w:ind w:left="2943" w:hanging="360"/>
      </w:pPr>
      <w:rPr>
        <w:rFonts w:hint="default"/>
      </w:rPr>
    </w:lvl>
    <w:lvl w:ilvl="4" w:tentative="0">
      <w:start w:val="1"/>
      <w:numFmt w:val="lowerLetter"/>
      <w:lvlText w:val="%5."/>
      <w:lvlJc w:val="left"/>
      <w:pPr>
        <w:ind w:left="3663" w:hanging="360"/>
      </w:pPr>
      <w:rPr>
        <w:rFonts w:hint="default"/>
      </w:rPr>
    </w:lvl>
    <w:lvl w:ilvl="5" w:tentative="0">
      <w:start w:val="1"/>
      <w:numFmt w:val="lowerRoman"/>
      <w:lvlText w:val="%6."/>
      <w:lvlJc w:val="right"/>
      <w:pPr>
        <w:ind w:left="4383" w:hanging="180"/>
      </w:pPr>
      <w:rPr>
        <w:rFonts w:hint="default"/>
      </w:rPr>
    </w:lvl>
    <w:lvl w:ilvl="6" w:tentative="0">
      <w:start w:val="1"/>
      <w:numFmt w:val="decimal"/>
      <w:lvlText w:val="%7."/>
      <w:lvlJc w:val="left"/>
      <w:pPr>
        <w:ind w:left="5103" w:hanging="360"/>
      </w:pPr>
      <w:rPr>
        <w:rFonts w:hint="default"/>
      </w:rPr>
    </w:lvl>
    <w:lvl w:ilvl="7" w:tentative="0">
      <w:start w:val="1"/>
      <w:numFmt w:val="lowerLetter"/>
      <w:lvlText w:val="%8."/>
      <w:lvlJc w:val="left"/>
      <w:pPr>
        <w:ind w:left="5823" w:hanging="360"/>
      </w:pPr>
      <w:rPr>
        <w:rFonts w:hint="default"/>
      </w:rPr>
    </w:lvl>
    <w:lvl w:ilvl="8" w:tentative="0">
      <w:start w:val="1"/>
      <w:numFmt w:val="lowerRoman"/>
      <w:lvlText w:val="%9."/>
      <w:lvlJc w:val="right"/>
      <w:pPr>
        <w:ind w:left="6543" w:hanging="180"/>
      </w:pPr>
      <w:rPr>
        <w:rFonts w:hint="default"/>
      </w:rPr>
    </w:lvl>
  </w:abstractNum>
  <w:abstractNum w:abstractNumId="11">
    <w:nsid w:val="36BC7604"/>
    <w:multiLevelType w:val="multilevel"/>
    <w:tmpl w:val="36BC760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36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36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3AC01BD7"/>
    <w:multiLevelType w:val="multilevel"/>
    <w:tmpl w:val="3AC01BD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3F624464"/>
    <w:multiLevelType w:val="multilevel"/>
    <w:tmpl w:val="3F624464"/>
    <w:lvl w:ilvl="0" w:tentative="0">
      <w:start w:val="9"/>
      <w:numFmt w:val="lowerLetter"/>
      <w:lvlText w:val="%1)"/>
      <w:lvlJc w:val="left"/>
      <w:pPr>
        <w:ind w:left="720" w:hanging="360"/>
      </w:pPr>
      <w:rPr>
        <w:rFonts w:hint="default"/>
      </w:rPr>
    </w:lvl>
    <w:lvl w:ilvl="1" w:tentative="0">
      <w:start w:val="4"/>
      <w:numFmt w:val="lowerLetter"/>
      <w:lvlText w:val="%2."/>
      <w:lvlJc w:val="left"/>
      <w:pPr>
        <w:ind w:left="1440" w:hanging="360"/>
      </w:pPr>
      <w:rPr>
        <w:rFonts w:hint="default"/>
      </w:rPr>
    </w:lvl>
    <w:lvl w:ilvl="2" w:tentative="0">
      <w:start w:val="1"/>
      <w:numFmt w:val="lowerRoman"/>
      <w:lvlText w:val="%3."/>
      <w:lvlJc w:val="right"/>
      <w:pPr>
        <w:ind w:left="2160" w:hanging="180"/>
      </w:pPr>
      <w:rPr>
        <w:rFonts w:hint="default"/>
      </w:rPr>
    </w:lvl>
    <w:lvl w:ilvl="3" w:tentative="0">
      <w:start w:val="2"/>
      <w:numFmt w:val="decimal"/>
      <w:lvlText w:val="%4."/>
      <w:lvlJc w:val="left"/>
      <w:pPr>
        <w:ind w:left="2880" w:hanging="360"/>
      </w:pPr>
      <w:rPr>
        <w:rFonts w:hint="default"/>
      </w:rPr>
    </w:lvl>
    <w:lvl w:ilvl="4" w:tentative="0">
      <w:start w:val="1"/>
      <w:numFmt w:val="lowerLetter"/>
      <w:lvlText w:val="%5."/>
      <w:lvlJc w:val="left"/>
      <w:pPr>
        <w:ind w:left="3600" w:hanging="360"/>
      </w:pPr>
      <w:rPr>
        <w:rFonts w:hint="default"/>
      </w:rPr>
    </w:lvl>
    <w:lvl w:ilvl="5" w:tentative="0">
      <w:start w:val="1"/>
      <w:numFmt w:val="lowerRoman"/>
      <w:lvlText w:val="%6."/>
      <w:lvlJc w:val="right"/>
      <w:pPr>
        <w:ind w:left="4320" w:hanging="180"/>
      </w:pPr>
      <w:rPr>
        <w:rFonts w:hint="default"/>
      </w:rPr>
    </w:lvl>
    <w:lvl w:ilvl="6" w:tentative="0">
      <w:start w:val="1"/>
      <w:numFmt w:val="decimal"/>
      <w:lvlText w:val="%7."/>
      <w:lvlJc w:val="left"/>
      <w:pPr>
        <w:ind w:left="5040" w:hanging="360"/>
      </w:pPr>
      <w:rPr>
        <w:rFonts w:hint="default"/>
      </w:rPr>
    </w:lvl>
    <w:lvl w:ilvl="7" w:tentative="0">
      <w:start w:val="1"/>
      <w:numFmt w:val="lowerLetter"/>
      <w:lvlText w:val="%8."/>
      <w:lvlJc w:val="left"/>
      <w:pPr>
        <w:ind w:left="5760" w:hanging="360"/>
      </w:pPr>
      <w:rPr>
        <w:rFonts w:hint="default"/>
      </w:rPr>
    </w:lvl>
    <w:lvl w:ilvl="8" w:tentative="0">
      <w:start w:val="1"/>
      <w:numFmt w:val="lowerRoman"/>
      <w:lvlText w:val="%9."/>
      <w:lvlJc w:val="right"/>
      <w:pPr>
        <w:ind w:left="6480" w:hanging="180"/>
      </w:pPr>
      <w:rPr>
        <w:rFonts w:hint="default"/>
      </w:rPr>
    </w:lvl>
  </w:abstractNum>
  <w:abstractNum w:abstractNumId="14">
    <w:nsid w:val="423B12FB"/>
    <w:multiLevelType w:val="multilevel"/>
    <w:tmpl w:val="423B12FB"/>
    <w:lvl w:ilvl="0" w:tentative="0">
      <w:start w:val="2"/>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4A4F105C"/>
    <w:multiLevelType w:val="multilevel"/>
    <w:tmpl w:val="4A4F105C"/>
    <w:lvl w:ilvl="0" w:tentative="0">
      <w:start w:val="1"/>
      <w:numFmt w:val="decimal"/>
      <w:lvlText w:val="%1."/>
      <w:lvlJc w:val="left"/>
      <w:pPr>
        <w:tabs>
          <w:tab w:val="left" w:pos="720"/>
        </w:tabs>
        <w:ind w:left="720" w:hanging="360"/>
      </w:pPr>
      <w:rPr>
        <w:rFonts w:ascii="Times New Roman" w:hAnsi="Times New Roman" w:eastAsia="Times New Roman" w:cs="Times New Roman"/>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4A6F4E1C"/>
    <w:multiLevelType w:val="multilevel"/>
    <w:tmpl w:val="4A6F4E1C"/>
    <w:lvl w:ilvl="0" w:tentative="0">
      <w:start w:val="9"/>
      <w:numFmt w:val="lowerLetter"/>
      <w:lvlText w:val="%1)"/>
      <w:lvlJc w:val="left"/>
      <w:pPr>
        <w:ind w:left="720" w:hanging="360"/>
      </w:pPr>
      <w:rPr>
        <w:rFonts w:hint="default"/>
      </w:rPr>
    </w:lvl>
    <w:lvl w:ilvl="1" w:tentative="0">
      <w:start w:val="1"/>
      <w:numFmt w:val="decimal"/>
      <w:lvlText w:val="%2."/>
      <w:lvlJc w:val="left"/>
      <w:pPr>
        <w:ind w:left="1440" w:hanging="360"/>
      </w:pPr>
    </w:lvl>
    <w:lvl w:ilvl="2" w:tentative="0">
      <w:start w:val="1"/>
      <w:numFmt w:val="lowerRoman"/>
      <w:lvlText w:val="%3."/>
      <w:lvlJc w:val="right"/>
      <w:pPr>
        <w:ind w:left="2160" w:hanging="180"/>
      </w:pPr>
      <w:rPr>
        <w:rFonts w:hint="default"/>
      </w:rPr>
    </w:lvl>
    <w:lvl w:ilvl="3" w:tentative="0">
      <w:start w:val="2"/>
      <w:numFmt w:val="decimal"/>
      <w:lvlText w:val="%4."/>
      <w:lvlJc w:val="left"/>
      <w:pPr>
        <w:ind w:left="927" w:hanging="360"/>
      </w:pPr>
      <w:rPr>
        <w:rFonts w:hint="default"/>
      </w:rPr>
    </w:lvl>
    <w:lvl w:ilvl="4" w:tentative="0">
      <w:start w:val="1"/>
      <w:numFmt w:val="lowerLetter"/>
      <w:lvlText w:val="%5."/>
      <w:lvlJc w:val="left"/>
      <w:pPr>
        <w:ind w:left="3600" w:hanging="360"/>
      </w:pPr>
      <w:rPr>
        <w:rFonts w:hint="default"/>
      </w:rPr>
    </w:lvl>
    <w:lvl w:ilvl="5" w:tentative="0">
      <w:start w:val="1"/>
      <w:numFmt w:val="lowerRoman"/>
      <w:lvlText w:val="%6."/>
      <w:lvlJc w:val="right"/>
      <w:pPr>
        <w:ind w:left="4320" w:hanging="180"/>
      </w:pPr>
      <w:rPr>
        <w:rFonts w:hint="default"/>
      </w:rPr>
    </w:lvl>
    <w:lvl w:ilvl="6" w:tentative="0">
      <w:start w:val="1"/>
      <w:numFmt w:val="decimal"/>
      <w:lvlText w:val="%7."/>
      <w:lvlJc w:val="left"/>
      <w:pPr>
        <w:ind w:left="927" w:hanging="360"/>
      </w:pPr>
      <w:rPr>
        <w:rFonts w:hint="default"/>
      </w:rPr>
    </w:lvl>
    <w:lvl w:ilvl="7" w:tentative="0">
      <w:start w:val="1"/>
      <w:numFmt w:val="lowerLetter"/>
      <w:lvlText w:val="%8."/>
      <w:lvlJc w:val="left"/>
      <w:pPr>
        <w:ind w:left="5760" w:hanging="360"/>
      </w:pPr>
      <w:rPr>
        <w:rFonts w:hint="default"/>
      </w:rPr>
    </w:lvl>
    <w:lvl w:ilvl="8" w:tentative="0">
      <w:start w:val="1"/>
      <w:numFmt w:val="lowerRoman"/>
      <w:lvlText w:val="%9."/>
      <w:lvlJc w:val="right"/>
      <w:pPr>
        <w:ind w:left="6480" w:hanging="180"/>
      </w:pPr>
      <w:rPr>
        <w:rFonts w:hint="default"/>
      </w:rPr>
    </w:lvl>
  </w:abstractNum>
  <w:abstractNum w:abstractNumId="17">
    <w:nsid w:val="4BF77C3E"/>
    <w:multiLevelType w:val="multilevel"/>
    <w:tmpl w:val="4BF77C3E"/>
    <w:lvl w:ilvl="0" w:tentative="0">
      <w:start w:val="1"/>
      <w:numFmt w:val="decimal"/>
      <w:lvlText w:val="%1."/>
      <w:lvlJc w:val="left"/>
      <w:pPr>
        <w:tabs>
          <w:tab w:val="left" w:pos="720"/>
        </w:tabs>
        <w:ind w:left="720" w:hanging="360"/>
      </w:pPr>
      <w:rPr>
        <w:rFonts w:ascii="Times New Roman" w:hAnsi="Times New Roman" w:eastAsia="Times New Roman" w:cs="Times New Roman"/>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8">
    <w:nsid w:val="4EFC51CB"/>
    <w:multiLevelType w:val="multilevel"/>
    <w:tmpl w:val="4EFC51CB"/>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4FCF0593"/>
    <w:multiLevelType w:val="multilevel"/>
    <w:tmpl w:val="4FCF0593"/>
    <w:lvl w:ilvl="0" w:tentative="0">
      <w:start w:val="1"/>
      <w:numFmt w:val="upperLetter"/>
      <w:lvlText w:val="%1."/>
      <w:lvlJc w:val="left"/>
      <w:pPr>
        <w:ind w:left="720" w:hanging="360"/>
      </w:pPr>
      <w:rPr>
        <w:rFonts w:hint="default" w:ascii="Times New Roman" w:hAnsi="Times New Roman" w:eastAsia="Times New Roman" w:cs="Times New Roman"/>
        <w:b w:val="0"/>
        <w:color w:val="auto"/>
        <w:sz w:val="24"/>
        <w:u w:val="no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57104B8E"/>
    <w:multiLevelType w:val="multilevel"/>
    <w:tmpl w:val="57104B8E"/>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58D64D0B"/>
    <w:multiLevelType w:val="multilevel"/>
    <w:tmpl w:val="58D64D0B"/>
    <w:lvl w:ilvl="0" w:tentative="0">
      <w:start w:val="4"/>
      <w:numFmt w:val="upperLetter"/>
      <w:lvlText w:val="%1."/>
      <w:lvlJc w:val="left"/>
      <w:pPr>
        <w:ind w:left="502" w:hanging="360"/>
      </w:pPr>
      <w:rPr>
        <w:rFonts w:hint="default" w:ascii="Times New Roman" w:hAnsi="Times New Roman" w:cs="Times New Roman" w:eastAsiaTheme="majorEastAsia"/>
        <w:b/>
        <w:color w:val="auto"/>
        <w:sz w:val="24"/>
        <w:u w:val="none"/>
      </w:rPr>
    </w:lvl>
    <w:lvl w:ilvl="1" w:tentative="0">
      <w:start w:val="1"/>
      <w:numFmt w:val="lowerLetter"/>
      <w:lvlText w:val="%2."/>
      <w:lvlJc w:val="left"/>
      <w:pPr>
        <w:ind w:left="1222" w:hanging="360"/>
      </w:pPr>
      <w:rPr>
        <w:rFonts w:hint="default"/>
      </w:rPr>
    </w:lvl>
    <w:lvl w:ilvl="2" w:tentative="0">
      <w:start w:val="1"/>
      <w:numFmt w:val="lowerRoman"/>
      <w:lvlText w:val="%3."/>
      <w:lvlJc w:val="right"/>
      <w:pPr>
        <w:ind w:left="1942" w:hanging="180"/>
      </w:pPr>
      <w:rPr>
        <w:rFonts w:hint="default"/>
      </w:rPr>
    </w:lvl>
    <w:lvl w:ilvl="3" w:tentative="0">
      <w:start w:val="1"/>
      <w:numFmt w:val="decimal"/>
      <w:lvlText w:val="%4."/>
      <w:lvlJc w:val="left"/>
      <w:pPr>
        <w:ind w:left="360" w:hanging="360"/>
      </w:pPr>
      <w:rPr>
        <w:rFonts w:hint="default"/>
        <w:color w:val="auto"/>
      </w:rPr>
    </w:lvl>
    <w:lvl w:ilvl="4" w:tentative="0">
      <w:start w:val="1"/>
      <w:numFmt w:val="lowerLetter"/>
      <w:lvlText w:val="%5."/>
      <w:lvlJc w:val="left"/>
      <w:pPr>
        <w:ind w:left="785" w:hanging="360"/>
      </w:pPr>
      <w:rPr>
        <w:rFonts w:hint="default"/>
      </w:rPr>
    </w:lvl>
    <w:lvl w:ilvl="5" w:tentative="0">
      <w:start w:val="1"/>
      <w:numFmt w:val="lowerRoman"/>
      <w:lvlText w:val="%6."/>
      <w:lvlJc w:val="right"/>
      <w:pPr>
        <w:ind w:left="4102" w:hanging="180"/>
      </w:pPr>
      <w:rPr>
        <w:rFonts w:hint="default"/>
      </w:rPr>
    </w:lvl>
    <w:lvl w:ilvl="6" w:tentative="0">
      <w:start w:val="1"/>
      <w:numFmt w:val="lowerLetter"/>
      <w:lvlText w:val="%7."/>
      <w:lvlJc w:val="left"/>
      <w:pPr>
        <w:ind w:left="4822" w:hanging="360"/>
      </w:pPr>
    </w:lvl>
    <w:lvl w:ilvl="7" w:tentative="0">
      <w:start w:val="1"/>
      <w:numFmt w:val="lowerLetter"/>
      <w:lvlText w:val="%8."/>
      <w:lvlJc w:val="left"/>
      <w:pPr>
        <w:ind w:left="5542" w:hanging="360"/>
      </w:pPr>
      <w:rPr>
        <w:rFonts w:hint="default"/>
      </w:rPr>
    </w:lvl>
    <w:lvl w:ilvl="8" w:tentative="0">
      <w:start w:val="1"/>
      <w:numFmt w:val="lowerRoman"/>
      <w:lvlText w:val="%9."/>
      <w:lvlJc w:val="right"/>
      <w:pPr>
        <w:ind w:left="6262" w:hanging="180"/>
      </w:pPr>
      <w:rPr>
        <w:rFonts w:hint="default"/>
      </w:rPr>
    </w:lvl>
  </w:abstractNum>
  <w:abstractNum w:abstractNumId="22">
    <w:nsid w:val="5AA3598B"/>
    <w:multiLevelType w:val="multilevel"/>
    <w:tmpl w:val="5AA3598B"/>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786"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5F1D2C23"/>
    <w:multiLevelType w:val="multilevel"/>
    <w:tmpl w:val="5F1D2C23"/>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360" w:hanging="360"/>
      </w:pPr>
    </w:lvl>
    <w:lvl w:ilvl="4" w:tentative="0">
      <w:start w:val="1"/>
      <w:numFmt w:val="lowerLetter"/>
      <w:lvlText w:val="%5."/>
      <w:lvlJc w:val="left"/>
      <w:pPr>
        <w:ind w:left="785" w:hanging="360"/>
      </w:pPr>
    </w:lvl>
    <w:lvl w:ilvl="5" w:tentative="0">
      <w:start w:val="1"/>
      <w:numFmt w:val="lowerRoman"/>
      <w:lvlText w:val="%6."/>
      <w:lvlJc w:val="right"/>
      <w:pPr>
        <w:ind w:left="4320" w:hanging="180"/>
      </w:pPr>
    </w:lvl>
    <w:lvl w:ilvl="6" w:tentative="0">
      <w:start w:val="1"/>
      <w:numFmt w:val="lowerLetter"/>
      <w:lvlText w:val="%7."/>
      <w:lvlJc w:val="left"/>
      <w:pPr>
        <w:ind w:left="785" w:hanging="360"/>
      </w:pPr>
      <w:rPr>
        <w:rFonts w:ascii="Times New Roman" w:hAnsi="Times New Roman" w:eastAsia="Times New Roman" w:cs="Times New Roman"/>
      </w:rPr>
    </w:lvl>
    <w:lvl w:ilvl="7" w:tentative="0">
      <w:start w:val="1"/>
      <w:numFmt w:val="bullet"/>
      <w:lvlText w:val=""/>
      <w:lvlJc w:val="left"/>
      <w:pPr>
        <w:ind w:left="5760" w:hanging="360"/>
      </w:pPr>
      <w:rPr>
        <w:rFonts w:hint="default" w:ascii="Wingdings" w:hAnsi="Wingdings"/>
      </w:rPr>
    </w:lvl>
    <w:lvl w:ilvl="8" w:tentative="0">
      <w:start w:val="1"/>
      <w:numFmt w:val="lowerRoman"/>
      <w:lvlText w:val="%9."/>
      <w:lvlJc w:val="right"/>
      <w:pPr>
        <w:ind w:left="6480" w:hanging="180"/>
      </w:pPr>
    </w:lvl>
  </w:abstractNum>
  <w:abstractNum w:abstractNumId="24">
    <w:nsid w:val="62EF32C4"/>
    <w:multiLevelType w:val="multilevel"/>
    <w:tmpl w:val="62EF32C4"/>
    <w:lvl w:ilvl="0" w:tentative="0">
      <w:start w:val="2"/>
      <w:numFmt w:val="decimal"/>
      <w:lvlText w:val="%1."/>
      <w:lvlJc w:val="left"/>
      <w:pPr>
        <w:ind w:left="783" w:hanging="360"/>
      </w:pPr>
      <w:rPr>
        <w:rFonts w:hint="default"/>
      </w:rPr>
    </w:lvl>
    <w:lvl w:ilvl="1" w:tentative="0">
      <w:start w:val="1"/>
      <w:numFmt w:val="lowerLetter"/>
      <w:lvlText w:val="%2."/>
      <w:lvlJc w:val="left"/>
      <w:pPr>
        <w:ind w:left="1503" w:hanging="360"/>
      </w:pPr>
      <w:rPr>
        <w:rFonts w:hint="default"/>
      </w:rPr>
    </w:lvl>
    <w:lvl w:ilvl="2" w:tentative="0">
      <w:start w:val="1"/>
      <w:numFmt w:val="lowerRoman"/>
      <w:lvlText w:val="%3."/>
      <w:lvlJc w:val="right"/>
      <w:pPr>
        <w:ind w:left="2223" w:hanging="180"/>
      </w:pPr>
      <w:rPr>
        <w:rFonts w:hint="default"/>
      </w:rPr>
    </w:lvl>
    <w:lvl w:ilvl="3" w:tentative="0">
      <w:start w:val="1"/>
      <w:numFmt w:val="decimal"/>
      <w:lvlText w:val="%4."/>
      <w:lvlJc w:val="left"/>
      <w:pPr>
        <w:ind w:left="2943" w:hanging="360"/>
      </w:pPr>
      <w:rPr>
        <w:rFonts w:hint="default"/>
      </w:rPr>
    </w:lvl>
    <w:lvl w:ilvl="4" w:tentative="0">
      <w:start w:val="1"/>
      <w:numFmt w:val="lowerLetter"/>
      <w:lvlText w:val="%5."/>
      <w:lvlJc w:val="left"/>
      <w:pPr>
        <w:ind w:left="3663" w:hanging="360"/>
      </w:pPr>
      <w:rPr>
        <w:rFonts w:hint="default"/>
      </w:rPr>
    </w:lvl>
    <w:lvl w:ilvl="5" w:tentative="0">
      <w:start w:val="1"/>
      <w:numFmt w:val="lowerRoman"/>
      <w:lvlText w:val="%6."/>
      <w:lvlJc w:val="right"/>
      <w:pPr>
        <w:ind w:left="4383" w:hanging="180"/>
      </w:pPr>
      <w:rPr>
        <w:rFonts w:hint="default"/>
      </w:rPr>
    </w:lvl>
    <w:lvl w:ilvl="6" w:tentative="0">
      <w:start w:val="1"/>
      <w:numFmt w:val="decimal"/>
      <w:lvlText w:val="%7."/>
      <w:lvlJc w:val="left"/>
      <w:pPr>
        <w:ind w:left="5103" w:hanging="360"/>
      </w:pPr>
      <w:rPr>
        <w:rFonts w:hint="default"/>
      </w:rPr>
    </w:lvl>
    <w:lvl w:ilvl="7" w:tentative="0">
      <w:start w:val="1"/>
      <w:numFmt w:val="lowerLetter"/>
      <w:lvlText w:val="%8."/>
      <w:lvlJc w:val="left"/>
      <w:pPr>
        <w:ind w:left="5823" w:hanging="360"/>
      </w:pPr>
      <w:rPr>
        <w:rFonts w:hint="default"/>
      </w:rPr>
    </w:lvl>
    <w:lvl w:ilvl="8" w:tentative="0">
      <w:start w:val="1"/>
      <w:numFmt w:val="lowerRoman"/>
      <w:lvlText w:val="%9."/>
      <w:lvlJc w:val="right"/>
      <w:pPr>
        <w:ind w:left="6543" w:hanging="180"/>
      </w:pPr>
      <w:rPr>
        <w:rFonts w:hint="default"/>
      </w:rPr>
    </w:lvl>
  </w:abstractNum>
  <w:abstractNum w:abstractNumId="25">
    <w:nsid w:val="68693FA7"/>
    <w:multiLevelType w:val="multilevel"/>
    <w:tmpl w:val="68693FA7"/>
    <w:lvl w:ilvl="0" w:tentative="0">
      <w:start w:val="1"/>
      <w:numFmt w:val="lowerLetter"/>
      <w:lvlText w:val="%1."/>
      <w:lvlJc w:val="left"/>
      <w:pPr>
        <w:ind w:left="720" w:hanging="360"/>
      </w:pPr>
      <w:rPr>
        <w:rFonts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6">
    <w:nsid w:val="6BF447FC"/>
    <w:multiLevelType w:val="multilevel"/>
    <w:tmpl w:val="6BF447FC"/>
    <w:lvl w:ilvl="0" w:tentative="0">
      <w:start w:val="1"/>
      <w:numFmt w:val="upperLetter"/>
      <w:lvlText w:val="%1."/>
      <w:lvlJc w:val="left"/>
      <w:pPr>
        <w:ind w:left="720" w:hanging="360"/>
      </w:pPr>
      <w:rPr>
        <w:rFonts w:hint="default" w:ascii="Times New Roman" w:hAnsi="Times New Roman" w:cs="Times New Roman"/>
        <w:b w:val="0"/>
        <w:color w:val="auto"/>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
    <w:nsid w:val="77FE1773"/>
    <w:multiLevelType w:val="multilevel"/>
    <w:tmpl w:val="77FE1773"/>
    <w:lvl w:ilvl="0" w:tentative="0">
      <w:start w:val="2"/>
      <w:numFmt w:val="upperLetter"/>
      <w:lvlText w:val="%1."/>
      <w:lvlJc w:val="left"/>
      <w:pPr>
        <w:ind w:left="360" w:hanging="360"/>
      </w:pPr>
      <w:rPr>
        <w:rFonts w:hint="default" w:ascii="Times New Roman" w:hAnsi="Times New Roman" w:cs="Times New Roman" w:eastAsiaTheme="majorEastAsia"/>
        <w:b/>
        <w:color w:val="auto"/>
        <w:sz w:val="24"/>
        <w:u w:val="none"/>
      </w:rPr>
    </w:lvl>
    <w:lvl w:ilvl="1" w:tentative="0">
      <w:start w:val="1"/>
      <w:numFmt w:val="lowerLetter"/>
      <w:lvlText w:val="%2."/>
      <w:lvlJc w:val="left"/>
      <w:pPr>
        <w:ind w:left="1222" w:hanging="360"/>
      </w:pPr>
      <w:rPr>
        <w:rFonts w:hint="default"/>
      </w:rPr>
    </w:lvl>
    <w:lvl w:ilvl="2" w:tentative="0">
      <w:start w:val="1"/>
      <w:numFmt w:val="lowerRoman"/>
      <w:lvlText w:val="%3."/>
      <w:lvlJc w:val="right"/>
      <w:pPr>
        <w:ind w:left="1942" w:hanging="180"/>
      </w:pPr>
      <w:rPr>
        <w:rFonts w:hint="default"/>
      </w:rPr>
    </w:lvl>
    <w:lvl w:ilvl="3" w:tentative="0">
      <w:start w:val="1"/>
      <w:numFmt w:val="decimal"/>
      <w:lvlText w:val="%4."/>
      <w:lvlJc w:val="left"/>
      <w:pPr>
        <w:ind w:left="2662" w:hanging="360"/>
      </w:pPr>
      <w:rPr>
        <w:rFonts w:hint="default"/>
      </w:rPr>
    </w:lvl>
    <w:lvl w:ilvl="4" w:tentative="0">
      <w:start w:val="1"/>
      <w:numFmt w:val="lowerLetter"/>
      <w:lvlText w:val="%5."/>
      <w:lvlJc w:val="left"/>
      <w:pPr>
        <w:ind w:left="3382" w:hanging="360"/>
      </w:pPr>
      <w:rPr>
        <w:rFonts w:hint="default"/>
      </w:rPr>
    </w:lvl>
    <w:lvl w:ilvl="5" w:tentative="0">
      <w:start w:val="1"/>
      <w:numFmt w:val="lowerRoman"/>
      <w:lvlText w:val="%6."/>
      <w:lvlJc w:val="right"/>
      <w:pPr>
        <w:ind w:left="4102" w:hanging="180"/>
      </w:pPr>
      <w:rPr>
        <w:rFonts w:hint="default"/>
      </w:rPr>
    </w:lvl>
    <w:lvl w:ilvl="6" w:tentative="0">
      <w:start w:val="1"/>
      <w:numFmt w:val="decimal"/>
      <w:lvlText w:val="%7."/>
      <w:lvlJc w:val="left"/>
      <w:pPr>
        <w:ind w:left="4822" w:hanging="360"/>
      </w:pPr>
      <w:rPr>
        <w:rFonts w:hint="default"/>
      </w:rPr>
    </w:lvl>
    <w:lvl w:ilvl="7" w:tentative="0">
      <w:start w:val="1"/>
      <w:numFmt w:val="lowerLetter"/>
      <w:lvlText w:val="%8."/>
      <w:lvlJc w:val="left"/>
      <w:pPr>
        <w:ind w:left="5542" w:hanging="360"/>
      </w:pPr>
      <w:rPr>
        <w:rFonts w:hint="default"/>
      </w:rPr>
    </w:lvl>
    <w:lvl w:ilvl="8" w:tentative="0">
      <w:start w:val="1"/>
      <w:numFmt w:val="lowerRoman"/>
      <w:lvlText w:val="%9."/>
      <w:lvlJc w:val="right"/>
      <w:pPr>
        <w:ind w:left="6262" w:hanging="180"/>
      </w:pPr>
      <w:rPr>
        <w:rFonts w:hint="default"/>
      </w:rPr>
    </w:lvl>
  </w:abstractNum>
  <w:abstractNum w:abstractNumId="28">
    <w:nsid w:val="7BDE5410"/>
    <w:multiLevelType w:val="multilevel"/>
    <w:tmpl w:val="7BDE5410"/>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26"/>
  </w:num>
  <w:num w:numId="3">
    <w:abstractNumId w:val="9"/>
  </w:num>
  <w:num w:numId="4">
    <w:abstractNumId w:val="19"/>
  </w:num>
  <w:num w:numId="5">
    <w:abstractNumId w:val="3"/>
  </w:num>
  <w:num w:numId="6">
    <w:abstractNumId w:val="27"/>
  </w:num>
  <w:num w:numId="7">
    <w:abstractNumId w:val="7"/>
  </w:num>
  <w:num w:numId="8">
    <w:abstractNumId w:val="5"/>
  </w:num>
  <w:num w:numId="9">
    <w:abstractNumId w:val="8"/>
  </w:num>
  <w:num w:numId="10">
    <w:abstractNumId w:val="2"/>
  </w:num>
  <w:num w:numId="11">
    <w:abstractNumId w:val="17"/>
  </w:num>
  <w:num w:numId="12">
    <w:abstractNumId w:val="15"/>
  </w:num>
  <w:num w:numId="13">
    <w:abstractNumId w:val="1"/>
  </w:num>
  <w:num w:numId="14">
    <w:abstractNumId w:val="12"/>
  </w:num>
  <w:num w:numId="15">
    <w:abstractNumId w:val="28"/>
  </w:num>
  <w:num w:numId="16">
    <w:abstractNumId w:val="4"/>
  </w:num>
  <w:num w:numId="17">
    <w:abstractNumId w:val="22"/>
  </w:num>
  <w:num w:numId="18">
    <w:abstractNumId w:val="20"/>
  </w:num>
  <w:num w:numId="19">
    <w:abstractNumId w:val="18"/>
  </w:num>
  <w:num w:numId="20">
    <w:abstractNumId w:val="14"/>
  </w:num>
  <w:num w:numId="21">
    <w:abstractNumId w:val="21"/>
  </w:num>
  <w:num w:numId="22">
    <w:abstractNumId w:val="23"/>
  </w:num>
  <w:num w:numId="23">
    <w:abstractNumId w:val="16"/>
  </w:num>
  <w:num w:numId="24">
    <w:abstractNumId w:val="6"/>
  </w:num>
  <w:num w:numId="25">
    <w:abstractNumId w:val="13"/>
  </w:num>
  <w:num w:numId="26">
    <w:abstractNumId w:val="11"/>
  </w:num>
  <w:num w:numId="27">
    <w:abstractNumId w:val="25"/>
  </w:num>
  <w:num w:numId="28">
    <w:abstractNumId w:val="24"/>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hjzAciV3U4bXDDDwICvwIEUopSA=" w:salt="sEqpl71voCAu7UkB7c/DoQ=="/>
  <w:defaultTabStop w:val="720"/>
  <w:characterSpacingControl w:val="doNotCompress"/>
  <w:hdrShapeDefaults>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F7C"/>
    <w:rsid w:val="00000B0D"/>
    <w:rsid w:val="00003805"/>
    <w:rsid w:val="00004838"/>
    <w:rsid w:val="00006794"/>
    <w:rsid w:val="00010E4A"/>
    <w:rsid w:val="0001205D"/>
    <w:rsid w:val="000138ED"/>
    <w:rsid w:val="0001627B"/>
    <w:rsid w:val="00016F19"/>
    <w:rsid w:val="00020782"/>
    <w:rsid w:val="00020F8B"/>
    <w:rsid w:val="00023736"/>
    <w:rsid w:val="00033443"/>
    <w:rsid w:val="00033999"/>
    <w:rsid w:val="00045FDB"/>
    <w:rsid w:val="000539BB"/>
    <w:rsid w:val="000541D7"/>
    <w:rsid w:val="00055CFD"/>
    <w:rsid w:val="0006051F"/>
    <w:rsid w:val="00062160"/>
    <w:rsid w:val="00073759"/>
    <w:rsid w:val="000741EF"/>
    <w:rsid w:val="00074F44"/>
    <w:rsid w:val="0007671C"/>
    <w:rsid w:val="00076FE3"/>
    <w:rsid w:val="00081D96"/>
    <w:rsid w:val="000838BE"/>
    <w:rsid w:val="00086649"/>
    <w:rsid w:val="000870D3"/>
    <w:rsid w:val="0009003F"/>
    <w:rsid w:val="00090D3A"/>
    <w:rsid w:val="00091936"/>
    <w:rsid w:val="00094694"/>
    <w:rsid w:val="000953FA"/>
    <w:rsid w:val="0009621F"/>
    <w:rsid w:val="00096CBB"/>
    <w:rsid w:val="00096E9F"/>
    <w:rsid w:val="000A05A6"/>
    <w:rsid w:val="000A1322"/>
    <w:rsid w:val="000A1B4C"/>
    <w:rsid w:val="000A25E6"/>
    <w:rsid w:val="000A3C9E"/>
    <w:rsid w:val="000A63FF"/>
    <w:rsid w:val="000B009A"/>
    <w:rsid w:val="000B0E4E"/>
    <w:rsid w:val="000B20B9"/>
    <w:rsid w:val="000B541E"/>
    <w:rsid w:val="000C006B"/>
    <w:rsid w:val="000C3F7B"/>
    <w:rsid w:val="000C653F"/>
    <w:rsid w:val="000C6FD3"/>
    <w:rsid w:val="000C7C55"/>
    <w:rsid w:val="000D1000"/>
    <w:rsid w:val="000D289D"/>
    <w:rsid w:val="000D5183"/>
    <w:rsid w:val="000D6443"/>
    <w:rsid w:val="000D6468"/>
    <w:rsid w:val="000D7438"/>
    <w:rsid w:val="000E2409"/>
    <w:rsid w:val="000E3B2D"/>
    <w:rsid w:val="000F4D8C"/>
    <w:rsid w:val="00100132"/>
    <w:rsid w:val="001001D5"/>
    <w:rsid w:val="00101B1E"/>
    <w:rsid w:val="00103978"/>
    <w:rsid w:val="00104E0F"/>
    <w:rsid w:val="00104F71"/>
    <w:rsid w:val="0011196D"/>
    <w:rsid w:val="001123EC"/>
    <w:rsid w:val="00112AC7"/>
    <w:rsid w:val="00120232"/>
    <w:rsid w:val="0012156D"/>
    <w:rsid w:val="00126009"/>
    <w:rsid w:val="00130C37"/>
    <w:rsid w:val="00131875"/>
    <w:rsid w:val="00134DB3"/>
    <w:rsid w:val="00140042"/>
    <w:rsid w:val="001418D0"/>
    <w:rsid w:val="001426AD"/>
    <w:rsid w:val="00144D2F"/>
    <w:rsid w:val="001472F8"/>
    <w:rsid w:val="00154CF6"/>
    <w:rsid w:val="00160B54"/>
    <w:rsid w:val="00162BD3"/>
    <w:rsid w:val="00164172"/>
    <w:rsid w:val="001665C7"/>
    <w:rsid w:val="00170F38"/>
    <w:rsid w:val="00171154"/>
    <w:rsid w:val="00173D8C"/>
    <w:rsid w:val="00173DC1"/>
    <w:rsid w:val="00175127"/>
    <w:rsid w:val="00176451"/>
    <w:rsid w:val="00176FD7"/>
    <w:rsid w:val="0018080A"/>
    <w:rsid w:val="001823D8"/>
    <w:rsid w:val="001861D7"/>
    <w:rsid w:val="00186D10"/>
    <w:rsid w:val="001877E6"/>
    <w:rsid w:val="00187986"/>
    <w:rsid w:val="00187E89"/>
    <w:rsid w:val="00187F62"/>
    <w:rsid w:val="0019054F"/>
    <w:rsid w:val="00193297"/>
    <w:rsid w:val="00195413"/>
    <w:rsid w:val="001A32D2"/>
    <w:rsid w:val="001A4BA7"/>
    <w:rsid w:val="001A5E4B"/>
    <w:rsid w:val="001A75CF"/>
    <w:rsid w:val="001B0E12"/>
    <w:rsid w:val="001B3018"/>
    <w:rsid w:val="001B3928"/>
    <w:rsid w:val="001B409C"/>
    <w:rsid w:val="001B44C3"/>
    <w:rsid w:val="001B44F9"/>
    <w:rsid w:val="001B4776"/>
    <w:rsid w:val="001B4EEF"/>
    <w:rsid w:val="001B6E7F"/>
    <w:rsid w:val="001C1355"/>
    <w:rsid w:val="001C284A"/>
    <w:rsid w:val="001C3179"/>
    <w:rsid w:val="001C3957"/>
    <w:rsid w:val="001C41B9"/>
    <w:rsid w:val="001C4328"/>
    <w:rsid w:val="001C489F"/>
    <w:rsid w:val="001C5A7B"/>
    <w:rsid w:val="001C5FE0"/>
    <w:rsid w:val="001C7FBC"/>
    <w:rsid w:val="001D0B61"/>
    <w:rsid w:val="001D0B6A"/>
    <w:rsid w:val="001D0E1C"/>
    <w:rsid w:val="001D21BD"/>
    <w:rsid w:val="001D39F8"/>
    <w:rsid w:val="001D606E"/>
    <w:rsid w:val="001D6CA9"/>
    <w:rsid w:val="001E4782"/>
    <w:rsid w:val="001E50DA"/>
    <w:rsid w:val="001F10F9"/>
    <w:rsid w:val="001F2B10"/>
    <w:rsid w:val="001F3BC7"/>
    <w:rsid w:val="001F5442"/>
    <w:rsid w:val="001F73AE"/>
    <w:rsid w:val="00203959"/>
    <w:rsid w:val="002045E3"/>
    <w:rsid w:val="00204776"/>
    <w:rsid w:val="002063CA"/>
    <w:rsid w:val="00212A82"/>
    <w:rsid w:val="00215C78"/>
    <w:rsid w:val="0022694A"/>
    <w:rsid w:val="00227FA2"/>
    <w:rsid w:val="00230753"/>
    <w:rsid w:val="002331B6"/>
    <w:rsid w:val="002404D3"/>
    <w:rsid w:val="00242E92"/>
    <w:rsid w:val="00243DC1"/>
    <w:rsid w:val="00246171"/>
    <w:rsid w:val="00246BB4"/>
    <w:rsid w:val="002502B6"/>
    <w:rsid w:val="00254276"/>
    <w:rsid w:val="00254800"/>
    <w:rsid w:val="00254C70"/>
    <w:rsid w:val="00261348"/>
    <w:rsid w:val="002613FA"/>
    <w:rsid w:val="00262A97"/>
    <w:rsid w:val="00274E5B"/>
    <w:rsid w:val="00281832"/>
    <w:rsid w:val="00282835"/>
    <w:rsid w:val="00283D8A"/>
    <w:rsid w:val="002859D1"/>
    <w:rsid w:val="00287243"/>
    <w:rsid w:val="002920AA"/>
    <w:rsid w:val="002A0BC5"/>
    <w:rsid w:val="002A11C2"/>
    <w:rsid w:val="002A3023"/>
    <w:rsid w:val="002A33C4"/>
    <w:rsid w:val="002A534C"/>
    <w:rsid w:val="002A6C46"/>
    <w:rsid w:val="002A7ACF"/>
    <w:rsid w:val="002A7F45"/>
    <w:rsid w:val="002B0D67"/>
    <w:rsid w:val="002B46AC"/>
    <w:rsid w:val="002B514F"/>
    <w:rsid w:val="002B5A68"/>
    <w:rsid w:val="002B6619"/>
    <w:rsid w:val="002C0F1A"/>
    <w:rsid w:val="002C569D"/>
    <w:rsid w:val="002C7FC1"/>
    <w:rsid w:val="002D14C8"/>
    <w:rsid w:val="002D45DD"/>
    <w:rsid w:val="002D5EC2"/>
    <w:rsid w:val="002E04A4"/>
    <w:rsid w:val="002E1B8F"/>
    <w:rsid w:val="002E2153"/>
    <w:rsid w:val="002E3088"/>
    <w:rsid w:val="002F2904"/>
    <w:rsid w:val="00303387"/>
    <w:rsid w:val="00305095"/>
    <w:rsid w:val="0030567F"/>
    <w:rsid w:val="00307841"/>
    <w:rsid w:val="003109C1"/>
    <w:rsid w:val="00313BDB"/>
    <w:rsid w:val="00314E1C"/>
    <w:rsid w:val="00324431"/>
    <w:rsid w:val="00324878"/>
    <w:rsid w:val="003256F7"/>
    <w:rsid w:val="00325F2E"/>
    <w:rsid w:val="0032604F"/>
    <w:rsid w:val="00330753"/>
    <w:rsid w:val="00332169"/>
    <w:rsid w:val="00333AFA"/>
    <w:rsid w:val="00335330"/>
    <w:rsid w:val="00335F8C"/>
    <w:rsid w:val="003370C9"/>
    <w:rsid w:val="00341438"/>
    <w:rsid w:val="003463DB"/>
    <w:rsid w:val="00346A09"/>
    <w:rsid w:val="00354310"/>
    <w:rsid w:val="003546AF"/>
    <w:rsid w:val="00357995"/>
    <w:rsid w:val="00362DD4"/>
    <w:rsid w:val="00363179"/>
    <w:rsid w:val="003635B8"/>
    <w:rsid w:val="0036380B"/>
    <w:rsid w:val="003666FF"/>
    <w:rsid w:val="00372C3C"/>
    <w:rsid w:val="00374CCD"/>
    <w:rsid w:val="003820BE"/>
    <w:rsid w:val="003917A0"/>
    <w:rsid w:val="00392285"/>
    <w:rsid w:val="00392B53"/>
    <w:rsid w:val="0039628D"/>
    <w:rsid w:val="00396977"/>
    <w:rsid w:val="003A1F9D"/>
    <w:rsid w:val="003A2B18"/>
    <w:rsid w:val="003A44BA"/>
    <w:rsid w:val="003B0083"/>
    <w:rsid w:val="003B7EB2"/>
    <w:rsid w:val="003C3D7E"/>
    <w:rsid w:val="003D1BFC"/>
    <w:rsid w:val="003D5FD1"/>
    <w:rsid w:val="003E363D"/>
    <w:rsid w:val="003F12A0"/>
    <w:rsid w:val="003F19BA"/>
    <w:rsid w:val="003F1F23"/>
    <w:rsid w:val="003F2522"/>
    <w:rsid w:val="003F4EC3"/>
    <w:rsid w:val="003F51A6"/>
    <w:rsid w:val="0040561F"/>
    <w:rsid w:val="00407BD4"/>
    <w:rsid w:val="00411BD3"/>
    <w:rsid w:val="00415E36"/>
    <w:rsid w:val="00422DAB"/>
    <w:rsid w:val="00423955"/>
    <w:rsid w:val="00424F49"/>
    <w:rsid w:val="00435D28"/>
    <w:rsid w:val="004362B9"/>
    <w:rsid w:val="00437AF0"/>
    <w:rsid w:val="00441052"/>
    <w:rsid w:val="0044510F"/>
    <w:rsid w:val="00446E28"/>
    <w:rsid w:val="0045048D"/>
    <w:rsid w:val="0045118D"/>
    <w:rsid w:val="0045149D"/>
    <w:rsid w:val="004517C7"/>
    <w:rsid w:val="00453697"/>
    <w:rsid w:val="0045752D"/>
    <w:rsid w:val="004629A5"/>
    <w:rsid w:val="00462EAB"/>
    <w:rsid w:val="00483EDB"/>
    <w:rsid w:val="0048570C"/>
    <w:rsid w:val="00487806"/>
    <w:rsid w:val="00487D47"/>
    <w:rsid w:val="0049073B"/>
    <w:rsid w:val="00491AEB"/>
    <w:rsid w:val="00492A36"/>
    <w:rsid w:val="00492EC3"/>
    <w:rsid w:val="00493A4D"/>
    <w:rsid w:val="004951B4"/>
    <w:rsid w:val="00496E24"/>
    <w:rsid w:val="004A050F"/>
    <w:rsid w:val="004A59B1"/>
    <w:rsid w:val="004A6CC7"/>
    <w:rsid w:val="004A6D77"/>
    <w:rsid w:val="004A6D95"/>
    <w:rsid w:val="004B0A97"/>
    <w:rsid w:val="004B0CE9"/>
    <w:rsid w:val="004B130D"/>
    <w:rsid w:val="004B3DA6"/>
    <w:rsid w:val="004B66E4"/>
    <w:rsid w:val="004C2511"/>
    <w:rsid w:val="004C5CF7"/>
    <w:rsid w:val="004D01A9"/>
    <w:rsid w:val="004D1925"/>
    <w:rsid w:val="004D3189"/>
    <w:rsid w:val="004D64B9"/>
    <w:rsid w:val="004E11C2"/>
    <w:rsid w:val="004E24C4"/>
    <w:rsid w:val="004E303E"/>
    <w:rsid w:val="004E7702"/>
    <w:rsid w:val="004F1C84"/>
    <w:rsid w:val="004F72B8"/>
    <w:rsid w:val="004F7667"/>
    <w:rsid w:val="00501BF9"/>
    <w:rsid w:val="005037A0"/>
    <w:rsid w:val="00503BD8"/>
    <w:rsid w:val="00503FF4"/>
    <w:rsid w:val="00504CE1"/>
    <w:rsid w:val="00506DA4"/>
    <w:rsid w:val="00514815"/>
    <w:rsid w:val="00525064"/>
    <w:rsid w:val="00525BB3"/>
    <w:rsid w:val="00525BE1"/>
    <w:rsid w:val="00530D82"/>
    <w:rsid w:val="00537CD6"/>
    <w:rsid w:val="00541BC6"/>
    <w:rsid w:val="00542104"/>
    <w:rsid w:val="00546BC9"/>
    <w:rsid w:val="00547863"/>
    <w:rsid w:val="005529BD"/>
    <w:rsid w:val="00554827"/>
    <w:rsid w:val="00554B34"/>
    <w:rsid w:val="00556595"/>
    <w:rsid w:val="00564072"/>
    <w:rsid w:val="00570534"/>
    <w:rsid w:val="00577B74"/>
    <w:rsid w:val="0058140B"/>
    <w:rsid w:val="00582D27"/>
    <w:rsid w:val="0058538C"/>
    <w:rsid w:val="00587D80"/>
    <w:rsid w:val="00591466"/>
    <w:rsid w:val="00596E12"/>
    <w:rsid w:val="005B27F1"/>
    <w:rsid w:val="005B577F"/>
    <w:rsid w:val="005C6447"/>
    <w:rsid w:val="005D38B2"/>
    <w:rsid w:val="005D57DE"/>
    <w:rsid w:val="005D6584"/>
    <w:rsid w:val="005E050A"/>
    <w:rsid w:val="005E0E95"/>
    <w:rsid w:val="005E16FB"/>
    <w:rsid w:val="005E6D65"/>
    <w:rsid w:val="005F63C9"/>
    <w:rsid w:val="0061005E"/>
    <w:rsid w:val="00610600"/>
    <w:rsid w:val="00612DA2"/>
    <w:rsid w:val="00613259"/>
    <w:rsid w:val="006141B6"/>
    <w:rsid w:val="00617A4B"/>
    <w:rsid w:val="00622175"/>
    <w:rsid w:val="00623993"/>
    <w:rsid w:val="0062444A"/>
    <w:rsid w:val="00624D07"/>
    <w:rsid w:val="00624F89"/>
    <w:rsid w:val="00625AB9"/>
    <w:rsid w:val="00626B42"/>
    <w:rsid w:val="00634372"/>
    <w:rsid w:val="006346EC"/>
    <w:rsid w:val="00636992"/>
    <w:rsid w:val="0063752F"/>
    <w:rsid w:val="00640A6B"/>
    <w:rsid w:val="006430F4"/>
    <w:rsid w:val="0064655D"/>
    <w:rsid w:val="00647138"/>
    <w:rsid w:val="00650446"/>
    <w:rsid w:val="006512B6"/>
    <w:rsid w:val="006528CF"/>
    <w:rsid w:val="006570E3"/>
    <w:rsid w:val="006604C9"/>
    <w:rsid w:val="006605A3"/>
    <w:rsid w:val="006613DB"/>
    <w:rsid w:val="0066192D"/>
    <w:rsid w:val="006622D6"/>
    <w:rsid w:val="00663DB0"/>
    <w:rsid w:val="006650A5"/>
    <w:rsid w:val="006671E3"/>
    <w:rsid w:val="00673ED7"/>
    <w:rsid w:val="0067680C"/>
    <w:rsid w:val="00682FC5"/>
    <w:rsid w:val="00684B97"/>
    <w:rsid w:val="00684C75"/>
    <w:rsid w:val="00686256"/>
    <w:rsid w:val="00690B4D"/>
    <w:rsid w:val="00694AAC"/>
    <w:rsid w:val="00695DEE"/>
    <w:rsid w:val="00696AC5"/>
    <w:rsid w:val="006A3EF4"/>
    <w:rsid w:val="006A49D9"/>
    <w:rsid w:val="006A4E93"/>
    <w:rsid w:val="006A5C00"/>
    <w:rsid w:val="006A7EA4"/>
    <w:rsid w:val="006B239B"/>
    <w:rsid w:val="006B39D9"/>
    <w:rsid w:val="006B3F8F"/>
    <w:rsid w:val="006B45D3"/>
    <w:rsid w:val="006B6926"/>
    <w:rsid w:val="006B7BB9"/>
    <w:rsid w:val="006D1F08"/>
    <w:rsid w:val="006D4285"/>
    <w:rsid w:val="006D694C"/>
    <w:rsid w:val="006E1FFE"/>
    <w:rsid w:val="006E4D24"/>
    <w:rsid w:val="006E56D2"/>
    <w:rsid w:val="006F19C3"/>
    <w:rsid w:val="006F31AB"/>
    <w:rsid w:val="006F6FF6"/>
    <w:rsid w:val="00700DA3"/>
    <w:rsid w:val="0070362A"/>
    <w:rsid w:val="00704B64"/>
    <w:rsid w:val="0070688D"/>
    <w:rsid w:val="00706A65"/>
    <w:rsid w:val="00707A62"/>
    <w:rsid w:val="007109A2"/>
    <w:rsid w:val="00710DD1"/>
    <w:rsid w:val="0071443D"/>
    <w:rsid w:val="00717EB8"/>
    <w:rsid w:val="0072004D"/>
    <w:rsid w:val="0072045B"/>
    <w:rsid w:val="00720943"/>
    <w:rsid w:val="00721250"/>
    <w:rsid w:val="00732461"/>
    <w:rsid w:val="007331C7"/>
    <w:rsid w:val="00741597"/>
    <w:rsid w:val="00742E06"/>
    <w:rsid w:val="00743E67"/>
    <w:rsid w:val="00745461"/>
    <w:rsid w:val="00747E8A"/>
    <w:rsid w:val="00751744"/>
    <w:rsid w:val="0075791F"/>
    <w:rsid w:val="00761E3D"/>
    <w:rsid w:val="00762DA9"/>
    <w:rsid w:val="0076531D"/>
    <w:rsid w:val="007722A6"/>
    <w:rsid w:val="00772777"/>
    <w:rsid w:val="00773781"/>
    <w:rsid w:val="00773D65"/>
    <w:rsid w:val="0077420D"/>
    <w:rsid w:val="00776AA4"/>
    <w:rsid w:val="0078057F"/>
    <w:rsid w:val="0078163D"/>
    <w:rsid w:val="00782E08"/>
    <w:rsid w:val="0078397B"/>
    <w:rsid w:val="00787276"/>
    <w:rsid w:val="00787A78"/>
    <w:rsid w:val="007948BE"/>
    <w:rsid w:val="0079552D"/>
    <w:rsid w:val="0079707D"/>
    <w:rsid w:val="00797AE1"/>
    <w:rsid w:val="007A0562"/>
    <w:rsid w:val="007A079B"/>
    <w:rsid w:val="007A3632"/>
    <w:rsid w:val="007A5BC4"/>
    <w:rsid w:val="007B0628"/>
    <w:rsid w:val="007B2CE2"/>
    <w:rsid w:val="007B667D"/>
    <w:rsid w:val="007C1CCE"/>
    <w:rsid w:val="007D13EA"/>
    <w:rsid w:val="007D5D5F"/>
    <w:rsid w:val="007D76D4"/>
    <w:rsid w:val="007E1A11"/>
    <w:rsid w:val="007E5BEB"/>
    <w:rsid w:val="007F0B0B"/>
    <w:rsid w:val="007F36A1"/>
    <w:rsid w:val="007F392A"/>
    <w:rsid w:val="007F40EA"/>
    <w:rsid w:val="007F4665"/>
    <w:rsid w:val="007F6915"/>
    <w:rsid w:val="00803BA5"/>
    <w:rsid w:val="00806AE6"/>
    <w:rsid w:val="0080750E"/>
    <w:rsid w:val="00807F2B"/>
    <w:rsid w:val="00810866"/>
    <w:rsid w:val="0081507F"/>
    <w:rsid w:val="00820554"/>
    <w:rsid w:val="00820619"/>
    <w:rsid w:val="008216D4"/>
    <w:rsid w:val="00822CE4"/>
    <w:rsid w:val="00826B40"/>
    <w:rsid w:val="008378EE"/>
    <w:rsid w:val="00841761"/>
    <w:rsid w:val="00843A51"/>
    <w:rsid w:val="00844E29"/>
    <w:rsid w:val="00850F58"/>
    <w:rsid w:val="008551ED"/>
    <w:rsid w:val="0086080D"/>
    <w:rsid w:val="008622B3"/>
    <w:rsid w:val="00863E21"/>
    <w:rsid w:val="0087076F"/>
    <w:rsid w:val="008740CF"/>
    <w:rsid w:val="00876D21"/>
    <w:rsid w:val="0087760B"/>
    <w:rsid w:val="00882B46"/>
    <w:rsid w:val="0088339C"/>
    <w:rsid w:val="008856E8"/>
    <w:rsid w:val="0088666E"/>
    <w:rsid w:val="00886E61"/>
    <w:rsid w:val="0088764A"/>
    <w:rsid w:val="008933A1"/>
    <w:rsid w:val="00897342"/>
    <w:rsid w:val="0089752F"/>
    <w:rsid w:val="008A1283"/>
    <w:rsid w:val="008A3729"/>
    <w:rsid w:val="008A5BB8"/>
    <w:rsid w:val="008A629B"/>
    <w:rsid w:val="008B02AB"/>
    <w:rsid w:val="008B0338"/>
    <w:rsid w:val="008B0EBB"/>
    <w:rsid w:val="008B37AD"/>
    <w:rsid w:val="008C71B0"/>
    <w:rsid w:val="008C7496"/>
    <w:rsid w:val="008C7EA7"/>
    <w:rsid w:val="008D17E0"/>
    <w:rsid w:val="008D3A19"/>
    <w:rsid w:val="008E229E"/>
    <w:rsid w:val="008E611A"/>
    <w:rsid w:val="008E78DF"/>
    <w:rsid w:val="008F1348"/>
    <w:rsid w:val="008F366B"/>
    <w:rsid w:val="008F4ED5"/>
    <w:rsid w:val="008F519B"/>
    <w:rsid w:val="009004DA"/>
    <w:rsid w:val="00903AB6"/>
    <w:rsid w:val="00903C50"/>
    <w:rsid w:val="00905638"/>
    <w:rsid w:val="009140B3"/>
    <w:rsid w:val="00915D61"/>
    <w:rsid w:val="00920408"/>
    <w:rsid w:val="00921B3D"/>
    <w:rsid w:val="009226A9"/>
    <w:rsid w:val="00923919"/>
    <w:rsid w:val="00923D43"/>
    <w:rsid w:val="00924D31"/>
    <w:rsid w:val="00925ACA"/>
    <w:rsid w:val="00925AE0"/>
    <w:rsid w:val="00925E8C"/>
    <w:rsid w:val="009366B5"/>
    <w:rsid w:val="00942DBE"/>
    <w:rsid w:val="0094427B"/>
    <w:rsid w:val="00946A30"/>
    <w:rsid w:val="00951F4A"/>
    <w:rsid w:val="00952955"/>
    <w:rsid w:val="00952C9C"/>
    <w:rsid w:val="00953B3A"/>
    <w:rsid w:val="00956EAD"/>
    <w:rsid w:val="00960B70"/>
    <w:rsid w:val="00967294"/>
    <w:rsid w:val="009711BE"/>
    <w:rsid w:val="00972E1F"/>
    <w:rsid w:val="00986E8B"/>
    <w:rsid w:val="00991837"/>
    <w:rsid w:val="00992D13"/>
    <w:rsid w:val="00994852"/>
    <w:rsid w:val="00995497"/>
    <w:rsid w:val="00995B5B"/>
    <w:rsid w:val="009A3886"/>
    <w:rsid w:val="009A5665"/>
    <w:rsid w:val="009B0671"/>
    <w:rsid w:val="009B2115"/>
    <w:rsid w:val="009B28A5"/>
    <w:rsid w:val="009B365F"/>
    <w:rsid w:val="009B37B0"/>
    <w:rsid w:val="009B4821"/>
    <w:rsid w:val="009B5A9A"/>
    <w:rsid w:val="009B758D"/>
    <w:rsid w:val="009B7AA1"/>
    <w:rsid w:val="009C6A5E"/>
    <w:rsid w:val="009C71FA"/>
    <w:rsid w:val="009C766A"/>
    <w:rsid w:val="009D08F6"/>
    <w:rsid w:val="009D21AD"/>
    <w:rsid w:val="009D6184"/>
    <w:rsid w:val="009D64E9"/>
    <w:rsid w:val="009D7682"/>
    <w:rsid w:val="009E06CE"/>
    <w:rsid w:val="009E5EAE"/>
    <w:rsid w:val="009F0E5C"/>
    <w:rsid w:val="009F4013"/>
    <w:rsid w:val="009F4D99"/>
    <w:rsid w:val="009F55AF"/>
    <w:rsid w:val="009F5721"/>
    <w:rsid w:val="009F70F9"/>
    <w:rsid w:val="009F73DB"/>
    <w:rsid w:val="00A00032"/>
    <w:rsid w:val="00A03BCA"/>
    <w:rsid w:val="00A129EF"/>
    <w:rsid w:val="00A13862"/>
    <w:rsid w:val="00A24DDC"/>
    <w:rsid w:val="00A26C47"/>
    <w:rsid w:val="00A30037"/>
    <w:rsid w:val="00A310FA"/>
    <w:rsid w:val="00A33598"/>
    <w:rsid w:val="00A34282"/>
    <w:rsid w:val="00A4076A"/>
    <w:rsid w:val="00A45B25"/>
    <w:rsid w:val="00A4628B"/>
    <w:rsid w:val="00A466FE"/>
    <w:rsid w:val="00A47592"/>
    <w:rsid w:val="00A47EC2"/>
    <w:rsid w:val="00A47EF9"/>
    <w:rsid w:val="00A52C13"/>
    <w:rsid w:val="00A541FF"/>
    <w:rsid w:val="00A549AD"/>
    <w:rsid w:val="00A5546D"/>
    <w:rsid w:val="00A55EDD"/>
    <w:rsid w:val="00A619D0"/>
    <w:rsid w:val="00A622A3"/>
    <w:rsid w:val="00A6662E"/>
    <w:rsid w:val="00A713FF"/>
    <w:rsid w:val="00A7140E"/>
    <w:rsid w:val="00A71AD3"/>
    <w:rsid w:val="00A74031"/>
    <w:rsid w:val="00A74387"/>
    <w:rsid w:val="00A7587C"/>
    <w:rsid w:val="00A76337"/>
    <w:rsid w:val="00A8148B"/>
    <w:rsid w:val="00A82556"/>
    <w:rsid w:val="00A83437"/>
    <w:rsid w:val="00A8364E"/>
    <w:rsid w:val="00A8590F"/>
    <w:rsid w:val="00A871EC"/>
    <w:rsid w:val="00A904B8"/>
    <w:rsid w:val="00A91F82"/>
    <w:rsid w:val="00A9335A"/>
    <w:rsid w:val="00A9413E"/>
    <w:rsid w:val="00A94DC1"/>
    <w:rsid w:val="00A95F7D"/>
    <w:rsid w:val="00AA0C4B"/>
    <w:rsid w:val="00AA1236"/>
    <w:rsid w:val="00AA15C7"/>
    <w:rsid w:val="00AA5B74"/>
    <w:rsid w:val="00AB04EC"/>
    <w:rsid w:val="00AB52FA"/>
    <w:rsid w:val="00AB5696"/>
    <w:rsid w:val="00AB6469"/>
    <w:rsid w:val="00AB6A16"/>
    <w:rsid w:val="00AB70F6"/>
    <w:rsid w:val="00AC3D7A"/>
    <w:rsid w:val="00AC5060"/>
    <w:rsid w:val="00AD0B21"/>
    <w:rsid w:val="00AD41FC"/>
    <w:rsid w:val="00AD760D"/>
    <w:rsid w:val="00AE28B3"/>
    <w:rsid w:val="00AE5523"/>
    <w:rsid w:val="00AE620E"/>
    <w:rsid w:val="00AE729B"/>
    <w:rsid w:val="00AF3D25"/>
    <w:rsid w:val="00AF6D50"/>
    <w:rsid w:val="00B01B3E"/>
    <w:rsid w:val="00B06AF0"/>
    <w:rsid w:val="00B1362C"/>
    <w:rsid w:val="00B169D9"/>
    <w:rsid w:val="00B16B7D"/>
    <w:rsid w:val="00B16F09"/>
    <w:rsid w:val="00B22517"/>
    <w:rsid w:val="00B22788"/>
    <w:rsid w:val="00B245B6"/>
    <w:rsid w:val="00B25A14"/>
    <w:rsid w:val="00B30767"/>
    <w:rsid w:val="00B30CC7"/>
    <w:rsid w:val="00B356E9"/>
    <w:rsid w:val="00B36493"/>
    <w:rsid w:val="00B36929"/>
    <w:rsid w:val="00B4484F"/>
    <w:rsid w:val="00B450C7"/>
    <w:rsid w:val="00B477AA"/>
    <w:rsid w:val="00B505A1"/>
    <w:rsid w:val="00B50FD6"/>
    <w:rsid w:val="00B525DD"/>
    <w:rsid w:val="00B52ACF"/>
    <w:rsid w:val="00B530F8"/>
    <w:rsid w:val="00B6210C"/>
    <w:rsid w:val="00B77396"/>
    <w:rsid w:val="00B77935"/>
    <w:rsid w:val="00B80618"/>
    <w:rsid w:val="00B81C3A"/>
    <w:rsid w:val="00B91E9B"/>
    <w:rsid w:val="00B91F8E"/>
    <w:rsid w:val="00B9631E"/>
    <w:rsid w:val="00B96FB1"/>
    <w:rsid w:val="00BA3498"/>
    <w:rsid w:val="00BA34CF"/>
    <w:rsid w:val="00BA72AE"/>
    <w:rsid w:val="00BB3AAD"/>
    <w:rsid w:val="00BB4C90"/>
    <w:rsid w:val="00BB7F48"/>
    <w:rsid w:val="00BC6028"/>
    <w:rsid w:val="00BC7BA0"/>
    <w:rsid w:val="00BD290F"/>
    <w:rsid w:val="00BD29CE"/>
    <w:rsid w:val="00BD69B5"/>
    <w:rsid w:val="00BE08AF"/>
    <w:rsid w:val="00BE3367"/>
    <w:rsid w:val="00BE3DDC"/>
    <w:rsid w:val="00BE5A52"/>
    <w:rsid w:val="00BF25AF"/>
    <w:rsid w:val="00BF6A65"/>
    <w:rsid w:val="00C00638"/>
    <w:rsid w:val="00C03065"/>
    <w:rsid w:val="00C0470F"/>
    <w:rsid w:val="00C04D71"/>
    <w:rsid w:val="00C05558"/>
    <w:rsid w:val="00C068FE"/>
    <w:rsid w:val="00C108F0"/>
    <w:rsid w:val="00C11554"/>
    <w:rsid w:val="00C1313F"/>
    <w:rsid w:val="00C1472C"/>
    <w:rsid w:val="00C1605C"/>
    <w:rsid w:val="00C16CDB"/>
    <w:rsid w:val="00C20BDC"/>
    <w:rsid w:val="00C22251"/>
    <w:rsid w:val="00C230C4"/>
    <w:rsid w:val="00C25A4E"/>
    <w:rsid w:val="00C25DE0"/>
    <w:rsid w:val="00C27D20"/>
    <w:rsid w:val="00C338CD"/>
    <w:rsid w:val="00C347AC"/>
    <w:rsid w:val="00C36CF5"/>
    <w:rsid w:val="00C41077"/>
    <w:rsid w:val="00C41FBD"/>
    <w:rsid w:val="00C534BD"/>
    <w:rsid w:val="00C55438"/>
    <w:rsid w:val="00C56D7A"/>
    <w:rsid w:val="00C5735C"/>
    <w:rsid w:val="00C60F5E"/>
    <w:rsid w:val="00C61406"/>
    <w:rsid w:val="00C62B6C"/>
    <w:rsid w:val="00C649B8"/>
    <w:rsid w:val="00C65A06"/>
    <w:rsid w:val="00C73816"/>
    <w:rsid w:val="00C75B09"/>
    <w:rsid w:val="00C76D6D"/>
    <w:rsid w:val="00C86576"/>
    <w:rsid w:val="00C875CE"/>
    <w:rsid w:val="00C879F2"/>
    <w:rsid w:val="00C90D53"/>
    <w:rsid w:val="00C920F0"/>
    <w:rsid w:val="00C950AB"/>
    <w:rsid w:val="00C96001"/>
    <w:rsid w:val="00C966AF"/>
    <w:rsid w:val="00C97030"/>
    <w:rsid w:val="00CA00F5"/>
    <w:rsid w:val="00CA2623"/>
    <w:rsid w:val="00CA2E45"/>
    <w:rsid w:val="00CA402A"/>
    <w:rsid w:val="00CA636F"/>
    <w:rsid w:val="00CB1F76"/>
    <w:rsid w:val="00CB23C5"/>
    <w:rsid w:val="00CB424A"/>
    <w:rsid w:val="00CB53EC"/>
    <w:rsid w:val="00CB60A4"/>
    <w:rsid w:val="00CB77A3"/>
    <w:rsid w:val="00CC46FC"/>
    <w:rsid w:val="00CC6285"/>
    <w:rsid w:val="00CD3410"/>
    <w:rsid w:val="00CD3F7C"/>
    <w:rsid w:val="00CD4AC7"/>
    <w:rsid w:val="00CD6EE4"/>
    <w:rsid w:val="00CD7D6F"/>
    <w:rsid w:val="00CE296B"/>
    <w:rsid w:val="00CF4B6E"/>
    <w:rsid w:val="00CF62B1"/>
    <w:rsid w:val="00CF76FA"/>
    <w:rsid w:val="00D00D64"/>
    <w:rsid w:val="00D05D6F"/>
    <w:rsid w:val="00D12D66"/>
    <w:rsid w:val="00D137EB"/>
    <w:rsid w:val="00D13AC8"/>
    <w:rsid w:val="00D13BF7"/>
    <w:rsid w:val="00D17854"/>
    <w:rsid w:val="00D20994"/>
    <w:rsid w:val="00D22039"/>
    <w:rsid w:val="00D23BE5"/>
    <w:rsid w:val="00D30D9B"/>
    <w:rsid w:val="00D40279"/>
    <w:rsid w:val="00D40386"/>
    <w:rsid w:val="00D44537"/>
    <w:rsid w:val="00D45CE5"/>
    <w:rsid w:val="00D50C82"/>
    <w:rsid w:val="00D56CA7"/>
    <w:rsid w:val="00D629BD"/>
    <w:rsid w:val="00D62C4A"/>
    <w:rsid w:val="00D636AD"/>
    <w:rsid w:val="00D63D9A"/>
    <w:rsid w:val="00D66D87"/>
    <w:rsid w:val="00D66F5A"/>
    <w:rsid w:val="00D67F2A"/>
    <w:rsid w:val="00D70019"/>
    <w:rsid w:val="00D72426"/>
    <w:rsid w:val="00D72A9C"/>
    <w:rsid w:val="00D76196"/>
    <w:rsid w:val="00D81463"/>
    <w:rsid w:val="00D87862"/>
    <w:rsid w:val="00D9228F"/>
    <w:rsid w:val="00D93448"/>
    <w:rsid w:val="00D95BC7"/>
    <w:rsid w:val="00D973C9"/>
    <w:rsid w:val="00DA391F"/>
    <w:rsid w:val="00DA3E6A"/>
    <w:rsid w:val="00DA50A4"/>
    <w:rsid w:val="00DA71CD"/>
    <w:rsid w:val="00DB03F6"/>
    <w:rsid w:val="00DB09CC"/>
    <w:rsid w:val="00DB64D2"/>
    <w:rsid w:val="00DC317C"/>
    <w:rsid w:val="00DC5A4B"/>
    <w:rsid w:val="00DC5E59"/>
    <w:rsid w:val="00DC6679"/>
    <w:rsid w:val="00DC6F62"/>
    <w:rsid w:val="00DD19A3"/>
    <w:rsid w:val="00DE20E2"/>
    <w:rsid w:val="00DE397E"/>
    <w:rsid w:val="00DE3BE2"/>
    <w:rsid w:val="00DF163C"/>
    <w:rsid w:val="00DF1863"/>
    <w:rsid w:val="00DF68C1"/>
    <w:rsid w:val="00DF6EA3"/>
    <w:rsid w:val="00DF7755"/>
    <w:rsid w:val="00E03537"/>
    <w:rsid w:val="00E04915"/>
    <w:rsid w:val="00E0650E"/>
    <w:rsid w:val="00E10504"/>
    <w:rsid w:val="00E12E7D"/>
    <w:rsid w:val="00E241E3"/>
    <w:rsid w:val="00E35539"/>
    <w:rsid w:val="00E42475"/>
    <w:rsid w:val="00E428E8"/>
    <w:rsid w:val="00E444CB"/>
    <w:rsid w:val="00E44B8D"/>
    <w:rsid w:val="00E4528C"/>
    <w:rsid w:val="00E468E5"/>
    <w:rsid w:val="00E46A2B"/>
    <w:rsid w:val="00E5416D"/>
    <w:rsid w:val="00E5593F"/>
    <w:rsid w:val="00E66243"/>
    <w:rsid w:val="00E66869"/>
    <w:rsid w:val="00E670ED"/>
    <w:rsid w:val="00E71A6C"/>
    <w:rsid w:val="00E722BF"/>
    <w:rsid w:val="00E73B3C"/>
    <w:rsid w:val="00E756CB"/>
    <w:rsid w:val="00E76DF1"/>
    <w:rsid w:val="00E77551"/>
    <w:rsid w:val="00E870E6"/>
    <w:rsid w:val="00E877F9"/>
    <w:rsid w:val="00E87A9F"/>
    <w:rsid w:val="00E937FD"/>
    <w:rsid w:val="00E93D8F"/>
    <w:rsid w:val="00EA0DBE"/>
    <w:rsid w:val="00EA0EA3"/>
    <w:rsid w:val="00EA2CC9"/>
    <w:rsid w:val="00EA33EE"/>
    <w:rsid w:val="00EA3623"/>
    <w:rsid w:val="00EB05E9"/>
    <w:rsid w:val="00EB2F33"/>
    <w:rsid w:val="00EB3AD4"/>
    <w:rsid w:val="00EC11F0"/>
    <w:rsid w:val="00EC326E"/>
    <w:rsid w:val="00EC59F5"/>
    <w:rsid w:val="00ED2C54"/>
    <w:rsid w:val="00ED61FE"/>
    <w:rsid w:val="00EE139B"/>
    <w:rsid w:val="00EE23CC"/>
    <w:rsid w:val="00EE3B8B"/>
    <w:rsid w:val="00EE6385"/>
    <w:rsid w:val="00EF0191"/>
    <w:rsid w:val="00EF3BB3"/>
    <w:rsid w:val="00EF4618"/>
    <w:rsid w:val="00EF485F"/>
    <w:rsid w:val="00EF568D"/>
    <w:rsid w:val="00F003AA"/>
    <w:rsid w:val="00F01DBD"/>
    <w:rsid w:val="00F01EB2"/>
    <w:rsid w:val="00F046CA"/>
    <w:rsid w:val="00F074D8"/>
    <w:rsid w:val="00F14DC5"/>
    <w:rsid w:val="00F24818"/>
    <w:rsid w:val="00F2779D"/>
    <w:rsid w:val="00F32C3B"/>
    <w:rsid w:val="00F337F3"/>
    <w:rsid w:val="00F35A06"/>
    <w:rsid w:val="00F36E33"/>
    <w:rsid w:val="00F40486"/>
    <w:rsid w:val="00F40DF5"/>
    <w:rsid w:val="00F42CB3"/>
    <w:rsid w:val="00F43FA7"/>
    <w:rsid w:val="00F44318"/>
    <w:rsid w:val="00F4609E"/>
    <w:rsid w:val="00F50120"/>
    <w:rsid w:val="00F50AE0"/>
    <w:rsid w:val="00F51447"/>
    <w:rsid w:val="00F52A41"/>
    <w:rsid w:val="00F53157"/>
    <w:rsid w:val="00F54224"/>
    <w:rsid w:val="00F568E4"/>
    <w:rsid w:val="00F56E1D"/>
    <w:rsid w:val="00F577B7"/>
    <w:rsid w:val="00F60CF2"/>
    <w:rsid w:val="00F6123D"/>
    <w:rsid w:val="00F65140"/>
    <w:rsid w:val="00F65B14"/>
    <w:rsid w:val="00F766AF"/>
    <w:rsid w:val="00F77554"/>
    <w:rsid w:val="00F7798A"/>
    <w:rsid w:val="00F77CBF"/>
    <w:rsid w:val="00F81265"/>
    <w:rsid w:val="00F82654"/>
    <w:rsid w:val="00F82C37"/>
    <w:rsid w:val="00F82D50"/>
    <w:rsid w:val="00F83842"/>
    <w:rsid w:val="00F83B43"/>
    <w:rsid w:val="00F8514F"/>
    <w:rsid w:val="00F86C4E"/>
    <w:rsid w:val="00F90E86"/>
    <w:rsid w:val="00F918AA"/>
    <w:rsid w:val="00F926A9"/>
    <w:rsid w:val="00F956CA"/>
    <w:rsid w:val="00F975B7"/>
    <w:rsid w:val="00F97E82"/>
    <w:rsid w:val="00FA012D"/>
    <w:rsid w:val="00FA1539"/>
    <w:rsid w:val="00FA3045"/>
    <w:rsid w:val="00FA5C18"/>
    <w:rsid w:val="00FA5DCD"/>
    <w:rsid w:val="00FA73D3"/>
    <w:rsid w:val="00FB0837"/>
    <w:rsid w:val="00FB0D5D"/>
    <w:rsid w:val="00FB1A32"/>
    <w:rsid w:val="00FB5B3C"/>
    <w:rsid w:val="00FB603D"/>
    <w:rsid w:val="00FB62B1"/>
    <w:rsid w:val="00FB6FC5"/>
    <w:rsid w:val="00FB74A7"/>
    <w:rsid w:val="00FC198A"/>
    <w:rsid w:val="00FC2E75"/>
    <w:rsid w:val="00FC4642"/>
    <w:rsid w:val="00FC52B0"/>
    <w:rsid w:val="00FC703D"/>
    <w:rsid w:val="00FC7D5B"/>
    <w:rsid w:val="00FD02D6"/>
    <w:rsid w:val="00FD3765"/>
    <w:rsid w:val="00FD429E"/>
    <w:rsid w:val="00FD4631"/>
    <w:rsid w:val="00FD5CD7"/>
    <w:rsid w:val="00FD6ED4"/>
    <w:rsid w:val="00FD7526"/>
    <w:rsid w:val="00FD78B3"/>
    <w:rsid w:val="00FE43DC"/>
    <w:rsid w:val="00FE4A40"/>
    <w:rsid w:val="00FE5E3C"/>
    <w:rsid w:val="00FE6874"/>
    <w:rsid w:val="198E6B4D"/>
    <w:rsid w:val="1BE908F4"/>
    <w:rsid w:val="230B3804"/>
    <w:rsid w:val="27464BBF"/>
    <w:rsid w:val="6E0475A0"/>
    <w:rsid w:val="727E184A"/>
    <w:rsid w:val="7E0E3DAA"/>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1"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ms" w:eastAsia="en-US" w:bidi="ar-SA"/>
    </w:rPr>
  </w:style>
  <w:style w:type="paragraph" w:styleId="2">
    <w:name w:val="heading 1"/>
    <w:basedOn w:val="1"/>
    <w:next w:val="1"/>
    <w:link w:val="25"/>
    <w:qFormat/>
    <w:uiPriority w:val="1"/>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6"/>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30"/>
    <w:semiHidden/>
    <w:unhideWhenUsed/>
    <w:qFormat/>
    <w:uiPriority w:val="9"/>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31"/>
    <w:semiHidden/>
    <w:unhideWhenUsed/>
    <w:qFormat/>
    <w:uiPriority w:val="9"/>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2"/>
    <w:semiHidden/>
    <w:unhideWhenUsed/>
    <w:qFormat/>
    <w:uiPriority w:val="9"/>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3"/>
    <w:semiHidden/>
    <w:unhideWhenUsed/>
    <w:qFormat/>
    <w:uiPriority w:val="9"/>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50"/>
    <w:semiHidden/>
    <w:unhideWhenUsed/>
    <w:qFormat/>
    <w:uiPriority w:val="99"/>
    <w:rPr>
      <w:rFonts w:ascii="Tahoma" w:hAnsi="Tahoma" w:cs="Tahoma"/>
      <w:sz w:val="16"/>
      <w:szCs w:val="16"/>
    </w:rPr>
  </w:style>
  <w:style w:type="paragraph" w:styleId="14">
    <w:name w:val="Body Text"/>
    <w:basedOn w:val="1"/>
    <w:link w:val="43"/>
    <w:qFormat/>
    <w:uiPriority w:val="1"/>
    <w:rPr>
      <w:sz w:val="24"/>
      <w:szCs w:val="24"/>
    </w:rPr>
  </w:style>
  <w:style w:type="paragraph" w:styleId="15">
    <w:name w:val="Body Text Indent"/>
    <w:basedOn w:val="1"/>
    <w:link w:val="47"/>
    <w:unhideWhenUsed/>
    <w:qFormat/>
    <w:uiPriority w:val="99"/>
    <w:pPr>
      <w:spacing w:after="120"/>
      <w:ind w:left="283"/>
    </w:pPr>
  </w:style>
  <w:style w:type="paragraph" w:styleId="16">
    <w:name w:val="footer"/>
    <w:basedOn w:val="1"/>
    <w:link w:val="45"/>
    <w:unhideWhenUsed/>
    <w:qFormat/>
    <w:uiPriority w:val="99"/>
    <w:pPr>
      <w:tabs>
        <w:tab w:val="center" w:pos="4513"/>
        <w:tab w:val="right" w:pos="9026"/>
      </w:tabs>
    </w:pPr>
  </w:style>
  <w:style w:type="paragraph" w:styleId="17">
    <w:name w:val="header"/>
    <w:basedOn w:val="1"/>
    <w:link w:val="44"/>
    <w:unhideWhenUsed/>
    <w:qFormat/>
    <w:uiPriority w:val="99"/>
    <w:pPr>
      <w:tabs>
        <w:tab w:val="center" w:pos="4513"/>
        <w:tab w:val="right" w:pos="9026"/>
      </w:tabs>
    </w:pPr>
  </w:style>
  <w:style w:type="character" w:styleId="18">
    <w:name w:val="Hyperlink"/>
    <w:basedOn w:val="11"/>
    <w:unhideWhenUsed/>
    <w:qFormat/>
    <w:uiPriority w:val="99"/>
    <w:rPr>
      <w:color w:val="0563C1" w:themeColor="hyperlink"/>
      <w:u w:val="single"/>
      <w14:textFill>
        <w14:solidFill>
          <w14:schemeClr w14:val="hlink"/>
        </w14:solidFill>
      </w14:textFill>
    </w:rPr>
  </w:style>
  <w:style w:type="character" w:styleId="19">
    <w:name w:val="Strong"/>
    <w:basedOn w:val="11"/>
    <w:qFormat/>
    <w:uiPriority w:val="22"/>
    <w:rPr>
      <w:b/>
      <w:bCs/>
    </w:rPr>
  </w:style>
  <w:style w:type="paragraph" w:styleId="20">
    <w:name w:val="Subtitle"/>
    <w:basedOn w:val="1"/>
    <w:next w:val="1"/>
    <w:link w:val="3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1">
    <w:name w:val="Title"/>
    <w:basedOn w:val="1"/>
    <w:next w:val="1"/>
    <w:link w:val="34"/>
    <w:qFormat/>
    <w:uiPriority w:val="10"/>
    <w:pPr>
      <w:spacing w:after="80"/>
      <w:contextualSpacing/>
    </w:pPr>
    <w:rPr>
      <w:rFonts w:asciiTheme="majorHAnsi" w:hAnsiTheme="majorHAnsi" w:eastAsiaTheme="majorEastAsia" w:cstheme="majorBidi"/>
      <w:spacing w:val="-10"/>
      <w:kern w:val="28"/>
      <w:sz w:val="56"/>
      <w:szCs w:val="56"/>
    </w:rPr>
  </w:style>
  <w:style w:type="paragraph" w:styleId="22">
    <w:name w:val="toc 1"/>
    <w:basedOn w:val="1"/>
    <w:qFormat/>
    <w:uiPriority w:val="39"/>
    <w:pPr>
      <w:spacing w:before="282" w:line="273" w:lineRule="exact"/>
      <w:ind w:left="568"/>
    </w:pPr>
    <w:rPr>
      <w:b/>
      <w:bCs/>
      <w:sz w:val="24"/>
      <w:szCs w:val="24"/>
    </w:rPr>
  </w:style>
  <w:style w:type="paragraph" w:styleId="23">
    <w:name w:val="toc 2"/>
    <w:basedOn w:val="1"/>
    <w:qFormat/>
    <w:uiPriority w:val="39"/>
    <w:pPr>
      <w:ind w:left="568"/>
    </w:pPr>
    <w:rPr>
      <w:b/>
      <w:bCs/>
      <w:sz w:val="24"/>
      <w:szCs w:val="24"/>
    </w:rPr>
  </w:style>
  <w:style w:type="paragraph" w:styleId="24">
    <w:name w:val="toc 3"/>
    <w:basedOn w:val="1"/>
    <w:qFormat/>
    <w:uiPriority w:val="1"/>
    <w:pPr>
      <w:ind w:left="1986" w:hanging="426"/>
    </w:pPr>
    <w:rPr>
      <w:sz w:val="24"/>
      <w:szCs w:val="24"/>
    </w:rPr>
  </w:style>
  <w:style w:type="character" w:customStyle="1" w:styleId="25">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6">
    <w:name w:val="Heading 2 Char"/>
    <w:basedOn w:val="11"/>
    <w:link w:val="3"/>
    <w:qFormat/>
    <w:uiPriority w:val="9"/>
    <w:rPr>
      <w:rFonts w:asciiTheme="majorHAnsi" w:hAnsiTheme="majorHAnsi" w:eastAsiaTheme="majorEastAsia" w:cstheme="majorBidi"/>
      <w:color w:val="2F5597" w:themeColor="accent1" w:themeShade="BF"/>
      <w:sz w:val="32"/>
      <w:szCs w:val="32"/>
    </w:rPr>
  </w:style>
  <w:style w:type="character" w:customStyle="1" w:styleId="27">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28">
    <w:name w:val="Heading 4 Char"/>
    <w:basedOn w:val="11"/>
    <w:link w:val="5"/>
    <w:semiHidden/>
    <w:qFormat/>
    <w:uiPriority w:val="9"/>
    <w:rPr>
      <w:rFonts w:eastAsiaTheme="majorEastAsia" w:cstheme="majorBidi"/>
      <w:i/>
      <w:iCs/>
      <w:color w:val="2F5597" w:themeColor="accent1" w:themeShade="BF"/>
    </w:rPr>
  </w:style>
  <w:style w:type="character" w:customStyle="1" w:styleId="29">
    <w:name w:val="Heading 5 Char"/>
    <w:basedOn w:val="11"/>
    <w:link w:val="6"/>
    <w:semiHidden/>
    <w:qFormat/>
    <w:uiPriority w:val="9"/>
    <w:rPr>
      <w:rFonts w:eastAsiaTheme="majorEastAsia" w:cstheme="majorBidi"/>
      <w:color w:val="2F5597" w:themeColor="accent1" w:themeShade="BF"/>
    </w:rPr>
  </w:style>
  <w:style w:type="character" w:customStyle="1" w:styleId="30">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31">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3">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4">
    <w:name w:val="Title Char"/>
    <w:basedOn w:val="11"/>
    <w:link w:val="21"/>
    <w:qFormat/>
    <w:uiPriority w:val="10"/>
    <w:rPr>
      <w:rFonts w:asciiTheme="majorHAnsi" w:hAnsiTheme="majorHAnsi" w:eastAsiaTheme="majorEastAsia" w:cstheme="majorBidi"/>
      <w:spacing w:val="-10"/>
      <w:kern w:val="28"/>
      <w:sz w:val="56"/>
      <w:szCs w:val="56"/>
    </w:rPr>
  </w:style>
  <w:style w:type="character" w:customStyle="1" w:styleId="35">
    <w:name w:val="Subtitle Char"/>
    <w:basedOn w:val="11"/>
    <w:link w:val="2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7">
    <w:name w:val="Quote Char"/>
    <w:basedOn w:val="11"/>
    <w:link w:val="36"/>
    <w:qFormat/>
    <w:uiPriority w:val="29"/>
    <w:rPr>
      <w:i/>
      <w:iCs/>
      <w:color w:val="404040" w:themeColor="text1" w:themeTint="BF"/>
      <w14:textFill>
        <w14:solidFill>
          <w14:schemeClr w14:val="tx1">
            <w14:lumMod w14:val="75000"/>
            <w14:lumOff w14:val="25000"/>
          </w14:schemeClr>
        </w14:solidFill>
      </w14:textFill>
    </w:rPr>
  </w:style>
  <w:style w:type="paragraph" w:styleId="38">
    <w:name w:val="List Paragraph"/>
    <w:basedOn w:val="1"/>
    <w:qFormat/>
    <w:uiPriority w:val="34"/>
    <w:pPr>
      <w:ind w:left="720"/>
      <w:contextualSpacing/>
    </w:pPr>
  </w:style>
  <w:style w:type="character" w:customStyle="1" w:styleId="39">
    <w:name w:val="Intense Emphasis1"/>
    <w:basedOn w:val="11"/>
    <w:qFormat/>
    <w:uiPriority w:val="21"/>
    <w:rPr>
      <w:i/>
      <w:iCs/>
      <w:color w:val="2F5597" w:themeColor="accent1" w:themeShade="BF"/>
    </w:rPr>
  </w:style>
  <w:style w:type="paragraph" w:styleId="40">
    <w:name w:val="Intense Quote"/>
    <w:basedOn w:val="1"/>
    <w:next w:val="1"/>
    <w:link w:val="4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1">
    <w:name w:val="Intense Quote Char"/>
    <w:basedOn w:val="11"/>
    <w:link w:val="40"/>
    <w:qFormat/>
    <w:uiPriority w:val="30"/>
    <w:rPr>
      <w:i/>
      <w:iCs/>
      <w:color w:val="2F5597" w:themeColor="accent1" w:themeShade="BF"/>
    </w:rPr>
  </w:style>
  <w:style w:type="character" w:customStyle="1" w:styleId="42">
    <w:name w:val="Intense Reference1"/>
    <w:basedOn w:val="11"/>
    <w:qFormat/>
    <w:uiPriority w:val="32"/>
    <w:rPr>
      <w:b/>
      <w:bCs/>
      <w:smallCaps/>
      <w:color w:val="2F5597" w:themeColor="accent1" w:themeShade="BF"/>
      <w:spacing w:val="5"/>
    </w:rPr>
  </w:style>
  <w:style w:type="character" w:customStyle="1" w:styleId="43">
    <w:name w:val="Body Text Char"/>
    <w:basedOn w:val="11"/>
    <w:link w:val="14"/>
    <w:qFormat/>
    <w:uiPriority w:val="1"/>
    <w:rPr>
      <w:rFonts w:ascii="Times New Roman" w:hAnsi="Times New Roman" w:eastAsia="Times New Roman" w:cs="Times New Roman"/>
      <w:kern w:val="0"/>
      <w:lang w:val="ms"/>
      <w14:ligatures w14:val="none"/>
    </w:rPr>
  </w:style>
  <w:style w:type="character" w:customStyle="1" w:styleId="44">
    <w:name w:val="Header Char"/>
    <w:basedOn w:val="11"/>
    <w:link w:val="17"/>
    <w:qFormat/>
    <w:uiPriority w:val="99"/>
    <w:rPr>
      <w:rFonts w:ascii="Times New Roman" w:hAnsi="Times New Roman" w:eastAsia="Times New Roman" w:cs="Times New Roman"/>
      <w:sz w:val="22"/>
      <w:szCs w:val="22"/>
      <w:lang w:val="ms" w:eastAsia="en-US"/>
    </w:rPr>
  </w:style>
  <w:style w:type="character" w:customStyle="1" w:styleId="45">
    <w:name w:val="Footer Char"/>
    <w:basedOn w:val="11"/>
    <w:link w:val="16"/>
    <w:qFormat/>
    <w:uiPriority w:val="99"/>
    <w:rPr>
      <w:rFonts w:ascii="Times New Roman" w:hAnsi="Times New Roman" w:eastAsia="Times New Roman" w:cs="Times New Roman"/>
      <w:sz w:val="22"/>
      <w:szCs w:val="22"/>
      <w:lang w:val="ms" w:eastAsia="en-US"/>
    </w:rPr>
  </w:style>
  <w:style w:type="character" w:customStyle="1" w:styleId="46">
    <w:name w:val="t286pc"/>
    <w:basedOn w:val="11"/>
    <w:qFormat/>
    <w:uiPriority w:val="0"/>
  </w:style>
  <w:style w:type="character" w:customStyle="1" w:styleId="47">
    <w:name w:val="Body Text Indent Char"/>
    <w:basedOn w:val="11"/>
    <w:link w:val="15"/>
    <w:qFormat/>
    <w:uiPriority w:val="99"/>
    <w:rPr>
      <w:rFonts w:ascii="Times New Roman" w:hAnsi="Times New Roman" w:eastAsia="Times New Roman" w:cs="Times New Roman"/>
      <w:sz w:val="22"/>
      <w:szCs w:val="22"/>
      <w:lang w:val="ms" w:eastAsia="en-US"/>
    </w:rPr>
  </w:style>
  <w:style w:type="paragraph" w:customStyle="1" w:styleId="48">
    <w:name w:val="List Paragraph2"/>
    <w:basedOn w:val="1"/>
    <w:unhideWhenUsed/>
    <w:qFormat/>
    <w:uiPriority w:val="34"/>
    <w:pPr>
      <w:widowControl/>
      <w:autoSpaceDE/>
      <w:autoSpaceDN/>
      <w:ind w:left="720"/>
      <w:jc w:val="both"/>
    </w:pPr>
    <w:rPr>
      <w:rFonts w:ascii="Calibri" w:eastAsia="SimSun" w:cs="Calibri"/>
      <w:lang w:val="en-US"/>
    </w:rPr>
  </w:style>
  <w:style w:type="paragraph" w:customStyle="1" w:styleId="49">
    <w:name w:val="TOC Heading1"/>
    <w:basedOn w:val="2"/>
    <w:next w:val="1"/>
    <w:semiHidden/>
    <w:unhideWhenUsed/>
    <w:qFormat/>
    <w:uiPriority w:val="39"/>
    <w:pPr>
      <w:widowControl/>
      <w:autoSpaceDE/>
      <w:autoSpaceDN/>
      <w:spacing w:before="480" w:after="0" w:line="276" w:lineRule="auto"/>
      <w:outlineLvl w:val="9"/>
    </w:pPr>
    <w:rPr>
      <w:b/>
      <w:bCs/>
      <w:sz w:val="28"/>
      <w:szCs w:val="28"/>
      <w:lang w:val="en-US" w:eastAsia="ja-JP"/>
    </w:rPr>
  </w:style>
  <w:style w:type="character" w:customStyle="1" w:styleId="50">
    <w:name w:val="Balloon Text Char"/>
    <w:basedOn w:val="11"/>
    <w:link w:val="13"/>
    <w:semiHidden/>
    <w:qFormat/>
    <w:uiPriority w:val="99"/>
    <w:rPr>
      <w:rFonts w:ascii="Tahoma" w:hAnsi="Tahoma" w:eastAsia="Times New Roman" w:cs="Tahoma"/>
      <w:sz w:val="16"/>
      <w:szCs w:val="16"/>
      <w:lang w:val="ms" w:eastAsia="en-US"/>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5" Type="http://schemas.openxmlformats.org/officeDocument/2006/relationships/fontTable" Target="fontTable.xml"/><Relationship Id="rId74" Type="http://schemas.openxmlformats.org/officeDocument/2006/relationships/customXml" Target="../customXml/item2.xml"/><Relationship Id="rId73" Type="http://schemas.openxmlformats.org/officeDocument/2006/relationships/numbering" Target="numbering.xml"/><Relationship Id="rId72" Type="http://schemas.openxmlformats.org/officeDocument/2006/relationships/customXml" Target="../customXml/item1.xml"/><Relationship Id="rId71" Type="http://schemas.openxmlformats.org/officeDocument/2006/relationships/image" Target="media/image15.jpeg"/><Relationship Id="rId70" Type="http://schemas.openxmlformats.org/officeDocument/2006/relationships/image" Target="media/image14.jpeg"/><Relationship Id="rId7" Type="http://schemas.openxmlformats.org/officeDocument/2006/relationships/footer" Target="footer2.xml"/><Relationship Id="rId69" Type="http://schemas.openxmlformats.org/officeDocument/2006/relationships/image" Target="media/image13.jpeg"/><Relationship Id="rId68" Type="http://schemas.openxmlformats.org/officeDocument/2006/relationships/image" Target="media/image12.jpeg"/><Relationship Id="rId67" Type="http://schemas.openxmlformats.org/officeDocument/2006/relationships/image" Target="media/image11.jpeg"/><Relationship Id="rId66" Type="http://schemas.openxmlformats.org/officeDocument/2006/relationships/image" Target="media/image10.jpeg"/><Relationship Id="rId65" Type="http://schemas.openxmlformats.org/officeDocument/2006/relationships/image" Target="media/image9.jpeg"/><Relationship Id="rId64" Type="http://schemas.openxmlformats.org/officeDocument/2006/relationships/image" Target="media/image8.jpeg"/><Relationship Id="rId63" Type="http://schemas.openxmlformats.org/officeDocument/2006/relationships/image" Target="media/image7.jpeg"/><Relationship Id="rId62" Type="http://schemas.openxmlformats.org/officeDocument/2006/relationships/image" Target="media/image6.jpeg"/><Relationship Id="rId61" Type="http://schemas.openxmlformats.org/officeDocument/2006/relationships/image" Target="media/image5.jpeg"/><Relationship Id="rId60" Type="http://schemas.openxmlformats.org/officeDocument/2006/relationships/image" Target="media/image4.jpeg"/><Relationship Id="rId6" Type="http://schemas.openxmlformats.org/officeDocument/2006/relationships/footer" Target="footer1.xml"/><Relationship Id="rId59" Type="http://schemas.openxmlformats.org/officeDocument/2006/relationships/image" Target="media/image3.jpeg"/><Relationship Id="rId58" Type="http://schemas.openxmlformats.org/officeDocument/2006/relationships/image" Target="media/image2.png"/><Relationship Id="rId57" Type="http://schemas.openxmlformats.org/officeDocument/2006/relationships/theme" Target="theme/theme1.xml"/><Relationship Id="rId56" Type="http://schemas.openxmlformats.org/officeDocument/2006/relationships/footer" Target="footer15.xml"/><Relationship Id="rId55" Type="http://schemas.openxmlformats.org/officeDocument/2006/relationships/header" Target="header39.xml"/><Relationship Id="rId54" Type="http://schemas.openxmlformats.org/officeDocument/2006/relationships/header" Target="header38.xml"/><Relationship Id="rId53" Type="http://schemas.openxmlformats.org/officeDocument/2006/relationships/header" Target="header37.xml"/><Relationship Id="rId52" Type="http://schemas.openxmlformats.org/officeDocument/2006/relationships/footer" Target="footer14.xml"/><Relationship Id="rId51" Type="http://schemas.openxmlformats.org/officeDocument/2006/relationships/header" Target="header36.xml"/><Relationship Id="rId50" Type="http://schemas.openxmlformats.org/officeDocument/2006/relationships/header" Target="header35.xml"/><Relationship Id="rId5" Type="http://schemas.openxmlformats.org/officeDocument/2006/relationships/header" Target="header3.xml"/><Relationship Id="rId49" Type="http://schemas.openxmlformats.org/officeDocument/2006/relationships/header" Target="header34.xml"/><Relationship Id="rId48" Type="http://schemas.openxmlformats.org/officeDocument/2006/relationships/footer" Target="footer13.xml"/><Relationship Id="rId47" Type="http://schemas.openxmlformats.org/officeDocument/2006/relationships/header" Target="header33.xml"/><Relationship Id="rId46" Type="http://schemas.openxmlformats.org/officeDocument/2006/relationships/header" Target="header32.xml"/><Relationship Id="rId45" Type="http://schemas.openxmlformats.org/officeDocument/2006/relationships/header" Target="header31.xml"/><Relationship Id="rId44" Type="http://schemas.openxmlformats.org/officeDocument/2006/relationships/footer" Target="footer12.xml"/><Relationship Id="rId43" Type="http://schemas.openxmlformats.org/officeDocument/2006/relationships/header" Target="header30.xml"/><Relationship Id="rId42" Type="http://schemas.openxmlformats.org/officeDocument/2006/relationships/header" Target="header29.xml"/><Relationship Id="rId41" Type="http://schemas.openxmlformats.org/officeDocument/2006/relationships/header" Target="header28.xml"/><Relationship Id="rId40" Type="http://schemas.openxmlformats.org/officeDocument/2006/relationships/footer" Target="footer11.xml"/><Relationship Id="rId4" Type="http://schemas.openxmlformats.org/officeDocument/2006/relationships/header" Target="header2.xml"/><Relationship Id="rId39" Type="http://schemas.openxmlformats.org/officeDocument/2006/relationships/header" Target="header27.xml"/><Relationship Id="rId38" Type="http://schemas.openxmlformats.org/officeDocument/2006/relationships/header" Target="header26.xml"/><Relationship Id="rId37" Type="http://schemas.openxmlformats.org/officeDocument/2006/relationships/header" Target="header25.xml"/><Relationship Id="rId36" Type="http://schemas.openxmlformats.org/officeDocument/2006/relationships/footer" Target="footer10.xml"/><Relationship Id="rId35" Type="http://schemas.openxmlformats.org/officeDocument/2006/relationships/header" Target="header24.xml"/><Relationship Id="rId34" Type="http://schemas.openxmlformats.org/officeDocument/2006/relationships/header" Target="header23.xml"/><Relationship Id="rId33" Type="http://schemas.openxmlformats.org/officeDocument/2006/relationships/header" Target="header22.xml"/><Relationship Id="rId32" Type="http://schemas.openxmlformats.org/officeDocument/2006/relationships/footer" Target="footer9.xml"/><Relationship Id="rId31" Type="http://schemas.openxmlformats.org/officeDocument/2006/relationships/header" Target="header21.xml"/><Relationship Id="rId30" Type="http://schemas.openxmlformats.org/officeDocument/2006/relationships/header" Target="header20.xml"/><Relationship Id="rId3" Type="http://schemas.openxmlformats.org/officeDocument/2006/relationships/header" Target="header1.xml"/><Relationship Id="rId29" Type="http://schemas.openxmlformats.org/officeDocument/2006/relationships/header" Target="header19.xml"/><Relationship Id="rId28" Type="http://schemas.openxmlformats.org/officeDocument/2006/relationships/footer" Target="footer8.xml"/><Relationship Id="rId27" Type="http://schemas.openxmlformats.org/officeDocument/2006/relationships/header" Target="header18.xml"/><Relationship Id="rId26" Type="http://schemas.openxmlformats.org/officeDocument/2006/relationships/header" Target="header17.xml"/><Relationship Id="rId25" Type="http://schemas.openxmlformats.org/officeDocument/2006/relationships/header" Target="header16.xml"/><Relationship Id="rId24" Type="http://schemas.openxmlformats.org/officeDocument/2006/relationships/footer" Target="footer7.xml"/><Relationship Id="rId23" Type="http://schemas.openxmlformats.org/officeDocument/2006/relationships/header" Target="header15.xml"/><Relationship Id="rId22" Type="http://schemas.openxmlformats.org/officeDocument/2006/relationships/header" Target="header14.xml"/><Relationship Id="rId21" Type="http://schemas.openxmlformats.org/officeDocument/2006/relationships/header" Target="header13.xml"/><Relationship Id="rId20" Type="http://schemas.openxmlformats.org/officeDocument/2006/relationships/footer" Target="footer6.xml"/><Relationship Id="rId2" Type="http://schemas.openxmlformats.org/officeDocument/2006/relationships/settings" Target="settings.xml"/><Relationship Id="rId19" Type="http://schemas.openxmlformats.org/officeDocument/2006/relationships/header" Target="header12.xml"/><Relationship Id="rId18" Type="http://schemas.openxmlformats.org/officeDocument/2006/relationships/header" Target="header11.xml"/><Relationship Id="rId17" Type="http://schemas.openxmlformats.org/officeDocument/2006/relationships/header" Target="header10.xml"/><Relationship Id="rId16" Type="http://schemas.openxmlformats.org/officeDocument/2006/relationships/footer" Target="footer5.xml"/><Relationship Id="rId15" Type="http://schemas.openxmlformats.org/officeDocument/2006/relationships/header" Target="header9.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s>
</file>

<file path=word/_rels/header37.xml.rels><?xml version="1.0" encoding="UTF-8" standalone="yes"?>
<Relationships xmlns="http://schemas.openxmlformats.org/package/2006/relationships"><Relationship Id="rId1" Type="http://schemas.openxmlformats.org/officeDocument/2006/relationships/image" Target="media/image1.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Info spid="_x0000_s2072"/>
    <customShpInfo spid="_x0000_s2071"/>
    <customShpInfo spid="_x0000_s2070"/>
    <customShpInfo spid="_x0000_s2075"/>
    <customShpInfo spid="_x0000_s2074"/>
    <customShpInfo spid="_x0000_s2073"/>
    <customShpInfo spid="_x0000_s2078"/>
    <customShpInfo spid="_x0000_s2077"/>
    <customShpInfo spid="_x0000_s2076"/>
    <customShpInfo spid="_x0000_s2081"/>
    <customShpInfo spid="_x0000_s2080"/>
    <customShpInfo spid="_x0000_s2079"/>
    <customShpInfo spid="_x0000_s2084"/>
    <customShpInfo spid="_x0000_s2083"/>
    <customShpInfo spid="_x0000_s2082"/>
    <customShpInfo spid="_x0000_s2087"/>
    <customShpInfo spid="_x0000_s2086"/>
    <customShpInfo spid="_x0000_s208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3846D3-9475-4E0F-B76A-279ED024BF2B}">
  <ds:schemaRefs/>
</ds:datastoreItem>
</file>

<file path=docProps/app.xml><?xml version="1.0" encoding="utf-8"?>
<Properties xmlns="http://schemas.openxmlformats.org/officeDocument/2006/extended-properties" xmlns:vt="http://schemas.openxmlformats.org/officeDocument/2006/docPropsVTypes">
  <Template>Normal</Template>
  <Pages>78</Pages>
  <Words>15163</Words>
  <Characters>102736</Characters>
  <Lines>853</Lines>
  <Paragraphs>240</Paragraphs>
  <TotalTime>0</TotalTime>
  <ScaleCrop>false</ScaleCrop>
  <LinksUpToDate>false</LinksUpToDate>
  <CharactersWithSpaces>117528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2026-09-09T05:45:00Z</dcterms:created>
  <dc:creator>Wira Rambe</dc:creator>
  <cp:lastModifiedBy>Administrator</cp:lastModifiedBy>
  <cp:lastPrinted>2026-05-19T02:43:00Z</cp:lastPrinted>
  <dcterms:modified xsi:type="dcterms:W3CDTF">2026-09-10T04:40:44Z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1A7DFC1D43724FC5B1F4E69B3B491533_13</vt:lpwstr>
  </property>
</Properties>
</file>