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783AC">
      <w:pPr>
        <w:pStyle w:val="2"/>
        <w:spacing w:before="0" w:after="0" w:line="360" w:lineRule="auto"/>
        <w:jc w:val="center"/>
        <w:rPr>
          <w:rFonts w:ascii="Times New Roman" w:hAnsi="Times New Roman" w:cs="Times New Roman"/>
          <w:b/>
          <w:bCs/>
          <w:color w:val="auto"/>
          <w:sz w:val="24"/>
          <w:szCs w:val="24"/>
        </w:rPr>
      </w:pPr>
      <w:bookmarkStart w:id="2" w:name="_GoBack"/>
      <w:bookmarkEnd w:id="2"/>
      <w:bookmarkStart w:id="0" w:name="_Toc230017839"/>
      <w:r>
        <w:rPr>
          <w:rFonts w:ascii="Times New Roman" w:hAnsi="Times New Roman" w:cs="Times New Roman"/>
          <w:b/>
          <w:bCs/>
          <w:color w:val="auto"/>
          <w:sz w:val="24"/>
          <w:szCs w:val="24"/>
        </w:rPr>
        <w:t>ABSTRAK</w:t>
      </w:r>
      <w:bookmarkEnd w:id="0"/>
    </w:p>
    <w:p w14:paraId="45609738">
      <w:pPr>
        <w:pStyle w:val="2"/>
        <w:spacing w:line="360" w:lineRule="auto"/>
        <w:ind w:right="19"/>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PERTANGGUNGJAWABAN TINDAK PIDANA PEMILIHAN UMUM YANG DILAKUKAN PANITIA PEMILIHAN KECAMATAN (PPK)</w:t>
      </w:r>
    </w:p>
    <w:p w14:paraId="677B4390">
      <w:pPr>
        <w:jc w:val="center"/>
        <w:rPr>
          <w:lang w:val="en-US"/>
        </w:rPr>
      </w:pPr>
      <w:r>
        <w:rPr>
          <w:b/>
          <w:sz w:val="24"/>
          <w:lang w:val="en-US"/>
        </w:rPr>
        <w:t>( Studi putusan Pengadilan Negeri Medan No 1/Pid.s/2024/PN Mdn)</w:t>
      </w:r>
    </w:p>
    <w:p w14:paraId="137843AC"/>
    <w:p w14:paraId="157AE0FB">
      <w:pPr>
        <w:jc w:val="center"/>
        <w:rPr>
          <w:b/>
          <w:bCs/>
        </w:rPr>
      </w:pPr>
      <w:r>
        <w:rPr>
          <w:b/>
          <w:bCs/>
        </w:rPr>
        <w:t>Tunggul Prasetia Rambe</w:t>
      </w:r>
    </w:p>
    <w:p w14:paraId="3CEA9D41">
      <w:pPr>
        <w:jc w:val="center"/>
        <w:rPr>
          <w:b/>
          <w:bCs/>
        </w:rPr>
      </w:pPr>
      <w:r>
        <w:rPr>
          <w:b/>
          <w:bCs/>
        </w:rPr>
        <w:t>(245114155)</w:t>
      </w:r>
    </w:p>
    <w:p w14:paraId="62D76D72">
      <w:pPr>
        <w:jc w:val="both"/>
        <w:rPr>
          <w:sz w:val="24"/>
          <w:szCs w:val="24"/>
        </w:rPr>
      </w:pPr>
    </w:p>
    <w:p w14:paraId="3E30D52C">
      <w:pPr>
        <w:jc w:val="both"/>
        <w:rPr>
          <w:sz w:val="24"/>
          <w:szCs w:val="24"/>
          <w:lang w:val="id-ID"/>
        </w:rPr>
      </w:pPr>
      <w:r>
        <w:rPr>
          <w:sz w:val="24"/>
          <w:szCs w:val="24"/>
          <w:lang w:val="id-ID"/>
        </w:rPr>
        <w:t>Penelitian ini dilatarbelakangi oleh maraknya patologi birokrasi pemilu berupa tindak pidana manipulasi suara yang melibatkan penyelenggara pemilu tingkat ad hoc. Fokus kajian diarahkan pada kasus penggelembungan suara Pemilu Legislatif 2024 oleh tiga oknum Panitia Pemilihan Kecamatan (PPK) Medan Timur. Penelitian ini bertujuan untuk menganalisis konstruksi pertanggungjawaban pidana pemilu kedinasan, membedah dasar pertimbangan hukum hakim (</w:t>
      </w:r>
      <w:r>
        <w:rPr>
          <w:i/>
          <w:sz w:val="24"/>
          <w:szCs w:val="24"/>
          <w:lang w:val="id-ID"/>
        </w:rPr>
        <w:t>ratio decidendi</w:t>
      </w:r>
      <w:r>
        <w:rPr>
          <w:sz w:val="24"/>
          <w:szCs w:val="24"/>
          <w:lang w:val="id-ID"/>
        </w:rPr>
        <w:t>) dalam penjatuhan sanksi, serta mengidentifikasi hambatan pelaksanaan tugas PPK di lapangan. Jenis penelitian yang digunakan adalah penelitian hukum normatif melalui pendekatan perundang-undangan (</w:t>
      </w:r>
      <w:r>
        <w:rPr>
          <w:i/>
          <w:sz w:val="24"/>
          <w:szCs w:val="24"/>
          <w:lang w:val="id-ID"/>
        </w:rPr>
        <w:t>statute approach</w:t>
      </w:r>
      <w:r>
        <w:rPr>
          <w:sz w:val="24"/>
          <w:szCs w:val="24"/>
          <w:lang w:val="id-ID"/>
        </w:rPr>
        <w:t>), pendekatan kasus (</w:t>
      </w:r>
      <w:r>
        <w:rPr>
          <w:i/>
          <w:sz w:val="24"/>
          <w:szCs w:val="24"/>
          <w:lang w:val="id-ID"/>
        </w:rPr>
        <w:t>case approach</w:t>
      </w:r>
      <w:r>
        <w:rPr>
          <w:sz w:val="24"/>
          <w:szCs w:val="24"/>
          <w:lang w:val="id-ID"/>
        </w:rPr>
        <w:t>), dan pendekatan konseptual (conceptual approach). Sumber bahan hukum primer difokuskan pada draf dokumen tertulis Salinan Putusan Pengadilan Negeri Medan Nomor 1/Pid.S/2024/PN Mdn [Putusan No. 1/Pid.S/2024/PN Mdn]. Hasil penelitian menunjukkan bahwa mekanisme pertanggungjawaban pidana (</w:t>
      </w:r>
      <w:r>
        <w:rPr>
          <w:i/>
          <w:sz w:val="24"/>
          <w:szCs w:val="24"/>
          <w:lang w:val="id-ID"/>
        </w:rPr>
        <w:t>criminal liability</w:t>
      </w:r>
      <w:r>
        <w:rPr>
          <w:sz w:val="24"/>
          <w:szCs w:val="24"/>
          <w:lang w:val="id-ID"/>
        </w:rPr>
        <w:t xml:space="preserve">) terhadap tiga komisioner aktif PPK Medan Timur telah memenuhi unsur </w:t>
      </w:r>
      <w:r>
        <w:rPr>
          <w:i/>
          <w:sz w:val="24"/>
          <w:szCs w:val="24"/>
          <w:lang w:val="id-ID"/>
        </w:rPr>
        <w:t>actus reus</w:t>
      </w:r>
      <w:r>
        <w:rPr>
          <w:sz w:val="24"/>
          <w:szCs w:val="24"/>
          <w:lang w:val="id-ID"/>
        </w:rPr>
        <w:t xml:space="preserve"> berupa manipulasi fisik data rekapitulasi numerik dan unsur mens rea berupa kesengajaan sebagai maksud (</w:t>
      </w:r>
      <w:r>
        <w:rPr>
          <w:i/>
          <w:sz w:val="24"/>
          <w:szCs w:val="24"/>
          <w:lang w:val="id-ID"/>
        </w:rPr>
        <w:t>dolus directus</w:t>
      </w:r>
      <w:r>
        <w:rPr>
          <w:sz w:val="24"/>
          <w:szCs w:val="24"/>
          <w:lang w:val="id-ID"/>
        </w:rPr>
        <w:t>) untuk menggeser suara partai politik secara bersama-sama (Pasal 55 Ayat 1 ke-1 KUHP). Kedudukan hukum pelaku sebagai penyelenggara pemilu aktif mengaktifkan klausul pemberatan sanksi khusus sepertiga (</w:t>
      </w:r>
      <w:r>
        <w:rPr>
          <w:i/>
          <w:sz w:val="24"/>
          <w:szCs w:val="24"/>
          <w:lang w:val="id-ID"/>
        </w:rPr>
        <w:t>delictum proprium</w:t>
      </w:r>
      <w:r>
        <w:rPr>
          <w:sz w:val="24"/>
          <w:szCs w:val="24"/>
          <w:lang w:val="id-ID"/>
        </w:rPr>
        <w:t>) berdasarkan Pasal 554 Undang-Undang Nomor 7 Tahun 2017 tentang Pemilihan Umum atas dasar pengkhianatan terhadap kepercayaan publik (</w:t>
      </w:r>
      <w:r>
        <w:rPr>
          <w:i/>
          <w:sz w:val="24"/>
          <w:szCs w:val="24"/>
          <w:lang w:val="id-ID"/>
        </w:rPr>
        <w:t>breach of public trust</w:t>
      </w:r>
      <w:r>
        <w:rPr>
          <w:sz w:val="24"/>
          <w:szCs w:val="24"/>
          <w:lang w:val="id-ID"/>
        </w:rPr>
        <w:t>). Majelis Hakim Pengadilan Negeri Medan menjatuhkan vonis sanksi minimalis 3 (tiga) bulan penjara dengan pertimbangan hukum (</w:t>
      </w:r>
      <w:r>
        <w:rPr>
          <w:i/>
          <w:sz w:val="24"/>
          <w:szCs w:val="24"/>
          <w:lang w:val="id-ID"/>
        </w:rPr>
        <w:t>ratio decidendi</w:t>
      </w:r>
      <w:r>
        <w:rPr>
          <w:sz w:val="24"/>
          <w:szCs w:val="24"/>
          <w:lang w:val="id-ID"/>
        </w:rPr>
        <w:t>) bahwa pergeseran suara tersebut berhasil dideteksi dan dikoreksi kembali pada pleno tingkat kota, sehingga tidak ada hak suara peserta pemilu yang hilang secara permanen. Namun, penalaran ini dinilai mengabaikan kemanfaatan hukum (</w:t>
      </w:r>
      <w:r>
        <w:rPr>
          <w:i/>
          <w:sz w:val="24"/>
          <w:szCs w:val="24"/>
          <w:lang w:val="id-ID"/>
        </w:rPr>
        <w:t>zweckmassigkeit</w:t>
      </w:r>
      <w:r>
        <w:rPr>
          <w:sz w:val="24"/>
          <w:szCs w:val="24"/>
          <w:lang w:val="id-ID"/>
        </w:rPr>
        <w:t>) dan gagal memberikan efek jera (</w:t>
      </w:r>
      <w:r>
        <w:rPr>
          <w:i/>
          <w:sz w:val="24"/>
          <w:szCs w:val="24"/>
          <w:lang w:val="id-ID"/>
        </w:rPr>
        <w:t>deterrent</w:t>
      </w:r>
      <w:r>
        <w:rPr>
          <w:sz w:val="24"/>
          <w:szCs w:val="24"/>
          <w:lang w:val="id-ID"/>
        </w:rPr>
        <w:t xml:space="preserve"> </w:t>
      </w:r>
      <w:r>
        <w:rPr>
          <w:i/>
          <w:sz w:val="24"/>
          <w:szCs w:val="24"/>
          <w:lang w:val="id-ID"/>
        </w:rPr>
        <w:t>effect</w:t>
      </w:r>
      <w:r>
        <w:rPr>
          <w:sz w:val="24"/>
          <w:szCs w:val="24"/>
          <w:lang w:val="id-ID"/>
        </w:rPr>
        <w:t>), di mana dalam pemutakhiran hukumnya, putusan tersebut akhirnya diperberat oleh Pengadilan Tinggi Medan melalui Putusan Nomor 1088/PID.SUS/2024/PT MDN menjadi 8 (delapan) bulan penjara. Lebih lanjut, fakta persidangan merekam adanya hambatan internal sistemik berupa beban kerja ekstrem (</w:t>
      </w:r>
      <w:r>
        <w:rPr>
          <w:i/>
          <w:sz w:val="24"/>
          <w:szCs w:val="24"/>
          <w:lang w:val="id-ID"/>
        </w:rPr>
        <w:t>workload overload</w:t>
      </w:r>
      <w:r>
        <w:rPr>
          <w:sz w:val="24"/>
          <w:szCs w:val="24"/>
          <w:lang w:val="id-ID"/>
        </w:rPr>
        <w:t>) maraton yang memicu kelelahan fisik petugas (</w:t>
      </w:r>
      <w:r>
        <w:rPr>
          <w:i/>
          <w:sz w:val="24"/>
          <w:szCs w:val="24"/>
          <w:lang w:val="id-ID"/>
        </w:rPr>
        <w:t>human fatigue</w:t>
      </w:r>
      <w:r>
        <w:rPr>
          <w:sz w:val="24"/>
          <w:szCs w:val="24"/>
          <w:lang w:val="id-ID"/>
        </w:rPr>
        <w:t>), kerentanan aplikasi Sirekap, serta hambatan eksternal sosiologis berupa intimidasi saksi di arena pleno dan desakan penetrasi kapital transaksional (suap) dari pihak ketiga. Riset ini merekomendasikan Komisi Pemilihan Umum (KPU) untuk mengevaluasi batasan durasi rapat pleno rekapitulasi serta memperkuat muatan bimbingan teknis yang menyentuh aspek integritas yuridis-pidana. Selain itu, jajaran majelis hakim di masa mendatang diharapkan menjatuhkan sanksi yang lebih progresif dan mendekati batas maksimal tuntutan demi menegakkan kedaulatan demokrasi rakyat.</w:t>
      </w:r>
    </w:p>
    <w:p w14:paraId="31187357">
      <w:pPr>
        <w:jc w:val="both"/>
        <w:rPr>
          <w:sz w:val="24"/>
          <w:szCs w:val="24"/>
          <w:lang w:val="id-ID"/>
        </w:rPr>
      </w:pPr>
    </w:p>
    <w:p w14:paraId="24130287">
      <w:pPr>
        <w:jc w:val="both"/>
        <w:rPr>
          <w:sz w:val="24"/>
          <w:szCs w:val="24"/>
          <w:lang w:val="id-ID"/>
        </w:rPr>
      </w:pPr>
      <w:r>
        <w:rPr>
          <w:sz w:val="24"/>
          <w:szCs w:val="24"/>
          <w:lang w:val="id-ID"/>
        </w:rPr>
        <w:t xml:space="preserve">Kata Kunci: </w:t>
      </w:r>
      <w:r>
        <w:rPr>
          <w:b/>
          <w:sz w:val="24"/>
          <w:szCs w:val="24"/>
          <w:lang w:val="id-ID"/>
        </w:rPr>
        <w:t>Pertanggung jawaban Pidana, Penyelenggara Pemilu, Pertimbangan Hakim, Panitia Pemilihan Kecamatan, Tindak Pidana Pemilu</w:t>
      </w:r>
      <w:r>
        <w:rPr>
          <w:sz w:val="24"/>
          <w:szCs w:val="24"/>
          <w:lang w:val="id-ID"/>
        </w:rPr>
        <w:t>.</w:t>
      </w:r>
    </w:p>
    <w:p w14:paraId="4D8227C5">
      <w:pPr>
        <w:jc w:val="both"/>
        <w:rPr>
          <w:sz w:val="24"/>
          <w:szCs w:val="24"/>
          <w:lang w:val="id-ID"/>
        </w:rPr>
      </w:pPr>
    </w:p>
    <w:p w14:paraId="555A9FCE">
      <w:pPr>
        <w:pStyle w:val="2"/>
        <w:spacing w:before="0" w:after="0" w:line="360" w:lineRule="auto"/>
        <w:jc w:val="center"/>
        <w:rPr>
          <w:rFonts w:ascii="Times New Roman" w:hAnsi="Times New Roman" w:cs="Times New Roman"/>
          <w:b/>
          <w:bCs/>
          <w:i/>
          <w:iCs/>
          <w:color w:val="auto"/>
          <w:sz w:val="24"/>
          <w:szCs w:val="24"/>
        </w:rPr>
      </w:pPr>
      <w:bookmarkStart w:id="1" w:name="_Toc230017840"/>
    </w:p>
    <w:p w14:paraId="26DC082D">
      <w:pPr>
        <w:pStyle w:val="2"/>
        <w:spacing w:before="0" w:after="0" w:line="360" w:lineRule="auto"/>
        <w:jc w:val="center"/>
        <w:rPr>
          <w:rFonts w:ascii="Times New Roman" w:hAnsi="Times New Roman" w:cs="Times New Roman"/>
          <w:b/>
          <w:bCs/>
          <w:i/>
          <w:iCs/>
          <w:color w:val="auto"/>
          <w:sz w:val="24"/>
          <w:szCs w:val="24"/>
        </w:rPr>
      </w:pPr>
    </w:p>
    <w:p w14:paraId="43C17FA5"/>
    <w:p w14:paraId="6BE17A5A"/>
    <w:p w14:paraId="3F871C4F"/>
    <w:p w14:paraId="76C726D9"/>
    <w:p w14:paraId="65F1E9F1"/>
    <w:p w14:paraId="26758C8D"/>
    <w:p w14:paraId="43275CBB"/>
    <w:p w14:paraId="1FF8F2EB"/>
    <w:p w14:paraId="58DA023B">
      <w:pPr>
        <w:pStyle w:val="2"/>
        <w:spacing w:before="0" w:after="0" w:line="360" w:lineRule="auto"/>
        <w:jc w:val="center"/>
        <w:rPr>
          <w:rFonts w:ascii="Times New Roman" w:hAnsi="Times New Roman" w:cs="Times New Roman"/>
          <w:b/>
          <w:bCs/>
          <w:i/>
          <w:iCs/>
          <w:color w:val="auto"/>
          <w:sz w:val="24"/>
          <w:szCs w:val="24"/>
        </w:rPr>
      </w:pPr>
    </w:p>
    <w:p w14:paraId="514B5A58">
      <w:pPr>
        <w:pStyle w:val="2"/>
        <w:spacing w:before="0" w:after="0" w:line="360" w:lineRule="auto"/>
        <w:jc w:val="center"/>
        <w:rPr>
          <w:rFonts w:ascii="Times New Roman" w:hAnsi="Times New Roman" w:cs="Times New Roman"/>
          <w:b/>
          <w:bCs/>
          <w:i/>
          <w:iCs/>
          <w:color w:val="auto"/>
          <w:sz w:val="24"/>
          <w:szCs w:val="24"/>
        </w:rPr>
      </w:pPr>
    </w:p>
    <w:p w14:paraId="741C949C">
      <w:pPr>
        <w:pStyle w:val="2"/>
        <w:spacing w:before="0" w:after="0" w:line="360" w:lineRule="auto"/>
        <w:jc w:val="center"/>
        <w:rPr>
          <w:rFonts w:ascii="Times New Roman" w:hAnsi="Times New Roman" w:cs="Times New Roman"/>
          <w:b/>
          <w:bCs/>
          <w:i/>
          <w:iCs/>
          <w:color w:val="auto"/>
          <w:sz w:val="24"/>
          <w:szCs w:val="24"/>
        </w:rPr>
      </w:pPr>
    </w:p>
    <w:p w14:paraId="36F088D9">
      <w:pPr>
        <w:pStyle w:val="2"/>
        <w:spacing w:before="0" w:after="0" w:line="360" w:lineRule="auto"/>
        <w:jc w:val="center"/>
        <w:rPr>
          <w:rFonts w:ascii="Times New Roman" w:hAnsi="Times New Roman" w:cs="Times New Roman"/>
          <w:b/>
          <w:bCs/>
          <w:i/>
          <w:iCs/>
          <w:color w:val="auto"/>
          <w:sz w:val="24"/>
          <w:szCs w:val="24"/>
        </w:rPr>
      </w:pPr>
    </w:p>
    <w:p w14:paraId="19648C6C"/>
    <w:p w14:paraId="43B09C1D"/>
    <w:p w14:paraId="2D1C6D83"/>
    <w:p w14:paraId="15D4418E"/>
    <w:p w14:paraId="5D5AD712"/>
    <w:p w14:paraId="32E4AD14"/>
    <w:p w14:paraId="6DAB64B0"/>
    <w:p w14:paraId="57E656A0"/>
    <w:p w14:paraId="76301A13"/>
    <w:p w14:paraId="7B077ED6"/>
    <w:p w14:paraId="01322C44"/>
    <w:p w14:paraId="6451653C"/>
    <w:p w14:paraId="36EFD4BE"/>
    <w:p w14:paraId="550356A8">
      <w:pPr>
        <w:pStyle w:val="2"/>
        <w:spacing w:before="0" w:after="0" w:line="360" w:lineRule="auto"/>
        <w:jc w:val="center"/>
        <w:rPr>
          <w:rFonts w:ascii="Times New Roman" w:hAnsi="Times New Roman" w:cs="Times New Roman"/>
          <w:b/>
          <w:bCs/>
          <w:i/>
          <w:iCs/>
          <w:color w:val="auto"/>
          <w:sz w:val="24"/>
          <w:szCs w:val="24"/>
        </w:rPr>
      </w:pPr>
    </w:p>
    <w:p w14:paraId="56A86DEE">
      <w:pPr>
        <w:pStyle w:val="2"/>
        <w:spacing w:before="0" w:after="0" w:line="360" w:lineRule="auto"/>
        <w:jc w:val="center"/>
        <w:rPr>
          <w:rFonts w:ascii="Times New Roman" w:hAnsi="Times New Roman" w:cs="Times New Roman"/>
          <w:b/>
          <w:bCs/>
          <w:i/>
          <w:iCs/>
          <w:color w:val="auto"/>
          <w:sz w:val="24"/>
          <w:szCs w:val="24"/>
        </w:rPr>
      </w:pPr>
    </w:p>
    <w:p w14:paraId="4060C905">
      <w:pPr>
        <w:pStyle w:val="2"/>
        <w:spacing w:before="0" w:after="0" w:line="360" w:lineRule="auto"/>
        <w:jc w:val="center"/>
        <w:rPr>
          <w:rFonts w:ascii="Times New Roman" w:hAnsi="Times New Roman" w:cs="Times New Roman"/>
          <w:b/>
          <w:bCs/>
          <w:i/>
          <w:iCs/>
          <w:color w:val="auto"/>
          <w:sz w:val="24"/>
          <w:szCs w:val="24"/>
        </w:rPr>
      </w:pPr>
    </w:p>
    <w:p w14:paraId="0908A76A"/>
    <w:p w14:paraId="2CF703C3">
      <w:pPr>
        <w:pStyle w:val="2"/>
        <w:spacing w:before="0" w:after="0" w:line="360" w:lineRule="auto"/>
        <w:jc w:val="center"/>
        <w:rPr>
          <w:rFonts w:ascii="Times New Roman" w:hAnsi="Times New Roman" w:cs="Times New Roman"/>
          <w:b/>
          <w:bCs/>
          <w:i/>
          <w:iCs/>
          <w:color w:val="auto"/>
          <w:sz w:val="24"/>
          <w:szCs w:val="24"/>
        </w:rPr>
      </w:pPr>
    </w:p>
    <w:p w14:paraId="7B380C3A">
      <w:pPr>
        <w:pStyle w:val="2"/>
        <w:spacing w:before="0" w:after="0" w:line="360" w:lineRule="auto"/>
        <w:jc w:val="center"/>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ABSTRACT</w:t>
      </w:r>
      <w:bookmarkEnd w:id="1"/>
    </w:p>
    <w:p w14:paraId="52CFF3CD">
      <w:pPr>
        <w:jc w:val="center"/>
        <w:rPr>
          <w:b/>
          <w:bCs/>
          <w:sz w:val="24"/>
          <w:szCs w:val="24"/>
        </w:rPr>
      </w:pPr>
      <w:r>
        <w:rPr>
          <w:b/>
          <w:bCs/>
          <w:sz w:val="24"/>
          <w:szCs w:val="24"/>
        </w:rPr>
        <w:t>ACCOUNTABILITY FOR GENERAL ELECTION CRIMES COMMITTED BY THE DISTRICT ELECTION COMMITTEE (PPK)</w:t>
      </w:r>
    </w:p>
    <w:p w14:paraId="791674E5">
      <w:pPr>
        <w:jc w:val="center"/>
        <w:rPr>
          <w:b/>
          <w:bCs/>
          <w:sz w:val="24"/>
          <w:szCs w:val="24"/>
        </w:rPr>
      </w:pPr>
      <w:r>
        <w:rPr>
          <w:b/>
          <w:bCs/>
          <w:sz w:val="24"/>
          <w:szCs w:val="24"/>
        </w:rPr>
        <w:t>(Study of Medan District Court Decision No. 1/Pid.s/2024/PN Mdn)</w:t>
      </w:r>
    </w:p>
    <w:p w14:paraId="768ACD81">
      <w:pPr>
        <w:jc w:val="both"/>
        <w:rPr>
          <w:sz w:val="24"/>
          <w:szCs w:val="24"/>
        </w:rPr>
      </w:pPr>
      <w:r>
        <w:rPr>
          <w:sz w:val="24"/>
          <w:szCs w:val="24"/>
        </w:rPr>
        <w:t xml:space="preserve"> </w:t>
      </w:r>
    </w:p>
    <w:p w14:paraId="19471321">
      <w:pPr>
        <w:jc w:val="center"/>
        <w:rPr>
          <w:b/>
          <w:bCs/>
        </w:rPr>
      </w:pPr>
      <w:r>
        <w:rPr>
          <w:b/>
          <w:bCs/>
        </w:rPr>
        <w:t>Tunggul Prasetia Rambe</w:t>
      </w:r>
    </w:p>
    <w:p w14:paraId="3A87B7D2">
      <w:pPr>
        <w:jc w:val="center"/>
        <w:rPr>
          <w:b/>
          <w:bCs/>
        </w:rPr>
      </w:pPr>
      <w:r>
        <w:rPr>
          <w:b/>
          <w:bCs/>
        </w:rPr>
        <w:t>(245114155)</w:t>
      </w:r>
    </w:p>
    <w:p w14:paraId="487BB5C6">
      <w:pPr>
        <w:jc w:val="both"/>
        <w:rPr>
          <w:sz w:val="24"/>
          <w:szCs w:val="24"/>
        </w:rPr>
      </w:pPr>
    </w:p>
    <w:p w14:paraId="58E20DE5">
      <w:pPr>
        <w:jc w:val="both"/>
        <w:rPr>
          <w:i/>
          <w:iCs/>
          <w:sz w:val="24"/>
          <w:szCs w:val="24"/>
        </w:rPr>
      </w:pPr>
    </w:p>
    <w:p w14:paraId="02C133FD">
      <w:pPr>
        <w:jc w:val="both"/>
        <w:rPr>
          <w:bCs/>
          <w:i/>
          <w:sz w:val="24"/>
          <w:szCs w:val="24"/>
          <w:lang w:val="id-ID"/>
        </w:rPr>
      </w:pPr>
      <w:r>
        <w:rPr>
          <w:bCs/>
          <w:i/>
          <w:sz w:val="24"/>
          <w:szCs w:val="24"/>
          <w:lang w:val="id-ID"/>
        </w:rPr>
        <w:t xml:space="preserve">This research is motivated by the rampant institutional pathology within election management, specifically the criminal act of vote manipulation involving ad-hoc election organizers. The focus of the study is directed at the case of vote tampering during the 2024 Legislative Election by three members of the Medan Timur Sub-district Election Committee (PPK). This study aims to analyze the construction of official criminal liability in election offenses, dissect the legal reasoning (ratio decidendi) of the judges in imposing sanctions, and identify the operational constraints faced by the PPK in the field. This normative legal research utilizes a statutory approach, a case approach, and a conceptual approach, focusing primarily on the written document of the Medan District Court Decision Number 1/Pid.S/2024/PN Mdn [Putusan No. 1/Pid.S/2024/PN Mdn]. The results indicate that the mechanism of criminal liability against the three active commissioners of PPK Medan Timur met the elements of actus reus in the form of physical manipulation of numerical recapitulation data and mens rea in the form of direct intent (dolus directus) to alter political party votes collectively (Article 55 Paragraph 1 to-1 of the Criminal Code). The legal standing of the perpetrators as active election organizers triggered the specific statutory aggravation clause of an additional one-third sanction (delictum proprium) under Article 554 of Law Number 7 of 2017 concerning Elections, based on the principle of breach of public trust. The Judges of the Medan District Court imposed a minimal sentence of 3 (three) months imprisonment with the legal reasoning (ratio decidendi) that the vote manipulation was detected and corrected during the city-level plenary recapitulation, meaning no permanent loss of constitutional rights occurred for any election participants. However, this reasoning is deemed to neglect the utility of law (zweckmassigkeit) and fails to generate a deterrent effect, leading to a legal update where the sentence was subsequently aggravated by the Medan High Court through Decision Number 1088/PID.SUS/2024/PT MDN to 8 (eight) months imprisonment. Furthermore, the court facts recorded systematic internal barriers, including an extreme workload from marathon plenary sessions that triggered human fatigue, vulnerabilities within the Sirekap application, and external sociological barriers consisting of witness intimidation in the plenary arena and transaction capital penetration (bribery) from third parties. This research recommends that the General Elections Commission (KPU) evaluate the duration limits of plenary recapitulation sessions and strengthen technical guidance regarding criminal- </w:t>
      </w:r>
    </w:p>
    <w:p w14:paraId="040F48B0">
      <w:pPr>
        <w:jc w:val="both"/>
        <w:rPr>
          <w:bCs/>
          <w:sz w:val="24"/>
          <w:szCs w:val="24"/>
          <w:lang w:val="id-ID"/>
        </w:rPr>
      </w:pPr>
      <w:r>
        <w:rPr>
          <w:bCs/>
          <w:sz w:val="24"/>
          <w:szCs w:val="24"/>
          <w:lang w:val="en-US"/>
        </w:rPr>
        <w:drawing>
          <wp:anchor distT="0" distB="0" distL="114300" distR="114300" simplePos="0" relativeHeight="251659264" behindDoc="0" locked="0" layoutInCell="1" allowOverlap="1">
            <wp:simplePos x="0" y="0"/>
            <wp:positionH relativeFrom="column">
              <wp:posOffset>-436880</wp:posOffset>
            </wp:positionH>
            <wp:positionV relativeFrom="paragraph">
              <wp:posOffset>32385</wp:posOffset>
            </wp:positionV>
            <wp:extent cx="5788025" cy="8515350"/>
            <wp:effectExtent l="0" t="0" r="3175" b="0"/>
            <wp:wrapNone/>
            <wp:docPr id="8" name="Picture 8" descr="C:\Users\OPERATOR\Pictures\2026-09-09\2026-09-09 12-37-04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OPERATOR\Pictures\2026-09-09\2026-09-09 12-37-04_003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0800000">
                      <a:off x="0" y="0"/>
                      <a:ext cx="5788025" cy="8515350"/>
                    </a:xfrm>
                    <a:prstGeom prst="rect">
                      <a:avLst/>
                    </a:prstGeom>
                    <a:noFill/>
                    <a:ln>
                      <a:noFill/>
                    </a:ln>
                  </pic:spPr>
                </pic:pic>
              </a:graphicData>
            </a:graphic>
          </wp:anchor>
        </w:drawing>
      </w:r>
    </w:p>
    <w:p w14:paraId="0CC2E9FC">
      <w:pPr>
        <w:pStyle w:val="2"/>
        <w:spacing w:before="0" w:after="0" w:line="360" w:lineRule="auto"/>
        <w:jc w:val="center"/>
        <w:rPr>
          <w:rFonts w:ascii="Times New Roman" w:hAnsi="Times New Roman" w:cs="Times New Roman"/>
          <w:b/>
          <w:bCs/>
          <w:color w:val="auto"/>
          <w:sz w:val="24"/>
          <w:szCs w:val="24"/>
        </w:rPr>
      </w:pPr>
    </w:p>
    <w:p w14:paraId="42DD07CD"/>
    <w:p w14:paraId="6F75E811"/>
    <w:p w14:paraId="1F8B896E"/>
    <w:p w14:paraId="6DCD91C9"/>
    <w:p w14:paraId="4B6E04D2"/>
    <w:p w14:paraId="1C424272"/>
    <w:p w14:paraId="5AF3550E"/>
    <w:p w14:paraId="4E62EA80"/>
    <w:p w14:paraId="30B7A8C9"/>
    <w:p w14:paraId="465DA0BE"/>
    <w:p w14:paraId="37CA3CEA"/>
    <w:p w14:paraId="51B89B25"/>
    <w:p w14:paraId="09833B52"/>
    <w:p w14:paraId="219430BC"/>
    <w:p w14:paraId="646ED805"/>
    <w:p w14:paraId="375CDC5B"/>
    <w:p w14:paraId="5FE14D39"/>
    <w:p w14:paraId="2E288758"/>
    <w:p w14:paraId="17759166"/>
    <w:p w14:paraId="3127D62F"/>
    <w:p w14:paraId="1947BDDB"/>
    <w:p w14:paraId="41B4A303"/>
    <w:p w14:paraId="57B7AEAE"/>
    <w:p w14:paraId="7BD92777"/>
    <w:p w14:paraId="2D654AAE"/>
    <w:p w14:paraId="48BD1357"/>
    <w:p w14:paraId="6BEFD472"/>
    <w:p w14:paraId="37C27F5A"/>
    <w:p w14:paraId="765FBB27"/>
    <w:p w14:paraId="0A17CC02"/>
    <w:p w14:paraId="0B97FE21"/>
    <w:sectPr>
      <w:headerReference r:id="rId7"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779086"/>
      <w:showingPlcHdr/>
    </w:sdtPr>
    <w:sdtContent>
      <w:p w14:paraId="7B79383E">
        <w:pPr>
          <w:pStyle w:val="7"/>
          <w:jc w:val="center"/>
        </w:pPr>
        <w:r>
          <w:t xml:space="preserve">     </w:t>
        </w:r>
      </w:p>
    </w:sdtContent>
  </w:sdt>
  <w:p w14:paraId="7EA158F4">
    <w:pPr>
      <w:pStyle w:val="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86E27">
    <w:pPr>
      <w:pStyle w:val="8"/>
    </w:pPr>
    <w:r>
      <w:rPr>
        <w:lang w:val="en-US"/>
      </w:rPr>
      <w:pict>
        <v:shape id="WordPictureWatermark14406603" o:spid="_x0000_s2054" o:spt="75" type="#_x0000_t75" style="position:absolute;left:0pt;height:391.15pt;width:396.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2A256">
    <w:pPr>
      <w:pStyle w:val="8"/>
    </w:pPr>
    <w:r>
      <w:rPr>
        <w:lang w:val="en-US"/>
      </w:rPr>
      <w:pict>
        <v:shape id="WordPictureWatermark14406602" o:spid="_x0000_s2053" o:spt="75" type="#_x0000_t75" style="position:absolute;left:0pt;height:391.15pt;width:396.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C7C2F">
    <w:pPr>
      <w:pStyle w:val="8"/>
    </w:pPr>
    <w:r>
      <w:rPr>
        <w:lang w:val="en-US"/>
      </w:rPr>
      <w:pict>
        <v:shape id="WordPictureWatermark14406601" o:spid="_x0000_s2052" o:spt="75" type="#_x0000_t75" style="position:absolute;left:0pt;height:391.15pt;width:396.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AZqVXMGIx0Xr21r4aoU4MLbrnkc=" w:salt="+O9a/P71FborO0EKsmMZJ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17C"/>
    <w:rsid w:val="00001C3E"/>
    <w:rsid w:val="0001408C"/>
    <w:rsid w:val="000206E4"/>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93BB9"/>
    <w:rsid w:val="00394114"/>
    <w:rsid w:val="003C3827"/>
    <w:rsid w:val="003D3786"/>
    <w:rsid w:val="003D5F01"/>
    <w:rsid w:val="003E149E"/>
    <w:rsid w:val="003E1FF4"/>
    <w:rsid w:val="003F2E9C"/>
    <w:rsid w:val="00402B3F"/>
    <w:rsid w:val="00410910"/>
    <w:rsid w:val="004278E2"/>
    <w:rsid w:val="004323EF"/>
    <w:rsid w:val="00443FD8"/>
    <w:rsid w:val="00447431"/>
    <w:rsid w:val="004506C3"/>
    <w:rsid w:val="00461C41"/>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1F05"/>
    <w:rsid w:val="00653891"/>
    <w:rsid w:val="0069217C"/>
    <w:rsid w:val="00693FAF"/>
    <w:rsid w:val="006973EB"/>
    <w:rsid w:val="006A1F6A"/>
    <w:rsid w:val="006A5F4B"/>
    <w:rsid w:val="006A7444"/>
    <w:rsid w:val="006B48A2"/>
    <w:rsid w:val="006D7051"/>
    <w:rsid w:val="006F4508"/>
    <w:rsid w:val="00712BA0"/>
    <w:rsid w:val="00713015"/>
    <w:rsid w:val="00715FC5"/>
    <w:rsid w:val="00716CFD"/>
    <w:rsid w:val="00717FCB"/>
    <w:rsid w:val="00725D4D"/>
    <w:rsid w:val="007376F4"/>
    <w:rsid w:val="00762643"/>
    <w:rsid w:val="007718E3"/>
    <w:rsid w:val="00783571"/>
    <w:rsid w:val="00796CF1"/>
    <w:rsid w:val="00803D6A"/>
    <w:rsid w:val="00804A04"/>
    <w:rsid w:val="008125BD"/>
    <w:rsid w:val="008136EB"/>
    <w:rsid w:val="00813C1C"/>
    <w:rsid w:val="0083659B"/>
    <w:rsid w:val="008447ED"/>
    <w:rsid w:val="008508F0"/>
    <w:rsid w:val="00882D1C"/>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A37C15"/>
    <w:rsid w:val="00A67D67"/>
    <w:rsid w:val="00A732B8"/>
    <w:rsid w:val="00A76263"/>
    <w:rsid w:val="00A83081"/>
    <w:rsid w:val="00A87C80"/>
    <w:rsid w:val="00AC24D2"/>
    <w:rsid w:val="00AE34B9"/>
    <w:rsid w:val="00AE39B6"/>
    <w:rsid w:val="00B04EB8"/>
    <w:rsid w:val="00B067B1"/>
    <w:rsid w:val="00B11630"/>
    <w:rsid w:val="00B23263"/>
    <w:rsid w:val="00B43376"/>
    <w:rsid w:val="00B6386D"/>
    <w:rsid w:val="00B70598"/>
    <w:rsid w:val="00B76CF4"/>
    <w:rsid w:val="00B91889"/>
    <w:rsid w:val="00BB7945"/>
    <w:rsid w:val="00BE5474"/>
    <w:rsid w:val="00C12AFD"/>
    <w:rsid w:val="00C2355E"/>
    <w:rsid w:val="00C24E16"/>
    <w:rsid w:val="00C34845"/>
    <w:rsid w:val="00C45B26"/>
    <w:rsid w:val="00C56158"/>
    <w:rsid w:val="00C812F6"/>
    <w:rsid w:val="00CA0770"/>
    <w:rsid w:val="00CA6428"/>
    <w:rsid w:val="00CC0D31"/>
    <w:rsid w:val="00CC2580"/>
    <w:rsid w:val="00CF0136"/>
    <w:rsid w:val="00CF12E0"/>
    <w:rsid w:val="00D167C4"/>
    <w:rsid w:val="00D2736F"/>
    <w:rsid w:val="00D54749"/>
    <w:rsid w:val="00D67E81"/>
    <w:rsid w:val="00D83200"/>
    <w:rsid w:val="00DA2041"/>
    <w:rsid w:val="00DA770F"/>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2F2F"/>
    <w:rsid w:val="00FC302E"/>
    <w:rsid w:val="21B00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next w:val="1"/>
    <w:link w:val="9"/>
    <w:qFormat/>
    <w:uiPriority w:val="1"/>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3"/>
    <w:semiHidden/>
    <w:unhideWhenUsed/>
    <w:qFormat/>
    <w:uiPriority w:val="99"/>
    <w:rPr>
      <w:rFonts w:ascii="Tahoma" w:hAnsi="Tahoma" w:cs="Tahoma"/>
      <w:sz w:val="16"/>
      <w:szCs w:val="16"/>
    </w:rPr>
  </w:style>
  <w:style w:type="paragraph" w:styleId="6">
    <w:name w:val="Body Text"/>
    <w:basedOn w:val="1"/>
    <w:link w:val="10"/>
    <w:qFormat/>
    <w:uiPriority w:val="1"/>
    <w:rPr>
      <w:sz w:val="24"/>
      <w:szCs w:val="24"/>
    </w:rPr>
  </w:style>
  <w:style w:type="paragraph" w:styleId="7">
    <w:name w:val="footer"/>
    <w:basedOn w:val="1"/>
    <w:link w:val="11"/>
    <w:unhideWhenUsed/>
    <w:qFormat/>
    <w:uiPriority w:val="99"/>
    <w:pPr>
      <w:tabs>
        <w:tab w:val="center" w:pos="4513"/>
        <w:tab w:val="right" w:pos="9026"/>
      </w:tabs>
    </w:pPr>
  </w:style>
  <w:style w:type="paragraph" w:styleId="8">
    <w:name w:val="header"/>
    <w:basedOn w:val="1"/>
    <w:link w:val="12"/>
    <w:unhideWhenUsed/>
    <w:qFormat/>
    <w:uiPriority w:val="99"/>
    <w:pPr>
      <w:tabs>
        <w:tab w:val="center" w:pos="4513"/>
        <w:tab w:val="right" w:pos="9026"/>
      </w:tabs>
    </w:pPr>
  </w:style>
  <w:style w:type="character" w:customStyle="1" w:styleId="9">
    <w:name w:val="Heading 1 Char"/>
    <w:basedOn w:val="3"/>
    <w:link w:val="2"/>
    <w:qFormat/>
    <w:uiPriority w:val="9"/>
    <w:rPr>
      <w:rFonts w:asciiTheme="majorHAnsi" w:hAnsiTheme="majorHAnsi" w:eastAsiaTheme="majorEastAsia" w:cstheme="majorBidi"/>
      <w:color w:val="376092" w:themeColor="accent1" w:themeShade="BF"/>
      <w:sz w:val="40"/>
      <w:szCs w:val="40"/>
      <w:lang w:val="ms"/>
    </w:rPr>
  </w:style>
  <w:style w:type="character" w:customStyle="1" w:styleId="10">
    <w:name w:val="Body Text Char"/>
    <w:basedOn w:val="3"/>
    <w:link w:val="6"/>
    <w:qFormat/>
    <w:uiPriority w:val="1"/>
    <w:rPr>
      <w:rFonts w:ascii="Times New Roman" w:hAnsi="Times New Roman" w:eastAsia="Times New Roman" w:cs="Times New Roman"/>
      <w:sz w:val="24"/>
      <w:szCs w:val="24"/>
      <w:lang w:val="ms"/>
    </w:rPr>
  </w:style>
  <w:style w:type="character" w:customStyle="1" w:styleId="11">
    <w:name w:val="Footer Char"/>
    <w:basedOn w:val="3"/>
    <w:link w:val="7"/>
    <w:qFormat/>
    <w:uiPriority w:val="99"/>
    <w:rPr>
      <w:rFonts w:ascii="Times New Roman" w:hAnsi="Times New Roman" w:eastAsia="Times New Roman" w:cs="Times New Roman"/>
      <w:lang w:val="ms"/>
    </w:rPr>
  </w:style>
  <w:style w:type="character" w:customStyle="1" w:styleId="12">
    <w:name w:val="Header Char"/>
    <w:basedOn w:val="3"/>
    <w:link w:val="8"/>
    <w:qFormat/>
    <w:uiPriority w:val="99"/>
    <w:rPr>
      <w:rFonts w:ascii="Times New Roman" w:hAnsi="Times New Roman" w:eastAsia="Times New Roman" w:cs="Times New Roman"/>
      <w:lang w:val="ms"/>
    </w:rPr>
  </w:style>
  <w:style w:type="character" w:customStyle="1" w:styleId="13">
    <w:name w:val="Balloon Text Char"/>
    <w:basedOn w:val="3"/>
    <w:link w:val="5"/>
    <w:semiHidden/>
    <w:uiPriority w:val="99"/>
    <w:rPr>
      <w:rFonts w:ascii="Tahoma" w:hAnsi="Tahoma" w:eastAsia="Times New Roman" w:cs="Tahoma"/>
      <w:sz w:val="16"/>
      <w:szCs w:val="16"/>
      <w:lang w:val="m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822</Words>
  <Characters>5394</Characters>
  <Lines>44</Lines>
  <Paragraphs>12</Paragraphs>
  <TotalTime>13</TotalTime>
  <ScaleCrop>false</ScaleCrop>
  <LinksUpToDate>false</LinksUpToDate>
  <CharactersWithSpaces>6205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2026-09-09T05:49:00Z</dcterms:created>
  <dc:creator>OPERATOR</dc:creator>
  <cp:lastModifiedBy>Administrator</cp:lastModifiedBy>
  <dcterms:modified xsi:type="dcterms:W3CDTF">2026-09-10T04:38:04Z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BAA9575BFEA9469A8D3D378B1A536070_13</vt:lpwstr>
  </property>
</Properties>
</file>