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AABDE5">
      <w:pPr>
        <w:pStyle w:val="13"/>
        <w:tabs>
          <w:tab w:val="right" w:leader="dot" w:pos="7938"/>
        </w:tabs>
        <w:ind w:left="0"/>
        <w:jc w:val="center"/>
        <w:outlineLvl w:val="0"/>
      </w:pPr>
      <w:bookmarkStart w:id="0" w:name="_Toc230017842"/>
      <w:bookmarkStart w:id="8" w:name="_GoBack"/>
      <w:bookmarkEnd w:id="8"/>
      <w:r>
        <w:rPr>
          <w:b/>
          <w:bCs/>
        </w:rPr>
        <w:t>BAB I</w:t>
      </w:r>
      <w:bookmarkEnd w:id="0"/>
    </w:p>
    <w:p w14:paraId="22EEF47F">
      <w:pPr>
        <w:spacing w:line="360" w:lineRule="auto"/>
        <w:jc w:val="center"/>
        <w:outlineLvl w:val="0"/>
        <w:rPr>
          <w:b/>
          <w:bCs/>
          <w:sz w:val="24"/>
          <w:szCs w:val="24"/>
        </w:rPr>
      </w:pPr>
      <w:bookmarkStart w:id="1" w:name="_Toc228363704"/>
      <w:bookmarkStart w:id="2" w:name="_Toc228361573"/>
      <w:bookmarkStart w:id="3" w:name="_Toc230017843"/>
      <w:r>
        <w:rPr>
          <w:b/>
          <w:bCs/>
          <w:sz w:val="24"/>
          <w:szCs w:val="24"/>
        </w:rPr>
        <w:t>PENDAHULUAN</w:t>
      </w:r>
      <w:bookmarkEnd w:id="1"/>
      <w:bookmarkEnd w:id="2"/>
      <w:bookmarkEnd w:id="3"/>
    </w:p>
    <w:p w14:paraId="79E3575E">
      <w:pPr>
        <w:spacing w:line="360" w:lineRule="auto"/>
        <w:jc w:val="both"/>
        <w:rPr>
          <w:sz w:val="24"/>
          <w:szCs w:val="24"/>
        </w:rPr>
      </w:pPr>
      <w:r>
        <w:rPr>
          <w:sz w:val="24"/>
          <w:szCs w:val="24"/>
        </w:rPr>
        <w:t xml:space="preserve"> </w:t>
      </w:r>
    </w:p>
    <w:p w14:paraId="1FDF41D4">
      <w:pPr>
        <w:pStyle w:val="3"/>
        <w:spacing w:before="0" w:line="360" w:lineRule="auto"/>
        <w:rPr>
          <w:rFonts w:ascii="Times New Roman" w:hAnsi="Times New Roman" w:cs="Times New Roman"/>
          <w:b w:val="0"/>
          <w:sz w:val="24"/>
          <w:szCs w:val="24"/>
        </w:rPr>
      </w:pPr>
      <w:bookmarkStart w:id="4" w:name="_Toc230017844"/>
      <w:r>
        <w:rPr>
          <w:rFonts w:ascii="Times New Roman" w:hAnsi="Times New Roman" w:cs="Times New Roman"/>
          <w:color w:val="auto"/>
          <w:sz w:val="24"/>
          <w:szCs w:val="24"/>
        </w:rPr>
        <w:t>A. Latar Belakang</w:t>
      </w:r>
      <w:bookmarkEnd w:id="4"/>
      <w:r>
        <w:rPr>
          <w:rFonts w:ascii="Times New Roman" w:hAnsi="Times New Roman" w:cs="Times New Roman"/>
          <w:color w:val="auto"/>
          <w:sz w:val="24"/>
          <w:szCs w:val="24"/>
        </w:rPr>
        <w:t xml:space="preserve"> </w:t>
      </w:r>
    </w:p>
    <w:p w14:paraId="59BEF3B9">
      <w:pPr>
        <w:spacing w:line="360" w:lineRule="auto"/>
        <w:ind w:firstLine="284"/>
        <w:jc w:val="both"/>
        <w:rPr>
          <w:sz w:val="24"/>
          <w:szCs w:val="24"/>
          <w:lang w:val="id-ID"/>
        </w:rPr>
      </w:pPr>
      <w:r>
        <w:rPr>
          <w:sz w:val="24"/>
          <w:szCs w:val="24"/>
          <w:lang w:val="id-ID"/>
        </w:rPr>
        <w:t>Pemilihan Umum (Pemilu) merupakan ejawantah paling murni dari pilar sistem tata pemerintahan demokrasi modern. Pemilu berfungsi secara konstitusional sebagai sarana utama bagi rakyat untuk menyalurkan kedaulatannya dalam melahirkan legitimasi sosiologis dan yuridis kepemimpinan politik, baik pada ranah lembaga eksekutif maupun lembaga legislatif. Di dalam tatanan hukum positif Indonesia, komitmen fundamental terhadap penyelenggaraan pemilu ditegaskan secara eksplisit pada Pasal 22E Ayat (1) Undang-Undang Dasar Negara Republik Indonesia Tahun 1945 (UUD NRI 1945). Pasal tersebut menggariskan bahwa pemilihan umum wajib diselenggarakan secara langsung, umum, bebas, rahasia, jujur, dan adil (Luber Jurdil) setiap lima tahun sekali. Penyebutan asas "jujur dan adil" tidak sekadar dipandang sebagai ornamen normatif-tekstual semata, melainkan sebuah prasyarat keabsahan mutlak (</w:t>
      </w:r>
      <w:r>
        <w:rPr>
          <w:i/>
          <w:sz w:val="24"/>
          <w:szCs w:val="24"/>
          <w:lang w:val="id-ID"/>
        </w:rPr>
        <w:t>conditio sine qua non</w:t>
      </w:r>
      <w:r>
        <w:rPr>
          <w:sz w:val="24"/>
          <w:szCs w:val="24"/>
          <w:lang w:val="id-ID"/>
        </w:rPr>
        <w:t>). Jika aspek kejujuran dan keadilan ini dicederai, maka produk politik hasil pemilu akan kehilangan sandaran moral dan keabsahannya. Imbasnya, dapat memicu krisis kepercayaan publik terhadap institusi negara serta meruntuhkan sendi-sendi keadilan dalam suatu negara hukum.</w:t>
      </w:r>
    </w:p>
    <w:p w14:paraId="79476910">
      <w:pPr>
        <w:spacing w:line="360" w:lineRule="auto"/>
        <w:ind w:firstLine="284"/>
        <w:jc w:val="both"/>
        <w:rPr>
          <w:sz w:val="24"/>
          <w:szCs w:val="24"/>
          <w:lang w:val="id-ID"/>
        </w:rPr>
      </w:pPr>
      <w:r>
        <w:rPr>
          <w:sz w:val="24"/>
          <w:szCs w:val="24"/>
          <w:lang w:val="id-ID"/>
        </w:rPr>
        <w:t xml:space="preserve">Guna mengoperasionalkan nilai-nilai luhur konstitusi tersebut ke dalam tataran praktis, Undang-Undang Nomor 7 Tahun 2017 tentang Pemilihan Umum dibentuk sebagai payung regulasi nasional guna membangun ekosistem penyelenggaraan pemilu yang independen, mandiri, dan steril dari intervensi politik transaksional. Dalam arsitektur kelembagaan pemilu di Indonesia, Komisi Pemilihan Umum (KPU) mengemban tugas sebagai motor penggerak utama struktural yang ditopang oleh jajaran perangkat ad hoc di tingkat bawah. Pada level distrik, amanat teknis pelaksanaan tahapan pemilu diserahkan sepenuhnya kepada Panitia Pemilihan Kecamatan (PPK). Badan ad hoc PPK memegang posisi strategis sekaligus rawan, karena bertindak sebagai pintu gerbang pertama akumulasi suara pasca-rekapitulasi di Tempat Pemungutan Suara (TPS). </w:t>
      </w:r>
    </w:p>
    <w:p w14:paraId="0587EE04">
      <w:pPr>
        <w:spacing w:line="360" w:lineRule="auto"/>
        <w:jc w:val="both"/>
        <w:rPr>
          <w:sz w:val="24"/>
          <w:szCs w:val="24"/>
          <w:lang w:val="id-ID"/>
        </w:rPr>
        <w:sectPr>
          <w:headerReference r:id="rId7" w:type="first"/>
          <w:headerReference r:id="rId5" w:type="default"/>
          <w:footerReference r:id="rId8" w:type="default"/>
          <w:headerReference r:id="rId6" w:type="even"/>
          <w:pgSz w:w="11910" w:h="16840"/>
          <w:pgMar w:top="1701" w:right="1701" w:bottom="1701" w:left="2268" w:header="709" w:footer="709" w:gutter="0"/>
          <w:pgNumType w:start="1"/>
          <w:cols w:space="708" w:num="1"/>
          <w:docGrid w:linePitch="360" w:charSpace="0"/>
        </w:sectPr>
      </w:pPr>
    </w:p>
    <w:p w14:paraId="197262AF">
      <w:pPr>
        <w:spacing w:line="360" w:lineRule="auto"/>
        <w:ind w:firstLine="284"/>
        <w:jc w:val="both"/>
        <w:rPr>
          <w:sz w:val="24"/>
          <w:szCs w:val="24"/>
          <w:lang w:val="id-ID"/>
        </w:rPr>
      </w:pPr>
      <w:r>
        <w:rPr>
          <w:sz w:val="24"/>
          <w:szCs w:val="24"/>
          <w:lang w:val="id-ID"/>
        </w:rPr>
        <w:t>Otoritas yuridis yang melekat pada personal PPK mencakup wewenang melakukan pemindahan data numerik perolehan suara dari formulir C-Hasil tingkat TPS ke dalam draf rekapitulasi komparatif berbentuk formulir D-Hasil tingkat kecamatan.</w:t>
      </w:r>
    </w:p>
    <w:p w14:paraId="3C8F18C3">
      <w:pPr>
        <w:spacing w:line="360" w:lineRule="auto"/>
        <w:ind w:firstLine="284"/>
        <w:jc w:val="both"/>
        <w:rPr>
          <w:sz w:val="24"/>
          <w:szCs w:val="24"/>
          <w:lang w:val="id-ID"/>
        </w:rPr>
      </w:pPr>
      <w:r>
        <w:rPr>
          <w:sz w:val="24"/>
          <w:szCs w:val="24"/>
          <w:lang w:val="id-ID"/>
        </w:rPr>
        <w:t xml:space="preserve">Kendati dibekali dengan instrumen hukum dan fasilitas kedinasan yang memadai, realitas empiris di lapangan kerap memperlihatkan jurang pemisah yang lebar antara norma perilaku ideal dan praktik faktual. Fenomena patologi birokrasi pemilu membuktikan bahwa besarnya kekuasaan administratif yang dimiliki oleh jajaran PPK rentan disalahgunakan demi keuntungan pragmatis. Letak geografis dan kedudukan fungsional PPK menjadikannya sasaran empuk intervensi dari kontestan pemilu yang berburu insentif elektoral melalui jalur ilegal. Alih-alih tegak lurus menjadi pelindung keaslian suara rakyat, oknum penyelenggara pemilu tidak jarang bergeser peran menjadi pelaku utama atau aktor penggerak dalam lingkaran kejahatan pemilu kedinasan. </w:t>
      </w:r>
    </w:p>
    <w:p w14:paraId="72A3C89B">
      <w:pPr>
        <w:spacing w:line="360" w:lineRule="auto"/>
        <w:ind w:firstLine="284"/>
        <w:jc w:val="both"/>
        <w:rPr>
          <w:sz w:val="24"/>
          <w:szCs w:val="24"/>
          <w:lang w:val="id-ID"/>
        </w:rPr>
      </w:pPr>
      <w:r>
        <w:rPr>
          <w:sz w:val="24"/>
          <w:szCs w:val="24"/>
          <w:lang w:val="id-ID"/>
        </w:rPr>
        <w:t>Salah satu jenis kejahatan kedinasan yang paling mencederai integritas hasil pemilu adalah memanipulasi, menggeser, mengeliminasi, ataupun menggelembungkan angka perolehan suara demi mendongkrak perolehan suara partai politik atau calon legislatif tertentu.</w:t>
      </w:r>
    </w:p>
    <w:p w14:paraId="166A65B9">
      <w:pPr>
        <w:spacing w:line="360" w:lineRule="auto"/>
        <w:jc w:val="both"/>
        <w:rPr>
          <w:sz w:val="24"/>
          <w:szCs w:val="24"/>
          <w:lang w:val="id-ID"/>
        </w:rPr>
      </w:pPr>
      <w:r>
        <w:rPr>
          <w:sz w:val="24"/>
          <w:szCs w:val="24"/>
          <w:lang w:val="id-ID"/>
        </w:rPr>
        <w:t xml:space="preserve">    Penyalahgunaan wewenang secara masif ini terekam jelas dalam perkara tindak pidana pemilu legislatif tahun 2024 yang terjadi di wilayah hukum Kota Medan, Provinsi Sumatera Utara. Tindakan melanggar hukum ini menyeret 3 (tiga) komisioner aktif badan ad hoc Panitia Pemilihan Kecamatan (PPK) Medan Timur, yakni MRR, ASBH, dan JM. Berdasarkan hasil penyidikan Sentra Penegakan Hukum Terpadu (</w:t>
      </w:r>
      <w:r>
        <w:rPr>
          <w:i/>
          <w:sz w:val="24"/>
          <w:szCs w:val="24"/>
          <w:lang w:val="id-ID"/>
        </w:rPr>
        <w:t>Gakkumdu</w:t>
      </w:r>
      <w:r>
        <w:rPr>
          <w:sz w:val="24"/>
          <w:szCs w:val="24"/>
          <w:lang w:val="id-ID"/>
        </w:rPr>
        <w:t>) Bawaslu Kota Medan, ketiga terdakwa terbukti secara sadar melanggar tugas pokok dan fungsinya dengan menggeser saku suara partai politik lain untuk ditumpuk ke dalam saku perolehan suara milik calon legislatif tertentu secara tidak sah pada saat rapat pleno terbuka rekapitulasi hasil penghitungan suara tingkat kecamatan sedang berjalan.</w:t>
      </w:r>
    </w:p>
    <w:p w14:paraId="195A5F6B">
      <w:pPr>
        <w:spacing w:line="360" w:lineRule="auto"/>
        <w:ind w:firstLine="284"/>
        <w:jc w:val="both"/>
        <w:rPr>
          <w:sz w:val="24"/>
          <w:szCs w:val="24"/>
          <w:lang w:val="id-ID"/>
        </w:rPr>
      </w:pPr>
      <w:r>
        <w:rPr>
          <w:sz w:val="24"/>
          <w:szCs w:val="24"/>
        </w:rPr>
        <w:t>Berdasarkan uraian di atas, penulis tertarik untuk melakukan penelitian dan menyusunnya dalam bentuk skripsi dengan judul "</w:t>
      </w:r>
      <w:r>
        <w:rPr>
          <w:sz w:val="24"/>
          <w:szCs w:val="24"/>
          <w:lang w:val="en-US"/>
        </w:rPr>
        <w:t>PERTANGGUNGJAWABAN TINDAK PIDANA PEMILIHAN UMUM YANG DILAKUKAN PANITTIA PEMILIHAN KECAMATAN (PPK)</w:t>
      </w:r>
      <w:r>
        <w:rPr>
          <w:sz w:val="24"/>
          <w:szCs w:val="24"/>
        </w:rPr>
        <w:t>".</w:t>
      </w:r>
    </w:p>
    <w:p w14:paraId="234C55F6">
      <w:pPr>
        <w:spacing w:line="360" w:lineRule="auto"/>
        <w:ind w:firstLine="284"/>
        <w:jc w:val="both"/>
        <w:rPr>
          <w:sz w:val="24"/>
          <w:szCs w:val="24"/>
          <w:lang w:val="id-ID"/>
        </w:rPr>
      </w:pPr>
    </w:p>
    <w:p w14:paraId="0DD81FBC">
      <w:pPr>
        <w:pStyle w:val="19"/>
        <w:numPr>
          <w:ilvl w:val="0"/>
          <w:numId w:val="1"/>
        </w:numPr>
        <w:spacing w:line="360" w:lineRule="auto"/>
        <w:ind w:left="284" w:hanging="284"/>
        <w:jc w:val="both"/>
        <w:outlineLvl w:val="1"/>
        <w:rPr>
          <w:sz w:val="24"/>
          <w:szCs w:val="24"/>
        </w:rPr>
      </w:pPr>
      <w:bookmarkStart w:id="5" w:name="_Toc230017845"/>
      <w:r>
        <w:rPr>
          <w:b/>
          <w:sz w:val="24"/>
          <w:szCs w:val="24"/>
        </w:rPr>
        <w:t>Rumusan Masalah</w:t>
      </w:r>
      <w:bookmarkEnd w:id="5"/>
    </w:p>
    <w:p w14:paraId="1F0F4571">
      <w:pPr>
        <w:pStyle w:val="19"/>
        <w:numPr>
          <w:ilvl w:val="0"/>
          <w:numId w:val="2"/>
        </w:numPr>
        <w:spacing w:line="360" w:lineRule="auto"/>
        <w:ind w:left="567" w:hanging="283"/>
        <w:jc w:val="both"/>
        <w:rPr>
          <w:sz w:val="24"/>
          <w:szCs w:val="24"/>
        </w:rPr>
      </w:pPr>
      <w:r>
        <w:rPr>
          <w:sz w:val="24"/>
          <w:szCs w:val="24"/>
        </w:rPr>
        <w:t xml:space="preserve">Bagaimanakah </w:t>
      </w:r>
      <w:r>
        <w:rPr>
          <w:sz w:val="24"/>
          <w:szCs w:val="24"/>
          <w:lang w:val="en-US"/>
        </w:rPr>
        <w:t>pertanggungjawaban pidana pemilihan umum yang dilakukan panitia pemilihan kecamatan (PPK) Medan Timur</w:t>
      </w:r>
      <w:r>
        <w:rPr>
          <w:sz w:val="24"/>
          <w:szCs w:val="24"/>
        </w:rPr>
        <w:t>?</w:t>
      </w:r>
    </w:p>
    <w:p w14:paraId="0FCB51D6">
      <w:pPr>
        <w:pStyle w:val="19"/>
        <w:numPr>
          <w:ilvl w:val="0"/>
          <w:numId w:val="2"/>
        </w:numPr>
        <w:spacing w:line="360" w:lineRule="auto"/>
        <w:ind w:left="567" w:hanging="283"/>
        <w:jc w:val="both"/>
        <w:rPr>
          <w:sz w:val="24"/>
          <w:szCs w:val="24"/>
          <w:lang w:val="en-US"/>
        </w:rPr>
      </w:pPr>
      <w:r>
        <w:rPr>
          <w:sz w:val="24"/>
          <w:szCs w:val="24"/>
          <w:lang w:val="en-US"/>
        </w:rPr>
        <w:t>Bagaimana analisis pertimbangan hakim dalam putusan No.1/Pid.S/2024/PN Mdn?</w:t>
      </w:r>
    </w:p>
    <w:p w14:paraId="6000BD44">
      <w:pPr>
        <w:pStyle w:val="19"/>
        <w:numPr>
          <w:ilvl w:val="0"/>
          <w:numId w:val="2"/>
        </w:numPr>
        <w:spacing w:line="360" w:lineRule="auto"/>
        <w:ind w:left="567" w:hanging="283"/>
        <w:jc w:val="both"/>
        <w:rPr>
          <w:sz w:val="24"/>
          <w:szCs w:val="24"/>
        </w:rPr>
      </w:pPr>
      <w:r>
        <w:rPr>
          <w:sz w:val="24"/>
          <w:szCs w:val="24"/>
          <w:lang w:val="en-US"/>
        </w:rPr>
        <w:t>Apa kendala dan hambatan panitia pemilihan kecamatan (PPK) dalam pemilihan umum legeslatif</w:t>
      </w:r>
      <w:r>
        <w:rPr>
          <w:sz w:val="24"/>
          <w:szCs w:val="24"/>
        </w:rPr>
        <w:t>?</w:t>
      </w:r>
    </w:p>
    <w:p w14:paraId="608063B5">
      <w:pPr>
        <w:spacing w:line="360" w:lineRule="auto"/>
        <w:jc w:val="both"/>
        <w:rPr>
          <w:sz w:val="24"/>
          <w:szCs w:val="24"/>
        </w:rPr>
      </w:pPr>
      <w:r>
        <w:rPr>
          <w:sz w:val="24"/>
          <w:szCs w:val="24"/>
        </w:rPr>
        <w:t xml:space="preserve"> </w:t>
      </w:r>
    </w:p>
    <w:p w14:paraId="61117630">
      <w:pPr>
        <w:pStyle w:val="3"/>
        <w:rPr>
          <w:rFonts w:ascii="Times New Roman" w:hAnsi="Times New Roman" w:cs="Times New Roman"/>
          <w:b w:val="0"/>
          <w:color w:val="auto"/>
          <w:sz w:val="24"/>
          <w:szCs w:val="24"/>
        </w:rPr>
      </w:pPr>
      <w:bookmarkStart w:id="6" w:name="_Toc230017846"/>
      <w:r>
        <w:rPr>
          <w:rFonts w:ascii="Times New Roman" w:hAnsi="Times New Roman" w:cs="Times New Roman"/>
          <w:color w:val="auto"/>
          <w:sz w:val="24"/>
          <w:szCs w:val="24"/>
        </w:rPr>
        <w:t>C. Tujuan Penelitian</w:t>
      </w:r>
      <w:bookmarkEnd w:id="6"/>
    </w:p>
    <w:p w14:paraId="4614446A">
      <w:pPr>
        <w:pStyle w:val="19"/>
        <w:numPr>
          <w:ilvl w:val="0"/>
          <w:numId w:val="3"/>
        </w:numPr>
        <w:spacing w:line="360" w:lineRule="auto"/>
        <w:ind w:left="567" w:hanging="283"/>
        <w:jc w:val="both"/>
        <w:rPr>
          <w:sz w:val="24"/>
          <w:szCs w:val="24"/>
        </w:rPr>
      </w:pPr>
      <w:r>
        <w:rPr>
          <w:sz w:val="24"/>
          <w:szCs w:val="24"/>
        </w:rPr>
        <w:t>Untuk mengetahui dan mendeskripsikan secara jelas mengenai kronologi kejadian serta fakta-fakta hukum yang terungkap dalam persidangan terkait tindakan yang dilakukan oleh Terdakwa.</w:t>
      </w:r>
    </w:p>
    <w:p w14:paraId="01D5865F">
      <w:pPr>
        <w:pStyle w:val="19"/>
        <w:numPr>
          <w:ilvl w:val="0"/>
          <w:numId w:val="3"/>
        </w:numPr>
        <w:spacing w:line="360" w:lineRule="auto"/>
        <w:ind w:left="567" w:hanging="283"/>
        <w:jc w:val="both"/>
        <w:rPr>
          <w:sz w:val="24"/>
          <w:szCs w:val="24"/>
        </w:rPr>
      </w:pPr>
      <w:r>
        <w:rPr>
          <w:sz w:val="24"/>
          <w:szCs w:val="24"/>
        </w:rPr>
        <w:t>Untuk menganalisis dan memahami ketentuan pasal-pasal hukum yang dilanggar serta penerapannya dalam perkara tersebut, termasuk aspek hukum acara dan pertanggungjawaban pidana.</w:t>
      </w:r>
    </w:p>
    <w:p w14:paraId="66E3181E">
      <w:pPr>
        <w:pStyle w:val="19"/>
        <w:numPr>
          <w:ilvl w:val="0"/>
          <w:numId w:val="3"/>
        </w:numPr>
        <w:spacing w:line="360" w:lineRule="auto"/>
        <w:ind w:left="567" w:hanging="283"/>
        <w:jc w:val="both"/>
        <w:rPr>
          <w:sz w:val="24"/>
          <w:szCs w:val="24"/>
        </w:rPr>
      </w:pPr>
      <w:r>
        <w:rPr>
          <w:sz w:val="24"/>
          <w:szCs w:val="24"/>
        </w:rPr>
        <w:t>Untuk mengetahui dasar pertimbangan hukum hakim dan isi vonis yang dijatuhkan dalam putusan tersebut.</w:t>
      </w:r>
    </w:p>
    <w:p w14:paraId="1D1DD4BB">
      <w:pPr>
        <w:pStyle w:val="19"/>
        <w:numPr>
          <w:ilvl w:val="0"/>
          <w:numId w:val="3"/>
        </w:numPr>
        <w:spacing w:line="360" w:lineRule="auto"/>
        <w:ind w:left="567" w:hanging="283"/>
        <w:jc w:val="both"/>
        <w:rPr>
          <w:sz w:val="24"/>
          <w:szCs w:val="24"/>
        </w:rPr>
      </w:pPr>
      <w:r>
        <w:rPr>
          <w:sz w:val="24"/>
          <w:szCs w:val="24"/>
        </w:rPr>
        <w:t>Untuk menganalisis kendala kendala apa saja yang di hadapi Panitia Pemilihan Kecamatan sehingga para terdakwa bisa melakukan tindakan yang dilarang.</w:t>
      </w:r>
    </w:p>
    <w:p w14:paraId="5E01FDCC">
      <w:pPr>
        <w:spacing w:line="360" w:lineRule="auto"/>
        <w:jc w:val="both"/>
        <w:rPr>
          <w:sz w:val="24"/>
          <w:szCs w:val="24"/>
        </w:rPr>
      </w:pPr>
      <w:r>
        <w:rPr>
          <w:sz w:val="24"/>
          <w:szCs w:val="24"/>
        </w:rPr>
        <w:t xml:space="preserve"> </w:t>
      </w:r>
    </w:p>
    <w:p w14:paraId="026780C3">
      <w:pPr>
        <w:pStyle w:val="3"/>
        <w:spacing w:before="0" w:line="360" w:lineRule="auto"/>
        <w:rPr>
          <w:rFonts w:ascii="Times New Roman" w:hAnsi="Times New Roman" w:cs="Times New Roman"/>
          <w:b w:val="0"/>
          <w:sz w:val="24"/>
          <w:szCs w:val="24"/>
        </w:rPr>
      </w:pPr>
      <w:bookmarkStart w:id="7" w:name="_Toc230017847"/>
      <w:r>
        <w:rPr>
          <w:rFonts w:ascii="Times New Roman" w:hAnsi="Times New Roman" w:cs="Times New Roman"/>
          <w:color w:val="auto"/>
          <w:sz w:val="24"/>
          <w:szCs w:val="24"/>
        </w:rPr>
        <w:t>D. Manfaat Penelitian</w:t>
      </w:r>
      <w:bookmarkEnd w:id="7"/>
    </w:p>
    <w:p w14:paraId="6D08D693">
      <w:pPr>
        <w:pStyle w:val="19"/>
        <w:numPr>
          <w:ilvl w:val="0"/>
          <w:numId w:val="4"/>
        </w:numPr>
        <w:spacing w:line="360" w:lineRule="auto"/>
        <w:ind w:left="567" w:hanging="283"/>
        <w:jc w:val="both"/>
        <w:rPr>
          <w:sz w:val="24"/>
          <w:szCs w:val="24"/>
        </w:rPr>
      </w:pPr>
      <w:r>
        <w:rPr>
          <w:sz w:val="24"/>
          <w:szCs w:val="24"/>
        </w:rPr>
        <w:t>Menambah khazanah ilmu pengetahuan di bidang hukum tata negara dan hukum pidana, khususnya mengenai hukum pemilu.</w:t>
      </w:r>
    </w:p>
    <w:p w14:paraId="654A102F">
      <w:pPr>
        <w:pStyle w:val="19"/>
        <w:numPr>
          <w:ilvl w:val="0"/>
          <w:numId w:val="4"/>
        </w:numPr>
        <w:spacing w:line="360" w:lineRule="auto"/>
        <w:ind w:left="567" w:hanging="283"/>
        <w:jc w:val="both"/>
        <w:rPr>
          <w:sz w:val="24"/>
          <w:szCs w:val="24"/>
        </w:rPr>
      </w:pPr>
      <w:r>
        <w:rPr>
          <w:sz w:val="24"/>
          <w:szCs w:val="24"/>
        </w:rPr>
        <w:t>Menjadi referensi bagi peneliti lain yang ingin mengkaji masalah serupa.</w:t>
      </w:r>
    </w:p>
    <w:p w14:paraId="4D89EED3">
      <w:pPr>
        <w:pStyle w:val="19"/>
        <w:numPr>
          <w:ilvl w:val="0"/>
          <w:numId w:val="4"/>
        </w:numPr>
        <w:spacing w:line="360" w:lineRule="auto"/>
        <w:ind w:left="567" w:hanging="283"/>
        <w:jc w:val="both"/>
        <w:rPr>
          <w:sz w:val="24"/>
          <w:szCs w:val="24"/>
        </w:rPr>
      </w:pPr>
      <w:r>
        <w:rPr>
          <w:sz w:val="24"/>
          <w:szCs w:val="24"/>
        </w:rPr>
        <w:t>Bagi Penyelenggara Pemilu: Sebagai bahan evaluasi dan pembelajaran agar lebih menjunjung tinggi integrita</w:t>
      </w:r>
      <w:r>
        <w:rPr>
          <w:sz w:val="24"/>
          <w:szCs w:val="24"/>
          <w:lang w:val="en-US"/>
        </w:rPr>
        <w:t>s.</w:t>
      </w:r>
    </w:p>
    <w:p w14:paraId="12672FD0">
      <w:pPr>
        <w:pStyle w:val="19"/>
        <w:numPr>
          <w:ilvl w:val="0"/>
          <w:numId w:val="4"/>
        </w:numPr>
        <w:spacing w:line="360" w:lineRule="auto"/>
        <w:ind w:left="567" w:hanging="283"/>
        <w:jc w:val="both"/>
        <w:rPr>
          <w:sz w:val="24"/>
          <w:szCs w:val="24"/>
        </w:rPr>
      </w:pPr>
      <w:r>
        <w:rPr>
          <w:sz w:val="24"/>
          <w:szCs w:val="24"/>
        </w:rPr>
        <w:t>Bagi Masyarakat: Menambah wawasan mengenai sanksi hukum atas pelanggaran pemilu.</w:t>
      </w:r>
    </w:p>
    <w:p w14:paraId="55550369"/>
    <w:sectPr>
      <w:headerReference r:id="rId11" w:type="first"/>
      <w:headerReference r:id="rId9" w:type="default"/>
      <w:footerReference r:id="rId12" w:type="default"/>
      <w:headerReference r:id="rId10" w:type="even"/>
      <w:pgSz w:w="11907" w:h="16840"/>
      <w:pgMar w:top="2268" w:right="1701" w:bottom="1701" w:left="2268"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9815094"/>
      <w:docPartObj>
        <w:docPartGallery w:val="AutoText"/>
      </w:docPartObj>
    </w:sdtPr>
    <w:sdtContent>
      <w:p w14:paraId="25E5F2E6">
        <w:pPr>
          <w:pStyle w:val="8"/>
          <w:jc w:val="right"/>
        </w:pPr>
        <w:r>
          <w:fldChar w:fldCharType="begin"/>
        </w:r>
        <w:r>
          <w:instrText xml:space="preserve"> PAGE   \* MERGEFORMAT </w:instrText>
        </w:r>
        <w:r>
          <w:fldChar w:fldCharType="separate"/>
        </w:r>
        <w:r>
          <w:t>1</w:t>
        </w:r>
        <w:r>
          <w:fldChar w:fldCharType="end"/>
        </w:r>
      </w:p>
    </w:sdtContent>
  </w:sdt>
  <w:p w14:paraId="4FFD3BAA">
    <w:pPr>
      <w:pStyle w:val="8"/>
      <w:jc w:val="right"/>
      <w:rPr>
        <w:sz w:val="24"/>
        <w:lang w:val="id-ID"/>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37779086"/>
      <w:showingPlcHdr/>
    </w:sdtPr>
    <w:sdtContent>
      <w:p w14:paraId="45AEEADE">
        <w:pPr>
          <w:pStyle w:val="8"/>
          <w:jc w:val="center"/>
        </w:pPr>
        <w:r>
          <w:t xml:space="preserve">     </w:t>
        </w:r>
      </w:p>
    </w:sdtContent>
  </w:sdt>
  <w:p w14:paraId="70EC213C">
    <w:pPr>
      <w:pStyle w:val="7"/>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635ABA">
    <w:pPr>
      <w:pStyle w:val="9"/>
      <w:jc w:val="right"/>
      <w:rPr>
        <w:sz w:val="36"/>
        <w:szCs w:val="36"/>
      </w:rPr>
    </w:pPr>
    <w:r>
      <w:rPr>
        <w:sz w:val="36"/>
        <w:szCs w:val="36"/>
        <w:lang w:val="en-US"/>
      </w:rPr>
      <w:pict>
        <v:shape id="WordPictureWatermark14406612" o:spid="_x0000_s2060" o:spt="75" type="#_x0000_t75" style="position:absolute;left:0pt;height:391.15pt;width:396.95pt;mso-position-horizontal:center;mso-position-horizontal-relative:margin;mso-position-vertical:center;mso-position-vertical-relative:margin;z-index:-251652096;mso-width-relative:page;mso-height-relative:page;" filled="f" o:preferrelative="t" stroked="f" coordsize="21600,21600" o:allowincell="f">
          <v:path/>
          <v:fill on="f" focussize="0,0"/>
          <v:stroke on="f" joinstyle="miter"/>
          <v:imagedata r:id="rId1" gain="19661f" blacklevel="22938f" o:title="LOGO-UMN-1 (2)"/>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DCF73C">
    <w:pPr>
      <w:pStyle w:val="9"/>
    </w:pPr>
    <w:r>
      <w:rPr>
        <w:lang w:val="en-US"/>
      </w:rPr>
      <w:pict>
        <v:shape id="WordPictureWatermark14406611" o:spid="_x0000_s2059" o:spt="75" type="#_x0000_t75" style="position:absolute;left:0pt;height:391.15pt;width:396.95pt;mso-position-horizontal:center;mso-position-horizontal-relative:margin;mso-position-vertical:center;mso-position-vertical-relative:margin;z-index:-251653120;mso-width-relative:page;mso-height-relative:page;" filled="f" o:preferrelative="t" stroked="f" coordsize="21600,21600" o:allowincell="f">
          <v:path/>
          <v:fill on="f" focussize="0,0"/>
          <v:stroke on="f" joinstyle="miter"/>
          <v:imagedata r:id="rId1" gain="19661f" blacklevel="22938f" o:title="LOGO-UMN-1 (2)"/>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6E51E0">
    <w:pPr>
      <w:pStyle w:val="9"/>
    </w:pPr>
    <w:r>
      <w:rPr>
        <w:lang w:val="en-US"/>
      </w:rPr>
      <w:pict>
        <v:shape id="WordPictureWatermark14406610" o:spid="_x0000_s2058" o:spt="75" type="#_x0000_t75" style="position:absolute;left:0pt;height:391.15pt;width:396.95pt;mso-position-horizontal:center;mso-position-horizontal-relative:margin;mso-position-vertical:center;mso-position-vertical-relative:margin;z-index:-251654144;mso-width-relative:page;mso-height-relative:page;" filled="f" o:preferrelative="t" stroked="f" coordsize="21600,21600" o:allowincell="f">
          <v:path/>
          <v:fill on="f" focussize="0,0"/>
          <v:stroke on="f" joinstyle="miter"/>
          <v:imagedata r:id="rId1" gain="19661f" blacklevel="22938f" o:title="LOGO-UMN-1 (2)"/>
          <o:lock v:ext="edit" aspectratio="t"/>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58D6E1">
    <w:pPr>
      <w:pStyle w:val="9"/>
    </w:pPr>
    <w:r>
      <w:rPr>
        <w:lang w:val="en-US"/>
      </w:rPr>
      <w:pict>
        <v:shape id="WordPictureWatermark14406603" o:spid="_x0000_s2054" o:spt="75" type="#_x0000_t75" style="position:absolute;left:0pt;height:391.15pt;width:396.95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LOGO-UMN-1 (2)"/>
          <o:lock v:ext="edit" aspectratio="t"/>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6BEE1B">
    <w:pPr>
      <w:pStyle w:val="9"/>
    </w:pPr>
    <w:r>
      <w:rPr>
        <w:lang w:val="en-US"/>
      </w:rPr>
      <w:pict>
        <v:shape id="WordPictureWatermark14406602" o:spid="_x0000_s2053" o:spt="75" type="#_x0000_t75" style="position:absolute;left:0pt;height:391.15pt;width:396.95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LOGO-UMN-1 (2)"/>
          <o:lock v:ext="edit" aspectratio="t"/>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EEDE14">
    <w:pPr>
      <w:pStyle w:val="9"/>
    </w:pPr>
    <w:r>
      <w:rPr>
        <w:lang w:val="en-US"/>
      </w:rPr>
      <w:pict>
        <v:shape id="WordPictureWatermark14406601" o:spid="_x0000_s2052" o:spt="75" type="#_x0000_t75" style="position:absolute;left:0pt;height:391.15pt;width:396.9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LOGO-UMN-1 (2)"/>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9B8168A"/>
    <w:multiLevelType w:val="multilevel"/>
    <w:tmpl w:val="09B8168A"/>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2AA24C2E"/>
    <w:multiLevelType w:val="multilevel"/>
    <w:tmpl w:val="2AA24C2E"/>
    <w:lvl w:ilvl="0" w:tentative="0">
      <w:start w:val="1"/>
      <w:numFmt w:val="decimal"/>
      <w:lvlText w:val="%1."/>
      <w:lvlJc w:val="left"/>
      <w:pPr>
        <w:ind w:left="1288" w:hanging="360"/>
      </w:pPr>
      <w:rPr>
        <w:rFonts w:hint="default" w:ascii="Times New Roman" w:hAnsi="Times New Roman" w:eastAsia="Times New Roman" w:cs="Times New Roman"/>
        <w:b w:val="0"/>
        <w:bCs w:val="0"/>
        <w:i w:val="0"/>
        <w:iCs w:val="0"/>
        <w:spacing w:val="0"/>
        <w:w w:val="100"/>
        <w:sz w:val="24"/>
        <w:szCs w:val="24"/>
        <w:lang w:val="ms" w:eastAsia="en-US" w:bidi="ar-SA"/>
      </w:rPr>
    </w:lvl>
    <w:lvl w:ilvl="1" w:tentative="0">
      <w:start w:val="1"/>
      <w:numFmt w:val="upperLetter"/>
      <w:lvlText w:val="%2."/>
      <w:lvlJc w:val="left"/>
      <w:pPr>
        <w:ind w:left="427" w:hanging="427"/>
      </w:pPr>
      <w:rPr>
        <w:rFonts w:hint="default" w:ascii="Times New Roman" w:hAnsi="Times New Roman" w:eastAsia="Times New Roman" w:cs="Times New Roman"/>
        <w:b/>
        <w:bCs w:val="0"/>
        <w:i w:val="0"/>
        <w:iCs w:val="0"/>
        <w:spacing w:val="0"/>
        <w:w w:val="100"/>
        <w:sz w:val="24"/>
        <w:szCs w:val="24"/>
        <w:lang w:val="ms" w:eastAsia="en-US" w:bidi="ar-SA"/>
      </w:rPr>
    </w:lvl>
    <w:lvl w:ilvl="2" w:tentative="0">
      <w:start w:val="0"/>
      <w:numFmt w:val="bullet"/>
      <w:lvlText w:val="•"/>
      <w:lvlJc w:val="left"/>
      <w:pPr>
        <w:ind w:left="2720" w:hanging="427"/>
      </w:pPr>
      <w:rPr>
        <w:rFonts w:hint="default"/>
        <w:lang w:val="ms" w:eastAsia="en-US" w:bidi="ar-SA"/>
      </w:rPr>
    </w:lvl>
    <w:lvl w:ilvl="3" w:tentative="0">
      <w:start w:val="0"/>
      <w:numFmt w:val="bullet"/>
      <w:lvlText w:val="•"/>
      <w:lvlJc w:val="left"/>
      <w:pPr>
        <w:ind w:left="3461" w:hanging="427"/>
      </w:pPr>
      <w:rPr>
        <w:rFonts w:hint="default"/>
        <w:lang w:val="ms" w:eastAsia="en-US" w:bidi="ar-SA"/>
      </w:rPr>
    </w:lvl>
    <w:lvl w:ilvl="4" w:tentative="0">
      <w:start w:val="0"/>
      <w:numFmt w:val="bullet"/>
      <w:lvlText w:val="•"/>
      <w:lvlJc w:val="left"/>
      <w:pPr>
        <w:ind w:left="4202" w:hanging="427"/>
      </w:pPr>
      <w:rPr>
        <w:rFonts w:hint="default"/>
        <w:lang w:val="ms" w:eastAsia="en-US" w:bidi="ar-SA"/>
      </w:rPr>
    </w:lvl>
    <w:lvl w:ilvl="5" w:tentative="0">
      <w:start w:val="0"/>
      <w:numFmt w:val="bullet"/>
      <w:lvlText w:val="•"/>
      <w:lvlJc w:val="left"/>
      <w:pPr>
        <w:ind w:left="4943" w:hanging="427"/>
      </w:pPr>
      <w:rPr>
        <w:rFonts w:hint="default"/>
        <w:lang w:val="ms" w:eastAsia="en-US" w:bidi="ar-SA"/>
      </w:rPr>
    </w:lvl>
    <w:lvl w:ilvl="6" w:tentative="0">
      <w:start w:val="0"/>
      <w:numFmt w:val="bullet"/>
      <w:lvlText w:val="•"/>
      <w:lvlJc w:val="left"/>
      <w:pPr>
        <w:ind w:left="5683" w:hanging="427"/>
      </w:pPr>
      <w:rPr>
        <w:rFonts w:hint="default"/>
        <w:lang w:val="ms" w:eastAsia="en-US" w:bidi="ar-SA"/>
      </w:rPr>
    </w:lvl>
    <w:lvl w:ilvl="7" w:tentative="0">
      <w:start w:val="0"/>
      <w:numFmt w:val="bullet"/>
      <w:lvlText w:val="•"/>
      <w:lvlJc w:val="left"/>
      <w:pPr>
        <w:ind w:left="6424" w:hanging="427"/>
      </w:pPr>
      <w:rPr>
        <w:rFonts w:hint="default"/>
        <w:lang w:val="ms" w:eastAsia="en-US" w:bidi="ar-SA"/>
      </w:rPr>
    </w:lvl>
    <w:lvl w:ilvl="8" w:tentative="0">
      <w:start w:val="0"/>
      <w:numFmt w:val="bullet"/>
      <w:lvlText w:val="•"/>
      <w:lvlJc w:val="left"/>
      <w:pPr>
        <w:ind w:left="7165" w:hanging="427"/>
      </w:pPr>
      <w:rPr>
        <w:rFonts w:hint="default"/>
        <w:lang w:val="ms" w:eastAsia="en-US" w:bidi="ar-SA"/>
      </w:rPr>
    </w:lvl>
  </w:abstractNum>
  <w:abstractNum w:abstractNumId="2">
    <w:nsid w:val="2B546F37"/>
    <w:multiLevelType w:val="multilevel"/>
    <w:tmpl w:val="2B546F37"/>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77FE1773"/>
    <w:multiLevelType w:val="multilevel"/>
    <w:tmpl w:val="77FE1773"/>
    <w:lvl w:ilvl="0" w:tentative="0">
      <w:start w:val="2"/>
      <w:numFmt w:val="upperLetter"/>
      <w:lvlText w:val="%1."/>
      <w:lvlJc w:val="left"/>
      <w:pPr>
        <w:ind w:left="360" w:hanging="360"/>
      </w:pPr>
      <w:rPr>
        <w:rFonts w:hint="default" w:ascii="Times New Roman" w:hAnsi="Times New Roman" w:cs="Times New Roman" w:eastAsiaTheme="majorEastAsia"/>
        <w:b/>
        <w:color w:val="auto"/>
        <w:sz w:val="24"/>
        <w:u w:val="none"/>
      </w:rPr>
    </w:lvl>
    <w:lvl w:ilvl="1" w:tentative="0">
      <w:start w:val="1"/>
      <w:numFmt w:val="lowerLetter"/>
      <w:lvlText w:val="%2."/>
      <w:lvlJc w:val="left"/>
      <w:pPr>
        <w:ind w:left="1222" w:hanging="360"/>
      </w:pPr>
      <w:rPr>
        <w:rFonts w:hint="default"/>
      </w:rPr>
    </w:lvl>
    <w:lvl w:ilvl="2" w:tentative="0">
      <w:start w:val="1"/>
      <w:numFmt w:val="lowerRoman"/>
      <w:lvlText w:val="%3."/>
      <w:lvlJc w:val="right"/>
      <w:pPr>
        <w:ind w:left="1942" w:hanging="180"/>
      </w:pPr>
      <w:rPr>
        <w:rFonts w:hint="default"/>
      </w:rPr>
    </w:lvl>
    <w:lvl w:ilvl="3" w:tentative="0">
      <w:start w:val="1"/>
      <w:numFmt w:val="decimal"/>
      <w:lvlText w:val="%4."/>
      <w:lvlJc w:val="left"/>
      <w:pPr>
        <w:ind w:left="2662" w:hanging="360"/>
      </w:pPr>
      <w:rPr>
        <w:rFonts w:hint="default"/>
      </w:rPr>
    </w:lvl>
    <w:lvl w:ilvl="4" w:tentative="0">
      <w:start w:val="1"/>
      <w:numFmt w:val="lowerLetter"/>
      <w:lvlText w:val="%5."/>
      <w:lvlJc w:val="left"/>
      <w:pPr>
        <w:ind w:left="3382" w:hanging="360"/>
      </w:pPr>
      <w:rPr>
        <w:rFonts w:hint="default"/>
      </w:rPr>
    </w:lvl>
    <w:lvl w:ilvl="5" w:tentative="0">
      <w:start w:val="1"/>
      <w:numFmt w:val="lowerRoman"/>
      <w:lvlText w:val="%6."/>
      <w:lvlJc w:val="right"/>
      <w:pPr>
        <w:ind w:left="4102" w:hanging="180"/>
      </w:pPr>
      <w:rPr>
        <w:rFonts w:hint="default"/>
      </w:rPr>
    </w:lvl>
    <w:lvl w:ilvl="6" w:tentative="0">
      <w:start w:val="1"/>
      <w:numFmt w:val="decimal"/>
      <w:lvlText w:val="%7."/>
      <w:lvlJc w:val="left"/>
      <w:pPr>
        <w:ind w:left="4822" w:hanging="360"/>
      </w:pPr>
      <w:rPr>
        <w:rFonts w:hint="default"/>
      </w:rPr>
    </w:lvl>
    <w:lvl w:ilvl="7" w:tentative="0">
      <w:start w:val="1"/>
      <w:numFmt w:val="lowerLetter"/>
      <w:lvlText w:val="%8."/>
      <w:lvlJc w:val="left"/>
      <w:pPr>
        <w:ind w:left="5542" w:hanging="360"/>
      </w:pPr>
      <w:rPr>
        <w:rFonts w:hint="default"/>
      </w:rPr>
    </w:lvl>
    <w:lvl w:ilvl="8" w:tentative="0">
      <w:start w:val="1"/>
      <w:numFmt w:val="lowerRoman"/>
      <w:lvlText w:val="%9."/>
      <w:lvlJc w:val="right"/>
      <w:pPr>
        <w:ind w:left="6262" w:hanging="180"/>
      </w:pPr>
      <w:rPr>
        <w:rFonts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dit="forms" w:enforcement="1" w:cryptProviderType="rsaFull" w:cryptAlgorithmClass="hash" w:cryptAlgorithmType="typeAny" w:cryptAlgorithmSid="4" w:cryptSpinCount="0" w:hash="yNr6VQyt/i/R01AA+hEJlcw0i3Y=" w:salt="ApACpoK9KWF9TuM/kvZ1cQ=="/>
  <w:defaultTabStop w:val="720"/>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217C"/>
    <w:rsid w:val="00001C3E"/>
    <w:rsid w:val="0001408C"/>
    <w:rsid w:val="000206E4"/>
    <w:rsid w:val="00072A73"/>
    <w:rsid w:val="00097B51"/>
    <w:rsid w:val="000A0074"/>
    <w:rsid w:val="000A20BB"/>
    <w:rsid w:val="000B0605"/>
    <w:rsid w:val="000E6E1D"/>
    <w:rsid w:val="000E72A7"/>
    <w:rsid w:val="000F3289"/>
    <w:rsid w:val="001132E2"/>
    <w:rsid w:val="00115792"/>
    <w:rsid w:val="00124B83"/>
    <w:rsid w:val="00124D68"/>
    <w:rsid w:val="001311EE"/>
    <w:rsid w:val="001326A2"/>
    <w:rsid w:val="0014567D"/>
    <w:rsid w:val="00150D16"/>
    <w:rsid w:val="001576F3"/>
    <w:rsid w:val="00163D73"/>
    <w:rsid w:val="00170B7E"/>
    <w:rsid w:val="0017491C"/>
    <w:rsid w:val="00186330"/>
    <w:rsid w:val="001937E2"/>
    <w:rsid w:val="001A5A22"/>
    <w:rsid w:val="001B43E0"/>
    <w:rsid w:val="001B4B26"/>
    <w:rsid w:val="001B722C"/>
    <w:rsid w:val="001C42BA"/>
    <w:rsid w:val="001D7752"/>
    <w:rsid w:val="001E17B9"/>
    <w:rsid w:val="001E505F"/>
    <w:rsid w:val="002033EF"/>
    <w:rsid w:val="0022031B"/>
    <w:rsid w:val="002264DF"/>
    <w:rsid w:val="00231FD0"/>
    <w:rsid w:val="002331F3"/>
    <w:rsid w:val="002368CA"/>
    <w:rsid w:val="00297D76"/>
    <w:rsid w:val="002A4C65"/>
    <w:rsid w:val="002D256E"/>
    <w:rsid w:val="002D36CB"/>
    <w:rsid w:val="002E0E2D"/>
    <w:rsid w:val="00311966"/>
    <w:rsid w:val="00312990"/>
    <w:rsid w:val="00340B1E"/>
    <w:rsid w:val="0034352F"/>
    <w:rsid w:val="00393BB9"/>
    <w:rsid w:val="00394114"/>
    <w:rsid w:val="003C3827"/>
    <w:rsid w:val="003D3786"/>
    <w:rsid w:val="003D5F01"/>
    <w:rsid w:val="003E149E"/>
    <w:rsid w:val="003E1FF4"/>
    <w:rsid w:val="003F2E9C"/>
    <w:rsid w:val="00402B3F"/>
    <w:rsid w:val="00410910"/>
    <w:rsid w:val="004278E2"/>
    <w:rsid w:val="004323EF"/>
    <w:rsid w:val="00443FD8"/>
    <w:rsid w:val="00447431"/>
    <w:rsid w:val="004506C3"/>
    <w:rsid w:val="00461C41"/>
    <w:rsid w:val="0046416A"/>
    <w:rsid w:val="00486121"/>
    <w:rsid w:val="00487CB0"/>
    <w:rsid w:val="004923DF"/>
    <w:rsid w:val="0049600C"/>
    <w:rsid w:val="004A01B7"/>
    <w:rsid w:val="004A3D14"/>
    <w:rsid w:val="004D530D"/>
    <w:rsid w:val="004E15FA"/>
    <w:rsid w:val="004E7304"/>
    <w:rsid w:val="004F3AEC"/>
    <w:rsid w:val="00521361"/>
    <w:rsid w:val="00522666"/>
    <w:rsid w:val="0052485C"/>
    <w:rsid w:val="00524D10"/>
    <w:rsid w:val="00526956"/>
    <w:rsid w:val="00531B99"/>
    <w:rsid w:val="00544FC3"/>
    <w:rsid w:val="005552EF"/>
    <w:rsid w:val="00563072"/>
    <w:rsid w:val="005737D3"/>
    <w:rsid w:val="00573D14"/>
    <w:rsid w:val="0058387C"/>
    <w:rsid w:val="00587B46"/>
    <w:rsid w:val="005968F5"/>
    <w:rsid w:val="005A47DE"/>
    <w:rsid w:val="005A4AA8"/>
    <w:rsid w:val="005B25FF"/>
    <w:rsid w:val="005C69DC"/>
    <w:rsid w:val="005E2B32"/>
    <w:rsid w:val="005F1D88"/>
    <w:rsid w:val="006246E5"/>
    <w:rsid w:val="006403CC"/>
    <w:rsid w:val="00644BB9"/>
    <w:rsid w:val="00647A95"/>
    <w:rsid w:val="00651F05"/>
    <w:rsid w:val="00653891"/>
    <w:rsid w:val="0069217C"/>
    <w:rsid w:val="00693FAF"/>
    <w:rsid w:val="006973EB"/>
    <w:rsid w:val="006A1F6A"/>
    <w:rsid w:val="006A5F4B"/>
    <w:rsid w:val="006A7444"/>
    <w:rsid w:val="006B48A2"/>
    <w:rsid w:val="006D7051"/>
    <w:rsid w:val="006F4508"/>
    <w:rsid w:val="00712BA0"/>
    <w:rsid w:val="00713015"/>
    <w:rsid w:val="00715FC5"/>
    <w:rsid w:val="00716CFD"/>
    <w:rsid w:val="00717FCB"/>
    <w:rsid w:val="00725D4D"/>
    <w:rsid w:val="007376F4"/>
    <w:rsid w:val="00762643"/>
    <w:rsid w:val="007718E3"/>
    <w:rsid w:val="00783571"/>
    <w:rsid w:val="00796CF1"/>
    <w:rsid w:val="00803D6A"/>
    <w:rsid w:val="00804A04"/>
    <w:rsid w:val="008125BD"/>
    <w:rsid w:val="008136EB"/>
    <w:rsid w:val="00813C1C"/>
    <w:rsid w:val="0083659B"/>
    <w:rsid w:val="008447ED"/>
    <w:rsid w:val="008508F0"/>
    <w:rsid w:val="00882D1C"/>
    <w:rsid w:val="008C37A2"/>
    <w:rsid w:val="008C3A97"/>
    <w:rsid w:val="008C52C7"/>
    <w:rsid w:val="008C7E9D"/>
    <w:rsid w:val="008F0063"/>
    <w:rsid w:val="008F57B3"/>
    <w:rsid w:val="0095693A"/>
    <w:rsid w:val="00957EF3"/>
    <w:rsid w:val="0096792E"/>
    <w:rsid w:val="009732FB"/>
    <w:rsid w:val="0097760C"/>
    <w:rsid w:val="0098722B"/>
    <w:rsid w:val="009B412E"/>
    <w:rsid w:val="009C01E0"/>
    <w:rsid w:val="009C2430"/>
    <w:rsid w:val="009D6AA4"/>
    <w:rsid w:val="009D77CB"/>
    <w:rsid w:val="009E4D3B"/>
    <w:rsid w:val="00A37C15"/>
    <w:rsid w:val="00A67D67"/>
    <w:rsid w:val="00A732B8"/>
    <w:rsid w:val="00A76263"/>
    <w:rsid w:val="00A83081"/>
    <w:rsid w:val="00A87C80"/>
    <w:rsid w:val="00AC24D2"/>
    <w:rsid w:val="00AE34B9"/>
    <w:rsid w:val="00AE39B6"/>
    <w:rsid w:val="00B04EB8"/>
    <w:rsid w:val="00B067B1"/>
    <w:rsid w:val="00B11630"/>
    <w:rsid w:val="00B23263"/>
    <w:rsid w:val="00B43376"/>
    <w:rsid w:val="00B6386D"/>
    <w:rsid w:val="00B70598"/>
    <w:rsid w:val="00B76CF4"/>
    <w:rsid w:val="00B91889"/>
    <w:rsid w:val="00BB7945"/>
    <w:rsid w:val="00BE5474"/>
    <w:rsid w:val="00C12AFD"/>
    <w:rsid w:val="00C2355E"/>
    <w:rsid w:val="00C24E16"/>
    <w:rsid w:val="00C34845"/>
    <w:rsid w:val="00C45B26"/>
    <w:rsid w:val="00C56158"/>
    <w:rsid w:val="00C812F6"/>
    <w:rsid w:val="00CA0770"/>
    <w:rsid w:val="00CA6428"/>
    <w:rsid w:val="00CC0D31"/>
    <w:rsid w:val="00CC2580"/>
    <w:rsid w:val="00CF0136"/>
    <w:rsid w:val="00CF12E0"/>
    <w:rsid w:val="00D167C4"/>
    <w:rsid w:val="00D2736F"/>
    <w:rsid w:val="00D54749"/>
    <w:rsid w:val="00D67E81"/>
    <w:rsid w:val="00D83200"/>
    <w:rsid w:val="00DA2041"/>
    <w:rsid w:val="00DA770F"/>
    <w:rsid w:val="00DB4103"/>
    <w:rsid w:val="00DD1E44"/>
    <w:rsid w:val="00DD249C"/>
    <w:rsid w:val="00DD767D"/>
    <w:rsid w:val="00DE73CA"/>
    <w:rsid w:val="00DF1087"/>
    <w:rsid w:val="00DF39C8"/>
    <w:rsid w:val="00DF441F"/>
    <w:rsid w:val="00E205CB"/>
    <w:rsid w:val="00E459F5"/>
    <w:rsid w:val="00E479C9"/>
    <w:rsid w:val="00E57FAA"/>
    <w:rsid w:val="00E70194"/>
    <w:rsid w:val="00E7288E"/>
    <w:rsid w:val="00E7623D"/>
    <w:rsid w:val="00E77B9C"/>
    <w:rsid w:val="00E80E8A"/>
    <w:rsid w:val="00E81668"/>
    <w:rsid w:val="00EA0DD5"/>
    <w:rsid w:val="00EB02BE"/>
    <w:rsid w:val="00F059F5"/>
    <w:rsid w:val="00F1354F"/>
    <w:rsid w:val="00F2784B"/>
    <w:rsid w:val="00F5325A"/>
    <w:rsid w:val="00F53B84"/>
    <w:rsid w:val="00F734F6"/>
    <w:rsid w:val="00F81C7C"/>
    <w:rsid w:val="00FA5ACB"/>
    <w:rsid w:val="00FA7857"/>
    <w:rsid w:val="00FC2749"/>
    <w:rsid w:val="00FC2F2F"/>
    <w:rsid w:val="00FC302E"/>
    <w:rsid w:val="62227B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after="0" w:line="240" w:lineRule="auto"/>
    </w:pPr>
    <w:rPr>
      <w:rFonts w:ascii="Times New Roman" w:hAnsi="Times New Roman" w:eastAsia="Times New Roman" w:cs="Times New Roman"/>
      <w:sz w:val="22"/>
      <w:szCs w:val="22"/>
      <w:lang w:val="ms" w:eastAsia="en-US" w:bidi="ar-SA"/>
    </w:rPr>
  </w:style>
  <w:style w:type="paragraph" w:styleId="2">
    <w:name w:val="heading 1"/>
    <w:basedOn w:val="1"/>
    <w:next w:val="1"/>
    <w:link w:val="14"/>
    <w:qFormat/>
    <w:uiPriority w:val="1"/>
    <w:pPr>
      <w:keepNext/>
      <w:keepLines/>
      <w:spacing w:before="360" w:after="80"/>
      <w:outlineLvl w:val="0"/>
    </w:pPr>
    <w:rPr>
      <w:rFonts w:asciiTheme="majorHAnsi" w:hAnsiTheme="majorHAnsi" w:eastAsiaTheme="majorEastAsia" w:cstheme="majorBidi"/>
      <w:color w:val="376092" w:themeColor="accent1" w:themeShade="BF"/>
      <w:sz w:val="40"/>
      <w:szCs w:val="40"/>
    </w:rPr>
  </w:style>
  <w:style w:type="paragraph" w:styleId="3">
    <w:name w:val="heading 2"/>
    <w:basedOn w:val="1"/>
    <w:next w:val="1"/>
    <w:link w:val="20"/>
    <w:semiHidden/>
    <w:unhideWhenUsed/>
    <w:qFormat/>
    <w:uiPriority w:val="9"/>
    <w:pPr>
      <w:keepNext/>
      <w:keepLines/>
      <w:spacing w:before="20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default="1" w:styleId="4">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6">
    <w:name w:val="Balloon Text"/>
    <w:basedOn w:val="1"/>
    <w:link w:val="18"/>
    <w:semiHidden/>
    <w:unhideWhenUsed/>
    <w:qFormat/>
    <w:uiPriority w:val="99"/>
    <w:rPr>
      <w:rFonts w:ascii="Tahoma" w:hAnsi="Tahoma" w:cs="Tahoma"/>
      <w:sz w:val="16"/>
      <w:szCs w:val="16"/>
    </w:rPr>
  </w:style>
  <w:style w:type="paragraph" w:styleId="7">
    <w:name w:val="Body Text"/>
    <w:basedOn w:val="1"/>
    <w:link w:val="15"/>
    <w:qFormat/>
    <w:uiPriority w:val="1"/>
    <w:rPr>
      <w:sz w:val="24"/>
      <w:szCs w:val="24"/>
    </w:rPr>
  </w:style>
  <w:style w:type="paragraph" w:styleId="8">
    <w:name w:val="footer"/>
    <w:basedOn w:val="1"/>
    <w:link w:val="16"/>
    <w:unhideWhenUsed/>
    <w:qFormat/>
    <w:uiPriority w:val="99"/>
    <w:pPr>
      <w:tabs>
        <w:tab w:val="center" w:pos="4513"/>
        <w:tab w:val="right" w:pos="9026"/>
      </w:tabs>
    </w:pPr>
  </w:style>
  <w:style w:type="paragraph" w:styleId="9">
    <w:name w:val="header"/>
    <w:basedOn w:val="1"/>
    <w:link w:val="17"/>
    <w:unhideWhenUsed/>
    <w:qFormat/>
    <w:uiPriority w:val="99"/>
    <w:pPr>
      <w:tabs>
        <w:tab w:val="center" w:pos="4513"/>
        <w:tab w:val="right" w:pos="9026"/>
      </w:tabs>
    </w:pPr>
  </w:style>
  <w:style w:type="character" w:styleId="10">
    <w:name w:val="Hyperlink"/>
    <w:basedOn w:val="4"/>
    <w:unhideWhenUsed/>
    <w:qFormat/>
    <w:uiPriority w:val="99"/>
    <w:rPr>
      <w:color w:val="0000FF" w:themeColor="hyperlink"/>
      <w:u w:val="single"/>
      <w14:textFill>
        <w14:solidFill>
          <w14:schemeClr w14:val="hlink"/>
        </w14:solidFill>
      </w14:textFill>
    </w:rPr>
  </w:style>
  <w:style w:type="paragraph" w:styleId="11">
    <w:name w:val="toc 1"/>
    <w:basedOn w:val="1"/>
    <w:qFormat/>
    <w:uiPriority w:val="39"/>
    <w:pPr>
      <w:spacing w:before="282" w:line="273" w:lineRule="exact"/>
      <w:ind w:left="568"/>
    </w:pPr>
    <w:rPr>
      <w:b/>
      <w:bCs/>
      <w:sz w:val="24"/>
      <w:szCs w:val="24"/>
    </w:rPr>
  </w:style>
  <w:style w:type="paragraph" w:styleId="12">
    <w:name w:val="toc 2"/>
    <w:basedOn w:val="1"/>
    <w:qFormat/>
    <w:uiPriority w:val="39"/>
    <w:pPr>
      <w:ind w:left="568"/>
    </w:pPr>
    <w:rPr>
      <w:b/>
      <w:bCs/>
      <w:sz w:val="24"/>
      <w:szCs w:val="24"/>
    </w:rPr>
  </w:style>
  <w:style w:type="paragraph" w:styleId="13">
    <w:name w:val="toc 3"/>
    <w:basedOn w:val="1"/>
    <w:next w:val="1"/>
    <w:autoRedefine/>
    <w:semiHidden/>
    <w:unhideWhenUsed/>
    <w:qFormat/>
    <w:uiPriority w:val="39"/>
    <w:pPr>
      <w:spacing w:after="100"/>
      <w:ind w:left="440"/>
    </w:pPr>
  </w:style>
  <w:style w:type="character" w:customStyle="1" w:styleId="14">
    <w:name w:val="Heading 1 Char"/>
    <w:basedOn w:val="4"/>
    <w:link w:val="2"/>
    <w:qFormat/>
    <w:uiPriority w:val="9"/>
    <w:rPr>
      <w:rFonts w:asciiTheme="majorHAnsi" w:hAnsiTheme="majorHAnsi" w:eastAsiaTheme="majorEastAsia" w:cstheme="majorBidi"/>
      <w:color w:val="376092" w:themeColor="accent1" w:themeShade="BF"/>
      <w:sz w:val="40"/>
      <w:szCs w:val="40"/>
      <w:lang w:val="ms"/>
    </w:rPr>
  </w:style>
  <w:style w:type="character" w:customStyle="1" w:styleId="15">
    <w:name w:val="Body Text Char"/>
    <w:basedOn w:val="4"/>
    <w:link w:val="7"/>
    <w:qFormat/>
    <w:uiPriority w:val="1"/>
    <w:rPr>
      <w:rFonts w:ascii="Times New Roman" w:hAnsi="Times New Roman" w:eastAsia="Times New Roman" w:cs="Times New Roman"/>
      <w:sz w:val="24"/>
      <w:szCs w:val="24"/>
      <w:lang w:val="ms"/>
    </w:rPr>
  </w:style>
  <w:style w:type="character" w:customStyle="1" w:styleId="16">
    <w:name w:val="Footer Char"/>
    <w:basedOn w:val="4"/>
    <w:link w:val="8"/>
    <w:qFormat/>
    <w:uiPriority w:val="99"/>
    <w:rPr>
      <w:rFonts w:ascii="Times New Roman" w:hAnsi="Times New Roman" w:eastAsia="Times New Roman" w:cs="Times New Roman"/>
      <w:lang w:val="ms"/>
    </w:rPr>
  </w:style>
  <w:style w:type="character" w:customStyle="1" w:styleId="17">
    <w:name w:val="Header Char"/>
    <w:basedOn w:val="4"/>
    <w:link w:val="9"/>
    <w:qFormat/>
    <w:uiPriority w:val="99"/>
    <w:rPr>
      <w:rFonts w:ascii="Times New Roman" w:hAnsi="Times New Roman" w:eastAsia="Times New Roman" w:cs="Times New Roman"/>
      <w:lang w:val="ms"/>
    </w:rPr>
  </w:style>
  <w:style w:type="character" w:customStyle="1" w:styleId="18">
    <w:name w:val="Balloon Text Char"/>
    <w:basedOn w:val="4"/>
    <w:link w:val="6"/>
    <w:semiHidden/>
    <w:qFormat/>
    <w:uiPriority w:val="99"/>
    <w:rPr>
      <w:rFonts w:ascii="Tahoma" w:hAnsi="Tahoma" w:eastAsia="Times New Roman" w:cs="Tahoma"/>
      <w:sz w:val="16"/>
      <w:szCs w:val="16"/>
      <w:lang w:val="ms"/>
    </w:rPr>
  </w:style>
  <w:style w:type="paragraph" w:styleId="19">
    <w:name w:val="List Paragraph"/>
    <w:basedOn w:val="1"/>
    <w:qFormat/>
    <w:uiPriority w:val="34"/>
    <w:pPr>
      <w:ind w:left="720"/>
      <w:contextualSpacing/>
    </w:pPr>
  </w:style>
  <w:style w:type="character" w:customStyle="1" w:styleId="20">
    <w:name w:val="Heading 2 Char"/>
    <w:basedOn w:val="4"/>
    <w:link w:val="3"/>
    <w:semiHidden/>
    <w:qFormat/>
    <w:uiPriority w:val="9"/>
    <w:rPr>
      <w:rFonts w:asciiTheme="majorHAnsi" w:hAnsiTheme="majorHAnsi" w:eastAsiaTheme="majorEastAsia" w:cstheme="majorBidi"/>
      <w:b/>
      <w:bCs/>
      <w:color w:val="4F81BD" w:themeColor="accent1"/>
      <w:sz w:val="26"/>
      <w:szCs w:val="26"/>
      <w:lang w:val="ms"/>
      <w14:textFill>
        <w14:solidFill>
          <w14:schemeClr w14:val="accent1"/>
        </w14:solidFill>
      </w14:textFill>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2.xml"/><Relationship Id="rId11" Type="http://schemas.openxmlformats.org/officeDocument/2006/relationships/header" Target="header6.xml"/><Relationship Id="rId10" Type="http://schemas.openxmlformats.org/officeDocument/2006/relationships/header" Target="header5.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60"/>
    <customShpInfo spid="_x0000_s2059"/>
    <customShpInfo spid="_x0000_s2058"/>
    <customShpInfo spid="_x0000_s2054"/>
    <customShpInfo spid="_x0000_s2053"/>
    <customShpInfo spid="_x0000_s205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706</Words>
  <Characters>4827</Characters>
  <Lines>39</Lines>
  <Paragraphs>11</Paragraphs>
  <TotalTime>0</TotalTime>
  <ScaleCrop>false</ScaleCrop>
  <LinksUpToDate>false</LinksUpToDate>
  <CharactersWithSpaces>5519</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2026-09-09T05:51:00Z</dcterms:created>
  <dc:creator>OPERATOR</dc:creator>
  <cp:lastModifiedBy>Administrator</cp:lastModifiedBy>
  <dcterms:modified xsi:type="dcterms:W3CDTF">2026-09-10T04:38:54Z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0E12452285154210BDFC246040BE03D8_13</vt:lpwstr>
  </property>
</Properties>
</file>