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C4176">
      <w:pPr>
        <w:pStyle w:val="2"/>
        <w:spacing w:before="0" w:after="0" w:line="360" w:lineRule="auto"/>
        <w:jc w:val="center"/>
        <w:rPr>
          <w:rFonts w:ascii="Times New Roman" w:hAnsi="Times New Roman" w:cs="Times New Roman"/>
          <w:color w:val="auto"/>
          <w:sz w:val="24"/>
          <w:szCs w:val="24"/>
        </w:rPr>
      </w:pPr>
      <w:bookmarkStart w:id="9" w:name="_GoBack"/>
      <w:bookmarkEnd w:id="9"/>
      <w:bookmarkStart w:id="0" w:name="_Toc230017848"/>
      <w:r>
        <w:rPr>
          <w:rFonts w:ascii="Times New Roman" w:hAnsi="Times New Roman" w:cs="Times New Roman"/>
          <w:b/>
          <w:bCs/>
          <w:color w:val="auto"/>
          <w:sz w:val="24"/>
          <w:szCs w:val="24"/>
        </w:rPr>
        <w:t>BAB II</w:t>
      </w:r>
      <w:bookmarkEnd w:id="0"/>
    </w:p>
    <w:p w14:paraId="24BD09D1">
      <w:pPr>
        <w:pStyle w:val="2"/>
        <w:spacing w:before="0" w:after="0" w:line="360" w:lineRule="auto"/>
        <w:jc w:val="center"/>
        <w:rPr>
          <w:b/>
          <w:bCs/>
          <w:sz w:val="24"/>
          <w:szCs w:val="24"/>
        </w:rPr>
      </w:pPr>
      <w:bookmarkStart w:id="1" w:name="_Toc228363710"/>
      <w:bookmarkStart w:id="2" w:name="_Toc230017849"/>
      <w:r>
        <w:rPr>
          <w:rFonts w:ascii="Times New Roman" w:hAnsi="Times New Roman" w:cs="Times New Roman"/>
          <w:b/>
          <w:bCs/>
          <w:color w:val="auto"/>
          <w:sz w:val="24"/>
          <w:szCs w:val="24"/>
        </w:rPr>
        <w:t>TINJAUAN PUSTAKA</w:t>
      </w:r>
      <w:bookmarkEnd w:id="1"/>
      <w:bookmarkEnd w:id="2"/>
    </w:p>
    <w:p w14:paraId="0DFD5ED7">
      <w:pPr>
        <w:spacing w:line="360" w:lineRule="auto"/>
        <w:jc w:val="both"/>
        <w:rPr>
          <w:sz w:val="24"/>
          <w:szCs w:val="24"/>
        </w:rPr>
      </w:pPr>
      <w:r>
        <w:rPr>
          <w:sz w:val="24"/>
          <w:szCs w:val="24"/>
        </w:rPr>
        <w:t xml:space="preserve"> </w:t>
      </w:r>
    </w:p>
    <w:p w14:paraId="71F7F31C">
      <w:pPr>
        <w:pStyle w:val="19"/>
        <w:numPr>
          <w:ilvl w:val="0"/>
          <w:numId w:val="1"/>
        </w:numPr>
        <w:spacing w:line="360" w:lineRule="auto"/>
        <w:ind w:left="284" w:hanging="284"/>
        <w:jc w:val="both"/>
        <w:outlineLvl w:val="1"/>
        <w:rPr>
          <w:b/>
          <w:sz w:val="24"/>
          <w:szCs w:val="24"/>
          <w:lang w:val="id-ID"/>
        </w:rPr>
      </w:pPr>
      <w:bookmarkStart w:id="3" w:name="_Toc230017850"/>
      <w:r>
        <w:rPr>
          <w:b/>
          <w:sz w:val="24"/>
          <w:szCs w:val="24"/>
        </w:rPr>
        <w:t>Konsep Dasar Dan Asas Penyelenggaraan Pemilu</w:t>
      </w:r>
      <w:bookmarkEnd w:id="3"/>
    </w:p>
    <w:p w14:paraId="3C5D125E">
      <w:pPr>
        <w:spacing w:line="360" w:lineRule="auto"/>
        <w:ind w:firstLine="284"/>
        <w:jc w:val="both"/>
        <w:rPr>
          <w:sz w:val="24"/>
          <w:szCs w:val="24"/>
        </w:rPr>
      </w:pPr>
      <w:r>
        <w:rPr>
          <w:sz w:val="24"/>
          <w:szCs w:val="24"/>
        </w:rPr>
        <w:t>Pemilu diselenggarakan berdasarkan asas LUBER JURDIL. Setiap tahapan harus diawasi ketat agar hasilnya dapat dipertanggungjawabkan dan mencerminkan kehendak rakyat yang sebenarnya.</w:t>
      </w:r>
    </w:p>
    <w:p w14:paraId="13ACD43A">
      <w:pPr>
        <w:spacing w:line="360" w:lineRule="auto"/>
        <w:ind w:firstLine="284"/>
        <w:jc w:val="both"/>
        <w:rPr>
          <w:sz w:val="24"/>
          <w:szCs w:val="24"/>
          <w:lang w:val="en-US"/>
        </w:rPr>
      </w:pPr>
      <w:r>
        <w:rPr>
          <w:sz w:val="24"/>
          <w:szCs w:val="24"/>
          <w:lang w:val="en-US"/>
        </w:rPr>
        <w:t>Adapun makna dari LUBER JURDIL yang terdapat dalam UUD 1945 Pasal 22E ayat (1) dan Pasal 2 Undang Undang Nomor 7 tahun 2017 tentang Pemilu yaitu :</w:t>
      </w:r>
    </w:p>
    <w:p w14:paraId="0D0722B7">
      <w:pPr>
        <w:spacing w:line="360" w:lineRule="auto"/>
        <w:jc w:val="both"/>
        <w:rPr>
          <w:sz w:val="24"/>
          <w:szCs w:val="24"/>
          <w:lang w:val="zh-CN"/>
        </w:rPr>
      </w:pPr>
      <w:r>
        <w:rPr>
          <w:sz w:val="24"/>
          <w:szCs w:val="24"/>
          <w:lang w:val="zh-CN"/>
        </w:rPr>
        <w:t xml:space="preserve">LUBER </w:t>
      </w:r>
    </w:p>
    <w:p w14:paraId="34A839BE">
      <w:pPr>
        <w:pStyle w:val="19"/>
        <w:numPr>
          <w:ilvl w:val="0"/>
          <w:numId w:val="2"/>
        </w:numPr>
        <w:tabs>
          <w:tab w:val="clear" w:pos="720"/>
        </w:tabs>
        <w:spacing w:line="360" w:lineRule="auto"/>
        <w:ind w:left="567" w:hanging="283"/>
        <w:jc w:val="both"/>
        <w:rPr>
          <w:sz w:val="24"/>
          <w:szCs w:val="24"/>
          <w:lang w:val="zh-CN"/>
        </w:rPr>
      </w:pPr>
      <w:r>
        <w:rPr>
          <w:sz w:val="24"/>
          <w:szCs w:val="24"/>
          <w:lang w:val="zh-CN"/>
        </w:rPr>
        <w:t>Langsung: Rakyat sebagai pemilih memiliki hak untuk memberikan suaranya secara langsung sesuai dengan surat hatinya tanpa perantara.</w:t>
      </w:r>
    </w:p>
    <w:p w14:paraId="7256B5C9">
      <w:pPr>
        <w:numPr>
          <w:ilvl w:val="0"/>
          <w:numId w:val="2"/>
        </w:numPr>
        <w:tabs>
          <w:tab w:val="clear" w:pos="720"/>
        </w:tabs>
        <w:spacing w:line="360" w:lineRule="auto"/>
        <w:ind w:left="567" w:hanging="283"/>
        <w:jc w:val="both"/>
        <w:rPr>
          <w:sz w:val="24"/>
          <w:szCs w:val="24"/>
          <w:lang w:val="zh-CN"/>
        </w:rPr>
      </w:pPr>
      <w:r>
        <w:rPr>
          <w:sz w:val="24"/>
          <w:szCs w:val="24"/>
          <w:lang w:val="zh-CN"/>
        </w:rPr>
        <w:t>Umum: Pemilu berlaku bagi seluruh warga negara yang sudah memenuhi syarat, tanpa membedakan suku, agama, ras, golongan, jenis kelamin, maupun status sosial.</w:t>
      </w:r>
    </w:p>
    <w:p w14:paraId="3C825274">
      <w:pPr>
        <w:numPr>
          <w:ilvl w:val="0"/>
          <w:numId w:val="2"/>
        </w:numPr>
        <w:tabs>
          <w:tab w:val="clear" w:pos="720"/>
        </w:tabs>
        <w:spacing w:line="360" w:lineRule="auto"/>
        <w:ind w:left="567" w:hanging="283"/>
        <w:jc w:val="both"/>
        <w:rPr>
          <w:sz w:val="24"/>
          <w:szCs w:val="24"/>
          <w:lang w:val="zh-CN"/>
        </w:rPr>
      </w:pPr>
      <w:r>
        <w:rPr>
          <w:sz w:val="24"/>
          <w:szCs w:val="24"/>
          <w:lang w:val="zh-CN"/>
        </w:rPr>
        <w:t>Bebas: Setiap warga negara bebas menentukan pilihannya tanpa ada tekanan, paksaan, atau intimidasi dari pihak mana pun.</w:t>
      </w:r>
    </w:p>
    <w:p w14:paraId="55E4B187">
      <w:pPr>
        <w:numPr>
          <w:ilvl w:val="0"/>
          <w:numId w:val="2"/>
        </w:numPr>
        <w:tabs>
          <w:tab w:val="clear" w:pos="720"/>
        </w:tabs>
        <w:spacing w:line="360" w:lineRule="auto"/>
        <w:ind w:left="567" w:hanging="283"/>
        <w:jc w:val="both"/>
        <w:rPr>
          <w:sz w:val="24"/>
          <w:szCs w:val="24"/>
          <w:lang w:val="zh-CN"/>
        </w:rPr>
      </w:pPr>
      <w:r>
        <w:rPr>
          <w:sz w:val="24"/>
          <w:szCs w:val="24"/>
          <w:lang w:val="zh-CN"/>
        </w:rPr>
        <w:t>Rahasia: Suara yang diberikan oleh pemilih bersifat tertutup dan dijamin tidak akan diketahui oleh siapa pun melalui cara apa pun.</w:t>
      </w:r>
    </w:p>
    <w:p w14:paraId="49BDFEFB">
      <w:pPr>
        <w:spacing w:line="360" w:lineRule="auto"/>
        <w:jc w:val="both"/>
        <w:rPr>
          <w:sz w:val="24"/>
          <w:szCs w:val="24"/>
          <w:lang w:val="zh-CN"/>
        </w:rPr>
      </w:pPr>
      <w:r>
        <w:rPr>
          <w:sz w:val="24"/>
          <w:szCs w:val="24"/>
          <w:lang w:val="zh-CN"/>
        </w:rPr>
        <w:t>JURDIL</w:t>
      </w:r>
    </w:p>
    <w:p w14:paraId="2FE7AA1A">
      <w:pPr>
        <w:pStyle w:val="19"/>
        <w:numPr>
          <w:ilvl w:val="0"/>
          <w:numId w:val="3"/>
        </w:numPr>
        <w:tabs>
          <w:tab w:val="clear" w:pos="720"/>
        </w:tabs>
        <w:spacing w:line="360" w:lineRule="auto"/>
        <w:ind w:left="567" w:hanging="283"/>
        <w:jc w:val="both"/>
        <w:rPr>
          <w:sz w:val="24"/>
          <w:szCs w:val="24"/>
          <w:lang w:val="zh-CN"/>
        </w:rPr>
      </w:pPr>
      <w:r>
        <w:rPr>
          <w:sz w:val="24"/>
          <w:szCs w:val="24"/>
          <w:lang w:val="zh-CN"/>
        </w:rPr>
        <w:t>Jujur: Semua pihak yang terlibat dalam Pemilu (penyelenggara, aparat, peserta, hingga pemilih) harus bertindak jujur sesuai dengan peraturan yang berlaku.</w:t>
      </w:r>
    </w:p>
    <w:p w14:paraId="2D2CEC55">
      <w:pPr>
        <w:numPr>
          <w:ilvl w:val="0"/>
          <w:numId w:val="3"/>
        </w:numPr>
        <w:tabs>
          <w:tab w:val="clear" w:pos="720"/>
        </w:tabs>
        <w:spacing w:line="360" w:lineRule="auto"/>
        <w:ind w:left="567" w:hanging="283"/>
        <w:jc w:val="both"/>
        <w:rPr>
          <w:sz w:val="24"/>
          <w:szCs w:val="24"/>
          <w:lang w:val="zh-CN"/>
        </w:rPr>
      </w:pPr>
      <w:r>
        <w:rPr>
          <w:sz w:val="24"/>
          <w:szCs w:val="24"/>
          <w:lang w:val="zh-CN"/>
        </w:rPr>
        <w:t>Adil: Setiap pemilih dan peserta Pemilu (partai politik atau calon) mendapatkan perlakuan yang sama serta bebas dari kecurangan dari pihak mana pun.</w:t>
      </w:r>
    </w:p>
    <w:p w14:paraId="3DBCA153">
      <w:pPr>
        <w:spacing w:line="360" w:lineRule="auto"/>
        <w:jc w:val="both"/>
        <w:rPr>
          <w:sz w:val="24"/>
          <w:szCs w:val="24"/>
          <w:lang w:val="en-US"/>
        </w:rPr>
      </w:pPr>
    </w:p>
    <w:p w14:paraId="79714D2E">
      <w:pPr>
        <w:pStyle w:val="19"/>
        <w:numPr>
          <w:ilvl w:val="0"/>
          <w:numId w:val="1"/>
        </w:numPr>
        <w:spacing w:line="360" w:lineRule="auto"/>
        <w:ind w:left="284" w:hanging="284"/>
        <w:jc w:val="both"/>
        <w:outlineLvl w:val="1"/>
        <w:rPr>
          <w:b/>
          <w:sz w:val="24"/>
          <w:szCs w:val="24"/>
        </w:rPr>
      </w:pPr>
      <w:bookmarkStart w:id="4" w:name="_Toc230017851"/>
      <w:r>
        <w:rPr>
          <w:b/>
          <w:sz w:val="24"/>
          <w:szCs w:val="24"/>
        </w:rPr>
        <w:t>Tugas, wewenang dan kewajiban PPK</w:t>
      </w:r>
      <w:bookmarkEnd w:id="4"/>
    </w:p>
    <w:p w14:paraId="78F7D9FB">
      <w:pPr>
        <w:spacing w:line="360" w:lineRule="auto"/>
        <w:jc w:val="both"/>
        <w:rPr>
          <w:sz w:val="24"/>
          <w:szCs w:val="24"/>
        </w:rPr>
      </w:pPr>
      <w:r>
        <w:rPr>
          <w:sz w:val="24"/>
          <w:szCs w:val="24"/>
        </w:rPr>
        <w:t xml:space="preserve"> PPK bertugas :</w:t>
      </w:r>
    </w:p>
    <w:p w14:paraId="30402BC2">
      <w:pPr>
        <w:pStyle w:val="19"/>
        <w:numPr>
          <w:ilvl w:val="3"/>
          <w:numId w:val="1"/>
        </w:numPr>
        <w:spacing w:line="360" w:lineRule="auto"/>
        <w:ind w:left="567" w:hanging="284"/>
        <w:jc w:val="both"/>
        <w:rPr>
          <w:sz w:val="24"/>
          <w:szCs w:val="24"/>
          <w:lang w:val="id-ID"/>
        </w:rPr>
        <w:sectPr>
          <w:headerReference r:id="rId7" w:type="first"/>
          <w:headerReference r:id="rId5" w:type="default"/>
          <w:footerReference r:id="rId8" w:type="default"/>
          <w:headerReference r:id="rId6" w:type="even"/>
          <w:pgSz w:w="11910" w:h="16840"/>
          <w:pgMar w:top="1701" w:right="1701" w:bottom="1701" w:left="2268" w:header="709" w:footer="709" w:gutter="0"/>
          <w:cols w:space="708" w:num="1"/>
          <w:docGrid w:linePitch="360" w:charSpace="0"/>
        </w:sectPr>
      </w:pPr>
      <w:r>
        <w:rPr>
          <w:sz w:val="24"/>
          <w:szCs w:val="24"/>
        </w:rPr>
        <w:t>Melaksanakan semua tahapan penyelenggaraan pemilu di tingkat kecamatan yang telah ditetapkan oleh KPU, KPU Provinsi, dan KPU Kabupaten/Kota</w:t>
      </w:r>
      <w:r>
        <w:rPr>
          <w:sz w:val="24"/>
          <w:szCs w:val="24"/>
          <w:lang w:val="id-ID"/>
        </w:rPr>
        <w:t>.</w:t>
      </w:r>
    </w:p>
    <w:p w14:paraId="7D7090FD">
      <w:pPr>
        <w:pStyle w:val="19"/>
        <w:numPr>
          <w:ilvl w:val="3"/>
          <w:numId w:val="1"/>
        </w:numPr>
        <w:spacing w:line="360" w:lineRule="auto"/>
        <w:ind w:left="567" w:hanging="284"/>
        <w:jc w:val="both"/>
        <w:rPr>
          <w:sz w:val="24"/>
          <w:szCs w:val="24"/>
        </w:rPr>
      </w:pPr>
      <w:r>
        <w:rPr>
          <w:sz w:val="24"/>
          <w:szCs w:val="24"/>
        </w:rPr>
        <w:t>Menerima dan menyampaikan daftar pemilih kepada KPU Kabupaten/ Kota.</w:t>
      </w:r>
    </w:p>
    <w:p w14:paraId="1DDB86E6">
      <w:pPr>
        <w:pStyle w:val="19"/>
        <w:numPr>
          <w:ilvl w:val="3"/>
          <w:numId w:val="1"/>
        </w:numPr>
        <w:spacing w:line="360" w:lineRule="auto"/>
        <w:ind w:left="567" w:hanging="284"/>
        <w:jc w:val="both"/>
        <w:rPr>
          <w:sz w:val="24"/>
          <w:szCs w:val="24"/>
        </w:rPr>
      </w:pPr>
      <w:r>
        <w:rPr>
          <w:sz w:val="24"/>
          <w:szCs w:val="24"/>
        </w:rPr>
        <w:t>Melakukan dan mengumumkan rekapitulasi hasil perhitungan suara Pemilu anggota DPR, anggota DPD, Presiden dan Wakil Presiden, anggota DPRD Provinsi. Serta anggota DPRD Kabupaten/Kota di kecamatan yang bersangkutan berdasarkan berita acara haasil perhitungan suara di TPS dan dihadiri oleh saksi peserta Pemilu.</w:t>
      </w:r>
    </w:p>
    <w:p w14:paraId="75CED034">
      <w:pPr>
        <w:pStyle w:val="19"/>
        <w:numPr>
          <w:ilvl w:val="3"/>
          <w:numId w:val="1"/>
        </w:numPr>
        <w:spacing w:line="360" w:lineRule="auto"/>
        <w:ind w:left="567" w:hanging="284"/>
        <w:jc w:val="both"/>
        <w:rPr>
          <w:sz w:val="24"/>
          <w:szCs w:val="24"/>
        </w:rPr>
      </w:pPr>
      <w:r>
        <w:rPr>
          <w:sz w:val="24"/>
          <w:szCs w:val="24"/>
        </w:rPr>
        <w:t>Melakukan evaluasi dan membuat laporan setiap tahapan Penyelenggaraan Pemilu di wilayah kerjanya.</w:t>
      </w:r>
    </w:p>
    <w:p w14:paraId="50B806CF">
      <w:pPr>
        <w:pStyle w:val="19"/>
        <w:numPr>
          <w:ilvl w:val="3"/>
          <w:numId w:val="1"/>
        </w:numPr>
        <w:spacing w:line="360" w:lineRule="auto"/>
        <w:ind w:left="567" w:hanging="284"/>
        <w:jc w:val="both"/>
        <w:rPr>
          <w:sz w:val="24"/>
          <w:szCs w:val="24"/>
        </w:rPr>
      </w:pPr>
      <w:r>
        <w:rPr>
          <w:sz w:val="24"/>
          <w:szCs w:val="24"/>
        </w:rPr>
        <w:t>Melaksanakan sosialisasi penyelenggaraan pemilu dan/atau yang berkaitan dengan tugas dan wewenang PPK kepada masyarakat.</w:t>
      </w:r>
    </w:p>
    <w:p w14:paraId="7C981CBF">
      <w:pPr>
        <w:pStyle w:val="19"/>
        <w:numPr>
          <w:ilvl w:val="3"/>
          <w:numId w:val="1"/>
        </w:numPr>
        <w:spacing w:line="360" w:lineRule="auto"/>
        <w:ind w:left="567" w:hanging="284"/>
        <w:jc w:val="both"/>
        <w:rPr>
          <w:sz w:val="24"/>
          <w:szCs w:val="24"/>
        </w:rPr>
      </w:pPr>
      <w:r>
        <w:rPr>
          <w:sz w:val="24"/>
          <w:szCs w:val="24"/>
        </w:rPr>
        <w:t xml:space="preserve">Melaksanakan tugas lain yang diberikan oleh KPU, KPU Provinsi, KPU Kabupaten/ Kota sesuai dengan ketentuan peraturan perundang-undangan, </w:t>
      </w:r>
    </w:p>
    <w:p w14:paraId="61A82879">
      <w:pPr>
        <w:pStyle w:val="19"/>
        <w:numPr>
          <w:ilvl w:val="3"/>
          <w:numId w:val="1"/>
        </w:numPr>
        <w:spacing w:line="360" w:lineRule="auto"/>
        <w:ind w:left="567" w:hanging="284"/>
        <w:jc w:val="both"/>
        <w:rPr>
          <w:sz w:val="24"/>
          <w:szCs w:val="24"/>
        </w:rPr>
      </w:pPr>
      <w:r>
        <w:rPr>
          <w:sz w:val="24"/>
          <w:szCs w:val="24"/>
        </w:rPr>
        <w:t>Melaksanakan tugas lain sesuai dengan ketentuan peraturan perundang-undangan.</w:t>
      </w:r>
    </w:p>
    <w:p w14:paraId="62B5CFAF">
      <w:pPr>
        <w:spacing w:line="360" w:lineRule="auto"/>
        <w:jc w:val="both"/>
        <w:rPr>
          <w:sz w:val="24"/>
          <w:szCs w:val="24"/>
        </w:rPr>
      </w:pPr>
    </w:p>
    <w:p w14:paraId="571946C8">
      <w:pPr>
        <w:spacing w:line="360" w:lineRule="auto"/>
        <w:jc w:val="both"/>
        <w:rPr>
          <w:sz w:val="24"/>
          <w:szCs w:val="24"/>
        </w:rPr>
      </w:pPr>
      <w:r>
        <w:rPr>
          <w:sz w:val="24"/>
          <w:szCs w:val="24"/>
        </w:rPr>
        <w:t>PPK berwenang</w:t>
      </w:r>
    </w:p>
    <w:p w14:paraId="5281E49D">
      <w:pPr>
        <w:pStyle w:val="19"/>
        <w:numPr>
          <w:ilvl w:val="0"/>
          <w:numId w:val="4"/>
        </w:numPr>
        <w:spacing w:line="360" w:lineRule="auto"/>
        <w:ind w:left="567" w:hanging="283"/>
        <w:jc w:val="both"/>
        <w:rPr>
          <w:sz w:val="24"/>
          <w:szCs w:val="24"/>
        </w:rPr>
      </w:pPr>
      <w:r>
        <w:rPr>
          <w:sz w:val="24"/>
          <w:szCs w:val="24"/>
        </w:rPr>
        <w:t>Mengumpulkan hasil penghitungan suara dari seluruh TPS di wilayah kerjanya</w:t>
      </w:r>
    </w:p>
    <w:p w14:paraId="593D4E2B">
      <w:pPr>
        <w:pStyle w:val="19"/>
        <w:numPr>
          <w:ilvl w:val="0"/>
          <w:numId w:val="4"/>
        </w:numPr>
        <w:spacing w:line="360" w:lineRule="auto"/>
        <w:ind w:left="567" w:hanging="283"/>
        <w:jc w:val="both"/>
        <w:rPr>
          <w:sz w:val="24"/>
          <w:szCs w:val="24"/>
        </w:rPr>
      </w:pPr>
      <w:r>
        <w:rPr>
          <w:sz w:val="24"/>
          <w:szCs w:val="24"/>
        </w:rPr>
        <w:t>Melaksanakan wewenang lain yanng diberikan oleh KPU, KPU Provinsi, KPU Kabupaten/ Kota sesuai dengan peraturan perundang-undangan.</w:t>
      </w:r>
    </w:p>
    <w:p w14:paraId="4A0E3A4F">
      <w:pPr>
        <w:pStyle w:val="19"/>
        <w:numPr>
          <w:ilvl w:val="0"/>
          <w:numId w:val="4"/>
        </w:numPr>
        <w:spacing w:line="360" w:lineRule="auto"/>
        <w:ind w:left="567" w:hanging="283"/>
        <w:jc w:val="both"/>
        <w:rPr>
          <w:sz w:val="24"/>
          <w:szCs w:val="24"/>
        </w:rPr>
      </w:pPr>
      <w:r>
        <w:rPr>
          <w:sz w:val="24"/>
          <w:szCs w:val="24"/>
        </w:rPr>
        <w:t>Melaksanakan wewenang lain sesuai ketentuan ketentuan peraturan perundang-undangan.</w:t>
      </w:r>
    </w:p>
    <w:p w14:paraId="6BFBE5EA">
      <w:pPr>
        <w:spacing w:line="360" w:lineRule="auto"/>
        <w:jc w:val="both"/>
        <w:rPr>
          <w:sz w:val="24"/>
          <w:szCs w:val="24"/>
        </w:rPr>
      </w:pPr>
    </w:p>
    <w:p w14:paraId="0FBBFB0F">
      <w:pPr>
        <w:spacing w:line="360" w:lineRule="auto"/>
        <w:jc w:val="both"/>
        <w:rPr>
          <w:sz w:val="24"/>
          <w:szCs w:val="24"/>
        </w:rPr>
      </w:pPr>
      <w:r>
        <w:rPr>
          <w:sz w:val="24"/>
          <w:szCs w:val="24"/>
        </w:rPr>
        <w:t>PPK berkewajiban :</w:t>
      </w:r>
    </w:p>
    <w:p w14:paraId="4FA0BC70">
      <w:pPr>
        <w:pStyle w:val="19"/>
        <w:numPr>
          <w:ilvl w:val="0"/>
          <w:numId w:val="5"/>
        </w:numPr>
        <w:spacing w:line="360" w:lineRule="auto"/>
        <w:ind w:left="567" w:hanging="283"/>
        <w:jc w:val="both"/>
        <w:rPr>
          <w:sz w:val="24"/>
          <w:szCs w:val="24"/>
        </w:rPr>
      </w:pPr>
      <w:r>
        <w:rPr>
          <w:sz w:val="24"/>
          <w:szCs w:val="24"/>
        </w:rPr>
        <w:t>Membantu KPU, KPU Provinsi, dan KPU Kabupaten/ Kota dalam melakukan pemutakhiran data pemilih, daftar pemilih sementara, dan daftar pemilih tetap.</w:t>
      </w:r>
    </w:p>
    <w:p w14:paraId="6F468D68">
      <w:pPr>
        <w:pStyle w:val="19"/>
        <w:numPr>
          <w:ilvl w:val="0"/>
          <w:numId w:val="5"/>
        </w:numPr>
        <w:spacing w:line="360" w:lineRule="auto"/>
        <w:ind w:left="567" w:hanging="283"/>
        <w:jc w:val="both"/>
        <w:rPr>
          <w:sz w:val="24"/>
          <w:szCs w:val="24"/>
        </w:rPr>
      </w:pPr>
      <w:r>
        <w:rPr>
          <w:sz w:val="24"/>
          <w:szCs w:val="24"/>
        </w:rPr>
        <w:t>Membantu KPU Kabupaten / Kota dalam menyelenggarakan Pemilu.</w:t>
      </w:r>
    </w:p>
    <w:p w14:paraId="1D3767F8">
      <w:pPr>
        <w:pStyle w:val="19"/>
        <w:numPr>
          <w:ilvl w:val="0"/>
          <w:numId w:val="5"/>
        </w:numPr>
        <w:spacing w:line="360" w:lineRule="auto"/>
        <w:ind w:left="567" w:hanging="283"/>
        <w:jc w:val="both"/>
        <w:rPr>
          <w:sz w:val="24"/>
          <w:szCs w:val="24"/>
        </w:rPr>
      </w:pPr>
      <w:r>
        <w:rPr>
          <w:sz w:val="24"/>
          <w:szCs w:val="24"/>
        </w:rPr>
        <w:t>Menindaklanjuti dengan segera temuan dan laporan yang disampaikan oleh Panwaslu Kecamatan.</w:t>
      </w:r>
    </w:p>
    <w:p w14:paraId="64BEE19F">
      <w:pPr>
        <w:pStyle w:val="19"/>
        <w:numPr>
          <w:ilvl w:val="0"/>
          <w:numId w:val="5"/>
        </w:numPr>
        <w:spacing w:line="360" w:lineRule="auto"/>
        <w:ind w:left="567" w:hanging="283"/>
        <w:jc w:val="both"/>
        <w:rPr>
          <w:sz w:val="24"/>
          <w:szCs w:val="24"/>
        </w:rPr>
      </w:pPr>
      <w:r>
        <w:rPr>
          <w:sz w:val="24"/>
          <w:szCs w:val="24"/>
        </w:rPr>
        <w:t>Melaksanakan kewajiban lain yang diberikan oleh KPU, KPU Provinsi, KPU Kabupaten/ Kota sesuai dengan peraturan perundang-undangan.</w:t>
      </w:r>
    </w:p>
    <w:p w14:paraId="071A7035">
      <w:pPr>
        <w:pStyle w:val="19"/>
        <w:numPr>
          <w:ilvl w:val="0"/>
          <w:numId w:val="5"/>
        </w:numPr>
        <w:spacing w:line="360" w:lineRule="auto"/>
        <w:ind w:left="567" w:hanging="283"/>
        <w:jc w:val="both"/>
        <w:rPr>
          <w:sz w:val="24"/>
          <w:szCs w:val="24"/>
        </w:rPr>
      </w:pPr>
      <w:r>
        <w:rPr>
          <w:sz w:val="24"/>
          <w:szCs w:val="24"/>
        </w:rPr>
        <w:t>Melaksanakan kewajiban lain sesuai dengan ketentuan peraturan perundang-undangan.</w:t>
      </w:r>
    </w:p>
    <w:p w14:paraId="3C13BC1B">
      <w:pPr>
        <w:spacing w:line="360" w:lineRule="auto"/>
        <w:ind w:left="284"/>
        <w:jc w:val="both"/>
        <w:rPr>
          <w:sz w:val="24"/>
          <w:szCs w:val="24"/>
          <w:lang w:val="id-ID"/>
        </w:rPr>
      </w:pPr>
    </w:p>
    <w:p w14:paraId="3E1DB26B">
      <w:pPr>
        <w:pStyle w:val="19"/>
        <w:numPr>
          <w:ilvl w:val="0"/>
          <w:numId w:val="1"/>
        </w:numPr>
        <w:spacing w:line="360" w:lineRule="auto"/>
        <w:ind w:left="284" w:hanging="284"/>
        <w:jc w:val="both"/>
        <w:outlineLvl w:val="1"/>
        <w:rPr>
          <w:b/>
          <w:sz w:val="24"/>
          <w:szCs w:val="24"/>
        </w:rPr>
      </w:pPr>
      <w:bookmarkStart w:id="5" w:name="_Toc230017852"/>
      <w:r>
        <w:rPr>
          <w:b/>
          <w:sz w:val="24"/>
          <w:szCs w:val="24"/>
        </w:rPr>
        <w:t>Tinjauan Umum Tentang Tindak Pidana</w:t>
      </w:r>
      <w:bookmarkEnd w:id="5"/>
    </w:p>
    <w:p w14:paraId="5BD22F2B">
      <w:pPr>
        <w:pStyle w:val="19"/>
        <w:numPr>
          <w:ilvl w:val="0"/>
          <w:numId w:val="6"/>
        </w:numPr>
        <w:spacing w:line="360" w:lineRule="auto"/>
        <w:ind w:left="567" w:hanging="283"/>
        <w:jc w:val="both"/>
        <w:rPr>
          <w:sz w:val="24"/>
          <w:szCs w:val="24"/>
        </w:rPr>
      </w:pPr>
      <w:r>
        <w:rPr>
          <w:sz w:val="24"/>
          <w:szCs w:val="24"/>
        </w:rPr>
        <w:t>Teori Pertanggungjawaban Pidana (</w:t>
      </w:r>
      <w:r>
        <w:rPr>
          <w:i/>
          <w:sz w:val="24"/>
          <w:szCs w:val="24"/>
        </w:rPr>
        <w:t>Criminal Liability</w:t>
      </w:r>
      <w:r>
        <w:rPr>
          <w:sz w:val="24"/>
          <w:szCs w:val="24"/>
        </w:rPr>
        <w:t>)</w:t>
      </w:r>
    </w:p>
    <w:p w14:paraId="34028FEB">
      <w:pPr>
        <w:spacing w:line="360" w:lineRule="auto"/>
        <w:ind w:firstLine="284"/>
        <w:jc w:val="both"/>
        <w:rPr>
          <w:sz w:val="24"/>
          <w:szCs w:val="24"/>
        </w:rPr>
      </w:pPr>
      <w:r>
        <w:rPr>
          <w:sz w:val="24"/>
          <w:szCs w:val="24"/>
        </w:rPr>
        <w:t>Pengertian, Hakikat, dan Asas Dasar Pertanggungjawaban Pidana</w:t>
      </w:r>
      <w:r>
        <w:rPr>
          <w:sz w:val="24"/>
          <w:szCs w:val="24"/>
          <w:lang w:val="id-ID"/>
        </w:rPr>
        <w:t xml:space="preserve"> </w:t>
      </w:r>
      <w:r>
        <w:rPr>
          <w:sz w:val="24"/>
          <w:szCs w:val="24"/>
        </w:rPr>
        <w:t>Pertanggungjawaban pidana (</w:t>
      </w:r>
      <w:r>
        <w:rPr>
          <w:i/>
          <w:sz w:val="24"/>
          <w:szCs w:val="24"/>
        </w:rPr>
        <w:t>criminal</w:t>
      </w:r>
      <w:r>
        <w:rPr>
          <w:i/>
          <w:sz w:val="24"/>
          <w:szCs w:val="24"/>
          <w:lang w:val="id-ID"/>
        </w:rPr>
        <w:t xml:space="preserve"> </w:t>
      </w:r>
      <w:r>
        <w:rPr>
          <w:i/>
          <w:sz w:val="24"/>
          <w:szCs w:val="24"/>
        </w:rPr>
        <w:t>liability</w:t>
      </w:r>
      <w:r>
        <w:rPr>
          <w:i/>
          <w:sz w:val="24"/>
          <w:szCs w:val="24"/>
          <w:lang w:val="id-ID"/>
        </w:rPr>
        <w:t xml:space="preserve"> </w:t>
      </w:r>
      <w:r>
        <w:rPr>
          <w:i/>
          <w:sz w:val="24"/>
          <w:szCs w:val="24"/>
        </w:rPr>
        <w:t>/</w:t>
      </w:r>
      <w:r>
        <w:rPr>
          <w:i/>
          <w:sz w:val="24"/>
          <w:szCs w:val="24"/>
          <w:lang w:val="id-ID"/>
        </w:rPr>
        <w:t xml:space="preserve"> </w:t>
      </w:r>
      <w:r>
        <w:rPr>
          <w:i/>
          <w:sz w:val="24"/>
          <w:szCs w:val="24"/>
        </w:rPr>
        <w:t>toerekenbaarheid</w:t>
      </w:r>
      <w:r>
        <w:rPr>
          <w:sz w:val="24"/>
          <w:szCs w:val="24"/>
        </w:rPr>
        <w:t>) merupakan suatu mekanisme yuridis yang digunakan untuk menentukan apakah seorang subjek hukum dapat dijatuhi sanksi pidana atas perbuatan pidana yang telah dilakukannya. Di dalam hukum pidana Indonesia, terdapat asas fundamental yang tidak tertulis namun melandasi seluruh sistem pemidanaan, yaitu asas anordnung ohne schuld ist nicht zulässig atau yang secara universal dikenal sebagai asas geen straf zonder schuld (tiada pidana tanpa kesalahan). Asas ini menegaskan adanya pemisahan yang rigid antara perbuatan pidana (</w:t>
      </w:r>
      <w:r>
        <w:rPr>
          <w:i/>
          <w:sz w:val="24"/>
          <w:szCs w:val="24"/>
        </w:rPr>
        <w:t>actus reus</w:t>
      </w:r>
      <w:r>
        <w:rPr>
          <w:sz w:val="24"/>
          <w:szCs w:val="24"/>
        </w:rPr>
        <w:t>) yang bersifat objektif-melawan hukum dan pertanggungjawaban pidana (</w:t>
      </w:r>
      <w:r>
        <w:rPr>
          <w:i/>
          <w:sz w:val="24"/>
          <w:szCs w:val="24"/>
        </w:rPr>
        <w:t>mens rea</w:t>
      </w:r>
      <w:r>
        <w:rPr>
          <w:sz w:val="24"/>
          <w:szCs w:val="24"/>
        </w:rPr>
        <w:t>) yang bersifat subjektif-kesalahan pada diri pelaku.</w:t>
      </w:r>
    </w:p>
    <w:p w14:paraId="05D5D408">
      <w:pPr>
        <w:spacing w:line="360" w:lineRule="auto"/>
        <w:ind w:firstLine="284"/>
        <w:jc w:val="both"/>
        <w:rPr>
          <w:sz w:val="24"/>
          <w:szCs w:val="24"/>
        </w:rPr>
      </w:pPr>
      <w:r>
        <w:rPr>
          <w:sz w:val="24"/>
          <w:szCs w:val="24"/>
        </w:rPr>
        <w:t>Secara doktrinal, seorang pelaku tidak dapat dimintai pertanggungjawaban hukum hanya karena ia telah melakukan perbuatan yang mencocoki rumusan delik dalam undang-undang. Keadaan tersebut harus didasarkan pada unsur kesalahan yang sahih secara teoretis, yang mencakup tiga parameter utama:</w:t>
      </w:r>
    </w:p>
    <w:p w14:paraId="50696243">
      <w:pPr>
        <w:pStyle w:val="19"/>
        <w:numPr>
          <w:ilvl w:val="1"/>
          <w:numId w:val="1"/>
        </w:numPr>
        <w:spacing w:line="360" w:lineRule="auto"/>
        <w:ind w:left="567" w:hanging="306"/>
        <w:jc w:val="both"/>
        <w:rPr>
          <w:sz w:val="24"/>
          <w:szCs w:val="24"/>
        </w:rPr>
      </w:pPr>
      <w:r>
        <w:rPr>
          <w:sz w:val="24"/>
          <w:szCs w:val="24"/>
        </w:rPr>
        <w:t>Kemampuan bertanggung jawab (</w:t>
      </w:r>
      <w:r>
        <w:rPr>
          <w:i/>
          <w:sz w:val="24"/>
          <w:szCs w:val="24"/>
        </w:rPr>
        <w:t>toerekeningsvatbaarheid</w:t>
      </w:r>
      <w:r>
        <w:rPr>
          <w:sz w:val="24"/>
          <w:szCs w:val="24"/>
        </w:rPr>
        <w:t>): Sikap batin pelaku yang normal secara psikis dan akal budi untuk menyadari sifat melawan hukum dari perbuatannya.</w:t>
      </w:r>
    </w:p>
    <w:p w14:paraId="713829F4">
      <w:pPr>
        <w:pStyle w:val="19"/>
        <w:numPr>
          <w:ilvl w:val="1"/>
          <w:numId w:val="1"/>
        </w:numPr>
        <w:spacing w:line="360" w:lineRule="auto"/>
        <w:ind w:left="567" w:hanging="306"/>
        <w:jc w:val="both"/>
        <w:rPr>
          <w:sz w:val="24"/>
          <w:szCs w:val="24"/>
        </w:rPr>
      </w:pPr>
      <w:r>
        <w:rPr>
          <w:sz w:val="24"/>
          <w:szCs w:val="24"/>
        </w:rPr>
        <w:t>Hubungan batin antara pelaku dengan perbuatannya: Wujud psikologis berupa kesengajaan (</w:t>
      </w:r>
      <w:r>
        <w:rPr>
          <w:i/>
          <w:sz w:val="24"/>
          <w:szCs w:val="24"/>
        </w:rPr>
        <w:t>dolus</w:t>
      </w:r>
      <w:r>
        <w:rPr>
          <w:sz w:val="24"/>
          <w:szCs w:val="24"/>
        </w:rPr>
        <w:t>) atau kealpaan (</w:t>
      </w:r>
      <w:r>
        <w:rPr>
          <w:i/>
          <w:sz w:val="24"/>
          <w:szCs w:val="24"/>
        </w:rPr>
        <w:t>culpa</w:t>
      </w:r>
      <w:r>
        <w:rPr>
          <w:sz w:val="24"/>
          <w:szCs w:val="24"/>
        </w:rPr>
        <w:t>).</w:t>
      </w:r>
    </w:p>
    <w:p w14:paraId="316C4539">
      <w:pPr>
        <w:pStyle w:val="19"/>
        <w:numPr>
          <w:ilvl w:val="1"/>
          <w:numId w:val="1"/>
        </w:numPr>
        <w:spacing w:line="360" w:lineRule="auto"/>
        <w:ind w:left="567" w:hanging="306"/>
        <w:jc w:val="both"/>
        <w:rPr>
          <w:sz w:val="24"/>
          <w:szCs w:val="24"/>
        </w:rPr>
      </w:pPr>
      <w:r>
        <w:rPr>
          <w:sz w:val="24"/>
          <w:szCs w:val="24"/>
        </w:rPr>
        <w:t>Tidak adanya alasan pemaaf (</w:t>
      </w:r>
      <w:r>
        <w:rPr>
          <w:i/>
          <w:sz w:val="24"/>
          <w:szCs w:val="24"/>
        </w:rPr>
        <w:t>schulduitsluitingsgrond</w:t>
      </w:r>
      <w:r>
        <w:rPr>
          <w:sz w:val="24"/>
          <w:szCs w:val="24"/>
        </w:rPr>
        <w:t>): Ketiadaan faktor-faktor kedaruratan atau daya paksa yang dapat menghapuskan kesalahan personal dari diri pelaku.</w:t>
      </w:r>
    </w:p>
    <w:p w14:paraId="0FDE3684">
      <w:pPr>
        <w:pStyle w:val="19"/>
        <w:numPr>
          <w:ilvl w:val="0"/>
          <w:numId w:val="6"/>
        </w:numPr>
        <w:spacing w:line="360" w:lineRule="auto"/>
        <w:ind w:left="567" w:hanging="283"/>
        <w:jc w:val="both"/>
        <w:rPr>
          <w:sz w:val="24"/>
          <w:szCs w:val="24"/>
        </w:rPr>
      </w:pPr>
      <w:r>
        <w:rPr>
          <w:sz w:val="24"/>
          <w:szCs w:val="24"/>
        </w:rPr>
        <w:t>Doktrin Mens Rea (Sikap Batin Jahat) dan Gradasi Unsur Kesengajaan (Dolus)</w:t>
      </w:r>
    </w:p>
    <w:p w14:paraId="17D45E76">
      <w:pPr>
        <w:spacing w:line="360" w:lineRule="auto"/>
        <w:ind w:firstLine="284"/>
        <w:jc w:val="both"/>
        <w:rPr>
          <w:sz w:val="24"/>
          <w:szCs w:val="24"/>
        </w:rPr>
      </w:pPr>
      <w:r>
        <w:rPr>
          <w:sz w:val="24"/>
          <w:szCs w:val="24"/>
        </w:rPr>
        <w:t xml:space="preserve">Doktrin mens rea berakar dari asas hukum klasik </w:t>
      </w:r>
      <w:r>
        <w:rPr>
          <w:i/>
          <w:sz w:val="24"/>
          <w:szCs w:val="24"/>
        </w:rPr>
        <w:t xml:space="preserve">actus non facit reum </w:t>
      </w:r>
      <w:r>
        <w:rPr>
          <w:i/>
          <w:sz w:val="24"/>
          <w:szCs w:val="24"/>
          <w:lang w:val="id-ID"/>
        </w:rPr>
        <w:t>n</w:t>
      </w:r>
      <w:r>
        <w:rPr>
          <w:i/>
          <w:sz w:val="24"/>
          <w:szCs w:val="24"/>
        </w:rPr>
        <w:t>isi mens sit rea</w:t>
      </w:r>
      <w:r>
        <w:rPr>
          <w:sz w:val="24"/>
          <w:szCs w:val="24"/>
        </w:rPr>
        <w:t>, yang berarti suatu perbuatan tidak membuat seseorang bersalah kecuali jika pikiran orang tersebut juga bersalah. Dalam ranah hukum pidana khusus, khususnya tindak pidana pemilihan umum, bentuk kesalahan yang paling dominan dan menjadi elemen esensial pembuktian adalah kesengajaan (</w:t>
      </w:r>
      <w:r>
        <w:rPr>
          <w:i/>
          <w:sz w:val="24"/>
          <w:szCs w:val="24"/>
        </w:rPr>
        <w:t>dolus/opzet</w:t>
      </w:r>
      <w:r>
        <w:rPr>
          <w:sz w:val="24"/>
          <w:szCs w:val="24"/>
        </w:rPr>
        <w:t>). Di dalam ilmu hukum pidana, kesengajaan memiliki gradasi teoretis yang dibagi menjadi 3 (tiga) bentuk dasar:</w:t>
      </w:r>
    </w:p>
    <w:p w14:paraId="30F52A3A">
      <w:pPr>
        <w:pStyle w:val="19"/>
        <w:numPr>
          <w:ilvl w:val="4"/>
          <w:numId w:val="1"/>
        </w:numPr>
        <w:spacing w:line="360" w:lineRule="auto"/>
        <w:ind w:left="567" w:hanging="283"/>
        <w:jc w:val="both"/>
        <w:rPr>
          <w:sz w:val="24"/>
          <w:szCs w:val="24"/>
        </w:rPr>
      </w:pPr>
      <w:r>
        <w:rPr>
          <w:sz w:val="24"/>
          <w:szCs w:val="24"/>
        </w:rPr>
        <w:t>Kesengajaan sebagai maksud (</w:t>
      </w:r>
      <w:r>
        <w:rPr>
          <w:i/>
          <w:sz w:val="24"/>
          <w:szCs w:val="24"/>
        </w:rPr>
        <w:t>opzet als oogmerk</w:t>
      </w:r>
      <w:r>
        <w:rPr>
          <w:sz w:val="24"/>
          <w:szCs w:val="24"/>
        </w:rPr>
        <w:t>): Pelaku secara langsung menghendaki dilakukannya perbuatan dan sepenuhnya menghendaki akibat yang timbul dari perbuatan tersebut.</w:t>
      </w:r>
    </w:p>
    <w:p w14:paraId="44E85C31">
      <w:pPr>
        <w:pStyle w:val="19"/>
        <w:numPr>
          <w:ilvl w:val="4"/>
          <w:numId w:val="1"/>
        </w:numPr>
        <w:spacing w:line="360" w:lineRule="auto"/>
        <w:ind w:left="567" w:hanging="283"/>
        <w:jc w:val="both"/>
        <w:rPr>
          <w:sz w:val="24"/>
          <w:szCs w:val="24"/>
        </w:rPr>
      </w:pPr>
      <w:r>
        <w:rPr>
          <w:sz w:val="24"/>
          <w:szCs w:val="24"/>
        </w:rPr>
        <w:t>Kesengajaan sebagai kepastian atau keharusan (</w:t>
      </w:r>
      <w:r>
        <w:rPr>
          <w:i/>
          <w:sz w:val="24"/>
          <w:szCs w:val="24"/>
        </w:rPr>
        <w:t>opzet bij zekerheidsbewustzijn</w:t>
      </w:r>
      <w:r>
        <w:rPr>
          <w:sz w:val="24"/>
          <w:szCs w:val="24"/>
        </w:rPr>
        <w:t>): Pelaku mengetahui secara pasti bahwa demi mencapai tujuan utama yang diinginkannya, konsekuensi atau akibat lain yang dilarang undang-undang pasti akan ikut terjadi.</w:t>
      </w:r>
    </w:p>
    <w:p w14:paraId="753D1602">
      <w:pPr>
        <w:pStyle w:val="19"/>
        <w:numPr>
          <w:ilvl w:val="4"/>
          <w:numId w:val="1"/>
        </w:numPr>
        <w:spacing w:line="360" w:lineRule="auto"/>
        <w:ind w:left="567" w:hanging="283"/>
        <w:jc w:val="both"/>
        <w:rPr>
          <w:sz w:val="24"/>
          <w:szCs w:val="24"/>
        </w:rPr>
      </w:pPr>
      <w:r>
        <w:rPr>
          <w:sz w:val="24"/>
          <w:szCs w:val="24"/>
        </w:rPr>
        <w:t>Kesengajaan sebagai kemungkinan atau keinsafan risiko (</w:t>
      </w:r>
      <w:r>
        <w:rPr>
          <w:i/>
          <w:sz w:val="24"/>
          <w:szCs w:val="24"/>
        </w:rPr>
        <w:t>dolus eventualis</w:t>
      </w:r>
      <w:r>
        <w:rPr>
          <w:sz w:val="24"/>
          <w:szCs w:val="24"/>
        </w:rPr>
        <w:t>): Pelaku menginsafi bahwa perbuatannya memiliki risiko besar untuk menimbulkan akibat yang dilarang oleh hukum, namun pelaku tetap menyetujui risiko tersebut dan melanjutkan tindakannya (</w:t>
      </w:r>
      <w:r>
        <w:rPr>
          <w:i/>
          <w:sz w:val="24"/>
          <w:szCs w:val="24"/>
        </w:rPr>
        <w:t>voor lief nemen</w:t>
      </w:r>
      <w:r>
        <w:rPr>
          <w:sz w:val="24"/>
          <w:szCs w:val="24"/>
        </w:rPr>
        <w:t>).</w:t>
      </w:r>
    </w:p>
    <w:p w14:paraId="652601DC">
      <w:pPr>
        <w:spacing w:line="360" w:lineRule="auto"/>
        <w:ind w:firstLine="284"/>
        <w:jc w:val="both"/>
        <w:rPr>
          <w:sz w:val="24"/>
          <w:szCs w:val="24"/>
        </w:rPr>
      </w:pPr>
      <w:r>
        <w:rPr>
          <w:sz w:val="24"/>
          <w:szCs w:val="24"/>
        </w:rPr>
        <w:t>Dalam hubungannya dengan delik manipulasi hasil pemilu, bentuk kesalahan yang terjadi umumnya berkualifikasi sebagai kesengajaan sebagai maksud (</w:t>
      </w:r>
      <w:r>
        <w:rPr>
          <w:i/>
          <w:sz w:val="24"/>
          <w:szCs w:val="24"/>
        </w:rPr>
        <w:t>opzet als oogmerk</w:t>
      </w:r>
      <w:r>
        <w:rPr>
          <w:sz w:val="24"/>
          <w:szCs w:val="24"/>
        </w:rPr>
        <w:t>) atau kesengajaan yang direncanakan (</w:t>
      </w:r>
      <w:r>
        <w:rPr>
          <w:i/>
          <w:sz w:val="24"/>
          <w:szCs w:val="24"/>
        </w:rPr>
        <w:t>dolus premeditatus</w:t>
      </w:r>
      <w:r>
        <w:rPr>
          <w:sz w:val="24"/>
          <w:szCs w:val="24"/>
        </w:rPr>
        <w:t>). Hal ini dikarenakan tindakan mengubah angka-angka numerik pada formulir rekapitulasi memerlukan koordinasi motorik, kesadaran intelektual, dan perencanaan yang matang untuk menguntungkan pihak tertentu.</w:t>
      </w:r>
    </w:p>
    <w:p w14:paraId="51BB5256">
      <w:pPr>
        <w:pStyle w:val="19"/>
        <w:numPr>
          <w:ilvl w:val="0"/>
          <w:numId w:val="6"/>
        </w:numPr>
        <w:spacing w:line="360" w:lineRule="auto"/>
        <w:ind w:left="567" w:hanging="283"/>
        <w:jc w:val="both"/>
        <w:rPr>
          <w:sz w:val="24"/>
          <w:szCs w:val="24"/>
        </w:rPr>
      </w:pPr>
      <w:r>
        <w:rPr>
          <w:sz w:val="24"/>
          <w:szCs w:val="24"/>
        </w:rPr>
        <w:t>Konsep Pertanggungjawaban Pidana Jabatan Penyelenggara Negara</w:t>
      </w:r>
    </w:p>
    <w:p w14:paraId="4EE627DB">
      <w:pPr>
        <w:spacing w:line="360" w:lineRule="auto"/>
        <w:ind w:firstLine="284"/>
        <w:jc w:val="both"/>
        <w:rPr>
          <w:sz w:val="24"/>
          <w:szCs w:val="24"/>
        </w:rPr>
      </w:pPr>
      <w:r>
        <w:rPr>
          <w:sz w:val="24"/>
          <w:szCs w:val="24"/>
        </w:rPr>
        <w:t>Pertanggungjawaban pidana jabatan (</w:t>
      </w:r>
      <w:r>
        <w:rPr>
          <w:i/>
          <w:sz w:val="24"/>
          <w:szCs w:val="24"/>
        </w:rPr>
        <w:t>official criminal liability</w:t>
      </w:r>
      <w:r>
        <w:rPr>
          <w:sz w:val="24"/>
          <w:szCs w:val="24"/>
        </w:rPr>
        <w:t>) terjadi ketika seorang subjek hukum memanfaatkan kedudukan yuridis, otoritas kedinasan, fasilitas kenegaraan, atau kewenangan administratif yang melekat pada dirinya sebagai instrumen untuk memuluskan kejahatan. Aparatur negara atau penyelenggara pemilu memiliki kewajiban hukum yang jauh lebih tinggi (</w:t>
      </w:r>
      <w:r>
        <w:rPr>
          <w:i/>
          <w:sz w:val="24"/>
          <w:szCs w:val="24"/>
        </w:rPr>
        <w:t>legal duty to act</w:t>
      </w:r>
      <w:r>
        <w:rPr>
          <w:sz w:val="24"/>
          <w:szCs w:val="24"/>
        </w:rPr>
        <w:t>) untuk mematuhi hukum dibandingkan warga negara biasa.</w:t>
      </w:r>
    </w:p>
    <w:p w14:paraId="00A1ECFA">
      <w:pPr>
        <w:spacing w:line="360" w:lineRule="auto"/>
        <w:ind w:firstLine="284"/>
        <w:jc w:val="both"/>
        <w:rPr>
          <w:sz w:val="24"/>
          <w:szCs w:val="24"/>
          <w:lang w:val="id-ID"/>
        </w:rPr>
      </w:pPr>
      <w:r>
        <w:rPr>
          <w:sz w:val="24"/>
          <w:szCs w:val="24"/>
        </w:rPr>
        <w:t>Ketika seorang pejabat menyalahgunakan wewenang kedinasannya, sifat melawan hukumnya perbuatan (</w:t>
      </w:r>
      <w:r>
        <w:rPr>
          <w:i/>
          <w:sz w:val="24"/>
          <w:szCs w:val="24"/>
        </w:rPr>
        <w:t>rechtswidrigkeit</w:t>
      </w:r>
      <w:r>
        <w:rPr>
          <w:sz w:val="24"/>
          <w:szCs w:val="24"/>
        </w:rPr>
        <w:t>) mengalami eskalasi kualitas menjadi sangat berat. Hukum pidana memandang tindakan ini sebagai bentuk pelanggaran serius terhadap kepercayaan publik (</w:t>
      </w:r>
      <w:r>
        <w:rPr>
          <w:i/>
          <w:sz w:val="24"/>
          <w:szCs w:val="24"/>
        </w:rPr>
        <w:t>breach of publik</w:t>
      </w:r>
      <w:r>
        <w:rPr>
          <w:sz w:val="24"/>
          <w:szCs w:val="24"/>
          <w:lang w:val="id-ID"/>
        </w:rPr>
        <w:t>).</w:t>
      </w:r>
    </w:p>
    <w:p w14:paraId="145B0B0D">
      <w:pPr>
        <w:spacing w:line="360" w:lineRule="auto"/>
        <w:jc w:val="both"/>
        <w:rPr>
          <w:sz w:val="24"/>
          <w:szCs w:val="24"/>
        </w:rPr>
      </w:pPr>
      <w:r>
        <w:rPr>
          <w:sz w:val="24"/>
          <w:szCs w:val="24"/>
        </w:rPr>
        <w:t xml:space="preserve"> </w:t>
      </w:r>
    </w:p>
    <w:p w14:paraId="51BF0E54">
      <w:pPr>
        <w:pStyle w:val="19"/>
        <w:numPr>
          <w:ilvl w:val="0"/>
          <w:numId w:val="1"/>
        </w:numPr>
        <w:spacing w:line="360" w:lineRule="auto"/>
        <w:ind w:left="284" w:hanging="284"/>
        <w:jc w:val="both"/>
        <w:outlineLvl w:val="1"/>
        <w:rPr>
          <w:b/>
          <w:bCs/>
          <w:sz w:val="24"/>
          <w:szCs w:val="24"/>
          <w:lang w:val="id-ID"/>
        </w:rPr>
      </w:pPr>
      <w:bookmarkStart w:id="6" w:name="_Toc230017853"/>
      <w:r>
        <w:rPr>
          <w:b/>
          <w:bCs/>
          <w:sz w:val="24"/>
          <w:szCs w:val="24"/>
          <w:lang w:val="en-US"/>
        </w:rPr>
        <w:t>Kendala dan Hambatan Panitia Pemilihan Kecamatan (PPK) dalam Pemilihan Umum Legeslatif</w:t>
      </w:r>
      <w:bookmarkEnd w:id="6"/>
    </w:p>
    <w:p w14:paraId="74FEE7D9">
      <w:pPr>
        <w:spacing w:line="360" w:lineRule="auto"/>
        <w:ind w:firstLine="284"/>
        <w:jc w:val="both"/>
        <w:rPr>
          <w:bCs/>
          <w:sz w:val="24"/>
          <w:szCs w:val="24"/>
          <w:lang w:val="id-ID"/>
        </w:rPr>
      </w:pPr>
      <w:r>
        <w:rPr>
          <w:bCs/>
          <w:sz w:val="24"/>
          <w:szCs w:val="24"/>
          <w:lang w:val="id-ID"/>
        </w:rPr>
        <w:t>Teori Efektivitas Hukum dan Faktor Penyebab Pelanggaran Hukum (Pisau Analisis RM 3).</w:t>
      </w:r>
    </w:p>
    <w:p w14:paraId="42990B5C">
      <w:pPr>
        <w:pStyle w:val="19"/>
        <w:numPr>
          <w:ilvl w:val="3"/>
          <w:numId w:val="1"/>
        </w:numPr>
        <w:spacing w:line="360" w:lineRule="auto"/>
        <w:ind w:left="567" w:hanging="284"/>
        <w:jc w:val="both"/>
        <w:rPr>
          <w:bCs/>
          <w:sz w:val="24"/>
          <w:szCs w:val="24"/>
          <w:lang w:val="id-ID"/>
        </w:rPr>
      </w:pPr>
      <w:r>
        <w:rPr>
          <w:bCs/>
          <w:sz w:val="24"/>
          <w:szCs w:val="24"/>
          <w:lang w:val="id-ID"/>
        </w:rPr>
        <w:t>Teori Efektivitas Hukum Menurut Soerjono Soekanto</w:t>
      </w:r>
    </w:p>
    <w:p w14:paraId="437F1085">
      <w:pPr>
        <w:spacing w:line="360" w:lineRule="auto"/>
        <w:jc w:val="both"/>
        <w:rPr>
          <w:bCs/>
          <w:sz w:val="24"/>
          <w:szCs w:val="24"/>
          <w:lang w:val="id-ID"/>
        </w:rPr>
      </w:pPr>
      <w:r>
        <w:rPr>
          <w:bCs/>
          <w:sz w:val="24"/>
          <w:szCs w:val="24"/>
          <w:lang w:val="id-ID"/>
        </w:rPr>
        <w:t>Untuk membedah secara ilmiah mengenai kendala dan hambatan yang dihadapi oleh Panitia Pemilihan Kecamatan (PPK) di lapangan, penelitian ini menggunakan Teori Efektivitas Hukum yang dikemukakan oleh Soerjono Soekanto. Teori ini menyatakan bahwa efektif atau tidaknya suatu hukum di dalam praktiknya ditentukan oleh 5 (lima) faktor yang saling memengaruhi secara simultan:</w:t>
      </w:r>
    </w:p>
    <w:p w14:paraId="2CEB6EB6">
      <w:pPr>
        <w:pStyle w:val="19"/>
        <w:numPr>
          <w:ilvl w:val="4"/>
          <w:numId w:val="1"/>
        </w:numPr>
        <w:spacing w:line="360" w:lineRule="auto"/>
        <w:ind w:left="567" w:hanging="284"/>
        <w:jc w:val="both"/>
        <w:rPr>
          <w:bCs/>
          <w:sz w:val="24"/>
          <w:szCs w:val="24"/>
          <w:lang w:val="id-ID"/>
        </w:rPr>
      </w:pPr>
      <w:r>
        <w:rPr>
          <w:bCs/>
          <w:sz w:val="24"/>
          <w:szCs w:val="24"/>
          <w:lang w:val="id-ID"/>
        </w:rPr>
        <w:t>Faktor Hukumnya Sendiri: Aturan tertulis atau undang-undang yang menjadi dasar bertindak. Dalam konteks PPK, kerumitan formulasi teknis dalam regulasi pemilu sering kali menimbulkan multitafsir.</w:t>
      </w:r>
    </w:p>
    <w:p w14:paraId="6CDAFC24">
      <w:pPr>
        <w:pStyle w:val="19"/>
        <w:numPr>
          <w:ilvl w:val="4"/>
          <w:numId w:val="1"/>
        </w:numPr>
        <w:spacing w:line="360" w:lineRule="auto"/>
        <w:ind w:left="567" w:hanging="284"/>
        <w:jc w:val="both"/>
        <w:rPr>
          <w:bCs/>
          <w:sz w:val="24"/>
          <w:szCs w:val="24"/>
          <w:lang w:val="id-ID"/>
        </w:rPr>
      </w:pPr>
      <w:r>
        <w:rPr>
          <w:bCs/>
          <w:sz w:val="24"/>
          <w:szCs w:val="24"/>
          <w:lang w:val="id-ID"/>
        </w:rPr>
        <w:t xml:space="preserve">Faktor Penegak Hukum: Mentalitas, integritas, dan profesionalisme aparat yang menerapkan hukum, termasuk komisioner </w:t>
      </w:r>
      <w:r>
        <w:rPr>
          <w:bCs/>
          <w:i/>
          <w:sz w:val="24"/>
          <w:szCs w:val="24"/>
          <w:lang w:val="id-ID"/>
        </w:rPr>
        <w:t>ad hoc</w:t>
      </w:r>
      <w:r>
        <w:rPr>
          <w:bCs/>
          <w:sz w:val="24"/>
          <w:szCs w:val="24"/>
          <w:lang w:val="id-ID"/>
        </w:rPr>
        <w:t xml:space="preserve"> selaku pelaksana undang-undang di tingkat kecamatan.</w:t>
      </w:r>
    </w:p>
    <w:p w14:paraId="4FF11294">
      <w:pPr>
        <w:pStyle w:val="19"/>
        <w:numPr>
          <w:ilvl w:val="4"/>
          <w:numId w:val="1"/>
        </w:numPr>
        <w:spacing w:line="360" w:lineRule="auto"/>
        <w:ind w:left="567" w:hanging="284"/>
        <w:jc w:val="both"/>
        <w:rPr>
          <w:bCs/>
          <w:sz w:val="24"/>
          <w:szCs w:val="24"/>
          <w:lang w:val="id-ID"/>
        </w:rPr>
      </w:pPr>
      <w:r>
        <w:rPr>
          <w:bCs/>
          <w:sz w:val="24"/>
          <w:szCs w:val="24"/>
          <w:lang w:val="id-ID"/>
        </w:rPr>
        <w:t>Faktor Sarana atau Fasilitas: Ketersediaan instrumen pendukung, seperti kestabilan sistem aplikasi rekapitulasi data (Sirekap), fasilitas gedung pleno, hingga jaminan anggaran operasional yang memada</w:t>
      </w:r>
      <w:r>
        <w:rPr>
          <w:b/>
          <w:sz w:val="24"/>
          <w:szCs w:val="24"/>
          <w:lang w:val="id-ID"/>
        </w:rPr>
        <w:t>i.</w:t>
      </w:r>
    </w:p>
    <w:p w14:paraId="38E2A81D">
      <w:pPr>
        <w:pStyle w:val="19"/>
        <w:numPr>
          <w:ilvl w:val="4"/>
          <w:numId w:val="1"/>
        </w:numPr>
        <w:spacing w:line="360" w:lineRule="auto"/>
        <w:ind w:left="567" w:hanging="284"/>
        <w:jc w:val="both"/>
        <w:rPr>
          <w:bCs/>
          <w:sz w:val="24"/>
          <w:szCs w:val="24"/>
          <w:lang w:val="id-ID"/>
        </w:rPr>
      </w:pPr>
      <w:r>
        <w:rPr>
          <w:bCs/>
          <w:sz w:val="24"/>
          <w:szCs w:val="24"/>
          <w:lang w:val="id-ID"/>
        </w:rPr>
        <w:t>Faktor Masyarakat: Tingkat kesadaran dan kepatuhan warga negara atau kontestan politik yang berinteraksi dengan hukum tersebut.</w:t>
      </w:r>
    </w:p>
    <w:p w14:paraId="4A903C0C">
      <w:pPr>
        <w:pStyle w:val="19"/>
        <w:numPr>
          <w:ilvl w:val="4"/>
          <w:numId w:val="1"/>
        </w:numPr>
        <w:spacing w:line="360" w:lineRule="auto"/>
        <w:ind w:left="567" w:hanging="284"/>
        <w:jc w:val="both"/>
        <w:rPr>
          <w:bCs/>
          <w:sz w:val="24"/>
          <w:szCs w:val="24"/>
          <w:lang w:val="id-ID"/>
        </w:rPr>
      </w:pPr>
      <w:r>
        <w:rPr>
          <w:bCs/>
          <w:sz w:val="24"/>
          <w:szCs w:val="24"/>
          <w:lang w:val="id-ID"/>
        </w:rPr>
        <w:t>Faktor Kebudayaan: Nilai-nilai, kebiasaan, atau perilaku yang dianut kelompok masyarakat, di mana kultur pragmatisme politik transaksional (seperti budaya suap menyuap demi memenangkan pemilu) sering kali merusak sistem yang ada.</w:t>
      </w:r>
    </w:p>
    <w:p w14:paraId="54FE7EAF">
      <w:pPr>
        <w:spacing w:line="360" w:lineRule="auto"/>
        <w:ind w:firstLine="284"/>
        <w:jc w:val="both"/>
        <w:rPr>
          <w:bCs/>
          <w:sz w:val="24"/>
          <w:szCs w:val="24"/>
          <w:lang w:val="id-ID"/>
        </w:rPr>
      </w:pPr>
      <w:r>
        <w:rPr>
          <w:bCs/>
          <w:sz w:val="24"/>
          <w:szCs w:val="24"/>
          <w:lang w:val="id-ID"/>
        </w:rPr>
        <w:t>Jika salah satu atau beberapa faktor di atas mengalami kepincangan atau hambatan, maka efektivitas penegakan hukum pemilu yang jujur dan adil di tingkat PPK akan lumpuh, sehingga menciptakan celah terjadinya tindak pidana manipulasi suara.</w:t>
      </w:r>
    </w:p>
    <w:p w14:paraId="7289FC62">
      <w:pPr>
        <w:spacing w:line="360" w:lineRule="auto"/>
        <w:ind w:firstLine="284"/>
        <w:jc w:val="both"/>
        <w:outlineLvl w:val="1"/>
        <w:rPr>
          <w:bCs/>
          <w:sz w:val="24"/>
          <w:szCs w:val="24"/>
          <w:lang w:val="id-ID"/>
        </w:rPr>
      </w:pPr>
    </w:p>
    <w:p w14:paraId="738AE54E">
      <w:pPr>
        <w:pStyle w:val="19"/>
        <w:numPr>
          <w:ilvl w:val="3"/>
          <w:numId w:val="1"/>
        </w:numPr>
        <w:spacing w:line="360" w:lineRule="auto"/>
        <w:ind w:left="567" w:hanging="284"/>
        <w:jc w:val="both"/>
        <w:rPr>
          <w:bCs/>
          <w:sz w:val="24"/>
          <w:szCs w:val="24"/>
          <w:lang w:val="id-ID"/>
        </w:rPr>
      </w:pPr>
      <w:r>
        <w:rPr>
          <w:bCs/>
          <w:sz w:val="24"/>
          <w:szCs w:val="24"/>
          <w:lang w:val="id-ID"/>
        </w:rPr>
        <w:t>Teori Penegakan Hukum Kedinasan dan Faktor Teknis-Sosiologis</w:t>
      </w:r>
    </w:p>
    <w:p w14:paraId="5E4295A3">
      <w:pPr>
        <w:spacing w:line="360" w:lineRule="auto"/>
        <w:ind w:firstLine="284"/>
        <w:jc w:val="both"/>
        <w:rPr>
          <w:bCs/>
          <w:sz w:val="24"/>
          <w:szCs w:val="24"/>
          <w:lang w:val="id-ID"/>
        </w:rPr>
      </w:pPr>
      <w:r>
        <w:rPr>
          <w:bCs/>
          <w:sz w:val="24"/>
          <w:szCs w:val="24"/>
          <w:lang w:val="id-ID"/>
        </w:rPr>
        <w:t xml:space="preserve">Hambatan pelaksanaan tugas oleh badan </w:t>
      </w:r>
      <w:r>
        <w:rPr>
          <w:bCs/>
          <w:i/>
          <w:sz w:val="24"/>
          <w:szCs w:val="24"/>
          <w:lang w:val="id-ID"/>
        </w:rPr>
        <w:t>ad hoc</w:t>
      </w:r>
      <w:r>
        <w:rPr>
          <w:bCs/>
          <w:sz w:val="24"/>
          <w:szCs w:val="24"/>
          <w:lang w:val="id-ID"/>
        </w:rPr>
        <w:t xml:space="preserve"> pemilu tidak pernah berdiri sendiri di ruang hampa, melainkan selalu berkelindan dengan tekanan lingkungan kerja. Secara teoretis, hambatan tersebut dibagi menjadi dua klaster:</w:t>
      </w:r>
    </w:p>
    <w:p w14:paraId="31ED0A4E">
      <w:pPr>
        <w:pStyle w:val="19"/>
        <w:numPr>
          <w:ilvl w:val="4"/>
          <w:numId w:val="1"/>
        </w:numPr>
        <w:spacing w:line="360" w:lineRule="auto"/>
        <w:ind w:left="567"/>
        <w:jc w:val="both"/>
        <w:rPr>
          <w:bCs/>
          <w:sz w:val="24"/>
          <w:szCs w:val="24"/>
          <w:lang w:val="id-ID"/>
        </w:rPr>
      </w:pPr>
      <w:r>
        <w:rPr>
          <w:bCs/>
          <w:sz w:val="24"/>
          <w:szCs w:val="24"/>
          <w:lang w:val="id-ID"/>
        </w:rPr>
        <w:t>Hambatan Teknis-Internal (</w:t>
      </w:r>
      <w:r>
        <w:rPr>
          <w:bCs/>
          <w:i/>
          <w:sz w:val="24"/>
          <w:szCs w:val="24"/>
          <w:lang w:val="id-ID"/>
        </w:rPr>
        <w:t>Technical Bottleneck</w:t>
      </w:r>
      <w:r>
        <w:rPr>
          <w:bCs/>
          <w:sz w:val="24"/>
          <w:szCs w:val="24"/>
          <w:lang w:val="id-ID"/>
        </w:rPr>
        <w:t>): Berupa kelemahan sistem penduk</w:t>
      </w:r>
      <w:r>
        <w:rPr>
          <w:bCs/>
          <w:sz w:val="24"/>
          <w:szCs w:val="24"/>
          <w:lang w:val="id-ID"/>
        </w:rPr>
        <w:tab/>
      </w:r>
      <w:r>
        <w:rPr>
          <w:bCs/>
          <w:sz w:val="24"/>
          <w:szCs w:val="24"/>
          <w:lang w:val="id-ID"/>
        </w:rPr>
        <w:t>ung kerja (</w:t>
      </w:r>
      <w:r>
        <w:rPr>
          <w:bCs/>
          <w:i/>
          <w:sz w:val="24"/>
          <w:szCs w:val="24"/>
          <w:lang w:val="id-ID"/>
        </w:rPr>
        <w:t>work support system</w:t>
      </w:r>
      <w:r>
        <w:rPr>
          <w:bCs/>
          <w:sz w:val="24"/>
          <w:szCs w:val="24"/>
          <w:lang w:val="id-ID"/>
        </w:rPr>
        <w:t>). Hal ini mencakup durasi waktu pleno yang sangat terbatas, beban kerja maraton yang melampaui kapasitas ketahanan fisik manusia (</w:t>
      </w:r>
      <w:r>
        <w:rPr>
          <w:bCs/>
          <w:i/>
          <w:sz w:val="24"/>
          <w:szCs w:val="24"/>
          <w:lang w:val="id-ID"/>
        </w:rPr>
        <w:t>human error due to fatigue</w:t>
      </w:r>
      <w:r>
        <w:rPr>
          <w:bCs/>
          <w:sz w:val="24"/>
          <w:szCs w:val="24"/>
          <w:lang w:val="id-ID"/>
        </w:rPr>
        <w:t>), serta minimnya pembekalan bimbingan teknis yang komprehensif dari KPU Kabupaten/Kota kepada jajaran PPK.</w:t>
      </w:r>
    </w:p>
    <w:p w14:paraId="3D47A56A">
      <w:pPr>
        <w:pStyle w:val="19"/>
        <w:numPr>
          <w:ilvl w:val="4"/>
          <w:numId w:val="1"/>
        </w:numPr>
        <w:spacing w:line="360" w:lineRule="auto"/>
        <w:ind w:left="567"/>
        <w:jc w:val="both"/>
        <w:rPr>
          <w:bCs/>
          <w:sz w:val="24"/>
          <w:szCs w:val="24"/>
          <w:lang w:val="id-ID"/>
        </w:rPr>
      </w:pPr>
      <w:r>
        <w:rPr>
          <w:bCs/>
          <w:sz w:val="24"/>
          <w:szCs w:val="24"/>
          <w:lang w:val="id-ID"/>
        </w:rPr>
        <w:t>Hambatan Sosiologis-Eksternal (</w:t>
      </w:r>
      <w:r>
        <w:rPr>
          <w:bCs/>
          <w:i/>
          <w:sz w:val="24"/>
          <w:szCs w:val="24"/>
          <w:lang w:val="id-ID"/>
        </w:rPr>
        <w:t>Socio-Political Pressure</w:t>
      </w:r>
      <w:r>
        <w:rPr>
          <w:bCs/>
          <w:sz w:val="24"/>
          <w:szCs w:val="24"/>
          <w:lang w:val="id-ID"/>
        </w:rPr>
        <w:t>): Berupa intervensi lingkungan politik luar yang agresif. Celah ini muncul akibat kuatnya penetrasi kapital dari para peserta pemilu legislatif yang melakukan lobi-lobi transaksional, intimidasi psikologis dari para saksi partai politik di ruang pleno, hingga lemahnya sistem pengamanan fisik dan perlindungan hukum bagi para anggota PPK di tingkat kecamatan.</w:t>
      </w:r>
    </w:p>
    <w:p w14:paraId="3DEE6229">
      <w:pPr>
        <w:spacing w:line="360" w:lineRule="auto"/>
        <w:ind w:firstLine="284"/>
        <w:jc w:val="both"/>
        <w:rPr>
          <w:bCs/>
          <w:sz w:val="24"/>
          <w:szCs w:val="24"/>
          <w:lang w:val="id-ID"/>
        </w:rPr>
      </w:pPr>
      <w:r>
        <w:rPr>
          <w:bCs/>
          <w:sz w:val="24"/>
          <w:szCs w:val="24"/>
          <w:lang w:val="id-ID"/>
        </w:rPr>
        <w:t>Jalinan antara kelelahan sistemik internal dan gempuran tekanan eksternal inilah yang secara teoretis melemahkan integritas personal penyelenggara, sehingga niat jahat (</w:t>
      </w:r>
      <w:r>
        <w:rPr>
          <w:bCs/>
          <w:i/>
          <w:sz w:val="24"/>
          <w:szCs w:val="24"/>
          <w:lang w:val="id-ID"/>
        </w:rPr>
        <w:t>mens rea</w:t>
      </w:r>
      <w:r>
        <w:rPr>
          <w:bCs/>
          <w:sz w:val="24"/>
          <w:szCs w:val="24"/>
          <w:lang w:val="id-ID"/>
        </w:rPr>
        <w:t>) berpindah angka perolehan suara akhirnya terbentuk demi mengamankan posisi personal atau keuntungan materiil sekejap.</w:t>
      </w:r>
    </w:p>
    <w:p w14:paraId="67192CFD">
      <w:pPr>
        <w:spacing w:line="360" w:lineRule="auto"/>
        <w:jc w:val="both"/>
        <w:outlineLvl w:val="1"/>
        <w:rPr>
          <w:b/>
          <w:sz w:val="24"/>
          <w:szCs w:val="24"/>
          <w:lang w:val="id-ID"/>
        </w:rPr>
      </w:pPr>
    </w:p>
    <w:p w14:paraId="01839B65">
      <w:pPr>
        <w:pStyle w:val="19"/>
        <w:numPr>
          <w:ilvl w:val="0"/>
          <w:numId w:val="1"/>
        </w:numPr>
        <w:spacing w:line="360" w:lineRule="auto"/>
        <w:ind w:left="284" w:hanging="283"/>
        <w:jc w:val="both"/>
        <w:outlineLvl w:val="1"/>
        <w:rPr>
          <w:b/>
          <w:sz w:val="24"/>
          <w:szCs w:val="24"/>
          <w:lang w:val="id-ID"/>
        </w:rPr>
      </w:pPr>
      <w:bookmarkStart w:id="7" w:name="_Toc230017854"/>
      <w:r>
        <w:rPr>
          <w:b/>
          <w:sz w:val="24"/>
          <w:szCs w:val="24"/>
          <w:lang w:val="id-ID"/>
        </w:rPr>
        <w:t>Kronologi Peristiwa Yang Terungkap Dalam Persidangan</w:t>
      </w:r>
      <w:bookmarkEnd w:id="7"/>
    </w:p>
    <w:p w14:paraId="3A2D0B19">
      <w:pPr>
        <w:pStyle w:val="19"/>
        <w:numPr>
          <w:ilvl w:val="0"/>
          <w:numId w:val="7"/>
        </w:numPr>
        <w:tabs>
          <w:tab w:val="clear" w:pos="720"/>
        </w:tabs>
        <w:spacing w:line="360" w:lineRule="auto"/>
        <w:ind w:left="426" w:hanging="426"/>
        <w:jc w:val="both"/>
        <w:rPr>
          <w:sz w:val="24"/>
          <w:szCs w:val="24"/>
        </w:rPr>
      </w:pPr>
      <w:r>
        <w:rPr>
          <w:sz w:val="24"/>
          <w:szCs w:val="24"/>
        </w:rPr>
        <w:t>Proses Awal Munculnya Informasi dan Tindak Lanjut Kelembagaan</w:t>
      </w:r>
    </w:p>
    <w:p w14:paraId="7E203B92">
      <w:pPr>
        <w:spacing w:line="360" w:lineRule="auto"/>
        <w:ind w:firstLine="284"/>
        <w:jc w:val="both"/>
        <w:rPr>
          <w:sz w:val="24"/>
          <w:szCs w:val="24"/>
          <w:lang w:val="id-ID"/>
        </w:rPr>
      </w:pPr>
      <w:r>
        <w:rPr>
          <w:sz w:val="24"/>
          <w:szCs w:val="24"/>
        </w:rPr>
        <w:t>Kasus ini tidak ditemukan secara langsung oleh aparat pengawas, melainkan bermula dari adanya Informasi Awal yang diterima secara tertulis oleh Badan Pengawas Pemilihan Umum (Bawaslu) Kota Medan pada tanggal 06 Maret 2024. Informasi tersebut disampaikan oleh pihak pelapor bernama NYS yang mengadukan adanya dugaan kecurangan berupa penggelembungan suara atau manipulasi data perolehan suara di wilayah kerja Kecamatan Medan Timur.</w:t>
      </w:r>
      <w:r>
        <w:rPr>
          <w:sz w:val="24"/>
          <w:szCs w:val="24"/>
          <w:lang w:val="id-ID"/>
        </w:rPr>
        <w:t xml:space="preserve"> </w:t>
      </w:r>
    </w:p>
    <w:p w14:paraId="78ED38CE">
      <w:pPr>
        <w:pStyle w:val="19"/>
        <w:spacing w:line="360" w:lineRule="auto"/>
        <w:ind w:left="426"/>
        <w:jc w:val="both"/>
        <w:rPr>
          <w:sz w:val="24"/>
          <w:szCs w:val="24"/>
        </w:rPr>
      </w:pPr>
      <w:r>
        <w:rPr>
          <w:sz w:val="24"/>
          <w:szCs w:val="24"/>
        </w:rPr>
        <w:t>Mekanisme hukum yang terjadi selanjutnya adalah sebagai berikut:</w:t>
      </w:r>
    </w:p>
    <w:p w14:paraId="23E8B528">
      <w:pPr>
        <w:pStyle w:val="19"/>
        <w:numPr>
          <w:ilvl w:val="1"/>
          <w:numId w:val="8"/>
        </w:numPr>
        <w:spacing w:line="360" w:lineRule="auto"/>
        <w:ind w:left="709" w:hanging="283"/>
        <w:jc w:val="both"/>
        <w:rPr>
          <w:sz w:val="24"/>
          <w:szCs w:val="24"/>
        </w:rPr>
      </w:pPr>
      <w:r>
        <w:rPr>
          <w:sz w:val="24"/>
          <w:szCs w:val="24"/>
        </w:rPr>
        <w:t>Verifikasi: Berdasarkan informasi awal tersebut, Bawaslu Kota Medan tidak langsung memproses secara pidana, melainkan melakukan langkah-langkah verifikasi dan kajian mendalam terhadap kebenaran data dan dugaan pelanggaran yang dimaksud.</w:t>
      </w:r>
    </w:p>
    <w:p w14:paraId="0EAF413F">
      <w:pPr>
        <w:pStyle w:val="19"/>
        <w:numPr>
          <w:ilvl w:val="1"/>
          <w:numId w:val="8"/>
        </w:numPr>
        <w:spacing w:line="360" w:lineRule="auto"/>
        <w:ind w:left="709" w:hanging="283"/>
        <w:jc w:val="both"/>
        <w:rPr>
          <w:sz w:val="24"/>
          <w:szCs w:val="24"/>
        </w:rPr>
      </w:pPr>
      <w:r>
        <w:rPr>
          <w:sz w:val="24"/>
          <w:szCs w:val="24"/>
        </w:rPr>
        <w:t>Penerbitan Dokumen: Setelah dilakukan kajian dan ditemukan cukup bukti adanya indikasi pelanggaran yang cukup serius, maka Bawaslu Kota Medan menerbitkan dokumen resmi dengan nomor: 006/PP/002/K.SU-28/0/3/2018 tertanggal 06 Maret 2024. Dokumen atau rekomendasi inilah yang menjadi pintu</w:t>
      </w:r>
      <w:r>
        <w:rPr>
          <w:sz w:val="24"/>
          <w:szCs w:val="24"/>
          <w:lang w:val="id-ID"/>
        </w:rPr>
        <w:t xml:space="preserve"> </w:t>
      </w:r>
      <w:r>
        <w:rPr>
          <w:sz w:val="24"/>
          <w:szCs w:val="24"/>
        </w:rPr>
        <w:t>masuk dan dasar yuridis bagi dilakukannya proses hukum lebih lanjut, baik melalui jalur administrasi maupun jalur pidana, hingga akhirnya ditetapkan sebagai perkara pidana dan disidangkan di Pengadilan Negeri Medan.</w:t>
      </w:r>
    </w:p>
    <w:p w14:paraId="4AB0545E">
      <w:pPr>
        <w:pStyle w:val="19"/>
        <w:numPr>
          <w:ilvl w:val="0"/>
          <w:numId w:val="9"/>
        </w:numPr>
        <w:spacing w:line="360" w:lineRule="auto"/>
        <w:ind w:left="426" w:hanging="426"/>
        <w:jc w:val="both"/>
        <w:rPr>
          <w:sz w:val="24"/>
          <w:szCs w:val="24"/>
        </w:rPr>
      </w:pPr>
      <w:r>
        <w:rPr>
          <w:sz w:val="24"/>
          <w:szCs w:val="24"/>
        </w:rPr>
        <w:t>Waktu, Tempat Kejadian, dan Kedudukan Para Pihak</w:t>
      </w:r>
    </w:p>
    <w:p w14:paraId="7E99682E">
      <w:pPr>
        <w:spacing w:line="360" w:lineRule="auto"/>
        <w:ind w:firstLine="284"/>
        <w:jc w:val="both"/>
        <w:rPr>
          <w:sz w:val="24"/>
          <w:szCs w:val="24"/>
          <w:lang w:val="id-ID"/>
        </w:rPr>
      </w:pPr>
      <w:r>
        <w:rPr>
          <w:sz w:val="24"/>
          <w:szCs w:val="24"/>
        </w:rPr>
        <w:t>Perbuatan pidana yang menjadi objek dakwaan dalam perkara ini terjadi pada rentang waktu tanggal 01 Maret 2024 sampai dengan tanggal 05 Maret 2024. Secara geografis, perbuatan tersebut dilakukan di Kantor Kecamatan Medan Timur, yang merupakan tempat resmi penyelenggaraan rapat rekapitulasi hasil penghitungan suara.</w:t>
      </w:r>
    </w:p>
    <w:p w14:paraId="172F8CAC">
      <w:pPr>
        <w:spacing w:line="360" w:lineRule="auto"/>
        <w:ind w:firstLine="284"/>
        <w:jc w:val="both"/>
        <w:rPr>
          <w:sz w:val="24"/>
          <w:szCs w:val="24"/>
        </w:rPr>
      </w:pPr>
      <w:r>
        <w:rPr>
          <w:sz w:val="24"/>
          <w:szCs w:val="24"/>
        </w:rPr>
        <w:t>Dalam peristiwa hukum ini, para pihak yang terlibat memiliki kedudukan dan jabatan resmi yang strategis, yaitu:</w:t>
      </w:r>
    </w:p>
    <w:p w14:paraId="2CA7D141">
      <w:pPr>
        <w:pStyle w:val="19"/>
        <w:numPr>
          <w:ilvl w:val="0"/>
          <w:numId w:val="10"/>
        </w:numPr>
        <w:spacing w:line="360" w:lineRule="auto"/>
        <w:ind w:left="567" w:hanging="284"/>
        <w:jc w:val="both"/>
        <w:rPr>
          <w:sz w:val="24"/>
          <w:szCs w:val="24"/>
        </w:rPr>
      </w:pPr>
      <w:r>
        <w:rPr>
          <w:sz w:val="24"/>
          <w:szCs w:val="24"/>
        </w:rPr>
        <w:t>MRR: Bertindak selaku Ketua Panitia Pemilihan Kecamatan (PPK) Medan Timur. Sebagai ketua, ia memegang kendali penuh atas jalannya proses dan pengambilan keputusan serta memiliki wewenang administrasi sistem.</w:t>
      </w:r>
    </w:p>
    <w:p w14:paraId="76F72900">
      <w:pPr>
        <w:pStyle w:val="19"/>
        <w:numPr>
          <w:ilvl w:val="0"/>
          <w:numId w:val="10"/>
        </w:numPr>
        <w:spacing w:line="360" w:lineRule="auto"/>
        <w:ind w:left="567" w:hanging="284"/>
        <w:jc w:val="both"/>
        <w:rPr>
          <w:sz w:val="24"/>
          <w:szCs w:val="24"/>
        </w:rPr>
      </w:pPr>
      <w:r>
        <w:rPr>
          <w:sz w:val="24"/>
          <w:szCs w:val="24"/>
        </w:rPr>
        <w:t>ASBH: Bertindak selaku Anggota PPK Medan Timur dan merupakan Terdakwa dalam putusan ini. Ia memiliki tugas operasional dalam memasukkan dan merekap data.</w:t>
      </w:r>
    </w:p>
    <w:p w14:paraId="14B3E28A">
      <w:pPr>
        <w:pStyle w:val="19"/>
        <w:numPr>
          <w:ilvl w:val="0"/>
          <w:numId w:val="10"/>
        </w:numPr>
        <w:spacing w:line="360" w:lineRule="auto"/>
        <w:ind w:left="567" w:hanging="284"/>
        <w:jc w:val="both"/>
        <w:rPr>
          <w:sz w:val="24"/>
          <w:szCs w:val="24"/>
        </w:rPr>
      </w:pPr>
      <w:r>
        <w:rPr>
          <w:sz w:val="24"/>
          <w:szCs w:val="24"/>
        </w:rPr>
        <w:t>JM: Bertindak selaku Anggota PPK Medan Timur yang turut serta membantu jalannya proses perbuatan melawan hukum tersebut.</w:t>
      </w:r>
      <w:r>
        <w:rPr>
          <w:sz w:val="24"/>
          <w:szCs w:val="24"/>
          <w:lang w:val="id-ID"/>
        </w:rPr>
        <w:t xml:space="preserve"> </w:t>
      </w:r>
      <w:r>
        <w:rPr>
          <w:sz w:val="24"/>
          <w:szCs w:val="24"/>
        </w:rPr>
        <w:t>Ketiga orang tersebut terikat dalam satu kesatuan tugas dan tanggung jawab penyelenggaraan pemilu di tingkat kecamatan</w:t>
      </w:r>
    </w:p>
    <w:p w14:paraId="539D0E41">
      <w:pPr>
        <w:pStyle w:val="19"/>
        <w:numPr>
          <w:ilvl w:val="0"/>
          <w:numId w:val="9"/>
        </w:numPr>
        <w:spacing w:line="360" w:lineRule="auto"/>
        <w:ind w:left="426" w:hanging="426"/>
        <w:jc w:val="both"/>
        <w:rPr>
          <w:sz w:val="24"/>
          <w:szCs w:val="24"/>
        </w:rPr>
      </w:pPr>
      <w:r>
        <w:rPr>
          <w:sz w:val="24"/>
          <w:szCs w:val="24"/>
        </w:rPr>
        <w:t>Mekanisme dan Modus Operandi Terjadinya Manipulasi Data</w:t>
      </w:r>
    </w:p>
    <w:p w14:paraId="61A5BB27">
      <w:pPr>
        <w:spacing w:line="360" w:lineRule="auto"/>
        <w:ind w:firstLine="284"/>
        <w:jc w:val="both"/>
        <w:rPr>
          <w:sz w:val="24"/>
          <w:szCs w:val="24"/>
        </w:rPr>
      </w:pPr>
      <w:r>
        <w:rPr>
          <w:sz w:val="24"/>
          <w:szCs w:val="24"/>
        </w:rPr>
        <w:t>Berdasarkan fakta persidangan, perbuatan pidana tersebut tidak terjadi secara spontan, melainkan dilakukan melalui tahapan-tahapan yang terstruktur dan memiliki pembagian peran yang jelas, yaitu sebagai berikut:</w:t>
      </w:r>
    </w:p>
    <w:p w14:paraId="61F3ED20">
      <w:pPr>
        <w:pStyle w:val="19"/>
        <w:numPr>
          <w:ilvl w:val="4"/>
          <w:numId w:val="8"/>
        </w:numPr>
        <w:spacing w:line="360" w:lineRule="auto"/>
        <w:ind w:left="567" w:hanging="283"/>
        <w:jc w:val="both"/>
        <w:rPr>
          <w:sz w:val="24"/>
          <w:szCs w:val="24"/>
        </w:rPr>
      </w:pPr>
      <w:r>
        <w:rPr>
          <w:sz w:val="24"/>
          <w:szCs w:val="24"/>
        </w:rPr>
        <w:t>Tahap Pemberian Perintah:</w:t>
      </w:r>
    </w:p>
    <w:p w14:paraId="2748AE93">
      <w:pPr>
        <w:pStyle w:val="19"/>
        <w:spacing w:line="360" w:lineRule="auto"/>
        <w:ind w:left="567"/>
        <w:jc w:val="both"/>
        <w:rPr>
          <w:sz w:val="24"/>
          <w:szCs w:val="24"/>
          <w:lang w:val="id-ID"/>
        </w:rPr>
      </w:pPr>
      <w:r>
        <w:rPr>
          <w:sz w:val="24"/>
          <w:szCs w:val="24"/>
        </w:rPr>
        <w:t>Pada hari Sabtu, tanggal 02 Maret 2024, saat berlangsungnya rapat pleno rekapitulasi dan para saksi dari partai politik meminta data hasil</w:t>
      </w:r>
      <w:r>
        <w:rPr>
          <w:sz w:val="24"/>
          <w:szCs w:val="24"/>
          <w:lang w:val="id-ID"/>
        </w:rPr>
        <w:t xml:space="preserve">   </w:t>
      </w:r>
    </w:p>
    <w:p w14:paraId="33125319">
      <w:pPr>
        <w:pStyle w:val="19"/>
        <w:spacing w:line="360" w:lineRule="auto"/>
        <w:ind w:left="709"/>
        <w:jc w:val="both"/>
        <w:rPr>
          <w:sz w:val="24"/>
          <w:szCs w:val="24"/>
          <w:lang w:val="id-ID"/>
        </w:rPr>
      </w:pPr>
      <w:r>
        <w:rPr>
          <w:sz w:val="24"/>
          <w:szCs w:val="24"/>
        </w:rPr>
        <w:t>penghitungan,</w:t>
      </w:r>
      <w:r>
        <w:rPr>
          <w:sz w:val="24"/>
          <w:szCs w:val="24"/>
          <w:lang w:val="id-ID"/>
        </w:rPr>
        <w:t xml:space="preserve"> </w:t>
      </w:r>
      <w:r>
        <w:rPr>
          <w:sz w:val="24"/>
          <w:szCs w:val="24"/>
        </w:rPr>
        <w:t>maka MRR selaku Ketua</w:t>
      </w:r>
      <w:r>
        <w:rPr>
          <w:sz w:val="24"/>
          <w:szCs w:val="24"/>
          <w:lang w:val="id-ID"/>
        </w:rPr>
        <w:t xml:space="preserve"> </w:t>
      </w:r>
      <w:r>
        <w:rPr>
          <w:sz w:val="24"/>
          <w:szCs w:val="24"/>
        </w:rPr>
        <w:t>memberikan</w:t>
      </w:r>
      <w:r>
        <w:rPr>
          <w:sz w:val="24"/>
          <w:szCs w:val="24"/>
          <w:lang w:val="id-ID"/>
        </w:rPr>
        <w:t xml:space="preserve"> </w:t>
      </w:r>
      <w:r>
        <w:rPr>
          <w:sz w:val="24"/>
          <w:szCs w:val="24"/>
        </w:rPr>
        <w:t>perintah secara lisan maupun tindakan kepada Terdakwa ASBH untuk melakukan perubahan atau pemindahan data suara.</w:t>
      </w:r>
    </w:p>
    <w:p w14:paraId="09405D57">
      <w:pPr>
        <w:pStyle w:val="19"/>
        <w:numPr>
          <w:ilvl w:val="0"/>
          <w:numId w:val="11"/>
        </w:numPr>
        <w:spacing w:line="360" w:lineRule="auto"/>
        <w:ind w:left="567" w:hanging="283"/>
        <w:jc w:val="both"/>
        <w:rPr>
          <w:sz w:val="24"/>
          <w:szCs w:val="24"/>
        </w:rPr>
      </w:pPr>
      <w:r>
        <w:rPr>
          <w:sz w:val="24"/>
          <w:szCs w:val="24"/>
        </w:rPr>
        <w:t>Tahap Pemberian Akses Keamanan:</w:t>
      </w:r>
    </w:p>
    <w:p w14:paraId="0A271AE3">
      <w:pPr>
        <w:pStyle w:val="19"/>
        <w:spacing w:line="360" w:lineRule="auto"/>
        <w:ind w:left="567"/>
        <w:jc w:val="both"/>
        <w:rPr>
          <w:sz w:val="24"/>
          <w:szCs w:val="24"/>
        </w:rPr>
      </w:pPr>
      <w:r>
        <w:rPr>
          <w:sz w:val="24"/>
          <w:szCs w:val="24"/>
        </w:rPr>
        <w:t>Karena aplikasi Sirekap memiliki sistem keamanan yang terproteksi, maka untuk melakukan perubahan data diperlukan kode otentikasi. MRR kemudian memberikan kode rahasia berupa OTP (</w:t>
      </w:r>
      <w:r>
        <w:rPr>
          <w:i/>
          <w:sz w:val="24"/>
          <w:szCs w:val="24"/>
        </w:rPr>
        <w:t>One Time Password</w:t>
      </w:r>
      <w:r>
        <w:rPr>
          <w:sz w:val="24"/>
          <w:szCs w:val="24"/>
        </w:rPr>
        <w:t>) kepada JM. Selanjutnya, JM meneruskan kode akses atau password tersebut kepada Terdakwa ASBH.</w:t>
      </w:r>
    </w:p>
    <w:p w14:paraId="4335CC27">
      <w:pPr>
        <w:pStyle w:val="19"/>
        <w:numPr>
          <w:ilvl w:val="0"/>
          <w:numId w:val="11"/>
        </w:numPr>
        <w:spacing w:line="360" w:lineRule="auto"/>
        <w:ind w:left="567" w:hanging="283"/>
        <w:jc w:val="both"/>
        <w:rPr>
          <w:sz w:val="24"/>
          <w:szCs w:val="24"/>
        </w:rPr>
      </w:pPr>
      <w:r>
        <w:rPr>
          <w:sz w:val="24"/>
          <w:szCs w:val="24"/>
        </w:rPr>
        <w:t>Tahap Eksekusi Tindak Pidana:</w:t>
      </w:r>
    </w:p>
    <w:p w14:paraId="5C1FE7F3">
      <w:pPr>
        <w:pStyle w:val="19"/>
        <w:spacing w:line="360" w:lineRule="auto"/>
        <w:ind w:left="567"/>
        <w:jc w:val="both"/>
        <w:rPr>
          <w:sz w:val="24"/>
          <w:szCs w:val="24"/>
        </w:rPr>
      </w:pPr>
      <w:r>
        <w:rPr>
          <w:sz w:val="24"/>
          <w:szCs w:val="24"/>
        </w:rPr>
        <w:t>Dengan bekal kode akses yang diperoleh secara tidak semestinya tersebut, Terdakwa Abdilla kemudian melakukan login ke dalam sistem aplikasi. Di sinilah inti perbuatan pidana terjadi, di mana Terdakwa dengan sengaja dan sadar memindahkan jumlah perolehan suara yang seharusnya menjadi hak milik Partai Buruh dan Partai Kebangkitan Nusantara, kemudian dimasukkan dan diakumulasikan menjadi perolehan suara untuk Partai Kebangkitan Bangsa.</w:t>
      </w:r>
    </w:p>
    <w:p w14:paraId="3F6EFB7D">
      <w:pPr>
        <w:pStyle w:val="19"/>
        <w:numPr>
          <w:ilvl w:val="0"/>
          <w:numId w:val="11"/>
        </w:numPr>
        <w:spacing w:line="360" w:lineRule="auto"/>
        <w:ind w:left="567" w:hanging="283"/>
        <w:jc w:val="both"/>
        <w:rPr>
          <w:sz w:val="24"/>
          <w:szCs w:val="24"/>
        </w:rPr>
      </w:pPr>
      <w:r>
        <w:rPr>
          <w:sz w:val="24"/>
          <w:szCs w:val="24"/>
        </w:rPr>
        <w:t>Faktor Pemalsuan:</w:t>
      </w:r>
    </w:p>
    <w:p w14:paraId="6A54EE6A">
      <w:pPr>
        <w:pStyle w:val="19"/>
        <w:spacing w:line="360" w:lineRule="auto"/>
        <w:ind w:left="567"/>
        <w:jc w:val="both"/>
        <w:rPr>
          <w:sz w:val="24"/>
          <w:szCs w:val="24"/>
          <w:lang w:val="id-ID"/>
        </w:rPr>
      </w:pPr>
      <w:r>
        <w:rPr>
          <w:sz w:val="24"/>
          <w:szCs w:val="24"/>
        </w:rPr>
        <w:t>Yang membuat perbuatan ini semakin berat adalah fakta bahwa perubahan data di dalam sistem aplikasi tersebut dilakukan meskipun Terdakwa dan para pihak lainnya mengetahui dengan jelas bahwa data asli yang tercatat dalam formulir fisik (Model C Plano) menunjukkan angka yang berbeda dan tidak sesuai dengan apa yang dimasukkan ke dalam sistem.</w:t>
      </w:r>
    </w:p>
    <w:p w14:paraId="4DAD7361">
      <w:pPr>
        <w:rPr>
          <w:sz w:val="24"/>
          <w:szCs w:val="24"/>
        </w:rPr>
      </w:pPr>
    </w:p>
    <w:p w14:paraId="3D3217BE">
      <w:pPr>
        <w:pStyle w:val="19"/>
        <w:numPr>
          <w:ilvl w:val="0"/>
          <w:numId w:val="1"/>
        </w:numPr>
        <w:spacing w:line="360" w:lineRule="auto"/>
        <w:ind w:left="284" w:hanging="284"/>
        <w:jc w:val="both"/>
        <w:outlineLvl w:val="1"/>
        <w:rPr>
          <w:b/>
          <w:sz w:val="24"/>
          <w:szCs w:val="24"/>
        </w:rPr>
      </w:pPr>
      <w:bookmarkStart w:id="8" w:name="_Toc230017855"/>
      <w:r>
        <w:rPr>
          <w:b/>
          <w:sz w:val="24"/>
          <w:szCs w:val="24"/>
        </w:rPr>
        <w:t>Konsep Pemisahan Berkas (</w:t>
      </w:r>
      <w:r>
        <w:rPr>
          <w:b/>
          <w:i/>
          <w:sz w:val="24"/>
          <w:szCs w:val="24"/>
        </w:rPr>
        <w:t>Splitsing</w:t>
      </w:r>
      <w:r>
        <w:rPr>
          <w:b/>
          <w:sz w:val="24"/>
          <w:szCs w:val="24"/>
        </w:rPr>
        <w:t>)</w:t>
      </w:r>
      <w:bookmarkEnd w:id="8"/>
    </w:p>
    <w:p w14:paraId="790B65D8">
      <w:pPr>
        <w:spacing w:line="360" w:lineRule="auto"/>
        <w:ind w:firstLine="284"/>
        <w:jc w:val="both"/>
        <w:rPr>
          <w:sz w:val="24"/>
          <w:szCs w:val="24"/>
        </w:rPr>
        <w:sectPr>
          <w:headerReference r:id="rId11" w:type="first"/>
          <w:headerReference r:id="rId9" w:type="default"/>
          <w:footerReference r:id="rId12" w:type="default"/>
          <w:headerReference r:id="rId10" w:type="even"/>
          <w:pgSz w:w="11910" w:h="16840"/>
          <w:pgMar w:top="1701" w:right="1701" w:bottom="1701" w:left="2268" w:header="709" w:footer="709" w:gutter="0"/>
          <w:cols w:space="708" w:num="1"/>
          <w:docGrid w:linePitch="360" w:charSpace="0"/>
        </w:sectPr>
      </w:pPr>
      <w:r>
        <w:rPr>
          <w:i/>
          <w:sz w:val="24"/>
          <w:szCs w:val="24"/>
        </w:rPr>
        <w:t>Splitsing</w:t>
      </w:r>
      <w:r>
        <w:rPr>
          <w:sz w:val="24"/>
          <w:szCs w:val="24"/>
        </w:rPr>
        <w:t xml:space="preserve"> atau pemisahan berkas perkara adalah upaya hukum memisahkan penanganan perkara terhadap salah satu terdakwa dari yang lain dalam satu peristiwa yang sama. Hal ini dilakukan agar proses peradilan berjalan cepat apabila salah satu berkas sudah lengkap, sementara yang lain masih dalam proses penyempurnaan.</w:t>
      </w:r>
    </w:p>
    <w:p w14:paraId="2B7D2E74"/>
    <w:sectPr>
      <w:headerReference r:id="rId15" w:type="first"/>
      <w:headerReference r:id="rId13" w:type="default"/>
      <w:footerReference r:id="rId16" w:type="default"/>
      <w:headerReference r:id="rId14"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2985548"/>
      <w:docPartObj>
        <w:docPartGallery w:val="AutoText"/>
      </w:docPartObj>
    </w:sdtPr>
    <w:sdtContent>
      <w:p w14:paraId="61C13475">
        <w:pPr>
          <w:pStyle w:val="8"/>
          <w:jc w:val="right"/>
        </w:pPr>
        <w:r>
          <w:fldChar w:fldCharType="begin"/>
        </w:r>
        <w:r>
          <w:instrText xml:space="preserve"> PAGE   \* MERGEFORMAT </w:instrText>
        </w:r>
        <w:r>
          <w:fldChar w:fldCharType="separate"/>
        </w:r>
        <w:r>
          <w:t>1</w:t>
        </w:r>
        <w:r>
          <w:fldChar w:fldCharType="end"/>
        </w:r>
      </w:p>
    </w:sdtContent>
  </w:sdt>
  <w:p w14:paraId="12514FF7">
    <w:pPr>
      <w:pStyle w:val="7"/>
      <w:jc w:val="right"/>
      <w:rPr>
        <w:sz w:val="36"/>
        <w:szCs w:val="36"/>
        <w:lang w:val="id-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EB424">
    <w:pPr>
      <w:pStyle w:val="8"/>
      <w:jc w:val="center"/>
    </w:pPr>
  </w:p>
  <w:p w14:paraId="1CFE6470">
    <w:pPr>
      <w:pStyle w:val="7"/>
      <w:jc w:val="right"/>
      <w:rPr>
        <w:sz w:val="36"/>
        <w:szCs w:val="36"/>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7779086"/>
      <w:showingPlcHdr/>
    </w:sdtPr>
    <w:sdtContent>
      <w:p w14:paraId="66227168">
        <w:pPr>
          <w:pStyle w:val="8"/>
          <w:jc w:val="center"/>
        </w:pPr>
        <w:r>
          <w:t xml:space="preserve">     </w:t>
        </w:r>
      </w:p>
    </w:sdtContent>
  </w:sdt>
  <w:p w14:paraId="7BFEDDF9">
    <w:pPr>
      <w:pStyle w:val="7"/>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5E3C0">
    <w:pPr>
      <w:pStyle w:val="9"/>
      <w:jc w:val="right"/>
      <w:rPr>
        <w:sz w:val="36"/>
        <w:szCs w:val="36"/>
      </w:rPr>
    </w:pPr>
    <w:r>
      <w:rPr>
        <w:sz w:val="36"/>
        <w:szCs w:val="36"/>
        <w:lang w:val="en-US"/>
      </w:rPr>
      <w:pict>
        <v:shape id="WordPictureWatermark14406618" o:spid="_x0000_s2063" o:spt="75" type="#_x0000_t75" style="position:absolute;left:0pt;height:391.15pt;width:396.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CAF7E">
    <w:pPr>
      <w:pStyle w:val="9"/>
    </w:pPr>
    <w:r>
      <w:rPr>
        <w:lang w:val="en-US"/>
      </w:rPr>
      <w:pict>
        <v:shape id="WordPictureWatermark14406617" o:spid="_x0000_s2062" o:spt="75" type="#_x0000_t75" style="position:absolute;left:0pt;height:391.15pt;width:396.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1A982">
    <w:pPr>
      <w:pStyle w:val="9"/>
    </w:pPr>
    <w:r>
      <w:rPr>
        <w:lang w:val="en-US"/>
      </w:rPr>
      <w:pict>
        <v:shape id="WordPictureWatermark14406616" o:spid="_x0000_s2061" o:spt="75" type="#_x0000_t75" style="position:absolute;left:0pt;height:391.15pt;width:396.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68715539"/>
      <w:docPartObj>
        <w:docPartGallery w:val="AutoText"/>
      </w:docPartObj>
    </w:sdtPr>
    <w:sdtContent>
      <w:p w14:paraId="7B902FEF">
        <w:pPr>
          <w:pStyle w:val="9"/>
          <w:jc w:val="right"/>
        </w:pPr>
        <w:r>
          <w:rPr>
            <w:lang w:val="en-US"/>
          </w:rPr>
          <w:pict>
            <v:shape id="WordPictureWatermark14406621" o:spid="_x0000_s2066" o:spt="75" type="#_x0000_t75" style="position:absolute;left:0pt;height:391.15pt;width:396.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2)"/>
              <o:lock v:ext="edit" aspectratio="t"/>
            </v:shape>
          </w:pict>
        </w:r>
        <w:r>
          <w:fldChar w:fldCharType="begin"/>
        </w:r>
        <w:r>
          <w:instrText xml:space="preserve"> PAGE   \* MERGEFORMAT </w:instrText>
        </w:r>
        <w:r>
          <w:fldChar w:fldCharType="separate"/>
        </w:r>
        <w:r>
          <w:t>8</w:t>
        </w:r>
        <w:r>
          <w:fldChar w:fldCharType="end"/>
        </w:r>
      </w:p>
    </w:sdtContent>
  </w:sdt>
  <w:p w14:paraId="79954342">
    <w:pPr>
      <w:pStyle w:val="9"/>
      <w:jc w:val="right"/>
      <w:rPr>
        <w:sz w:val="36"/>
        <w:szCs w:val="36"/>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DA701">
    <w:pPr>
      <w:pStyle w:val="9"/>
    </w:pPr>
    <w:r>
      <w:rPr>
        <w:lang w:val="en-US"/>
      </w:rPr>
      <w:pict>
        <v:shape id="WordPictureWatermark14406620" o:spid="_x0000_s2065" o:spt="75" type="#_x0000_t75" style="position:absolute;left:0pt;height:391.15pt;width:396.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85E33">
    <w:pPr>
      <w:pStyle w:val="9"/>
    </w:pPr>
    <w:r>
      <w:rPr>
        <w:lang w:val="en-US"/>
      </w:rPr>
      <w:pict>
        <v:shape id="WordPictureWatermark14406619" o:spid="_x0000_s2064" o:spt="75" type="#_x0000_t75" style="position:absolute;left:0pt;height:391.15pt;width:396.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07117">
    <w:pPr>
      <w:pStyle w:val="9"/>
    </w:pPr>
    <w:r>
      <w:rPr>
        <w:lang w:val="en-US"/>
      </w:rPr>
      <w:pict>
        <v:shape id="WordPictureWatermark14406603" o:spid="_x0000_s2054" o:spt="75" type="#_x0000_t75" style="position:absolute;left:0pt;height:391.15pt;width:396.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6E67E">
    <w:pPr>
      <w:pStyle w:val="9"/>
    </w:pPr>
    <w:r>
      <w:rPr>
        <w:lang w:val="en-US"/>
      </w:rPr>
      <w:pict>
        <v:shape id="WordPictureWatermark14406602" o:spid="_x0000_s2053" o:spt="75" type="#_x0000_t75" style="position:absolute;left:0pt;height:391.15pt;width:396.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FDD73">
    <w:pPr>
      <w:pStyle w:val="9"/>
    </w:pPr>
    <w:r>
      <w:rPr>
        <w:lang w:val="en-US"/>
      </w:rPr>
      <w:pict>
        <v:shape id="WordPictureWatermark14406601" o:spid="_x0000_s2052" o:spt="75" type="#_x0000_t75" style="position:absolute;left:0pt;height:391.15pt;width:396.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932D1C"/>
    <w:multiLevelType w:val="multilevel"/>
    <w:tmpl w:val="00932D1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43E7B85"/>
    <w:multiLevelType w:val="multilevel"/>
    <w:tmpl w:val="043E7B85"/>
    <w:lvl w:ilvl="0" w:tentative="0">
      <w:start w:val="1"/>
      <w:numFmt w:val="upperLetter"/>
      <w:lvlText w:val="%1."/>
      <w:lvlJc w:val="left"/>
      <w:pPr>
        <w:ind w:left="4755"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36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7307243"/>
    <w:multiLevelType w:val="multilevel"/>
    <w:tmpl w:val="07307243"/>
    <w:lvl w:ilvl="0" w:tentative="0">
      <w:start w:val="1"/>
      <w:numFmt w:val="decimal"/>
      <w:lvlText w:val="%1."/>
      <w:lvlJc w:val="left"/>
      <w:pPr>
        <w:tabs>
          <w:tab w:val="left" w:pos="720"/>
        </w:tabs>
        <w:ind w:left="720" w:hanging="360"/>
      </w:pPr>
      <w:rPr>
        <w:rFonts w:ascii="Times New Roman" w:hAnsi="Times New Roman" w:eastAsia="Times New Roman" w:cs="Times New Roman"/>
        <w:sz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3AC01BD7"/>
    <w:multiLevelType w:val="multilevel"/>
    <w:tmpl w:val="3AC01BD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23B12FB"/>
    <w:multiLevelType w:val="multilevel"/>
    <w:tmpl w:val="423B12FB"/>
    <w:lvl w:ilvl="0" w:tentative="0">
      <w:start w:val="2"/>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A4F105C"/>
    <w:multiLevelType w:val="multilevel"/>
    <w:tmpl w:val="4A4F105C"/>
    <w:lvl w:ilvl="0" w:tentative="0">
      <w:start w:val="1"/>
      <w:numFmt w:val="decimal"/>
      <w:lvlText w:val="%1."/>
      <w:lvlJc w:val="left"/>
      <w:pPr>
        <w:tabs>
          <w:tab w:val="left" w:pos="720"/>
        </w:tabs>
        <w:ind w:left="720" w:hanging="360"/>
      </w:pPr>
      <w:rPr>
        <w:rFonts w:ascii="Times New Roman" w:hAnsi="Times New Roman" w:eastAsia="Times New Roman" w:cs="Times New Roman"/>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4BF77C3E"/>
    <w:multiLevelType w:val="multilevel"/>
    <w:tmpl w:val="4BF77C3E"/>
    <w:lvl w:ilvl="0" w:tentative="0">
      <w:start w:val="1"/>
      <w:numFmt w:val="decimal"/>
      <w:lvlText w:val="%1."/>
      <w:lvlJc w:val="left"/>
      <w:pPr>
        <w:tabs>
          <w:tab w:val="left" w:pos="720"/>
        </w:tabs>
        <w:ind w:left="720" w:hanging="360"/>
      </w:pPr>
      <w:rPr>
        <w:rFonts w:ascii="Times New Roman" w:hAnsi="Times New Roman" w:eastAsia="Times New Roman" w:cs="Times New Roman"/>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4EFC51CB"/>
    <w:multiLevelType w:val="multilevel"/>
    <w:tmpl w:val="4EFC51C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57104B8E"/>
    <w:multiLevelType w:val="multilevel"/>
    <w:tmpl w:val="57104B8E"/>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5AA3598B"/>
    <w:multiLevelType w:val="multilevel"/>
    <w:tmpl w:val="5AA3598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786"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7BDE5410"/>
    <w:multiLevelType w:val="multilevel"/>
    <w:tmpl w:val="7BDE541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6"/>
  </w:num>
  <w:num w:numId="3">
    <w:abstractNumId w:val="5"/>
  </w:num>
  <w:num w:numId="4">
    <w:abstractNumId w:val="0"/>
  </w:num>
  <w:num w:numId="5">
    <w:abstractNumId w:val="3"/>
  </w:num>
  <w:num w:numId="6">
    <w:abstractNumId w:val="10"/>
  </w:num>
  <w:num w:numId="7">
    <w:abstractNumId w:val="2"/>
  </w:num>
  <w:num w:numId="8">
    <w:abstractNumId w:val="9"/>
  </w:num>
  <w:num w:numId="9">
    <w:abstractNumId w:val="8"/>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stfD9XjdBZiYQH3Ab0lpb5KIptc=" w:salt="INIrQDMWGU64t6w2FJ3U4A=="/>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17C"/>
    <w:rsid w:val="00001C3E"/>
    <w:rsid w:val="0001408C"/>
    <w:rsid w:val="000206E4"/>
    <w:rsid w:val="00072A73"/>
    <w:rsid w:val="00097B51"/>
    <w:rsid w:val="000A0074"/>
    <w:rsid w:val="000A20BB"/>
    <w:rsid w:val="000B0605"/>
    <w:rsid w:val="000E6E1D"/>
    <w:rsid w:val="000E72A7"/>
    <w:rsid w:val="000F3289"/>
    <w:rsid w:val="001132E2"/>
    <w:rsid w:val="00115792"/>
    <w:rsid w:val="00124B83"/>
    <w:rsid w:val="00124D68"/>
    <w:rsid w:val="001311EE"/>
    <w:rsid w:val="001326A2"/>
    <w:rsid w:val="001358C1"/>
    <w:rsid w:val="0014567D"/>
    <w:rsid w:val="00150D16"/>
    <w:rsid w:val="001576F3"/>
    <w:rsid w:val="00163D73"/>
    <w:rsid w:val="00170B7E"/>
    <w:rsid w:val="0017491C"/>
    <w:rsid w:val="00186330"/>
    <w:rsid w:val="001937E2"/>
    <w:rsid w:val="001A5A22"/>
    <w:rsid w:val="001B43E0"/>
    <w:rsid w:val="001B4B26"/>
    <w:rsid w:val="001B722C"/>
    <w:rsid w:val="001C42BA"/>
    <w:rsid w:val="001D7752"/>
    <w:rsid w:val="001E17B9"/>
    <w:rsid w:val="001E505F"/>
    <w:rsid w:val="002033EF"/>
    <w:rsid w:val="0022031B"/>
    <w:rsid w:val="002264DF"/>
    <w:rsid w:val="00231FD0"/>
    <w:rsid w:val="002331F3"/>
    <w:rsid w:val="002368CA"/>
    <w:rsid w:val="00297D76"/>
    <w:rsid w:val="002A4C65"/>
    <w:rsid w:val="002D256E"/>
    <w:rsid w:val="002D36CB"/>
    <w:rsid w:val="002E0E2D"/>
    <w:rsid w:val="00311966"/>
    <w:rsid w:val="00312990"/>
    <w:rsid w:val="00340B1E"/>
    <w:rsid w:val="0034352F"/>
    <w:rsid w:val="00393BB9"/>
    <w:rsid w:val="00394114"/>
    <w:rsid w:val="003C3827"/>
    <w:rsid w:val="003D3786"/>
    <w:rsid w:val="003D5F01"/>
    <w:rsid w:val="003E149E"/>
    <w:rsid w:val="003E1FF4"/>
    <w:rsid w:val="003F2E9C"/>
    <w:rsid w:val="00402B3F"/>
    <w:rsid w:val="00410910"/>
    <w:rsid w:val="004278E2"/>
    <w:rsid w:val="004323EF"/>
    <w:rsid w:val="00443FD8"/>
    <w:rsid w:val="00447431"/>
    <w:rsid w:val="004506C3"/>
    <w:rsid w:val="00461C41"/>
    <w:rsid w:val="0046416A"/>
    <w:rsid w:val="00486121"/>
    <w:rsid w:val="00487CB0"/>
    <w:rsid w:val="004923DF"/>
    <w:rsid w:val="0049600C"/>
    <w:rsid w:val="004A01B7"/>
    <w:rsid w:val="004A3D14"/>
    <w:rsid w:val="004D530D"/>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68F5"/>
    <w:rsid w:val="005A47DE"/>
    <w:rsid w:val="005A4AA8"/>
    <w:rsid w:val="005B25FF"/>
    <w:rsid w:val="005C69DC"/>
    <w:rsid w:val="005E2B32"/>
    <w:rsid w:val="005F1D88"/>
    <w:rsid w:val="006246E5"/>
    <w:rsid w:val="006403CC"/>
    <w:rsid w:val="00644BB9"/>
    <w:rsid w:val="00647A95"/>
    <w:rsid w:val="00651F05"/>
    <w:rsid w:val="00653891"/>
    <w:rsid w:val="0069217C"/>
    <w:rsid w:val="00693FAF"/>
    <w:rsid w:val="006973EB"/>
    <w:rsid w:val="006A1F6A"/>
    <w:rsid w:val="006A5F4B"/>
    <w:rsid w:val="006A7444"/>
    <w:rsid w:val="006B48A2"/>
    <w:rsid w:val="006D7051"/>
    <w:rsid w:val="006F4508"/>
    <w:rsid w:val="00712BA0"/>
    <w:rsid w:val="00713015"/>
    <w:rsid w:val="00715FC5"/>
    <w:rsid w:val="00716CFD"/>
    <w:rsid w:val="00717FCB"/>
    <w:rsid w:val="00725D4D"/>
    <w:rsid w:val="007376F4"/>
    <w:rsid w:val="00762643"/>
    <w:rsid w:val="007718E3"/>
    <w:rsid w:val="00783571"/>
    <w:rsid w:val="00796CF1"/>
    <w:rsid w:val="00803D6A"/>
    <w:rsid w:val="00804A04"/>
    <w:rsid w:val="008125BD"/>
    <w:rsid w:val="008136EB"/>
    <w:rsid w:val="00813C1C"/>
    <w:rsid w:val="0083659B"/>
    <w:rsid w:val="008447ED"/>
    <w:rsid w:val="008508F0"/>
    <w:rsid w:val="00882D1C"/>
    <w:rsid w:val="008C37A2"/>
    <w:rsid w:val="008C3A97"/>
    <w:rsid w:val="008C52C7"/>
    <w:rsid w:val="008C7E9D"/>
    <w:rsid w:val="008F0063"/>
    <w:rsid w:val="008F57B3"/>
    <w:rsid w:val="0095693A"/>
    <w:rsid w:val="00957EF3"/>
    <w:rsid w:val="0096792E"/>
    <w:rsid w:val="009732FB"/>
    <w:rsid w:val="0097760C"/>
    <w:rsid w:val="0098722B"/>
    <w:rsid w:val="009B412E"/>
    <w:rsid w:val="009C01E0"/>
    <w:rsid w:val="009C2430"/>
    <w:rsid w:val="009D6AA4"/>
    <w:rsid w:val="009D77CB"/>
    <w:rsid w:val="009E4D3B"/>
    <w:rsid w:val="00A37C15"/>
    <w:rsid w:val="00A67D67"/>
    <w:rsid w:val="00A732B8"/>
    <w:rsid w:val="00A76263"/>
    <w:rsid w:val="00A83081"/>
    <w:rsid w:val="00A87C80"/>
    <w:rsid w:val="00AC24D2"/>
    <w:rsid w:val="00AE34B9"/>
    <w:rsid w:val="00AE39B6"/>
    <w:rsid w:val="00B04EB8"/>
    <w:rsid w:val="00B067B1"/>
    <w:rsid w:val="00B11630"/>
    <w:rsid w:val="00B23263"/>
    <w:rsid w:val="00B43376"/>
    <w:rsid w:val="00B6386D"/>
    <w:rsid w:val="00B70598"/>
    <w:rsid w:val="00B76CF4"/>
    <w:rsid w:val="00B91889"/>
    <w:rsid w:val="00BB7945"/>
    <w:rsid w:val="00BE5474"/>
    <w:rsid w:val="00C12AFD"/>
    <w:rsid w:val="00C2355E"/>
    <w:rsid w:val="00C24E16"/>
    <w:rsid w:val="00C34845"/>
    <w:rsid w:val="00C45B26"/>
    <w:rsid w:val="00C56158"/>
    <w:rsid w:val="00C812F6"/>
    <w:rsid w:val="00CA0770"/>
    <w:rsid w:val="00CA6428"/>
    <w:rsid w:val="00CC0D31"/>
    <w:rsid w:val="00CC2580"/>
    <w:rsid w:val="00CF0136"/>
    <w:rsid w:val="00CF12E0"/>
    <w:rsid w:val="00D167C4"/>
    <w:rsid w:val="00D2736F"/>
    <w:rsid w:val="00D54749"/>
    <w:rsid w:val="00D67E81"/>
    <w:rsid w:val="00D83200"/>
    <w:rsid w:val="00DA2041"/>
    <w:rsid w:val="00DA770F"/>
    <w:rsid w:val="00DB4103"/>
    <w:rsid w:val="00DD1E44"/>
    <w:rsid w:val="00DD249C"/>
    <w:rsid w:val="00DD767D"/>
    <w:rsid w:val="00DE73CA"/>
    <w:rsid w:val="00DF1087"/>
    <w:rsid w:val="00DF39C8"/>
    <w:rsid w:val="00DF441F"/>
    <w:rsid w:val="00E205CB"/>
    <w:rsid w:val="00E459F5"/>
    <w:rsid w:val="00E479C9"/>
    <w:rsid w:val="00E57FAA"/>
    <w:rsid w:val="00E70194"/>
    <w:rsid w:val="00E7288E"/>
    <w:rsid w:val="00E7623D"/>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2F2F"/>
    <w:rsid w:val="00FC302E"/>
    <w:rsid w:val="3D700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ms" w:eastAsia="en-US" w:bidi="ar-SA"/>
    </w:rPr>
  </w:style>
  <w:style w:type="paragraph" w:styleId="2">
    <w:name w:val="heading 1"/>
    <w:basedOn w:val="1"/>
    <w:next w:val="1"/>
    <w:link w:val="14"/>
    <w:qFormat/>
    <w:uiPriority w:val="1"/>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0"/>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8"/>
    <w:semiHidden/>
    <w:unhideWhenUsed/>
    <w:qFormat/>
    <w:uiPriority w:val="99"/>
    <w:rPr>
      <w:rFonts w:ascii="Tahoma" w:hAnsi="Tahoma" w:cs="Tahoma"/>
      <w:sz w:val="16"/>
      <w:szCs w:val="16"/>
    </w:rPr>
  </w:style>
  <w:style w:type="paragraph" w:styleId="7">
    <w:name w:val="Body Text"/>
    <w:basedOn w:val="1"/>
    <w:link w:val="15"/>
    <w:qFormat/>
    <w:uiPriority w:val="1"/>
    <w:rPr>
      <w:sz w:val="24"/>
      <w:szCs w:val="24"/>
    </w:rPr>
  </w:style>
  <w:style w:type="paragraph" w:styleId="8">
    <w:name w:val="footer"/>
    <w:basedOn w:val="1"/>
    <w:link w:val="16"/>
    <w:unhideWhenUsed/>
    <w:qFormat/>
    <w:uiPriority w:val="99"/>
    <w:pPr>
      <w:tabs>
        <w:tab w:val="center" w:pos="4513"/>
        <w:tab w:val="right" w:pos="9026"/>
      </w:tabs>
    </w:pPr>
  </w:style>
  <w:style w:type="paragraph" w:styleId="9">
    <w:name w:val="header"/>
    <w:basedOn w:val="1"/>
    <w:link w:val="17"/>
    <w:unhideWhenUsed/>
    <w:qFormat/>
    <w:uiPriority w:val="99"/>
    <w:pPr>
      <w:tabs>
        <w:tab w:val="center" w:pos="4513"/>
        <w:tab w:val="right" w:pos="9026"/>
      </w:tabs>
    </w:pPr>
  </w:style>
  <w:style w:type="character" w:styleId="10">
    <w:name w:val="Hyperlink"/>
    <w:basedOn w:val="4"/>
    <w:unhideWhenUsed/>
    <w:qFormat/>
    <w:uiPriority w:val="99"/>
    <w:rPr>
      <w:color w:val="0000FF" w:themeColor="hyperlink"/>
      <w:u w:val="single"/>
      <w14:textFill>
        <w14:solidFill>
          <w14:schemeClr w14:val="hlink"/>
        </w14:solidFill>
      </w14:textFill>
    </w:rPr>
  </w:style>
  <w:style w:type="paragraph" w:styleId="11">
    <w:name w:val="toc 1"/>
    <w:basedOn w:val="1"/>
    <w:qFormat/>
    <w:uiPriority w:val="39"/>
    <w:pPr>
      <w:spacing w:before="282" w:line="273" w:lineRule="exact"/>
      <w:ind w:left="568"/>
    </w:pPr>
    <w:rPr>
      <w:b/>
      <w:bCs/>
      <w:sz w:val="24"/>
      <w:szCs w:val="24"/>
    </w:rPr>
  </w:style>
  <w:style w:type="paragraph" w:styleId="12">
    <w:name w:val="toc 2"/>
    <w:basedOn w:val="1"/>
    <w:qFormat/>
    <w:uiPriority w:val="39"/>
    <w:pPr>
      <w:ind w:left="568"/>
    </w:pPr>
    <w:rPr>
      <w:b/>
      <w:bCs/>
      <w:sz w:val="24"/>
      <w:szCs w:val="24"/>
    </w:rPr>
  </w:style>
  <w:style w:type="paragraph" w:styleId="13">
    <w:name w:val="toc 3"/>
    <w:basedOn w:val="1"/>
    <w:next w:val="1"/>
    <w:autoRedefine/>
    <w:semiHidden/>
    <w:unhideWhenUsed/>
    <w:qFormat/>
    <w:uiPriority w:val="39"/>
    <w:pPr>
      <w:spacing w:after="100"/>
      <w:ind w:left="440"/>
    </w:pPr>
  </w:style>
  <w:style w:type="character" w:customStyle="1" w:styleId="14">
    <w:name w:val="Heading 1 Char"/>
    <w:basedOn w:val="4"/>
    <w:link w:val="2"/>
    <w:qFormat/>
    <w:uiPriority w:val="9"/>
    <w:rPr>
      <w:rFonts w:asciiTheme="majorHAnsi" w:hAnsiTheme="majorHAnsi" w:eastAsiaTheme="majorEastAsia" w:cstheme="majorBidi"/>
      <w:color w:val="376092" w:themeColor="accent1" w:themeShade="BF"/>
      <w:sz w:val="40"/>
      <w:szCs w:val="40"/>
      <w:lang w:val="ms"/>
    </w:rPr>
  </w:style>
  <w:style w:type="character" w:customStyle="1" w:styleId="15">
    <w:name w:val="Body Text Char"/>
    <w:basedOn w:val="4"/>
    <w:link w:val="7"/>
    <w:qFormat/>
    <w:uiPriority w:val="1"/>
    <w:rPr>
      <w:rFonts w:ascii="Times New Roman" w:hAnsi="Times New Roman" w:eastAsia="Times New Roman" w:cs="Times New Roman"/>
      <w:sz w:val="24"/>
      <w:szCs w:val="24"/>
      <w:lang w:val="ms"/>
    </w:rPr>
  </w:style>
  <w:style w:type="character" w:customStyle="1" w:styleId="16">
    <w:name w:val="Footer Char"/>
    <w:basedOn w:val="4"/>
    <w:link w:val="8"/>
    <w:qFormat/>
    <w:uiPriority w:val="99"/>
    <w:rPr>
      <w:rFonts w:ascii="Times New Roman" w:hAnsi="Times New Roman" w:eastAsia="Times New Roman" w:cs="Times New Roman"/>
      <w:lang w:val="ms"/>
    </w:rPr>
  </w:style>
  <w:style w:type="character" w:customStyle="1" w:styleId="17">
    <w:name w:val="Header Char"/>
    <w:basedOn w:val="4"/>
    <w:link w:val="9"/>
    <w:qFormat/>
    <w:uiPriority w:val="99"/>
    <w:rPr>
      <w:rFonts w:ascii="Times New Roman" w:hAnsi="Times New Roman" w:eastAsia="Times New Roman" w:cs="Times New Roman"/>
      <w:lang w:val="ms"/>
    </w:rPr>
  </w:style>
  <w:style w:type="character" w:customStyle="1" w:styleId="18">
    <w:name w:val="Balloon Text Char"/>
    <w:basedOn w:val="4"/>
    <w:link w:val="6"/>
    <w:semiHidden/>
    <w:qFormat/>
    <w:uiPriority w:val="99"/>
    <w:rPr>
      <w:rFonts w:ascii="Tahoma" w:hAnsi="Tahoma" w:eastAsia="Times New Roman" w:cs="Tahoma"/>
      <w:sz w:val="16"/>
      <w:szCs w:val="16"/>
      <w:lang w:val="ms"/>
    </w:rPr>
  </w:style>
  <w:style w:type="paragraph" w:styleId="19">
    <w:name w:val="List Paragraph"/>
    <w:basedOn w:val="1"/>
    <w:qFormat/>
    <w:uiPriority w:val="34"/>
    <w:pPr>
      <w:ind w:left="720"/>
      <w:contextualSpacing/>
    </w:pPr>
  </w:style>
  <w:style w:type="character" w:customStyle="1" w:styleId="20">
    <w:name w:val="Heading 2 Char"/>
    <w:basedOn w:val="4"/>
    <w:link w:val="3"/>
    <w:semiHidden/>
    <w:qFormat/>
    <w:uiPriority w:val="9"/>
    <w:rPr>
      <w:rFonts w:asciiTheme="majorHAnsi" w:hAnsiTheme="majorHAnsi" w:eastAsiaTheme="majorEastAsia" w:cstheme="majorBidi"/>
      <w:b/>
      <w:bCs/>
      <w:color w:val="4F81BD" w:themeColor="accent1"/>
      <w:sz w:val="26"/>
      <w:szCs w:val="26"/>
      <w:lang w:val="ms"/>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3.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63"/>
    <customShpInfo spid="_x0000_s2062"/>
    <customShpInfo spid="_x0000_s2061"/>
    <customShpInfo spid="_x0000_s2066"/>
    <customShpInfo spid="_x0000_s2065"/>
    <customShpInfo spid="_x0000_s2064"/>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1920</Words>
  <Characters>12936</Characters>
  <Lines>105</Lines>
  <Paragraphs>29</Paragraphs>
  <TotalTime>1</TotalTime>
  <ScaleCrop>false</ScaleCrop>
  <LinksUpToDate>false</LinksUpToDate>
  <CharactersWithSpaces>14777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2026-09-09T05:52:00Z</dcterms:created>
  <dc:creator>OPERATOR</dc:creator>
  <cp:lastModifiedBy>Administrator</cp:lastModifiedBy>
  <dcterms:modified xsi:type="dcterms:W3CDTF">2026-09-10T04:39:09Z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FC09C3D325264149BBD17B1516CD0722_13</vt:lpwstr>
  </property>
</Properties>
</file>