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1C58F">
      <w:pPr>
        <w:pStyle w:val="2"/>
        <w:spacing w:before="0" w:after="0" w:line="360" w:lineRule="auto"/>
        <w:jc w:val="center"/>
        <w:rPr>
          <w:rFonts w:ascii="Times New Roman" w:hAnsi="Times New Roman" w:cs="Times New Roman"/>
          <w:color w:val="auto"/>
          <w:sz w:val="24"/>
          <w:szCs w:val="24"/>
        </w:rPr>
      </w:pPr>
      <w:bookmarkStart w:id="0" w:name="_Toc230017856"/>
      <w:bookmarkStart w:id="9" w:name="_GoBack"/>
      <w:bookmarkEnd w:id="9"/>
      <w:r>
        <w:rPr>
          <w:rFonts w:ascii="Times New Roman" w:hAnsi="Times New Roman" w:cs="Times New Roman"/>
          <w:b/>
          <w:bCs/>
          <w:color w:val="auto"/>
          <w:sz w:val="24"/>
          <w:szCs w:val="24"/>
        </w:rPr>
        <w:t>BAB III</w:t>
      </w:r>
      <w:bookmarkEnd w:id="0"/>
    </w:p>
    <w:p w14:paraId="1C20CC8B">
      <w:pPr>
        <w:pStyle w:val="2"/>
        <w:spacing w:before="0" w:after="0" w:line="360" w:lineRule="auto"/>
        <w:jc w:val="center"/>
        <w:rPr>
          <w:b/>
          <w:bCs/>
          <w:sz w:val="24"/>
          <w:szCs w:val="24"/>
        </w:rPr>
      </w:pPr>
      <w:bookmarkStart w:id="1" w:name="_Toc230017857"/>
      <w:bookmarkStart w:id="2" w:name="_Toc228363717"/>
      <w:r>
        <w:rPr>
          <w:rFonts w:ascii="Times New Roman" w:hAnsi="Times New Roman" w:cs="Times New Roman"/>
          <w:b/>
          <w:bCs/>
          <w:color w:val="auto"/>
          <w:sz w:val="24"/>
          <w:szCs w:val="24"/>
        </w:rPr>
        <w:t>METODE PENELITIAN</w:t>
      </w:r>
      <w:bookmarkEnd w:id="1"/>
      <w:bookmarkEnd w:id="2"/>
    </w:p>
    <w:p w14:paraId="14447672">
      <w:pPr>
        <w:pStyle w:val="3"/>
        <w:spacing w:before="0" w:line="360" w:lineRule="auto"/>
        <w:rPr>
          <w:rFonts w:ascii="Times New Roman" w:hAnsi="Times New Roman" w:cs="Times New Roman"/>
          <w:b w:val="0"/>
          <w:sz w:val="24"/>
          <w:szCs w:val="24"/>
          <w:lang w:val="en-US"/>
        </w:rPr>
      </w:pPr>
      <w:bookmarkStart w:id="3" w:name="_Toc230017858"/>
      <w:r>
        <w:rPr>
          <w:rFonts w:ascii="Times New Roman" w:hAnsi="Times New Roman" w:cs="Times New Roman"/>
          <w:color w:val="auto"/>
          <w:sz w:val="24"/>
          <w:szCs w:val="24"/>
          <w:lang w:val="en-US"/>
        </w:rPr>
        <w:t>A</w:t>
      </w:r>
      <w:r>
        <w:rPr>
          <w:rFonts w:ascii="Times New Roman" w:hAnsi="Times New Roman" w:cs="Times New Roman"/>
          <w:color w:val="auto"/>
          <w:sz w:val="24"/>
          <w:szCs w:val="24"/>
          <w:lang w:val="id-ID"/>
        </w:rPr>
        <w:t>.</w:t>
      </w:r>
      <w:r>
        <w:rPr>
          <w:rFonts w:ascii="Times New Roman" w:hAnsi="Times New Roman" w:cs="Times New Roman"/>
          <w:color w:val="auto"/>
          <w:sz w:val="24"/>
          <w:szCs w:val="24"/>
          <w:lang w:val="en-US"/>
        </w:rPr>
        <w:t xml:space="preserve"> Lokasi Penelitian</w:t>
      </w:r>
      <w:bookmarkEnd w:id="3"/>
    </w:p>
    <w:p w14:paraId="74CA250B">
      <w:pPr>
        <w:spacing w:line="360" w:lineRule="auto"/>
        <w:ind w:firstLine="284"/>
        <w:jc w:val="both"/>
        <w:rPr>
          <w:sz w:val="24"/>
          <w:szCs w:val="24"/>
          <w:lang w:val="en-US"/>
        </w:rPr>
      </w:pPr>
      <w:r>
        <w:rPr>
          <w:sz w:val="24"/>
          <w:szCs w:val="24"/>
          <w:lang w:val="en-US"/>
        </w:rPr>
        <w:t>Sesuai dengan judul diatas maka lokasi penelitian adalah di Pengadilan Negeri Medan yang beralamat dijalan Pengadilan</w:t>
      </w:r>
      <w:r>
        <w:rPr>
          <w:sz w:val="24"/>
          <w:szCs w:val="24"/>
        </w:rPr>
        <w:t xml:space="preserve"> </w:t>
      </w:r>
      <w:r>
        <w:rPr>
          <w:sz w:val="24"/>
          <w:szCs w:val="24"/>
          <w:lang w:val="en-US"/>
        </w:rPr>
        <w:t>No.8 Kelurahan Petisah</w:t>
      </w:r>
      <w:r>
        <w:rPr>
          <w:sz w:val="24"/>
          <w:szCs w:val="24"/>
          <w:lang w:val="id-ID"/>
        </w:rPr>
        <w:t xml:space="preserve"> </w:t>
      </w:r>
      <w:r>
        <w:rPr>
          <w:sz w:val="24"/>
          <w:szCs w:val="24"/>
          <w:lang w:val="en-US"/>
        </w:rPr>
        <w:t>Tengah, Kecamatan Medan Petisah, Kota Medan</w:t>
      </w:r>
    </w:p>
    <w:p w14:paraId="1332715D">
      <w:pPr>
        <w:spacing w:line="360" w:lineRule="auto"/>
        <w:jc w:val="both"/>
        <w:rPr>
          <w:sz w:val="24"/>
          <w:szCs w:val="24"/>
          <w:lang w:val="id-ID"/>
        </w:rPr>
      </w:pPr>
    </w:p>
    <w:p w14:paraId="3D4D87D6">
      <w:pPr>
        <w:pStyle w:val="3"/>
        <w:spacing w:before="0" w:line="360" w:lineRule="auto"/>
        <w:rPr>
          <w:rFonts w:ascii="Times New Roman" w:hAnsi="Times New Roman" w:cs="Times New Roman"/>
          <w:b w:val="0"/>
          <w:bCs w:val="0"/>
          <w:sz w:val="24"/>
          <w:szCs w:val="24"/>
          <w:lang w:val="id-ID"/>
        </w:rPr>
      </w:pPr>
      <w:bookmarkStart w:id="4" w:name="_Toc230017859"/>
      <w:r>
        <w:rPr>
          <w:rFonts w:ascii="Times New Roman" w:hAnsi="Times New Roman" w:cs="Times New Roman"/>
          <w:color w:val="auto"/>
          <w:sz w:val="24"/>
          <w:szCs w:val="24"/>
          <w:lang w:val="id-ID"/>
        </w:rPr>
        <w:t>B. Jenis Penelitian</w:t>
      </w:r>
      <w:bookmarkEnd w:id="4"/>
    </w:p>
    <w:p w14:paraId="021E3F64">
      <w:pPr>
        <w:spacing w:line="360" w:lineRule="auto"/>
        <w:ind w:firstLine="284"/>
        <w:jc w:val="both"/>
        <w:rPr>
          <w:sz w:val="24"/>
          <w:szCs w:val="24"/>
          <w:lang w:val="id-ID"/>
        </w:rPr>
      </w:pPr>
      <w:r>
        <w:rPr>
          <w:sz w:val="24"/>
          <w:szCs w:val="24"/>
          <w:lang w:val="id-ID"/>
        </w:rPr>
        <w:t>Penelitian yang digunakan dalam penyusunan skripsi ini adalah jenis penelitian hukum normatif (</w:t>
      </w:r>
      <w:r>
        <w:rPr>
          <w:i/>
          <w:sz w:val="24"/>
          <w:szCs w:val="24"/>
          <w:lang w:val="id-ID"/>
        </w:rPr>
        <w:t>normative legal research</w:t>
      </w:r>
      <w:r>
        <w:rPr>
          <w:sz w:val="24"/>
          <w:szCs w:val="24"/>
          <w:lang w:val="id-ID"/>
        </w:rPr>
        <w:t>). Penelitian hukum normatif atau yang sering disebut sebagai penelitian hukum doktrinal (</w:t>
      </w:r>
      <w:r>
        <w:rPr>
          <w:i/>
          <w:sz w:val="24"/>
          <w:szCs w:val="24"/>
          <w:lang w:val="id-ID"/>
        </w:rPr>
        <w:t>doctrinal research</w:t>
      </w:r>
      <w:r>
        <w:rPr>
          <w:sz w:val="24"/>
          <w:szCs w:val="24"/>
          <w:lang w:val="id-ID"/>
        </w:rPr>
        <w:t>) adalah suatu prosedur penelitian ilmiah untuk menemukan kebenaran berdasarkan logika keilmuan hukum dari sisi normatifnya. Dalam hal ini, hukum tidak dilihat sebagai perilaku sosial yang polanya tampak di lapangan, melainkan meletakkan hukum sebagai sebuah sistem norma yang utuh. Sistem norma yang dimaksud mencakup asas-asas hukum, kaidah-kaidah hukum, peraturan perundang-undangan nasional, yurisprudensi atau putusan pengadilan, hingga doktrin-doktrin penafsiran dari pakar hukum terkemuka.</w:t>
      </w:r>
    </w:p>
    <w:p w14:paraId="4E636C4A">
      <w:pPr>
        <w:spacing w:line="360" w:lineRule="auto"/>
        <w:ind w:firstLine="284"/>
        <w:jc w:val="both"/>
        <w:rPr>
          <w:sz w:val="24"/>
          <w:szCs w:val="24"/>
          <w:lang w:val="id-ID"/>
        </w:rPr>
      </w:pPr>
      <w:r>
        <w:rPr>
          <w:sz w:val="24"/>
          <w:szCs w:val="24"/>
          <w:lang w:val="id-ID"/>
        </w:rPr>
        <w:t>Fokus utama penelitian normatif dalam skripsi ini dikonsentrasikan untuk mengkaji, menganalisis, dan membedah keselarasan antara norma hukum positif (Undang-Undang Pemilu) dengan penerapan hukum konkret oleh aparat peradilan. Penulis secara intensif meneliti teks tertulis objektif yang tertuang di dalam salinan Putusan Pengadilan Negeri Medan Nomor 1/Pid.S/2024/PN Mdn guna mengurai polemik pertanggungjawaban pidana jabatan kedinasan Panitia Pemilihan Kecamatan (PPK) Medan Timur.</w:t>
      </w:r>
    </w:p>
    <w:p w14:paraId="217A0E3E">
      <w:pPr>
        <w:spacing w:line="360" w:lineRule="auto"/>
        <w:ind w:firstLine="284"/>
        <w:jc w:val="both"/>
        <w:rPr>
          <w:sz w:val="24"/>
          <w:szCs w:val="24"/>
          <w:lang w:val="id-ID"/>
        </w:rPr>
      </w:pPr>
    </w:p>
    <w:p w14:paraId="61C96BFA">
      <w:pPr>
        <w:spacing w:line="360" w:lineRule="auto"/>
        <w:ind w:firstLine="284"/>
        <w:jc w:val="both"/>
        <w:rPr>
          <w:sz w:val="24"/>
          <w:szCs w:val="24"/>
          <w:lang w:val="id-ID"/>
        </w:rPr>
      </w:pPr>
    </w:p>
    <w:p w14:paraId="2ED0315E">
      <w:pPr>
        <w:spacing w:line="360" w:lineRule="auto"/>
        <w:ind w:firstLine="284"/>
        <w:jc w:val="both"/>
        <w:rPr>
          <w:sz w:val="24"/>
          <w:szCs w:val="24"/>
          <w:lang w:val="id-ID"/>
        </w:rPr>
      </w:pPr>
    </w:p>
    <w:p w14:paraId="42958275">
      <w:pPr>
        <w:spacing w:line="360" w:lineRule="auto"/>
        <w:ind w:firstLine="284"/>
        <w:jc w:val="both"/>
        <w:rPr>
          <w:sz w:val="24"/>
          <w:szCs w:val="24"/>
          <w:lang w:val="id-ID"/>
        </w:rPr>
      </w:pPr>
    </w:p>
    <w:p w14:paraId="3B7453FC">
      <w:pPr>
        <w:spacing w:line="360" w:lineRule="auto"/>
        <w:ind w:firstLine="284"/>
        <w:jc w:val="both"/>
        <w:rPr>
          <w:sz w:val="24"/>
          <w:szCs w:val="24"/>
          <w:lang w:val="id-ID"/>
        </w:rPr>
      </w:pPr>
    </w:p>
    <w:p w14:paraId="73C9C497">
      <w:pPr>
        <w:spacing w:line="360" w:lineRule="auto"/>
        <w:ind w:firstLine="284"/>
        <w:jc w:val="both"/>
        <w:rPr>
          <w:sz w:val="24"/>
          <w:szCs w:val="24"/>
          <w:lang w:val="id-ID"/>
        </w:rPr>
      </w:pPr>
    </w:p>
    <w:p w14:paraId="1B44AC13">
      <w:pPr>
        <w:pStyle w:val="3"/>
        <w:numPr>
          <w:ilvl w:val="0"/>
          <w:numId w:val="1"/>
        </w:numPr>
        <w:spacing w:before="0" w:line="360" w:lineRule="auto"/>
        <w:rPr>
          <w:rFonts w:ascii="Times New Roman" w:hAnsi="Times New Roman" w:cs="Times New Roman"/>
          <w:b w:val="0"/>
          <w:bCs w:val="0"/>
          <w:color w:val="auto"/>
          <w:sz w:val="24"/>
          <w:szCs w:val="24"/>
          <w:lang w:val="id-ID"/>
        </w:rPr>
      </w:pPr>
      <w:bookmarkStart w:id="5" w:name="_Toc230017860"/>
      <w:r>
        <w:rPr>
          <w:rFonts w:ascii="Times New Roman" w:hAnsi="Times New Roman" w:cs="Times New Roman"/>
          <w:color w:val="auto"/>
          <w:sz w:val="24"/>
          <w:szCs w:val="24"/>
          <w:lang w:val="id-ID"/>
        </w:rPr>
        <w:t>Sumber Data / Bahan huku</w:t>
      </w:r>
      <w:bookmarkEnd w:id="5"/>
      <w:r>
        <w:rPr>
          <w:rFonts w:ascii="Times New Roman" w:hAnsi="Times New Roman" w:cs="Times New Roman"/>
          <w:color w:val="auto"/>
          <w:sz w:val="24"/>
          <w:szCs w:val="24"/>
          <w:lang w:val="id-ID"/>
        </w:rPr>
        <w:t>m</w:t>
      </w:r>
    </w:p>
    <w:p w14:paraId="068F031A">
      <w:pPr>
        <w:pStyle w:val="19"/>
        <w:spacing w:line="360" w:lineRule="auto"/>
        <w:ind w:left="360"/>
        <w:jc w:val="both"/>
        <w:rPr>
          <w:sz w:val="24"/>
          <w:szCs w:val="24"/>
          <w:lang w:val="id-ID"/>
        </w:rPr>
      </w:pPr>
      <w:r>
        <w:rPr>
          <w:sz w:val="24"/>
          <w:szCs w:val="24"/>
          <w:lang w:val="id-ID"/>
        </w:rPr>
        <w:t>Bahan hukum yang digunakan diklasifikasikan secara hierarkis ke dalam tiga jenis sumber:</w:t>
      </w:r>
    </w:p>
    <w:p w14:paraId="06585821">
      <w:pPr>
        <w:spacing w:line="360" w:lineRule="auto"/>
        <w:ind w:firstLine="284"/>
        <w:jc w:val="both"/>
        <w:rPr>
          <w:sz w:val="24"/>
          <w:szCs w:val="24"/>
          <w:lang w:val="id-ID"/>
        </w:rPr>
      </w:pPr>
      <w:r>
        <w:rPr>
          <w:sz w:val="24"/>
          <w:szCs w:val="24"/>
          <w:lang w:val="id-ID"/>
        </w:rPr>
        <w:t>1. Bahan Hukum Primer</w:t>
      </w:r>
    </w:p>
    <w:p w14:paraId="6B932D35">
      <w:pPr>
        <w:spacing w:line="360" w:lineRule="auto"/>
        <w:ind w:left="284"/>
        <w:jc w:val="both"/>
        <w:rPr>
          <w:sz w:val="24"/>
          <w:szCs w:val="24"/>
          <w:lang w:val="id-ID"/>
        </w:rPr>
      </w:pPr>
      <w:r>
        <w:rPr>
          <w:sz w:val="24"/>
          <w:szCs w:val="24"/>
          <w:lang w:val="id-ID"/>
        </w:rPr>
        <w:t>Bahan hukum primer merupakan bahan hukum yang bersifat autoritatif, artinya mempunyai otoritas mutlak karena dikeluarkan oleh lembaga resmi negara. Bahan hukum primer dalam penelitian ini meliputi:Undang-Undang Dasar Negara Republik Indonesia Tahun 1945 (UUD NRI 1945).Kitab Undang-Undang Hukum Pidana (KUHP), khususnya Pasal 55 ayat (1) ke-1 terkait penyertaan delik.Undang-Undang Nomor 7 Tahun 2017 tentang Pemilihan Umum, khususnya Pasal 532, Pasal 551, dan Pasal 554.Putusan Pengadilan Negeri Medan Nomor 1/Pid.S/2024/PN Mdn.Putusan Pengadilan Tinggi Medan Nomor 1088/PID.SUS/2024/PT MDN.</w:t>
      </w:r>
    </w:p>
    <w:p w14:paraId="12DCF80C">
      <w:pPr>
        <w:pStyle w:val="19"/>
        <w:numPr>
          <w:ilvl w:val="3"/>
          <w:numId w:val="2"/>
        </w:numPr>
        <w:spacing w:line="360" w:lineRule="auto"/>
        <w:ind w:left="567" w:hanging="283"/>
        <w:jc w:val="both"/>
        <w:rPr>
          <w:sz w:val="24"/>
          <w:szCs w:val="24"/>
          <w:lang w:val="id-ID"/>
        </w:rPr>
      </w:pPr>
      <w:r>
        <w:rPr>
          <w:sz w:val="24"/>
          <w:szCs w:val="24"/>
          <w:lang w:val="id-ID"/>
        </w:rPr>
        <w:t>Bahan Hukum Sekunder</w:t>
      </w:r>
    </w:p>
    <w:p w14:paraId="01D7360B">
      <w:pPr>
        <w:spacing w:line="360" w:lineRule="auto"/>
        <w:ind w:left="284"/>
        <w:jc w:val="both"/>
        <w:rPr>
          <w:sz w:val="24"/>
          <w:szCs w:val="24"/>
          <w:lang w:val="id-ID"/>
        </w:rPr>
      </w:pPr>
      <w:r>
        <w:rPr>
          <w:sz w:val="24"/>
          <w:szCs w:val="24"/>
          <w:lang w:val="id-ID"/>
        </w:rPr>
        <w:t>Bahan hukum sekunder memberikan penjelasan mengenai bahan hukum primer. Bahan hukum sekunder yang digunakan oleh penulis meliputi buku-buku teks hukum pidana, jurnal ilmiah hukum terakreditasi, hasil penelitian hukum terdahulu (skripsi/tesis), draf riset Sentra Gakkumdu, serta artikel berita hukum terpercaya yang membahas kronologi kasus PPK Medan Timur.</w:t>
      </w:r>
    </w:p>
    <w:p w14:paraId="645CC109">
      <w:pPr>
        <w:pStyle w:val="19"/>
        <w:numPr>
          <w:ilvl w:val="3"/>
          <w:numId w:val="2"/>
        </w:numPr>
        <w:spacing w:line="360" w:lineRule="auto"/>
        <w:ind w:left="567" w:hanging="283"/>
        <w:jc w:val="both"/>
        <w:rPr>
          <w:sz w:val="24"/>
          <w:szCs w:val="24"/>
          <w:lang w:val="id-ID"/>
        </w:rPr>
      </w:pPr>
      <w:r>
        <w:rPr>
          <w:sz w:val="24"/>
          <w:szCs w:val="24"/>
          <w:lang w:val="id-ID"/>
        </w:rPr>
        <w:t xml:space="preserve">Bahan Hukum Tersier </w:t>
      </w:r>
    </w:p>
    <w:p w14:paraId="63298273">
      <w:pPr>
        <w:spacing w:line="360" w:lineRule="auto"/>
        <w:ind w:left="284"/>
        <w:jc w:val="both"/>
        <w:rPr>
          <w:sz w:val="24"/>
          <w:szCs w:val="24"/>
          <w:lang w:val="id-ID"/>
        </w:rPr>
      </w:pPr>
      <w:r>
        <w:rPr>
          <w:sz w:val="24"/>
          <w:szCs w:val="24"/>
          <w:lang w:val="id-ID"/>
        </w:rPr>
        <w:t>Bahan hukum tersier adalah bahan hukum yang memberikan petunjuk maupun penjelasan terhadap bahan hukum primer dan sekunder. Bahan hukum tersier dalam penelitian ini mencakup Kamus Besar Bahasa Indonesia (KBBI), Kamus Hukum (Black's Law Dictionary), dan ensiklopedia hukum.</w:t>
      </w:r>
    </w:p>
    <w:p w14:paraId="01DA4BD3">
      <w:pPr>
        <w:spacing w:line="360" w:lineRule="auto"/>
        <w:ind w:firstLine="720"/>
        <w:jc w:val="both"/>
        <w:rPr>
          <w:sz w:val="24"/>
          <w:szCs w:val="24"/>
          <w:lang w:val="id-ID"/>
        </w:rPr>
      </w:pPr>
    </w:p>
    <w:p w14:paraId="023A599A">
      <w:pPr>
        <w:pStyle w:val="19"/>
        <w:numPr>
          <w:ilvl w:val="0"/>
          <w:numId w:val="3"/>
        </w:numPr>
        <w:spacing w:line="360" w:lineRule="auto"/>
        <w:ind w:left="284" w:hanging="284"/>
        <w:jc w:val="both"/>
        <w:outlineLvl w:val="1"/>
        <w:rPr>
          <w:b/>
          <w:bCs/>
          <w:sz w:val="24"/>
          <w:szCs w:val="24"/>
          <w:lang w:val="id-ID"/>
        </w:rPr>
      </w:pPr>
      <w:bookmarkStart w:id="6" w:name="_Toc230017861"/>
      <w:r>
        <w:rPr>
          <w:b/>
          <w:bCs/>
          <w:sz w:val="24"/>
          <w:szCs w:val="24"/>
          <w:lang w:val="id-ID"/>
        </w:rPr>
        <w:t>Teknik Pengumpulan Data/Bahan Hukum</w:t>
      </w:r>
      <w:bookmarkEnd w:id="6"/>
      <w:r>
        <w:rPr>
          <w:b/>
          <w:bCs/>
          <w:sz w:val="24"/>
          <w:szCs w:val="24"/>
          <w:lang w:val="id-ID"/>
        </w:rPr>
        <w:t xml:space="preserve"> </w:t>
      </w:r>
    </w:p>
    <w:p w14:paraId="1B79F524">
      <w:pPr>
        <w:spacing w:line="360" w:lineRule="auto"/>
        <w:ind w:firstLine="284"/>
        <w:jc w:val="both"/>
        <w:rPr>
          <w:sz w:val="24"/>
          <w:szCs w:val="24"/>
          <w:lang w:val="id-ID"/>
        </w:rPr>
      </w:pPr>
      <w:r>
        <w:rPr>
          <w:sz w:val="24"/>
          <w:szCs w:val="24"/>
          <w:lang w:val="id-ID"/>
        </w:rPr>
        <w:t>Teknik pengumpulan bahan hukum dalam penelitian normatif ini dilakukan menggunakan studi dokumen (</w:t>
      </w:r>
      <w:r>
        <w:rPr>
          <w:i/>
          <w:sz w:val="24"/>
          <w:szCs w:val="24"/>
          <w:lang w:val="id-ID"/>
        </w:rPr>
        <w:t>documentary study</w:t>
      </w:r>
      <w:r>
        <w:rPr>
          <w:sz w:val="24"/>
          <w:szCs w:val="24"/>
          <w:lang w:val="id-ID"/>
        </w:rPr>
        <w:t xml:space="preserve">) atau studi kepustakaan </w:t>
      </w:r>
      <w:r>
        <w:rPr>
          <w:i/>
          <w:sz w:val="24"/>
          <w:szCs w:val="24"/>
          <w:lang w:val="id-ID"/>
        </w:rPr>
        <w:t>(library research</w:t>
      </w:r>
      <w:r>
        <w:rPr>
          <w:sz w:val="24"/>
          <w:szCs w:val="24"/>
          <w:lang w:val="id-ID"/>
        </w:rPr>
        <w:t>).Penulis mengumpulkan, mengklasifikasikan, dan menginventarisasi peraturan perundang-undangan serta salinan putusan PN Medan. Selanjutnya, dilakukan pencatatan sistematis terhadap fakta persidangan, pertimbangan hukum hakim, serta doktrin-doktrin yang relevan dengan rumusan masalah penelitian.</w:t>
      </w:r>
    </w:p>
    <w:p w14:paraId="52C109D3">
      <w:pPr>
        <w:spacing w:line="360" w:lineRule="auto"/>
        <w:jc w:val="both"/>
        <w:rPr>
          <w:sz w:val="24"/>
          <w:szCs w:val="24"/>
          <w:lang w:val="id-ID"/>
        </w:rPr>
      </w:pPr>
    </w:p>
    <w:p w14:paraId="1DE02010">
      <w:pPr>
        <w:pStyle w:val="19"/>
        <w:numPr>
          <w:ilvl w:val="0"/>
          <w:numId w:val="3"/>
        </w:numPr>
        <w:spacing w:line="360" w:lineRule="auto"/>
        <w:ind w:left="284" w:hanging="284"/>
        <w:jc w:val="both"/>
        <w:outlineLvl w:val="1"/>
        <w:rPr>
          <w:b/>
          <w:bCs/>
          <w:sz w:val="24"/>
          <w:szCs w:val="24"/>
          <w:lang w:val="id-ID"/>
        </w:rPr>
      </w:pPr>
      <w:bookmarkStart w:id="7" w:name="_Toc230017862"/>
      <w:r>
        <w:rPr>
          <w:b/>
          <w:bCs/>
          <w:sz w:val="24"/>
          <w:szCs w:val="24"/>
          <w:lang w:val="id-ID"/>
        </w:rPr>
        <w:t>Analisis Bahan Hukum</w:t>
      </w:r>
      <w:bookmarkEnd w:id="7"/>
    </w:p>
    <w:p w14:paraId="085D01E3">
      <w:pPr>
        <w:spacing w:line="360" w:lineRule="auto"/>
        <w:jc w:val="both"/>
        <w:rPr>
          <w:sz w:val="24"/>
          <w:szCs w:val="24"/>
          <w:lang w:val="id-ID"/>
        </w:rPr>
      </w:pPr>
      <w:r>
        <w:rPr>
          <w:sz w:val="24"/>
          <w:szCs w:val="24"/>
          <w:lang w:val="id-ID"/>
        </w:rPr>
        <w:t>Setelah seluruh bahan hukum terkumpul, analisis dilakukan menggunakan metode analisis kualitatif dengan penalaran logika hukum secara deduktif. Metode deduktif adalah menarik kesimpulan dari suatu permasalahan yang bersifat umum (berupa teks undang-undang dan teori hukum pidana) menuju ke hal yang bersifat khusus (yaitu penerapan sanksi dan pertimbangan hakim pada kasus konkret PPK Medan Timur). Bahan hukum dianalisis secara deskriptif-analitis, di mana penulis menjabarkan secara jelas konstruksi pertanggungjawaban pidana yang diterapkan, membedah argumentasi hukum hakim tingkat pertama dan banding, serta mengidentifikasi kendala pelaksanaan tugas PPK berdasarkan analisis dokumen yuridis objektif, sehingga menghasilkan kesimpulan ilmiah yang valid untuk menjawab seluruh rumusan masalah.</w:t>
      </w:r>
    </w:p>
    <w:p w14:paraId="0BFCB238">
      <w:pPr>
        <w:spacing w:line="360" w:lineRule="auto"/>
        <w:ind w:left="142"/>
        <w:jc w:val="both"/>
        <w:rPr>
          <w:sz w:val="24"/>
          <w:szCs w:val="24"/>
          <w:lang w:val="id-ID"/>
        </w:rPr>
      </w:pPr>
    </w:p>
    <w:p w14:paraId="5A79E307">
      <w:pPr>
        <w:pStyle w:val="3"/>
        <w:numPr>
          <w:ilvl w:val="0"/>
          <w:numId w:val="3"/>
        </w:numPr>
        <w:spacing w:before="0" w:line="360" w:lineRule="auto"/>
        <w:ind w:left="284" w:hanging="284"/>
        <w:rPr>
          <w:rFonts w:ascii="Times New Roman" w:hAnsi="Times New Roman" w:cs="Times New Roman"/>
          <w:b w:val="0"/>
          <w:sz w:val="24"/>
          <w:szCs w:val="24"/>
          <w:lang w:val="en-US"/>
        </w:rPr>
      </w:pPr>
      <w:bookmarkStart w:id="8" w:name="_Toc230017863"/>
      <w:r>
        <w:rPr>
          <w:rFonts w:ascii="Times New Roman" w:hAnsi="Times New Roman" w:cs="Times New Roman"/>
          <w:color w:val="auto"/>
          <w:sz w:val="24"/>
          <w:szCs w:val="24"/>
          <w:lang w:val="en-US"/>
        </w:rPr>
        <w:t>Jadwal Penelitian</w:t>
      </w:r>
      <w:bookmarkEnd w:id="8"/>
    </w:p>
    <w:p w14:paraId="4E8141F3">
      <w:pPr>
        <w:spacing w:line="360" w:lineRule="auto"/>
        <w:ind w:firstLine="284"/>
        <w:jc w:val="both"/>
        <w:rPr>
          <w:sz w:val="24"/>
          <w:szCs w:val="24"/>
          <w:lang w:val="id-ID"/>
        </w:rPr>
      </w:pPr>
      <w:r>
        <w:rPr>
          <w:sz w:val="24"/>
          <w:szCs w:val="24"/>
          <w:lang w:val="en-US"/>
        </w:rPr>
        <w:t>Berdasarkan surat balasan dari pihak Pengadilan Negeri Medan terhadap surat permintaan penelitian, maka di jadwalkan penelitiannya pada tanggal 8 April 2026</w:t>
      </w:r>
      <w:r>
        <w:rPr>
          <w:sz w:val="24"/>
          <w:szCs w:val="24"/>
          <w:lang w:val="id-ID"/>
        </w:rPr>
        <w:t>.</w:t>
      </w:r>
    </w:p>
    <w:p w14:paraId="7115C9A6"/>
    <w:sectPr>
      <w:headerReference r:id="rId7"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7FA42E39">
        <w:pPr>
          <w:pStyle w:val="8"/>
          <w:jc w:val="center"/>
        </w:pPr>
        <w:r>
          <w:t xml:space="preserve">     </w:t>
        </w:r>
      </w:p>
    </w:sdtContent>
  </w:sdt>
  <w:p w14:paraId="047D63F9">
    <w:pPr>
      <w:pStyle w:val="7"/>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6008">
    <w:pPr>
      <w:pStyle w:val="9"/>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A51A7">
    <w:pPr>
      <w:pStyle w:val="9"/>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1B8C9">
    <w:pPr>
      <w:pStyle w:val="9"/>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D64D0B"/>
    <w:multiLevelType w:val="multilevel"/>
    <w:tmpl w:val="58D64D0B"/>
    <w:lvl w:ilvl="0" w:tentative="0">
      <w:start w:val="4"/>
      <w:numFmt w:val="upperLetter"/>
      <w:lvlText w:val="%1."/>
      <w:lvlJc w:val="left"/>
      <w:pPr>
        <w:ind w:left="502" w:hanging="360"/>
      </w:pPr>
      <w:rPr>
        <w:rFonts w:hint="default" w:ascii="Times New Roman" w:hAnsi="Times New Roman" w:cs="Times New Roman" w:eastAsiaTheme="majorEastAsia"/>
        <w:b/>
        <w:color w:val="auto"/>
        <w:sz w:val="24"/>
        <w:u w:val="none"/>
      </w:rPr>
    </w:lvl>
    <w:lvl w:ilvl="1" w:tentative="0">
      <w:start w:val="1"/>
      <w:numFmt w:val="lowerLetter"/>
      <w:lvlText w:val="%2."/>
      <w:lvlJc w:val="left"/>
      <w:pPr>
        <w:ind w:left="1222" w:hanging="360"/>
      </w:pPr>
      <w:rPr>
        <w:rFonts w:hint="default"/>
      </w:rPr>
    </w:lvl>
    <w:lvl w:ilvl="2" w:tentative="0">
      <w:start w:val="1"/>
      <w:numFmt w:val="lowerRoman"/>
      <w:lvlText w:val="%3."/>
      <w:lvlJc w:val="right"/>
      <w:pPr>
        <w:ind w:left="1942" w:hanging="180"/>
      </w:pPr>
      <w:rPr>
        <w:rFonts w:hint="default"/>
      </w:rPr>
    </w:lvl>
    <w:lvl w:ilvl="3" w:tentative="0">
      <w:start w:val="1"/>
      <w:numFmt w:val="decimal"/>
      <w:lvlText w:val="%4."/>
      <w:lvlJc w:val="left"/>
      <w:pPr>
        <w:ind w:left="360" w:hanging="360"/>
      </w:pPr>
      <w:rPr>
        <w:rFonts w:hint="default"/>
        <w:color w:val="auto"/>
      </w:rPr>
    </w:lvl>
    <w:lvl w:ilvl="4" w:tentative="0">
      <w:start w:val="1"/>
      <w:numFmt w:val="lowerLetter"/>
      <w:lvlText w:val="%5."/>
      <w:lvlJc w:val="left"/>
      <w:pPr>
        <w:ind w:left="785" w:hanging="360"/>
      </w:pPr>
      <w:rPr>
        <w:rFonts w:hint="default"/>
      </w:rPr>
    </w:lvl>
    <w:lvl w:ilvl="5" w:tentative="0">
      <w:start w:val="1"/>
      <w:numFmt w:val="lowerRoman"/>
      <w:lvlText w:val="%6."/>
      <w:lvlJc w:val="right"/>
      <w:pPr>
        <w:ind w:left="4102" w:hanging="180"/>
      </w:pPr>
      <w:rPr>
        <w:rFonts w:hint="default"/>
      </w:rPr>
    </w:lvl>
    <w:lvl w:ilvl="6" w:tentative="0">
      <w:start w:val="1"/>
      <w:numFmt w:val="lowerLetter"/>
      <w:lvlText w:val="%7."/>
      <w:lvlJc w:val="left"/>
      <w:pPr>
        <w:ind w:left="4822" w:hanging="360"/>
      </w:pPr>
    </w:lvl>
    <w:lvl w:ilvl="7" w:tentative="0">
      <w:start w:val="1"/>
      <w:numFmt w:val="lowerLetter"/>
      <w:lvlText w:val="%8."/>
      <w:lvlJc w:val="left"/>
      <w:pPr>
        <w:ind w:left="5542" w:hanging="360"/>
      </w:pPr>
      <w:rPr>
        <w:rFonts w:hint="default"/>
      </w:rPr>
    </w:lvl>
    <w:lvl w:ilvl="8" w:tentative="0">
      <w:start w:val="1"/>
      <w:numFmt w:val="lowerRoman"/>
      <w:lvlText w:val="%9."/>
      <w:lvlJc w:val="right"/>
      <w:pPr>
        <w:ind w:left="6262" w:hanging="180"/>
      </w:pPr>
      <w:rPr>
        <w:rFonts w:hint="default"/>
      </w:rPr>
    </w:lvl>
  </w:abstractNum>
  <w:abstractNum w:abstractNumId="1">
    <w:nsid w:val="5AA3598B"/>
    <w:multiLevelType w:val="multilevel"/>
    <w:tmpl w:val="5AA3598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786"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7FE1773"/>
    <w:multiLevelType w:val="multilevel"/>
    <w:tmpl w:val="77FE1773"/>
    <w:lvl w:ilvl="0" w:tentative="0">
      <w:start w:val="2"/>
      <w:numFmt w:val="upperLetter"/>
      <w:lvlText w:val="%1."/>
      <w:lvlJc w:val="left"/>
      <w:pPr>
        <w:ind w:left="360" w:hanging="360"/>
      </w:pPr>
      <w:rPr>
        <w:rFonts w:hint="default" w:ascii="Times New Roman" w:hAnsi="Times New Roman" w:cs="Times New Roman" w:eastAsiaTheme="majorEastAsia"/>
        <w:b/>
        <w:color w:val="auto"/>
        <w:sz w:val="24"/>
        <w:u w:val="none"/>
      </w:rPr>
    </w:lvl>
    <w:lvl w:ilvl="1" w:tentative="0">
      <w:start w:val="1"/>
      <w:numFmt w:val="lowerLetter"/>
      <w:lvlText w:val="%2."/>
      <w:lvlJc w:val="left"/>
      <w:pPr>
        <w:ind w:left="1222" w:hanging="360"/>
      </w:pPr>
      <w:rPr>
        <w:rFonts w:hint="default"/>
      </w:rPr>
    </w:lvl>
    <w:lvl w:ilvl="2" w:tentative="0">
      <w:start w:val="1"/>
      <w:numFmt w:val="lowerRoman"/>
      <w:lvlText w:val="%3."/>
      <w:lvlJc w:val="right"/>
      <w:pPr>
        <w:ind w:left="1942" w:hanging="180"/>
      </w:pPr>
      <w:rPr>
        <w:rFonts w:hint="default"/>
      </w:rPr>
    </w:lvl>
    <w:lvl w:ilvl="3" w:tentative="0">
      <w:start w:val="1"/>
      <w:numFmt w:val="decimal"/>
      <w:lvlText w:val="%4."/>
      <w:lvlJc w:val="left"/>
      <w:pPr>
        <w:ind w:left="2662" w:hanging="360"/>
      </w:pPr>
      <w:rPr>
        <w:rFonts w:hint="default"/>
      </w:rPr>
    </w:lvl>
    <w:lvl w:ilvl="4" w:tentative="0">
      <w:start w:val="1"/>
      <w:numFmt w:val="lowerLetter"/>
      <w:lvlText w:val="%5."/>
      <w:lvlJc w:val="left"/>
      <w:pPr>
        <w:ind w:left="3382" w:hanging="360"/>
      </w:pPr>
      <w:rPr>
        <w:rFonts w:hint="default"/>
      </w:rPr>
    </w:lvl>
    <w:lvl w:ilvl="5" w:tentative="0">
      <w:start w:val="1"/>
      <w:numFmt w:val="lowerRoman"/>
      <w:lvlText w:val="%6."/>
      <w:lvlJc w:val="right"/>
      <w:pPr>
        <w:ind w:left="4102" w:hanging="180"/>
      </w:pPr>
      <w:rPr>
        <w:rFonts w:hint="default"/>
      </w:rPr>
    </w:lvl>
    <w:lvl w:ilvl="6" w:tentative="0">
      <w:start w:val="1"/>
      <w:numFmt w:val="decimal"/>
      <w:lvlText w:val="%7."/>
      <w:lvlJc w:val="left"/>
      <w:pPr>
        <w:ind w:left="4822" w:hanging="360"/>
      </w:pPr>
      <w:rPr>
        <w:rFonts w:hint="default"/>
      </w:rPr>
    </w:lvl>
    <w:lvl w:ilvl="7" w:tentative="0">
      <w:start w:val="1"/>
      <w:numFmt w:val="lowerLetter"/>
      <w:lvlText w:val="%8."/>
      <w:lvlJc w:val="left"/>
      <w:pPr>
        <w:ind w:left="5542" w:hanging="360"/>
      </w:pPr>
      <w:rPr>
        <w:rFonts w:hint="default"/>
      </w:rPr>
    </w:lvl>
    <w:lvl w:ilvl="8" w:tentative="0">
      <w:start w:val="1"/>
      <w:numFmt w:val="lowerRoman"/>
      <w:lvlText w:val="%9."/>
      <w:lvlJc w:val="right"/>
      <w:pPr>
        <w:ind w:left="6262" w:hanging="18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PeavMt/X5wtZFf1y3yKiUR7BNxw=" w:salt="3J8KcRSyyacd9zQlsNQ8j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7C"/>
    <w:rsid w:val="00001C3E"/>
    <w:rsid w:val="0001408C"/>
    <w:rsid w:val="000206E4"/>
    <w:rsid w:val="00072A73"/>
    <w:rsid w:val="00097B51"/>
    <w:rsid w:val="000A0074"/>
    <w:rsid w:val="000A20BB"/>
    <w:rsid w:val="000B0605"/>
    <w:rsid w:val="000E6E1D"/>
    <w:rsid w:val="000E72A7"/>
    <w:rsid w:val="000F3289"/>
    <w:rsid w:val="001132E2"/>
    <w:rsid w:val="00115792"/>
    <w:rsid w:val="00124B83"/>
    <w:rsid w:val="00124D68"/>
    <w:rsid w:val="001311EE"/>
    <w:rsid w:val="001326A2"/>
    <w:rsid w:val="001358C1"/>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93BB9"/>
    <w:rsid w:val="00394114"/>
    <w:rsid w:val="003C3827"/>
    <w:rsid w:val="003D3786"/>
    <w:rsid w:val="003D5F01"/>
    <w:rsid w:val="003E149E"/>
    <w:rsid w:val="003E1FF4"/>
    <w:rsid w:val="003F2E9C"/>
    <w:rsid w:val="00402B3F"/>
    <w:rsid w:val="00410910"/>
    <w:rsid w:val="004278E2"/>
    <w:rsid w:val="004323EF"/>
    <w:rsid w:val="00443FD8"/>
    <w:rsid w:val="00447431"/>
    <w:rsid w:val="004506C3"/>
    <w:rsid w:val="00461C41"/>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1F05"/>
    <w:rsid w:val="00653891"/>
    <w:rsid w:val="0069217C"/>
    <w:rsid w:val="00693FAF"/>
    <w:rsid w:val="006973EB"/>
    <w:rsid w:val="006A1F6A"/>
    <w:rsid w:val="006A5F4B"/>
    <w:rsid w:val="006A7444"/>
    <w:rsid w:val="006B48A2"/>
    <w:rsid w:val="006D7051"/>
    <w:rsid w:val="006F4508"/>
    <w:rsid w:val="00712BA0"/>
    <w:rsid w:val="00713015"/>
    <w:rsid w:val="00715FC5"/>
    <w:rsid w:val="00716CFD"/>
    <w:rsid w:val="00717FCB"/>
    <w:rsid w:val="00725D4D"/>
    <w:rsid w:val="007376F4"/>
    <w:rsid w:val="00762643"/>
    <w:rsid w:val="007718E3"/>
    <w:rsid w:val="00783571"/>
    <w:rsid w:val="00796CF1"/>
    <w:rsid w:val="00803D6A"/>
    <w:rsid w:val="00804A04"/>
    <w:rsid w:val="008125BD"/>
    <w:rsid w:val="008136EB"/>
    <w:rsid w:val="00813C1C"/>
    <w:rsid w:val="0083659B"/>
    <w:rsid w:val="008447ED"/>
    <w:rsid w:val="008508F0"/>
    <w:rsid w:val="00882D1C"/>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A37C15"/>
    <w:rsid w:val="00A67D67"/>
    <w:rsid w:val="00A732B8"/>
    <w:rsid w:val="00A76263"/>
    <w:rsid w:val="00A83081"/>
    <w:rsid w:val="00A87C80"/>
    <w:rsid w:val="00AC24D2"/>
    <w:rsid w:val="00AE34B9"/>
    <w:rsid w:val="00AE39B6"/>
    <w:rsid w:val="00B04EB8"/>
    <w:rsid w:val="00B067B1"/>
    <w:rsid w:val="00B11630"/>
    <w:rsid w:val="00B23263"/>
    <w:rsid w:val="00B43376"/>
    <w:rsid w:val="00B6386D"/>
    <w:rsid w:val="00B70598"/>
    <w:rsid w:val="00B76CF4"/>
    <w:rsid w:val="00B91889"/>
    <w:rsid w:val="00BB7945"/>
    <w:rsid w:val="00BE5474"/>
    <w:rsid w:val="00C12AFD"/>
    <w:rsid w:val="00C2355E"/>
    <w:rsid w:val="00C24E16"/>
    <w:rsid w:val="00C34845"/>
    <w:rsid w:val="00C45B26"/>
    <w:rsid w:val="00C56158"/>
    <w:rsid w:val="00C812F6"/>
    <w:rsid w:val="00CA0770"/>
    <w:rsid w:val="00CA6428"/>
    <w:rsid w:val="00CC0D31"/>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623D"/>
    <w:rsid w:val="00E77B9C"/>
    <w:rsid w:val="00E80E8A"/>
    <w:rsid w:val="00E81668"/>
    <w:rsid w:val="00EA0DD5"/>
    <w:rsid w:val="00EB02BE"/>
    <w:rsid w:val="00F059F5"/>
    <w:rsid w:val="00F1354F"/>
    <w:rsid w:val="00F2784B"/>
    <w:rsid w:val="00F5325A"/>
    <w:rsid w:val="00F53B84"/>
    <w:rsid w:val="00F53D8A"/>
    <w:rsid w:val="00F734F6"/>
    <w:rsid w:val="00F81C7C"/>
    <w:rsid w:val="00FA5ACB"/>
    <w:rsid w:val="00FA7857"/>
    <w:rsid w:val="00FC2749"/>
    <w:rsid w:val="00FC2F2F"/>
    <w:rsid w:val="00FC302E"/>
    <w:rsid w:val="22A64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next w:val="1"/>
    <w:link w:val="14"/>
    <w:qFormat/>
    <w:uiPriority w:val="1"/>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0"/>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Tahoma" w:hAnsi="Tahoma" w:cs="Tahoma"/>
      <w:sz w:val="16"/>
      <w:szCs w:val="16"/>
    </w:rPr>
  </w:style>
  <w:style w:type="paragraph" w:styleId="7">
    <w:name w:val="Body Text"/>
    <w:basedOn w:val="1"/>
    <w:link w:val="15"/>
    <w:qFormat/>
    <w:uiPriority w:val="1"/>
    <w:rPr>
      <w:sz w:val="24"/>
      <w:szCs w:val="24"/>
    </w:r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7"/>
    <w:unhideWhenUsed/>
    <w:qFormat/>
    <w:uiPriority w:val="99"/>
    <w:pPr>
      <w:tabs>
        <w:tab w:val="center" w:pos="4513"/>
        <w:tab w:val="right" w:pos="9026"/>
      </w:tabs>
    </w:pPr>
  </w:style>
  <w:style w:type="character" w:styleId="10">
    <w:name w:val="Hyperlink"/>
    <w:basedOn w:val="4"/>
    <w:unhideWhenUsed/>
    <w:uiPriority w:val="99"/>
    <w:rPr>
      <w:color w:val="0000FF" w:themeColor="hyperlink"/>
      <w:u w:val="single"/>
      <w14:textFill>
        <w14:solidFill>
          <w14:schemeClr w14:val="hlink"/>
        </w14:solidFill>
      </w14:textFill>
    </w:rPr>
  </w:style>
  <w:style w:type="paragraph" w:styleId="11">
    <w:name w:val="toc 1"/>
    <w:basedOn w:val="1"/>
    <w:qFormat/>
    <w:uiPriority w:val="39"/>
    <w:pPr>
      <w:spacing w:before="282" w:line="273" w:lineRule="exact"/>
      <w:ind w:left="568"/>
    </w:pPr>
    <w:rPr>
      <w:b/>
      <w:bCs/>
      <w:sz w:val="24"/>
      <w:szCs w:val="24"/>
    </w:rPr>
  </w:style>
  <w:style w:type="paragraph" w:styleId="12">
    <w:name w:val="toc 2"/>
    <w:basedOn w:val="1"/>
    <w:qFormat/>
    <w:uiPriority w:val="39"/>
    <w:pPr>
      <w:ind w:left="568"/>
    </w:pPr>
    <w:rPr>
      <w:b/>
      <w:bCs/>
      <w:sz w:val="24"/>
      <w:szCs w:val="24"/>
    </w:rPr>
  </w:style>
  <w:style w:type="paragraph" w:styleId="13">
    <w:name w:val="toc 3"/>
    <w:basedOn w:val="1"/>
    <w:next w:val="1"/>
    <w:autoRedefine/>
    <w:semiHidden/>
    <w:unhideWhenUsed/>
    <w:qFormat/>
    <w:uiPriority w:val="39"/>
    <w:pPr>
      <w:spacing w:after="100"/>
      <w:ind w:left="440"/>
    </w:pPr>
  </w:style>
  <w:style w:type="character" w:customStyle="1" w:styleId="14">
    <w:name w:val="Heading 1 Char"/>
    <w:basedOn w:val="4"/>
    <w:link w:val="2"/>
    <w:qFormat/>
    <w:uiPriority w:val="9"/>
    <w:rPr>
      <w:rFonts w:asciiTheme="majorHAnsi" w:hAnsiTheme="majorHAnsi" w:eastAsiaTheme="majorEastAsia" w:cstheme="majorBidi"/>
      <w:color w:val="376092" w:themeColor="accent1" w:themeShade="BF"/>
      <w:sz w:val="40"/>
      <w:szCs w:val="40"/>
      <w:lang w:val="ms"/>
    </w:rPr>
  </w:style>
  <w:style w:type="character" w:customStyle="1" w:styleId="15">
    <w:name w:val="Body Text Char"/>
    <w:basedOn w:val="4"/>
    <w:link w:val="7"/>
    <w:qFormat/>
    <w:uiPriority w:val="1"/>
    <w:rPr>
      <w:rFonts w:ascii="Times New Roman" w:hAnsi="Times New Roman" w:eastAsia="Times New Roman" w:cs="Times New Roman"/>
      <w:sz w:val="24"/>
      <w:szCs w:val="24"/>
      <w:lang w:val="ms"/>
    </w:rPr>
  </w:style>
  <w:style w:type="character" w:customStyle="1" w:styleId="16">
    <w:name w:val="Footer Char"/>
    <w:basedOn w:val="4"/>
    <w:link w:val="8"/>
    <w:qFormat/>
    <w:uiPriority w:val="99"/>
    <w:rPr>
      <w:rFonts w:ascii="Times New Roman" w:hAnsi="Times New Roman" w:eastAsia="Times New Roman" w:cs="Times New Roman"/>
      <w:lang w:val="ms"/>
    </w:rPr>
  </w:style>
  <w:style w:type="character" w:customStyle="1" w:styleId="17">
    <w:name w:val="Header Char"/>
    <w:basedOn w:val="4"/>
    <w:link w:val="9"/>
    <w:qFormat/>
    <w:uiPriority w:val="99"/>
    <w:rPr>
      <w:rFonts w:ascii="Times New Roman" w:hAnsi="Times New Roman" w:eastAsia="Times New Roman" w:cs="Times New Roman"/>
      <w:lang w:val="ms"/>
    </w:rPr>
  </w:style>
  <w:style w:type="character" w:customStyle="1" w:styleId="18">
    <w:name w:val="Balloon Text Char"/>
    <w:basedOn w:val="4"/>
    <w:link w:val="6"/>
    <w:semiHidden/>
    <w:qFormat/>
    <w:uiPriority w:val="99"/>
    <w:rPr>
      <w:rFonts w:ascii="Tahoma" w:hAnsi="Tahoma" w:eastAsia="Times New Roman" w:cs="Tahoma"/>
      <w:sz w:val="16"/>
      <w:szCs w:val="16"/>
      <w:lang w:val="ms"/>
    </w:rPr>
  </w:style>
  <w:style w:type="paragraph" w:styleId="19">
    <w:name w:val="List Paragraph"/>
    <w:basedOn w:val="1"/>
    <w:qFormat/>
    <w:uiPriority w:val="34"/>
    <w:pPr>
      <w:ind w:left="720"/>
      <w:contextualSpacing/>
    </w:pPr>
  </w:style>
  <w:style w:type="character" w:customStyle="1" w:styleId="20">
    <w:name w:val="Heading 2 Char"/>
    <w:basedOn w:val="4"/>
    <w:link w:val="3"/>
    <w:semiHidden/>
    <w:qFormat/>
    <w:uiPriority w:val="9"/>
    <w:rPr>
      <w:rFonts w:asciiTheme="majorHAnsi" w:hAnsiTheme="majorHAnsi" w:eastAsiaTheme="majorEastAsia" w:cstheme="majorBidi"/>
      <w:b/>
      <w:bCs/>
      <w:color w:val="4F81BD" w:themeColor="accent1"/>
      <w:sz w:val="26"/>
      <w:szCs w:val="26"/>
      <w:lang w:val="ms"/>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545</Words>
  <Characters>3800</Characters>
  <Lines>30</Lines>
  <Paragraphs>8</Paragraphs>
  <TotalTime>0</TotalTime>
  <ScaleCrop>false</ScaleCrop>
  <LinksUpToDate>false</LinksUpToDate>
  <CharactersWithSpaces>4326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2026-09-09T05:52:00Z</dcterms:created>
  <dc:creator>OPERATOR</dc:creator>
  <cp:lastModifiedBy>Administrator</cp:lastModifiedBy>
  <dcterms:modified xsi:type="dcterms:W3CDTF">2026-09-10T04:39:23Z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D2873FAAB19D49199A21C82812CC8662_13</vt:lpwstr>
  </property>
</Properties>
</file>