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B4A3F">
      <w:pPr>
        <w:pStyle w:val="2"/>
        <w:spacing w:before="0" w:after="0" w:line="360" w:lineRule="auto"/>
        <w:jc w:val="center"/>
        <w:rPr>
          <w:rFonts w:ascii="Times New Roman" w:hAnsi="Times New Roman" w:cs="Times New Roman"/>
          <w:b/>
          <w:bCs/>
          <w:color w:val="auto"/>
          <w:sz w:val="24"/>
          <w:szCs w:val="24"/>
        </w:rPr>
      </w:pPr>
      <w:bookmarkStart w:id="0" w:name="_Toc230017864"/>
      <w:bookmarkStart w:id="9" w:name="_GoBack"/>
      <w:bookmarkEnd w:id="9"/>
      <w:r>
        <w:rPr>
          <w:rFonts w:ascii="Times New Roman" w:hAnsi="Times New Roman" w:cs="Times New Roman"/>
          <w:b/>
          <w:bCs/>
          <w:color w:val="auto"/>
          <w:sz w:val="24"/>
          <w:szCs w:val="24"/>
        </w:rPr>
        <w:t>BAB IV</w:t>
      </w:r>
      <w:bookmarkEnd w:id="0"/>
    </w:p>
    <w:p w14:paraId="1AFADB21">
      <w:pPr>
        <w:pStyle w:val="2"/>
        <w:spacing w:before="0" w:after="0" w:line="360" w:lineRule="auto"/>
        <w:jc w:val="center"/>
        <w:rPr>
          <w:b/>
          <w:bCs/>
          <w:sz w:val="24"/>
          <w:szCs w:val="24"/>
        </w:rPr>
      </w:pPr>
      <w:bookmarkStart w:id="1" w:name="_Toc230017865"/>
      <w:bookmarkStart w:id="2" w:name="_Toc228363725"/>
      <w:r>
        <w:rPr>
          <w:rFonts w:ascii="Times New Roman" w:hAnsi="Times New Roman" w:cs="Times New Roman"/>
          <w:b/>
          <w:bCs/>
          <w:color w:val="auto"/>
          <w:sz w:val="24"/>
          <w:szCs w:val="24"/>
        </w:rPr>
        <w:t>HASIL PENELITIAN DAN PEMBAHASAN</w:t>
      </w:r>
      <w:bookmarkEnd w:id="1"/>
      <w:bookmarkEnd w:id="2"/>
    </w:p>
    <w:p w14:paraId="439D4A3A">
      <w:pPr>
        <w:spacing w:line="360" w:lineRule="auto"/>
        <w:jc w:val="both"/>
        <w:rPr>
          <w:sz w:val="24"/>
          <w:szCs w:val="24"/>
        </w:rPr>
      </w:pPr>
      <w:r>
        <w:rPr>
          <w:sz w:val="24"/>
          <w:szCs w:val="24"/>
        </w:rPr>
        <w:t xml:space="preserve"> </w:t>
      </w:r>
    </w:p>
    <w:p w14:paraId="5A3C648D">
      <w:pPr>
        <w:pStyle w:val="19"/>
        <w:numPr>
          <w:ilvl w:val="1"/>
          <w:numId w:val="1"/>
        </w:numPr>
        <w:spacing w:line="360" w:lineRule="auto"/>
        <w:ind w:left="284" w:hanging="284"/>
        <w:jc w:val="both"/>
        <w:outlineLvl w:val="1"/>
        <w:rPr>
          <w:b/>
          <w:sz w:val="24"/>
          <w:szCs w:val="24"/>
        </w:rPr>
      </w:pPr>
      <w:bookmarkStart w:id="3" w:name="_Toc230017867"/>
      <w:r>
        <w:rPr>
          <w:b/>
          <w:sz w:val="24"/>
          <w:szCs w:val="24"/>
        </w:rPr>
        <w:t>Pertanggungjawaban Pidana Pemilihan Umum yang Dilakukan oleh Panitia Pemilihan Kecamatan (PPK) Medan Timur Berdasarkan UU No. 7 Tahun 2017</w:t>
      </w:r>
      <w:bookmarkEnd w:id="3"/>
    </w:p>
    <w:p w14:paraId="6FA44FF4">
      <w:pPr>
        <w:spacing w:line="360" w:lineRule="auto"/>
        <w:jc w:val="both"/>
        <w:rPr>
          <w:sz w:val="24"/>
          <w:szCs w:val="24"/>
          <w:lang w:val="id-ID"/>
        </w:rPr>
      </w:pPr>
    </w:p>
    <w:p w14:paraId="2E181B5E">
      <w:pPr>
        <w:pStyle w:val="19"/>
        <w:numPr>
          <w:ilvl w:val="3"/>
          <w:numId w:val="2"/>
        </w:numPr>
        <w:spacing w:line="360" w:lineRule="auto"/>
        <w:jc w:val="both"/>
        <w:rPr>
          <w:sz w:val="24"/>
          <w:szCs w:val="24"/>
          <w:lang w:val="id-ID"/>
        </w:rPr>
      </w:pPr>
      <w:r>
        <w:rPr>
          <w:sz w:val="24"/>
          <w:szCs w:val="24"/>
          <w:lang w:val="id-ID"/>
        </w:rPr>
        <w:t>Eksplorasi Yuridis-Doktrinal Terhadap Konstruksi Pertanggungjawaban Pidana</w:t>
      </w:r>
    </w:p>
    <w:p w14:paraId="10E8CE91">
      <w:pPr>
        <w:pStyle w:val="19"/>
        <w:spacing w:line="360" w:lineRule="auto"/>
        <w:ind w:left="360"/>
        <w:jc w:val="both"/>
        <w:rPr>
          <w:sz w:val="24"/>
          <w:szCs w:val="24"/>
          <w:lang w:val="id-ID"/>
        </w:rPr>
      </w:pPr>
      <w:r>
        <w:rPr>
          <w:sz w:val="24"/>
          <w:szCs w:val="24"/>
          <w:lang w:val="id-ID"/>
        </w:rPr>
        <w:t>Pemilihan Umum oleh Oknum Panitia Pemilihan Kecamatan (PPK) Medan TimurUntuk mengurai secara komprehensif mengenai pertanggungjawaban pidana (criminal liability/toerekenbaarheid) yang melekat pada ketiga terdakwa selaku oknum PPK Medan Timur, yaitu MRR (Ketua), ASBH (Anggota), dan JM (Anggota), analisis dalam penelitian ini harus diletakkan pada reposisi komparatif penegakan hukum pidana materiil Indonesia.</w:t>
      </w:r>
    </w:p>
    <w:p w14:paraId="0400D260">
      <w:pPr>
        <w:spacing w:line="360" w:lineRule="auto"/>
        <w:ind w:left="360" w:firstLine="436"/>
        <w:jc w:val="both"/>
        <w:rPr>
          <w:sz w:val="24"/>
          <w:szCs w:val="24"/>
          <w:lang w:val="id-ID"/>
        </w:rPr>
      </w:pPr>
      <w:r>
        <w:rPr>
          <w:sz w:val="24"/>
          <w:szCs w:val="24"/>
          <w:lang w:val="id-ID"/>
        </w:rPr>
        <w:t>Dalam doktrin hukum pidana, lahirnya pertanggungjawaban pidana menghendaki adanya dua syarat mutlak yang wajib terpenuhi secara simultan, linier, dan kausalitas: adanya suatu perbuatan yang bersifat melawan hukum (actus reus) dan adanya sikap batin yang salah dari pelaku yang melakukan perbuatan tersebut (mens rea). Asas fundamental yang menjadi batu pijakan utama dalam analisis ini adalah Asas Legalitas (nullum delictum nulla poena sine praevia lege poenali) yang dikorelasikan secara absolut dengan Asas Kesalahan (geen straf zonder schuld atau actus non facit reum nisi mens sit rea).</w:t>
      </w:r>
    </w:p>
    <w:p w14:paraId="3A03503A">
      <w:pPr>
        <w:spacing w:line="360" w:lineRule="auto"/>
        <w:ind w:left="284" w:firstLine="436"/>
        <w:jc w:val="both"/>
        <w:rPr>
          <w:sz w:val="24"/>
          <w:szCs w:val="24"/>
          <w:lang w:val="id-ID"/>
        </w:rPr>
      </w:pPr>
      <w:r>
        <w:rPr>
          <w:sz w:val="24"/>
          <w:szCs w:val="24"/>
          <w:lang w:val="id-ID"/>
        </w:rPr>
        <w:t xml:space="preserve">Dalam diskursus filsafat hukum pidana, terdapat perdebatan teoritis yang sangat tajam mengenai hubungan antara perbuatan pidana (strafbaar feit) dan pertanggungjawaban pidana (criminal liability). Aliran Monoistis, yang dipelopori oleh ahli hukum kenamaan seperti Simons, menyatakan bahwa perbuatan melawan hukum dan pertanggungjawaban pidana adalah satu kesatuan organik yang tidak dapat dipisahkan. Bagi aliran monoistis, ketika suatu perbuatan materiil secara objektif telah dinyatakan melawan hukum dan memenuhi rumusan undang-undang, maka secara otomatis unsur kesalahan dan kemampuan bertanggung jawab dari diri pelaku telah melekat di dalamnya.Sebaliknya, penelitian ini secara tegas mengadopsi pandangan Prof. Moeljatno, begawan hukum pidana Indonesia yang menganut aliran Dualistis. Menurut Moeljatno dalam teorinya:"Adanya perbuatan pidana (criminal act) saja tidaklah cukup untuk menjatuhkan pidana kepada seseorang. </w:t>
      </w:r>
    </w:p>
    <w:p w14:paraId="780E36AD">
      <w:pPr>
        <w:spacing w:line="360" w:lineRule="auto"/>
        <w:ind w:left="284" w:firstLine="436"/>
        <w:jc w:val="both"/>
        <w:rPr>
          <w:sz w:val="24"/>
          <w:szCs w:val="24"/>
          <w:lang w:val="id-ID"/>
        </w:rPr>
      </w:pPr>
      <w:r>
        <w:rPr>
          <w:sz w:val="24"/>
          <w:szCs w:val="24"/>
          <w:lang w:val="id-ID"/>
        </w:rPr>
        <w:t>Perbuatan pidana hanya menunjuk pada larangan dan ancaman hukumannya, yang sifatnya objektif-materiil. Sedangkan apakah orang yang melakukan perbuatan itu kemudian dapat dipidana, bergantung penuh pada persoalan subjektif, yaitu apakah dalam melakukan perbuatan tersebut ia memiliki kesalahan (schuld) atau tidak."With memisahkan antara perbuatan (strafbaar feit) dan orangnya (strafbaarheid van den dader), maka pembedahan terhadap pertanggungjawaban pidana ketiga oknum PPK Medan Timur dalam Putusan PN Medan No. 1/Pid.S/2024/PN Mdn wajib dianalisis secara mikro melalui enam dimensi doktrinal berikut:</w:t>
      </w:r>
    </w:p>
    <w:p w14:paraId="437FA3BB">
      <w:pPr>
        <w:spacing w:line="360" w:lineRule="auto"/>
        <w:ind w:left="720"/>
        <w:jc w:val="both"/>
        <w:rPr>
          <w:sz w:val="24"/>
          <w:szCs w:val="24"/>
          <w:lang w:val="id-ID"/>
        </w:rPr>
      </w:pPr>
      <w:r>
        <w:rPr>
          <w:sz w:val="24"/>
          <w:szCs w:val="24"/>
          <w:lang w:val="id-ID"/>
        </w:rPr>
        <w:t>a. Dekonstruksi Sifat Melawan Hukum Objektif (Actus Reus, Anatomi Data Selisih Pergeseran Suara, dan Teori Kausalitas)Actus reus merupakan manifestasi lahiriah dari kehendak manusia yang dilarang oleh aturan hukum positif dan menimbulkan gangguan nyata pada ketertiban hukum umum. Dalam menguji perbuatan materiil para terdakwa yang melakukan pergeseran, manipulasi, dan penggelembungan suara di Kecamatan Medan Timur, kita wajib merujuk pada batasan melawan hukum yang dikemukakan oleh Simons. Simons menegaskan bahwa perbuatan pidana adalah kelakuan yang diancam dengan pidana, bersifat melawan hukum, dilakukan dengan kesalahan oleh orang yang mampu bertanggung jawab.</w:t>
      </w:r>
    </w:p>
    <w:p w14:paraId="1EF52894">
      <w:pPr>
        <w:spacing w:line="360" w:lineRule="auto"/>
        <w:ind w:left="720"/>
        <w:jc w:val="both"/>
        <w:rPr>
          <w:sz w:val="24"/>
          <w:szCs w:val="24"/>
          <w:lang w:val="id-ID"/>
        </w:rPr>
      </w:pPr>
      <w:r>
        <w:rPr>
          <w:sz w:val="24"/>
          <w:szCs w:val="24"/>
          <w:lang w:val="id-ID"/>
        </w:rPr>
        <w:t xml:space="preserve">b.Fakta hukum yang terungkap secara benderang di ruang sidang Pengadilan Negeri Medan membuktikan secara valid dan meyakinkan bahwa actus reus ketiga oknum PPK Medan Timur tersebut mewujud dalam tindakan manipulasi data perolehan suara secara sengaja. Modus operandi fisik-materiil yang dilakukan adalah mengubah angka perolehan suara asli dari lembaran fisik Formulir Model C Hasil (catatan otentik tingkat TPS) ketika diinput, disinkronisasikan, dan dituangkan ke dalam Formulir Model D Hasil Kecamatan serta memanipulasi entri data pada aplikasi Sirekap. Detail fakta persidangan secara gamblang mengungkap peta pergeseran selisih suara yang dilakukan secara ilegal oleh para terdakwa pada kurun waktu rekapitulasi tanggal 16 Februari hingga 1 Maret 2024. </w:t>
      </w:r>
    </w:p>
    <w:p w14:paraId="6646A2AD">
      <w:pPr>
        <w:spacing w:line="360" w:lineRule="auto"/>
        <w:ind w:firstLine="360"/>
        <w:jc w:val="both"/>
        <w:rPr>
          <w:sz w:val="24"/>
          <w:szCs w:val="24"/>
          <w:lang w:val="id-ID"/>
        </w:rPr>
      </w:pPr>
      <w:r>
        <w:rPr>
          <w:sz w:val="24"/>
          <w:szCs w:val="24"/>
          <w:lang w:val="id-ID"/>
        </w:rPr>
        <w:t>Berdasarkan alat bukti yang diajukan oleh Sentra Gakkumdu Bawaslu Kota Medan, para terdakwa memotong suara milik Partai Buruh dan Partai Kebangkitan Nusantara (PKN). Suara dari kedua partai tersebut dipotong dari data riil TPS lalu ditambahkan/digelembungkan secara signifikan ke dalam perolehan suara Partai Kebangkitan Bangsa (PKB) untuk Daerah Pemilihan (Dapil) 3 Kota Medan.Tindakan pemindahan selisih suara antar-partai yang melanggar hukum ini secara langsung menggeser perolehan kursi parpol lain, yang pada akhirnya memicu keberatan hukum dari saksi korban Calon Anggota DPRD Kota Medan dari Partai Gerindra Dapil Medan 3 nomor urut 5 (NYS).</w:t>
      </w:r>
    </w:p>
    <w:p w14:paraId="7EE461FF">
      <w:pPr>
        <w:spacing w:line="360" w:lineRule="auto"/>
        <w:ind w:firstLine="360"/>
        <w:jc w:val="both"/>
        <w:rPr>
          <w:sz w:val="24"/>
          <w:szCs w:val="24"/>
          <w:lang w:val="id-ID"/>
        </w:rPr>
      </w:pPr>
      <w:r>
        <w:rPr>
          <w:sz w:val="24"/>
          <w:szCs w:val="24"/>
          <w:lang w:val="id-ID"/>
        </w:rPr>
        <w:t>Secara normatif, dakwaan primair yang terbukti di dalam persidangan ini merujuk pada ketentuan Pasal 532 jo. Pasal 554 Undang-Undang Nomor 7 Tahun 2017 tentang Pemilihan Umum.Pasal 532 UU Pemilu menyatakan: "Setiap orang yang dengan sengaja melakukan perbuatan yang menyebabkan suara seorang pemilih menjadi tidak bernilai atau menyebabkan peserta pemilu tertentu mendapat tambahan suara atau perolehan suara peserta pemilu menjadi berkurang, dipidana..."</w:t>
      </w:r>
    </w:p>
    <w:p w14:paraId="0978094A">
      <w:pPr>
        <w:spacing w:line="360" w:lineRule="auto"/>
        <w:ind w:firstLine="360"/>
        <w:jc w:val="both"/>
        <w:rPr>
          <w:sz w:val="24"/>
          <w:szCs w:val="24"/>
          <w:lang w:val="id-ID"/>
        </w:rPr>
      </w:pPr>
      <w:r>
        <w:rPr>
          <w:sz w:val="24"/>
          <w:szCs w:val="24"/>
          <w:lang w:val="id-ID"/>
        </w:rPr>
        <w:t xml:space="preserve">"Pasal 554 UU Pemilu memberikan klausul pemberatan sanksi: "Dalam hal tindak pidana pemilu dilakukan oleh penyelenggara pemilu, maka pidana bagi yang bersangkutan ditambah 1/3 (satu pertiga) dari sanksi pidana yang diancamkan."Jika kedua pasal tersebut dikombinasikan secara dogmatis, maka unsur objektif-materiil yang harus dipenuhi meliputi unsur subjek ("Setiap orang" yang diperberat kualifikasinya menjadi "Penyelenggara Pemilu"), unsur perbuatan (melakukan tindakan yang secara nyata menyebabkan peserta pemilu tertentu mendapat tambahan suara atau perolehan suara peserta pemilu menjadi berkurang), dan unsur akibat kausal (berubahnya kemurnian perolehan suara yang sah). </w:t>
      </w:r>
    </w:p>
    <w:p w14:paraId="13B22250">
      <w:pPr>
        <w:spacing w:line="360" w:lineRule="auto"/>
        <w:ind w:firstLine="360"/>
        <w:jc w:val="both"/>
        <w:rPr>
          <w:sz w:val="24"/>
          <w:szCs w:val="24"/>
          <w:lang w:val="id-ID"/>
        </w:rPr>
      </w:pPr>
      <w:r>
        <w:rPr>
          <w:sz w:val="24"/>
          <w:szCs w:val="24"/>
          <w:lang w:val="id-ID"/>
        </w:rPr>
        <w:t>Ketiga terdakwa secara nyata telah melakukan tindakan fisik mengubah isi dari dokumen rekapitulasi, sehingga integritas data yang dihasilkan menjadi cacat hukum secara absolut.Untuk menganalisis hubungan sebab-akibat (causaliteit) antara tindakan fisik para terdakwa dengan timbulnya kerusakan hasil pemilu legislatif, penelitian ini menggunakan Teori Kausalitas Conditio Sine Qua Non yang dirumuskan oleh Von Buri. Teori ini menyatakan bahwa tiap-tiap syarat adalah sebab, dan semua syarat nilainya sama; apabila satu syarat saja dihilangkan dari rangkaian faktor, maka akibat yang timbul pun akan berbeda.</w:t>
      </w:r>
    </w:p>
    <w:p w14:paraId="6A7D9EE2">
      <w:pPr>
        <w:spacing w:line="360" w:lineRule="auto"/>
        <w:ind w:firstLine="360"/>
        <w:jc w:val="both"/>
        <w:rPr>
          <w:sz w:val="24"/>
          <w:szCs w:val="24"/>
          <w:lang w:val="id-ID"/>
        </w:rPr>
      </w:pPr>
      <w:r>
        <w:rPr>
          <w:sz w:val="24"/>
          <w:szCs w:val="24"/>
          <w:lang w:val="id-ID"/>
        </w:rPr>
        <w:t xml:space="preserve">Secara logis hukum, apabila ketiga terdakwa selaku panitia resmi tidak melakukan tindakan manipulatif berupa pengubahan angka dan memindahkan selisih suara dari Partai Buruh dan PKN ke PKB saat rapat pleno terbuka di tingkat kecamatan, maka ketidakcocokan data suara serta kerusakan tatanan demokrasi di Kecamatan Medan Timur tidak akan pernah terjadi. </w:t>
      </w:r>
    </w:p>
    <w:p w14:paraId="0DF0C3F7">
      <w:pPr>
        <w:spacing w:line="360" w:lineRule="auto"/>
        <w:jc w:val="both"/>
        <w:rPr>
          <w:sz w:val="24"/>
          <w:szCs w:val="24"/>
          <w:lang w:val="id-ID"/>
        </w:rPr>
      </w:pPr>
      <w:r>
        <w:rPr>
          <w:sz w:val="24"/>
          <w:szCs w:val="24"/>
          <w:lang w:val="id-ID"/>
        </w:rPr>
        <w:t>Tindakan mengubah dokumen fisik dan digital ini adalah causa causans (sebab yang paling utama) dari terjadinya tindak pidana pemilu tersebut.Dalam diskursus hukum pidana pemilu, Prof. Topo Santoso (Pakar Hukum Pidana dan Hukum Pemilu Universitas Indonesia) menegaskan sebuah tesis krusial yang sangat relevan untuk memperkuat analisis ini:"Kejahatan pemilu yang dilakukan oleh penyelenggara (electoral fraud by officials) memiliki derajat bahaya hukum yang jauh lebih destruktif ketimbang kecurangan yang dilakukan oleh pemilih biasa.</w:t>
      </w:r>
    </w:p>
    <w:p w14:paraId="3CD15D43">
      <w:pPr>
        <w:spacing w:line="360" w:lineRule="auto"/>
        <w:ind w:firstLine="720"/>
        <w:jc w:val="both"/>
        <w:rPr>
          <w:sz w:val="24"/>
          <w:szCs w:val="24"/>
          <w:lang w:val="id-ID"/>
        </w:rPr>
      </w:pPr>
      <w:r>
        <w:rPr>
          <w:sz w:val="24"/>
          <w:szCs w:val="24"/>
          <w:lang w:val="id-ID"/>
        </w:rPr>
        <w:t>Hal ini dikarenakan penyelenggara memiliki otoritas legal untuk menentukan validitas suara, sehingga kejahatan yang mereka lakukan secara langsung merusak kedaulatan rakyat secara sistematis."</w:t>
      </w:r>
    </w:p>
    <w:p w14:paraId="5AC7216F">
      <w:pPr>
        <w:spacing w:line="360" w:lineRule="auto"/>
        <w:jc w:val="both"/>
        <w:rPr>
          <w:sz w:val="24"/>
          <w:szCs w:val="24"/>
          <w:lang w:val="id-ID"/>
        </w:rPr>
      </w:pPr>
    </w:p>
    <w:p w14:paraId="31A1B9CC">
      <w:pPr>
        <w:pStyle w:val="19"/>
        <w:numPr>
          <w:ilvl w:val="3"/>
          <w:numId w:val="2"/>
        </w:numPr>
        <w:spacing w:line="360" w:lineRule="auto"/>
        <w:jc w:val="both"/>
        <w:rPr>
          <w:sz w:val="24"/>
          <w:szCs w:val="24"/>
          <w:lang w:val="id-ID"/>
        </w:rPr>
      </w:pPr>
      <w:r>
        <w:rPr>
          <w:sz w:val="24"/>
          <w:szCs w:val="24"/>
          <w:lang w:val="id-ID"/>
        </w:rPr>
        <w:t>Gradasi Kesalahan Subjektif (Mens Rea, Teori Kesengajaan, dan Doktrin Dolus Directus)</w:t>
      </w:r>
    </w:p>
    <w:p w14:paraId="4143E3D8">
      <w:pPr>
        <w:pStyle w:val="19"/>
        <w:spacing w:line="360" w:lineRule="auto"/>
        <w:ind w:left="360"/>
        <w:jc w:val="both"/>
        <w:rPr>
          <w:sz w:val="24"/>
          <w:szCs w:val="24"/>
          <w:lang w:val="id-ID"/>
        </w:rPr>
      </w:pPr>
      <w:r>
        <w:rPr>
          <w:sz w:val="24"/>
          <w:szCs w:val="24"/>
          <w:lang w:val="id-ID"/>
        </w:rPr>
        <w:t xml:space="preserve">Setelah perbuatan melawan hukum (actus reus) terbukti secara meyakinkan di persidangan Pengadilan Negeri Medan, maka fokus analisis hukum bergeser dari sifat objektif perbuatan ke sifat subjektif pelaku, yaitu mens rea (sikap batin jahat). </w:t>
      </w:r>
    </w:p>
    <w:p w14:paraId="6B3E491E">
      <w:pPr>
        <w:spacing w:line="360" w:lineRule="auto"/>
        <w:ind w:left="360" w:firstLine="360"/>
        <w:jc w:val="both"/>
        <w:rPr>
          <w:sz w:val="24"/>
          <w:szCs w:val="24"/>
          <w:lang w:val="id-ID"/>
        </w:rPr>
      </w:pPr>
      <w:r>
        <w:rPr>
          <w:sz w:val="24"/>
          <w:szCs w:val="24"/>
          <w:lang w:val="id-ID"/>
        </w:rPr>
        <w:t>Mezger menyatakan bahwa kesalahan adalah keseluruhan syarat psikologis yang menghubungkan antara perbuatan dan pelaku, sehingga pelaku dapat dicela atas perbuatannya. Sementara Van Hamel merumuskan kesalahan sebagai keadaan psikis yang tertentu pada orang yang melakukan perbuatan pidana, sehingga ada hubungan antara keadaan tersebut dengan perbuatan yang dilakukan. Seseorang tidak dapat dimintai pertanggungjawaban pidana jika dalam jiwanya tidak ditemukan unsur celaan tersebut.</w:t>
      </w:r>
    </w:p>
    <w:p w14:paraId="7587541D">
      <w:pPr>
        <w:spacing w:line="360" w:lineRule="auto"/>
        <w:ind w:left="360" w:firstLine="360"/>
        <w:jc w:val="both"/>
        <w:rPr>
          <w:sz w:val="24"/>
          <w:szCs w:val="24"/>
          <w:lang w:val="id-ID"/>
        </w:rPr>
      </w:pPr>
      <w:r>
        <w:rPr>
          <w:sz w:val="24"/>
          <w:szCs w:val="24"/>
          <w:lang w:val="id-ID"/>
        </w:rPr>
        <w:t xml:space="preserve">Dalam hukum pidana, kesengajaan (dolus) memiliki gradasi dan corak psikologis yang ketat, yaitu kesengajaan sebagai maksud (dolus directus), kesengajaan sebagai kepastian (dolus indirectus), dan kesengajaan sebagai kemungkinan (dolus eventualis). Berdasarkan analisis terhadap dinamika pembuktian pada Putusan PN Medan No. 1/Pid.S/2024/PN Mdn, kesalahan ketiga terdakwa berada pada derajat tertinggi, yaitu Kesengajaan Sebagai Maksud (Dolus Directus). </w:t>
      </w:r>
    </w:p>
    <w:p w14:paraId="5E019135">
      <w:pPr>
        <w:spacing w:line="360" w:lineRule="auto"/>
        <w:ind w:left="360" w:firstLine="360"/>
        <w:jc w:val="both"/>
        <w:rPr>
          <w:sz w:val="24"/>
          <w:szCs w:val="24"/>
          <w:lang w:val="id-ID"/>
        </w:rPr>
      </w:pPr>
      <w:r>
        <w:rPr>
          <w:sz w:val="24"/>
          <w:szCs w:val="24"/>
          <w:lang w:val="id-ID"/>
        </w:rPr>
        <w:t xml:space="preserve">Untuk memperkuat argumen akademis ini, penelitian merujuk pada dua teori besar kesengajaan, yaitu Teori Kehendak (Wilstheorie) dari Von Hippel dan Teori Pengetahuan/Kesadaran (Voorstellingstheorie) dari Frank : Berdasarkan Teori Pengetahuan (Weten): Para terdakwa memiliki pengetahuan dan kesadaran penuh (voorstelling) bahwa tindakan menggeser selisih angka dari Form C.Hasil ke Form D.Hasil secara tidak sah adalah perbuatan yang dilarang keras oleh undang-undang dan mengkhianati sumpah jabatan mereka. Mereka tahu secara presisi bahwa tindakan tersebut akan mendistorsi hasil pemilu legislatif Kota Medan.Berdasarkan Teori Kehendak (Willen): Para terdakwa secara sadar menghendaki wujudnya perbuatan manipulasi tersebut. </w:t>
      </w:r>
    </w:p>
    <w:p w14:paraId="2A6442A5">
      <w:pPr>
        <w:spacing w:line="360" w:lineRule="auto"/>
        <w:ind w:left="360" w:firstLine="360"/>
        <w:jc w:val="both"/>
        <w:rPr>
          <w:sz w:val="24"/>
          <w:szCs w:val="24"/>
          <w:lang w:val="id-ID"/>
        </w:rPr>
      </w:pPr>
      <w:r>
        <w:rPr>
          <w:sz w:val="24"/>
          <w:szCs w:val="24"/>
          <w:lang w:val="id-ID"/>
        </w:rPr>
        <w:t xml:space="preserve">Motif politik maupun material untuk mendongkrak perolehan suara Partai Kebangkitan Bangsa dituju secara langsung oleh kehendak batin para terdakwa sebagai wujud tujuan utama tindakan mereka.Oleh karena itu, pembelaan dari penasihat hukum terdakwa yang mencoba membangun narasi bahwa tindakan tersebut terjadi akibat "kelalaian teknis" (culpa), faktor kelelahan fisik, atau tekanan beban kerja rekapitulasi yang berlebih otomatis gugur demi hukum. Prof. Eddy O.S. Hiariej dalam doktrinnya mengenai gradasi kesalahan menyatakan:"Apabila seorang pelaku kejahatan melakukan serangkaian perbuatan yang terencana, sistematis, berulang, dan membutuhkan keahlian teknis tertentu—seperti mengubah dokumen negara atau memanipulasi sistem digital—maka elemen mens rea pelaku tersebut tidak mungkin berupa kealpaan (culpa), melainkan sebuah kesengajaan murni yang didasari atas niat jahat yang utuh (malice aforethought). </w:t>
      </w:r>
    </w:p>
    <w:p w14:paraId="0C408338">
      <w:pPr>
        <w:spacing w:line="360" w:lineRule="auto"/>
        <w:ind w:left="360" w:firstLine="360"/>
        <w:jc w:val="both"/>
        <w:rPr>
          <w:sz w:val="24"/>
          <w:szCs w:val="24"/>
          <w:lang w:val="id-ID"/>
        </w:rPr>
      </w:pPr>
    </w:p>
    <w:p w14:paraId="6D54B4CF">
      <w:pPr>
        <w:pStyle w:val="19"/>
        <w:numPr>
          <w:ilvl w:val="3"/>
          <w:numId w:val="2"/>
        </w:numPr>
        <w:spacing w:line="360" w:lineRule="auto"/>
        <w:jc w:val="both"/>
        <w:rPr>
          <w:sz w:val="24"/>
          <w:szCs w:val="24"/>
          <w:lang w:val="id-ID"/>
        </w:rPr>
      </w:pPr>
      <w:r>
        <w:rPr>
          <w:sz w:val="24"/>
          <w:szCs w:val="24"/>
          <w:lang w:val="id-ID"/>
        </w:rPr>
        <w:t>Karakteristik Kasus sebagai Delicta Propria, Doktrin Public Trust, dan White-Collar Crime</w:t>
      </w:r>
    </w:p>
    <w:p w14:paraId="0CCF05D6">
      <w:pPr>
        <w:pStyle w:val="19"/>
        <w:spacing w:line="360" w:lineRule="auto"/>
        <w:ind w:left="360"/>
        <w:jc w:val="both"/>
        <w:rPr>
          <w:sz w:val="24"/>
          <w:szCs w:val="24"/>
          <w:lang w:val="id-ID"/>
        </w:rPr>
      </w:pPr>
      <w:r>
        <w:rPr>
          <w:sz w:val="24"/>
          <w:szCs w:val="24"/>
          <w:lang w:val="id-ID"/>
        </w:rPr>
        <w:t xml:space="preserve">Aspek krusial yang di bahas adalah analisis mengenai klasifikasi delik dalam undang-undang pidana khusus. Kombinasi Pasal 532 dan Pasal 554 UU No. 7/2017 merupakan bentuk penegakan hukum atas Delik Propria (delicta propria) yang telah di-pemberat. </w:t>
      </w:r>
    </w:p>
    <w:p w14:paraId="3779C86A">
      <w:pPr>
        <w:pStyle w:val="19"/>
        <w:spacing w:line="360" w:lineRule="auto"/>
        <w:ind w:left="360" w:firstLine="360"/>
        <w:jc w:val="both"/>
        <w:rPr>
          <w:sz w:val="24"/>
          <w:szCs w:val="24"/>
          <w:lang w:val="id-ID"/>
        </w:rPr>
      </w:pPr>
      <w:r>
        <w:rPr>
          <w:sz w:val="24"/>
          <w:szCs w:val="24"/>
          <w:lang w:val="id-ID"/>
        </w:rPr>
        <w:t xml:space="preserve">Delik propria adalah tindak pidana yang tidak dapat dilakukan oleh sembarang orang (everyone), melainkan hanya dapat dilakukan oleh subjek hukum yang kualifikasi personal, profesi, atau jabatannya secara limitatif dan tegas ditentukan oleh undang-undang.Meskipun Pasal 532 awalnya menyebut kata "Setiap Orang", kehadiran Pasal 554 UU Pemilu secara mutlak mengubah karakteristik delik ini menjadi delik jabatan khusus, karena sanksi pidana ditambah 1/3 jika pelakunya adalah penyelenggara pemilu. </w:t>
      </w:r>
    </w:p>
    <w:p w14:paraId="38268A41">
      <w:pPr>
        <w:spacing w:line="360" w:lineRule="auto"/>
        <w:ind w:left="360" w:firstLine="360"/>
        <w:jc w:val="both"/>
        <w:rPr>
          <w:sz w:val="24"/>
          <w:szCs w:val="24"/>
          <w:lang w:val="id-ID"/>
        </w:rPr>
      </w:pPr>
      <w:r>
        <w:rPr>
          <w:sz w:val="24"/>
          <w:szCs w:val="24"/>
          <w:lang w:val="id-ID"/>
        </w:rPr>
        <w:t>Status ketiga terdakwa sebagai Ketua dan Anggota PPK Medan Timur menempatkan mereka secara sah sebagai subjek hukum yang melekat pada delik jabatan ini (legal standing as public election officers).</w:t>
      </w:r>
    </w:p>
    <w:p w14:paraId="16A041C4">
      <w:pPr>
        <w:spacing w:line="360" w:lineRule="auto"/>
        <w:ind w:left="360" w:firstLine="360"/>
        <w:jc w:val="both"/>
        <w:rPr>
          <w:sz w:val="24"/>
          <w:szCs w:val="24"/>
          <w:lang w:val="id-ID"/>
        </w:rPr>
      </w:pPr>
      <w:r>
        <w:rPr>
          <w:sz w:val="24"/>
          <w:szCs w:val="24"/>
          <w:lang w:val="id-ID"/>
        </w:rPr>
        <w:t>Mantan Ketua Mahkamah Konstitusi, Prof. Jimly Asshiddiqie, dalam teorinya mengenai integritas hukum tata negara dan kelembagaan pemilu menyatakan:"Penyelenggara pemilu adalah pemegang amanat konstitusi (constitutional trustees) yang menjaga kesucian kedaulatan rakyat. Ketika instrumen penyelenggara (KPU, PPK, PPS) justru berbalik menjadi pelaku kejahatan pemilu, maka yang terjadi bukan sekadar pelanggaran hukum biasa, melainkan sebuah pengkhianatan terhadap konstitusi (constitutional betrayal) dan bentuk penyalahgunaan otoritas secara masif (abuse of power)</w:t>
      </w:r>
    </w:p>
    <w:p w14:paraId="22F20AB4">
      <w:pPr>
        <w:spacing w:line="360" w:lineRule="auto"/>
        <w:ind w:left="360" w:firstLine="360"/>
        <w:jc w:val="both"/>
        <w:rPr>
          <w:sz w:val="24"/>
          <w:szCs w:val="24"/>
          <w:lang w:val="id-ID"/>
        </w:rPr>
      </w:pPr>
      <w:r>
        <w:rPr>
          <w:sz w:val="24"/>
          <w:szCs w:val="24"/>
          <w:lang w:val="id-ID"/>
        </w:rPr>
        <w:t xml:space="preserve">."Tindakan ketiga terdakwa juga dapat dianalisis menggunakan sosiologi hukum pidana melalui Teori Kejahatan Kerah Putih (White-Collar Crime) yang pertama kali dicetuskan oleh Edwin Sutherland. </w:t>
      </w:r>
    </w:p>
    <w:p w14:paraId="36F86F6C">
      <w:pPr>
        <w:spacing w:line="360" w:lineRule="auto"/>
        <w:ind w:left="360" w:firstLine="360"/>
        <w:jc w:val="both"/>
        <w:rPr>
          <w:sz w:val="24"/>
          <w:szCs w:val="24"/>
          <w:lang w:val="id-ID"/>
        </w:rPr>
      </w:pPr>
      <w:r>
        <w:rPr>
          <w:sz w:val="24"/>
          <w:szCs w:val="24"/>
          <w:lang w:val="id-ID"/>
        </w:rPr>
        <w:t xml:space="preserve">Sutherland mendefinisikan white-collar crime sebagai kejahatan yang dilakukan oleh orang-orang yang memiliki status sosial-ekonomi tinggi, terhormat, dan memanfaatkan posisi jabatan atau otoritas resminya untuk melakukan kecurangan. Sebagai komisioner PPK, para terdakwa memanfaatkan legitimasi jabatan, akses eksklusif terhadap logistik kotak suara, dan otoritas input data rekapitulasi untuk melancarkan kejahatan pemilu tanpa menggunakan kekerasan fisik (non-violent crime), melainkan melalui manipulasi administrasi (kerah putih). </w:t>
      </w:r>
    </w:p>
    <w:p w14:paraId="34BD0A2C">
      <w:pPr>
        <w:spacing w:line="360" w:lineRule="auto"/>
        <w:ind w:left="360" w:firstLine="360"/>
        <w:jc w:val="both"/>
        <w:rPr>
          <w:sz w:val="24"/>
          <w:szCs w:val="24"/>
          <w:lang w:val="id-ID"/>
        </w:rPr>
      </w:pPr>
      <w:r>
        <w:rPr>
          <w:sz w:val="24"/>
          <w:szCs w:val="24"/>
          <w:lang w:val="id-ID"/>
        </w:rPr>
        <w:t>Dalam konteks hukum pidana, kedudukan jabatan ini bukan merupakan alasan pemaaf, melainkan justru menjadi faktor yang memperberat kualitas kesalahan (schuld) para terdakwa. Otoritas kedinasan yang seharusnya digunakan untuk memproteksi kemurnian suara masyarakat, justru dieksploitasi untuk memfasilitasi kejahatan pemilu (electoral crime).</w:t>
      </w:r>
    </w:p>
    <w:p w14:paraId="76B8925C">
      <w:pPr>
        <w:spacing w:line="360" w:lineRule="auto"/>
        <w:ind w:left="360" w:firstLine="360"/>
        <w:jc w:val="both"/>
        <w:rPr>
          <w:sz w:val="24"/>
          <w:szCs w:val="24"/>
          <w:lang w:val="id-ID"/>
        </w:rPr>
      </w:pPr>
    </w:p>
    <w:p w14:paraId="32D2B912">
      <w:pPr>
        <w:pStyle w:val="19"/>
        <w:numPr>
          <w:ilvl w:val="3"/>
          <w:numId w:val="2"/>
        </w:numPr>
        <w:spacing w:line="360" w:lineRule="auto"/>
        <w:jc w:val="both"/>
        <w:rPr>
          <w:sz w:val="24"/>
          <w:szCs w:val="24"/>
          <w:lang w:val="id-ID"/>
        </w:rPr>
      </w:pPr>
      <w:r>
        <w:rPr>
          <w:sz w:val="24"/>
          <w:szCs w:val="24"/>
          <w:lang w:val="id-ID"/>
        </w:rPr>
        <w:t>Analisis Teori Penyertaan (Deelneming) dalam Tindak Pidana Bersama</w:t>
      </w:r>
    </w:p>
    <w:p w14:paraId="4AEF97BC">
      <w:pPr>
        <w:pStyle w:val="19"/>
        <w:spacing w:line="360" w:lineRule="auto"/>
        <w:ind w:left="360"/>
        <w:jc w:val="both"/>
        <w:rPr>
          <w:sz w:val="24"/>
          <w:szCs w:val="24"/>
          <w:lang w:val="id-ID"/>
        </w:rPr>
      </w:pPr>
      <w:r>
        <w:rPr>
          <w:sz w:val="24"/>
          <w:szCs w:val="24"/>
          <w:lang w:val="id-ID"/>
        </w:rPr>
        <w:t xml:space="preserve">Peninjauan terhadap fakta hukum menunjukkan bahwa manipulasi perolehan suara ini tidak dilakukan oleh aktor tunggal, melainkan dilakukan secara kolektif oleh tiga orang fungsionaris inti PPK Medan Timur. </w:t>
      </w:r>
    </w:p>
    <w:p w14:paraId="5507FD35">
      <w:pPr>
        <w:spacing w:line="360" w:lineRule="auto"/>
        <w:ind w:left="360" w:firstLine="360"/>
        <w:jc w:val="both"/>
        <w:rPr>
          <w:sz w:val="24"/>
          <w:szCs w:val="24"/>
          <w:lang w:val="id-ID"/>
        </w:rPr>
      </w:pPr>
      <w:r>
        <w:rPr>
          <w:sz w:val="24"/>
          <w:szCs w:val="24"/>
          <w:lang w:val="id-ID"/>
        </w:rPr>
        <w:t>Oleh karena itu, untuk melengkapi fondasi akademis pertanggungjawaban pidana, kita wajib mengaitkannya dengan Teori Penyertaan (Deelneming) yang diatur dalam Pasal 55 KUHP.Menurut Prof. Vos, penyertaan terjadi apabila dalam suatu tindak pidana terlibat beberapa orang yang bekerja sama, baik secara fisik maupun psikis, untuk mewujudkan satu delik yang sama. Pasal 55 ayat (1) ke-1 KUHP membagi pelaku penyertaan menjadi beberapa kategori: pleger (yang melakukan), doenpleger (yang menyuruh melakukan), medepleger (yang turut serta melakukan), dan uitlokker (yang menggerakkan).</w:t>
      </w:r>
    </w:p>
    <w:p w14:paraId="5BACDCE4">
      <w:pPr>
        <w:spacing w:line="360" w:lineRule="auto"/>
        <w:ind w:left="360" w:firstLine="360"/>
        <w:jc w:val="both"/>
        <w:rPr>
          <w:sz w:val="24"/>
          <w:szCs w:val="24"/>
          <w:lang w:val="id-ID"/>
        </w:rPr>
      </w:pPr>
      <w:r>
        <w:rPr>
          <w:sz w:val="24"/>
          <w:szCs w:val="24"/>
          <w:lang w:val="id-ID"/>
        </w:rPr>
        <w:t xml:space="preserve">Dalam Putusan PN Medan No. 1/Pid.S/2024/PN Mdn, konstruksi hukum yang diterapkan oleh Jaksa Penuntut Umum dan disepakati oleh Majelis Hakim adalah Turut Serta Melakukan (Medeplegen). </w:t>
      </w:r>
    </w:p>
    <w:p w14:paraId="40E470A4">
      <w:pPr>
        <w:spacing w:line="360" w:lineRule="auto"/>
        <w:ind w:left="360" w:firstLine="360"/>
        <w:jc w:val="both"/>
        <w:rPr>
          <w:sz w:val="24"/>
          <w:szCs w:val="24"/>
          <w:lang w:val="id-ID"/>
        </w:rPr>
      </w:pPr>
      <w:r>
        <w:rPr>
          <w:sz w:val="24"/>
          <w:szCs w:val="24"/>
          <w:lang w:val="id-ID"/>
        </w:rPr>
        <w:t xml:space="preserve">Menurut Jan Remmelink, syarat mutlak adanya medeplegen adalah adanya kerja sama yang sadar (bewuste samenwerking) dan pelaksanaan bersama secara fisik (gezamenlijke uitvoering).Fakta persidangan mengonfirmasi bahwa MRR, ASBH, dan JM berbagi peran secara fungsional. Tidak ada satu pun dari mereka yang berusaha menolak atau menghentikan proses pemotongan dan pengalihan selisih suara. Sebaliknya, mereka bersama-sama mengondisikan rapat pleno kecamatan agar penggelembungan suara berjalan mulus. </w:t>
      </w:r>
    </w:p>
    <w:p w14:paraId="56AB1401">
      <w:pPr>
        <w:spacing w:line="360" w:lineRule="auto"/>
        <w:ind w:left="360" w:firstLine="360"/>
        <w:jc w:val="both"/>
        <w:rPr>
          <w:sz w:val="24"/>
          <w:szCs w:val="24"/>
          <w:lang w:val="id-ID"/>
        </w:rPr>
      </w:pPr>
      <w:r>
        <w:rPr>
          <w:sz w:val="24"/>
          <w:szCs w:val="24"/>
          <w:lang w:val="id-ID"/>
        </w:rPr>
        <w:t>Dengan demikian, kualitas kepesertaan mereka adalah setara sebagai pelaku (dader), sehingga pertanggungjawaban pidana secara kolektif melekat penuh pada masing-masing individu tanpa diskriminasi porsi kesalahan.</w:t>
      </w:r>
    </w:p>
    <w:p w14:paraId="4201952E">
      <w:pPr>
        <w:spacing w:line="360" w:lineRule="auto"/>
        <w:ind w:left="360"/>
        <w:jc w:val="both"/>
        <w:rPr>
          <w:sz w:val="24"/>
          <w:szCs w:val="24"/>
          <w:lang w:val="id-ID"/>
        </w:rPr>
      </w:pPr>
    </w:p>
    <w:p w14:paraId="120D60CF">
      <w:pPr>
        <w:pStyle w:val="19"/>
        <w:numPr>
          <w:ilvl w:val="3"/>
          <w:numId w:val="2"/>
        </w:numPr>
        <w:spacing w:line="360" w:lineRule="auto"/>
        <w:jc w:val="both"/>
        <w:rPr>
          <w:sz w:val="24"/>
          <w:szCs w:val="24"/>
          <w:lang w:val="id-ID"/>
        </w:rPr>
      </w:pPr>
      <w:r>
        <w:rPr>
          <w:sz w:val="24"/>
          <w:szCs w:val="24"/>
          <w:lang w:val="id-ID"/>
        </w:rPr>
        <w:t>Teori Tekanan Struktural (Structural Strain Theory) dan Relasi Kuasa Politik</w:t>
      </w:r>
    </w:p>
    <w:p w14:paraId="783E6A0D">
      <w:pPr>
        <w:pStyle w:val="19"/>
        <w:spacing w:line="360" w:lineRule="auto"/>
        <w:ind w:left="360"/>
        <w:jc w:val="both"/>
        <w:rPr>
          <w:sz w:val="24"/>
          <w:szCs w:val="24"/>
          <w:lang w:val="id-ID"/>
        </w:rPr>
      </w:pPr>
      <w:r>
        <w:rPr>
          <w:sz w:val="24"/>
          <w:szCs w:val="24"/>
          <w:lang w:val="id-ID"/>
        </w:rPr>
        <w:t xml:space="preserve">Untuk memperluas kedalaman sosiologis dari skripsi ini, tindakan manipulasi yang dilakukan oleh PPK Medan Timur tidak boleh dipandang dalam ruang hampa udara. </w:t>
      </w:r>
    </w:p>
    <w:p w14:paraId="64F6EB7A">
      <w:pPr>
        <w:spacing w:line="360" w:lineRule="auto"/>
        <w:ind w:left="360" w:firstLine="360"/>
        <w:jc w:val="both"/>
        <w:rPr>
          <w:sz w:val="24"/>
          <w:szCs w:val="24"/>
          <w:lang w:val="id-ID"/>
        </w:rPr>
      </w:pPr>
      <w:r>
        <w:rPr>
          <w:sz w:val="24"/>
          <w:szCs w:val="24"/>
          <w:lang w:val="id-ID"/>
        </w:rPr>
        <w:t>Kita dapat menggunakan Teori Tekanan Struktural (Structural Strain Theory) yang dikembangkan oleh sosiolog Robert K. Merton. Merton menyatakan bahwa penyimpangan atau kejahatan terjadi ketika ada ketidakserasian antara tujuan budaya yang dianggap sukses (dalam hal ini: memenangkan kursi legislatif atau mengamankan posisi politik tertentu) dengan sarana-sarana institusional yang sah untuk mencapai tujuan tersebut.</w:t>
      </w:r>
    </w:p>
    <w:p w14:paraId="61D99812">
      <w:pPr>
        <w:spacing w:line="360" w:lineRule="auto"/>
        <w:ind w:left="360" w:firstLine="360"/>
        <w:jc w:val="both"/>
        <w:rPr>
          <w:sz w:val="24"/>
          <w:szCs w:val="24"/>
          <w:lang w:val="id-ID"/>
        </w:rPr>
      </w:pPr>
      <w:r>
        <w:rPr>
          <w:sz w:val="24"/>
          <w:szCs w:val="24"/>
          <w:lang w:val="id-ID"/>
        </w:rPr>
        <w:t>Oknum PPK berada di bawah tekanan struktural yang masif, baik berupa godaan material (financial incentives) maupun intervensi dari aktor-aktor politik eksternal yang memiliki relasi kuasa (power relation) lebih tinggi. Berdasarkan konsep relasi kuasa dari Michel Foucault, kekuasaan tidak bersifat terpusat melainkan menyebar dan beroperasi dalam jejaring relasi sosial.</w:t>
      </w:r>
    </w:p>
    <w:p w14:paraId="304E09AA">
      <w:pPr>
        <w:spacing w:line="360" w:lineRule="auto"/>
        <w:ind w:left="360" w:firstLine="360"/>
        <w:jc w:val="both"/>
        <w:rPr>
          <w:sz w:val="24"/>
          <w:szCs w:val="24"/>
          <w:lang w:val="id-ID"/>
        </w:rPr>
      </w:pPr>
      <w:r>
        <w:rPr>
          <w:sz w:val="24"/>
          <w:szCs w:val="24"/>
          <w:lang w:val="id-ID"/>
        </w:rPr>
        <w:t xml:space="preserve">Para terdakwa, meskipun memiliki otoritas legal sebagai penyelenggara pemilu, secara sosiologis berada dalam posisi rentan terhadap intervensi elit politik lokal. Ketika mereka gagal mempertahankan integritas moral di bawah tekanan jejaring kekuasaan tersebut, mereka memilih jalur "Inovasi" (dalam terminologi Merton), yaitu menggunakan cara-cara ilegal (memotong suara Partai Buruh/PKN untuk diberikan ke PKB) untuk memenuhi tuntutan dari aktor politik luar. </w:t>
      </w:r>
    </w:p>
    <w:p w14:paraId="72F590D9">
      <w:pPr>
        <w:spacing w:line="360" w:lineRule="auto"/>
        <w:ind w:left="360" w:firstLine="360"/>
        <w:jc w:val="both"/>
        <w:rPr>
          <w:sz w:val="24"/>
          <w:szCs w:val="24"/>
          <w:lang w:val="id-ID"/>
        </w:rPr>
      </w:pPr>
      <w:r>
        <w:rPr>
          <w:sz w:val="24"/>
          <w:szCs w:val="24"/>
          <w:lang w:val="id-ID"/>
        </w:rPr>
        <w:t>Namun secara hukum pidana, tekanan non-fisik atau godaan material ini tidak dapat menghapuskan sifat melawan hukum dari tindakan mereka, melainkan justru mempertegas adanya niat jahat yang fungsional.</w:t>
      </w:r>
    </w:p>
    <w:p w14:paraId="2DC6D703">
      <w:pPr>
        <w:spacing w:line="360" w:lineRule="auto"/>
        <w:ind w:left="360"/>
        <w:jc w:val="both"/>
        <w:rPr>
          <w:sz w:val="24"/>
          <w:szCs w:val="24"/>
          <w:lang w:val="id-ID"/>
        </w:rPr>
      </w:pPr>
    </w:p>
    <w:p w14:paraId="4484D8F4">
      <w:pPr>
        <w:pStyle w:val="19"/>
        <w:numPr>
          <w:ilvl w:val="3"/>
          <w:numId w:val="2"/>
        </w:numPr>
        <w:spacing w:line="360" w:lineRule="auto"/>
        <w:jc w:val="both"/>
        <w:rPr>
          <w:sz w:val="24"/>
          <w:szCs w:val="24"/>
          <w:lang w:val="id-ID"/>
        </w:rPr>
      </w:pPr>
      <w:r>
        <w:rPr>
          <w:sz w:val="24"/>
          <w:szCs w:val="24"/>
          <w:lang w:val="id-ID"/>
        </w:rPr>
        <w:t>Pengujian Kemampuan Bertanggung Jawab, Doktrin Strict Liability, dan Alasan Penghapus Pidana</w:t>
      </w:r>
    </w:p>
    <w:p w14:paraId="7905ACD1">
      <w:pPr>
        <w:pStyle w:val="19"/>
        <w:spacing w:line="360" w:lineRule="auto"/>
        <w:ind w:left="360"/>
        <w:jc w:val="both"/>
        <w:rPr>
          <w:sz w:val="24"/>
          <w:szCs w:val="24"/>
          <w:lang w:val="id-ID"/>
        </w:rPr>
      </w:pPr>
      <w:r>
        <w:rPr>
          <w:sz w:val="24"/>
          <w:szCs w:val="24"/>
          <w:lang w:val="id-ID"/>
        </w:rPr>
        <w:t xml:space="preserve">Tahap akhir yang paling menentukan dalam menjatuhkan pidana dan menegakkan akuntabilitas hukum adalah menguji kemampuan bertanggung jawab pelaku (toerekeningsvatbaarheid) serta memastikan tidak adanya alasan penghapus pidana (strafuitsluitingsgronden). </w:t>
      </w:r>
    </w:p>
    <w:p w14:paraId="0DD840F3">
      <w:pPr>
        <w:spacing w:line="360" w:lineRule="auto"/>
        <w:ind w:left="360" w:firstLine="360"/>
        <w:jc w:val="both"/>
        <w:rPr>
          <w:sz w:val="24"/>
          <w:szCs w:val="24"/>
          <w:lang w:val="id-ID"/>
        </w:rPr>
      </w:pPr>
      <w:r>
        <w:rPr>
          <w:sz w:val="24"/>
          <w:szCs w:val="24"/>
          <w:lang w:val="id-ID"/>
        </w:rPr>
        <w:t xml:space="preserve">Simons memberikan parameter objektif bahwa seseorang dikatakan mampu bertanggung jawab apabila:Ia dapat memahami nilai dari perbuatannya, yaitu dapat membedakan mana perbuatan yang benar dan mana yang salah secara hukum (faktor akal/intelektual).Ia dapat menentukan kehendaknya berdasarkan pemahaman tersebut (faktor kehendak/volisional).Fakta persidangan di Pengadilan Negeri Medan mengonfirmasi bahwa ketiga terdakwa adalah individu dewasa yang sehat secara psikis, tidak mengalami gangguan jiwa, cacat pertumbuhan mental, atau berada di bawah pengampuan (sebagaimana dimaksud dalam Pasal 44 KUHP). </w:t>
      </w:r>
    </w:p>
    <w:p w14:paraId="5DBC60E3">
      <w:pPr>
        <w:spacing w:line="360" w:lineRule="auto"/>
        <w:ind w:left="360" w:firstLine="360"/>
        <w:jc w:val="both"/>
        <w:rPr>
          <w:sz w:val="24"/>
          <w:szCs w:val="24"/>
          <w:lang w:val="id-ID"/>
        </w:rPr>
      </w:pPr>
      <w:r>
        <w:rPr>
          <w:sz w:val="24"/>
          <w:szCs w:val="24"/>
          <w:lang w:val="id-ID"/>
        </w:rPr>
        <w:t>Mereka memiliki kapasitas intelektual yang matang untuk memahami implikasi hukum dan sanksi dari tindakan manipulasi tersebut.Lebih lanjut, dalam tindak pidana pemilu, diskursus akademik sering kali menyentuh doktrin Pertanggungjawaban Mutlak (Strict Liability). Doktrin hukum pidana anglo-saxon ini menyatakan bahwa pada kejahatan-kejahatan tertentu yang sifatnya sangat membahayakan kepentingan publik (public welfare offenses), unsur kesalahan (mens rea) tidak perlu dibuktikan secara rumit; cukup dengan membuktikan bahwa perbuatan tersebut (actus reus) telah terjadi.</w:t>
      </w:r>
    </w:p>
    <w:p w14:paraId="6E6D3E72">
      <w:pPr>
        <w:spacing w:line="360" w:lineRule="auto"/>
        <w:ind w:left="360" w:firstLine="360"/>
        <w:jc w:val="both"/>
        <w:rPr>
          <w:sz w:val="24"/>
          <w:szCs w:val="24"/>
          <w:lang w:val="id-ID"/>
        </w:rPr>
      </w:pPr>
      <w:r>
        <w:rPr>
          <w:sz w:val="24"/>
          <w:szCs w:val="24"/>
          <w:lang w:val="id-ID"/>
        </w:rPr>
        <w:t>Meskipun sistem hukum pidana Indonesia berakar pada asas kesalahan (culpability), penegakan hukum dalam sengketa hasil pemilu legislatif 2024 ini mencerminkan semangat strict liability yang parsial. Hakim memandang bahwa sebagai komisioner resmi, keabsahan tanda tangan mereka pada formulir D.Hasil yang manipulatif sudah cukup untuk melekatkan tanggung jawab pidana atas kerusakan data tersebut.</w:t>
      </w:r>
    </w:p>
    <w:p w14:paraId="3F6FFDF2">
      <w:pPr>
        <w:spacing w:line="360" w:lineRule="auto"/>
        <w:ind w:left="360" w:firstLine="360"/>
        <w:jc w:val="both"/>
        <w:rPr>
          <w:sz w:val="24"/>
          <w:szCs w:val="24"/>
          <w:lang w:val="id-ID"/>
        </w:rPr>
      </w:pPr>
      <w:r>
        <w:rPr>
          <w:sz w:val="24"/>
          <w:szCs w:val="24"/>
          <w:lang w:val="id-ID"/>
        </w:rPr>
        <w:t>Analisis normatif terhadap dokumen Putusan No. 1/Pid.S/2024/PN Mdn membuktikan absennya alasan penghapus pidana, yang di dalam doktrin hukum pidana terbagi menjadi dua kategori utama: Alasan Pembenar (Rechtvaardigingsgrond): Alasan yang menghapuskan sifat melawan hukumnya perbuatan, sehingga perbuatan yang dilakukan menjadi patut dan benar. Doktrin ini meliputi daya paksa (overmacht - Pasal 48 KUHP), bela paksa (noodweer - Pasal 49 KUHP), atau melaksanakan perintah undang-undang dan perintah jabatan yang sah (Pasal 50 dan Pasal 51 ayat 1 KUHP).</w:t>
      </w:r>
    </w:p>
    <w:p w14:paraId="31B8023A">
      <w:pPr>
        <w:spacing w:line="360" w:lineRule="auto"/>
        <w:ind w:left="360" w:firstLine="360"/>
        <w:jc w:val="both"/>
        <w:rPr>
          <w:sz w:val="24"/>
          <w:szCs w:val="24"/>
          <w:lang w:val="id-ID"/>
        </w:rPr>
      </w:pPr>
      <w:r>
        <w:rPr>
          <w:sz w:val="24"/>
          <w:szCs w:val="24"/>
          <w:lang w:val="id-ID"/>
        </w:rPr>
        <w:t xml:space="preserve">Tindakan memanipulasi suara atas imbalan material atau tekanan aktor politik sama sekali tidak memiliki dasar pembenar yuridis. Dalam hukum pidana, perintah yang melanggar hukum tidak pernah diakui sebagai perintah jabatan yang sah (ambtelijk bevel).Alasan Pemaaf (Schuldentsculdigingsgrond): Alasan yang menghapuskan kesalahan dari diri pelaku, meskipun perbuatannya tetap melawan hukum. </w:t>
      </w:r>
    </w:p>
    <w:p w14:paraId="19DC87CE">
      <w:pPr>
        <w:spacing w:line="360" w:lineRule="auto"/>
        <w:ind w:left="360" w:firstLine="360"/>
        <w:jc w:val="both"/>
        <w:rPr>
          <w:sz w:val="24"/>
          <w:szCs w:val="24"/>
          <w:lang w:val="id-ID"/>
        </w:rPr>
      </w:pPr>
      <w:r>
        <w:rPr>
          <w:sz w:val="24"/>
          <w:szCs w:val="24"/>
          <w:lang w:val="id-ID"/>
        </w:rPr>
        <w:t xml:space="preserve">Doktrin ini meliputi kekhilafan hukum yang dapat dimaafkan (rechtsdwaling) atau daya paksa psikologis. Alasan ini gugur karena para terdakwa telah dibekali dengan bimbingan teknis (bimtek) resmi dari KPU sebelum menjalankan tugasnya, sehingga mereka tidak bisa berlindung di balik dalih ketidaktahuan hukum (ignorantia legis excusat neminem).Sintesis Pembahasan Rumusan Masalah Pertama:Dengan mengacu pada filsafat dan pandangan dualistis Moeljatno, seluruh instrumen pertanggungjawaban pidana telah terpenuhi tanpa adanya celah hukum (loophole). </w:t>
      </w:r>
    </w:p>
    <w:p w14:paraId="652553A0">
      <w:pPr>
        <w:spacing w:line="360" w:lineRule="auto"/>
        <w:ind w:left="360" w:firstLine="360"/>
        <w:jc w:val="both"/>
        <w:rPr>
          <w:sz w:val="24"/>
          <w:szCs w:val="24"/>
          <w:lang w:val="id-ID"/>
        </w:rPr>
      </w:pPr>
      <w:r>
        <w:rPr>
          <w:sz w:val="24"/>
          <w:szCs w:val="24"/>
          <w:lang w:val="id-ID"/>
        </w:rPr>
        <w:t>Perbuatan materiil memindahkan selisih suara dari Partai Buruh dan PKN ke PKB (actus reus) yang bersifat melawan hukum formil maupun materiil, bersanding lurus dengan kesalahan batin berupa kesengajaan sebagai maksud (mens rea/dolus directus) dari para terdakwa sebagai subjek delik propria yang bertindak dalam skema medeplegen di bawah pusaran tekanan struktural. Karena tidak ada satu pun alasan penghapus pidana (baik pembenar maupun pemaaf) yang terbukti di persidangan, maka secara doktrinal dan yuridis, ketiga oknum PPK Medan Timur tersebut sah, meyakinkan, dan mutlak harus memikul pertanggungjawaban pidana secara personal atas kejahatan demokrasi yang mereka lakukan secara bersama-sama.</w:t>
      </w:r>
    </w:p>
    <w:p w14:paraId="02F2C867">
      <w:pPr>
        <w:spacing w:line="360" w:lineRule="auto"/>
        <w:jc w:val="both"/>
        <w:rPr>
          <w:sz w:val="24"/>
          <w:szCs w:val="24"/>
          <w:lang w:val="id-ID"/>
        </w:rPr>
      </w:pPr>
    </w:p>
    <w:p w14:paraId="3779B465">
      <w:pPr>
        <w:spacing w:line="360" w:lineRule="auto"/>
        <w:jc w:val="both"/>
        <w:rPr>
          <w:sz w:val="24"/>
          <w:szCs w:val="24"/>
          <w:lang w:val="id-ID"/>
        </w:rPr>
      </w:pPr>
    </w:p>
    <w:p w14:paraId="27F578CD">
      <w:pPr>
        <w:pStyle w:val="19"/>
        <w:numPr>
          <w:ilvl w:val="3"/>
          <w:numId w:val="2"/>
        </w:numPr>
        <w:spacing w:line="360" w:lineRule="auto"/>
        <w:jc w:val="both"/>
        <w:outlineLvl w:val="1"/>
        <w:rPr>
          <w:bCs/>
          <w:sz w:val="24"/>
          <w:szCs w:val="24"/>
          <w:lang w:val="id-ID"/>
        </w:rPr>
      </w:pPr>
      <w:bookmarkStart w:id="4" w:name="_Toc230017870"/>
      <w:r>
        <w:rPr>
          <w:bCs/>
          <w:sz w:val="24"/>
          <w:szCs w:val="24"/>
        </w:rPr>
        <w:t>Analisis Mengenai Pasal-Pasal Yang Dilanggar</w:t>
      </w:r>
      <w:bookmarkEnd w:id="4"/>
    </w:p>
    <w:p w14:paraId="602BFDF3">
      <w:pPr>
        <w:spacing w:line="360" w:lineRule="auto"/>
        <w:ind w:left="284"/>
        <w:jc w:val="both"/>
        <w:rPr>
          <w:sz w:val="24"/>
          <w:szCs w:val="24"/>
          <w:lang w:val="id-ID"/>
        </w:rPr>
      </w:pPr>
      <w:r>
        <w:rPr>
          <w:sz w:val="24"/>
          <w:szCs w:val="24"/>
        </w:rPr>
        <w:t>Dalam tuntutannya, Jaksa Penuntut Umum mendakwa Terdakwa telah melanggar ketentuan hukum yang sangat tegas dan komprehensif, yaitu Pasal 532 juncto</w:t>
      </w:r>
      <w:r>
        <w:rPr>
          <w:sz w:val="24"/>
          <w:szCs w:val="24"/>
          <w:lang w:val="id-ID"/>
        </w:rPr>
        <w:t xml:space="preserve"> </w:t>
      </w:r>
      <w:r>
        <w:rPr>
          <w:sz w:val="24"/>
          <w:szCs w:val="24"/>
        </w:rPr>
        <w:t>Pasal 554 Undang-Undang Nomor 7 Tahun 2017 tentang Pemilihan Umum juncto Pasal 55 Ayat (1) Ke-1 Kitab Undang-Undang Hukum Pidana (KUHP).</w:t>
      </w:r>
      <w:r>
        <w:rPr>
          <w:sz w:val="24"/>
          <w:szCs w:val="24"/>
          <w:lang w:val="id-ID"/>
        </w:rPr>
        <w:t xml:space="preserve"> </w:t>
      </w:r>
    </w:p>
    <w:p w14:paraId="01F017EB">
      <w:pPr>
        <w:spacing w:line="360" w:lineRule="auto"/>
        <w:ind w:left="284" w:firstLine="436"/>
        <w:jc w:val="both"/>
        <w:rPr>
          <w:sz w:val="24"/>
          <w:szCs w:val="24"/>
          <w:lang w:val="id-ID"/>
        </w:rPr>
      </w:pPr>
      <w:r>
        <w:rPr>
          <w:sz w:val="24"/>
          <w:szCs w:val="24"/>
        </w:rPr>
        <w:t>Berikut adalah penjabaran, analisis, dan uraian mendalam mengenai unsur-unsur dari masing-masing pasal tersebut:</w:t>
      </w:r>
      <w:r>
        <w:rPr>
          <w:sz w:val="24"/>
          <w:szCs w:val="24"/>
          <w:lang w:val="id-ID"/>
        </w:rPr>
        <w:t xml:space="preserve"> </w:t>
      </w:r>
    </w:p>
    <w:p w14:paraId="7A495E86">
      <w:pPr>
        <w:pStyle w:val="19"/>
        <w:numPr>
          <w:ilvl w:val="6"/>
          <w:numId w:val="3"/>
        </w:numPr>
        <w:spacing w:line="360" w:lineRule="auto"/>
        <w:jc w:val="both"/>
        <w:rPr>
          <w:sz w:val="24"/>
          <w:szCs w:val="24"/>
        </w:rPr>
      </w:pPr>
      <w:r>
        <w:rPr>
          <w:sz w:val="24"/>
          <w:szCs w:val="24"/>
        </w:rPr>
        <w:t>Analisis Yuridis Pasal 532 Undang-Undang Nomor 7 Tahun 2017</w:t>
      </w:r>
    </w:p>
    <w:p w14:paraId="5A8360B0">
      <w:pPr>
        <w:pStyle w:val="19"/>
        <w:spacing w:line="360" w:lineRule="auto"/>
        <w:ind w:left="709"/>
        <w:jc w:val="both"/>
        <w:rPr>
          <w:sz w:val="24"/>
          <w:szCs w:val="24"/>
          <w:lang w:val="id-ID"/>
        </w:rPr>
      </w:pPr>
      <w:r>
        <w:rPr>
          <w:sz w:val="24"/>
          <w:szCs w:val="24"/>
        </w:rPr>
        <w:t>Bunyi Pasal:</w:t>
      </w:r>
    </w:p>
    <w:p w14:paraId="6ACA9795">
      <w:pPr>
        <w:pStyle w:val="19"/>
        <w:spacing w:line="360" w:lineRule="auto"/>
        <w:ind w:left="426"/>
        <w:jc w:val="both"/>
        <w:rPr>
          <w:sz w:val="24"/>
          <w:szCs w:val="24"/>
          <w:lang w:val="id-ID"/>
        </w:rPr>
      </w:pPr>
      <w:r>
        <w:rPr>
          <w:sz w:val="24"/>
          <w:szCs w:val="24"/>
        </w:rPr>
        <w:t>"Setiap orang yang dengan sengaja melakukan perbuatan yang menyebabkan suara pemilih menjadi tidak bernilai atau menyebabkan peserta pemilu tertentu mendapat tambahan suara atau perolehan suara peserta pemilu menjadi berkurang di pidana dengan pidana penjara paling lama 4 (empat) tahun dan denda paling banyak Rp 48.000.000,00(empat puluh delapan juta rupiah)."</w:t>
      </w:r>
    </w:p>
    <w:p w14:paraId="757791C6">
      <w:pPr>
        <w:pStyle w:val="19"/>
        <w:numPr>
          <w:ilvl w:val="4"/>
          <w:numId w:val="3"/>
        </w:numPr>
        <w:spacing w:line="360" w:lineRule="auto"/>
        <w:jc w:val="both"/>
        <w:rPr>
          <w:sz w:val="24"/>
          <w:szCs w:val="24"/>
        </w:rPr>
      </w:pPr>
      <w:r>
        <w:rPr>
          <w:sz w:val="24"/>
          <w:szCs w:val="24"/>
        </w:rPr>
        <w:t>Analisis Unsur:</w:t>
      </w:r>
    </w:p>
    <w:p w14:paraId="295905C6">
      <w:pPr>
        <w:pStyle w:val="19"/>
        <w:spacing w:line="360" w:lineRule="auto"/>
        <w:ind w:left="360"/>
        <w:jc w:val="both"/>
        <w:rPr>
          <w:sz w:val="24"/>
          <w:szCs w:val="24"/>
        </w:rPr>
      </w:pPr>
      <w:r>
        <w:rPr>
          <w:sz w:val="24"/>
          <w:szCs w:val="24"/>
        </w:rPr>
        <w:t xml:space="preserve">Unsur Subjek "Setiap Orang": Berbeda dengan Pasal 532 yang bersifat khusus, Pasal 554 ini bersifat umum (delict commune). Pasal ini berlaku bagi siapa saja, tanpa memandang status, jabatan, atau latar belakangnya, asalkan melakukan perbuatan yang dilarang dalam pasal tersebut. Meskipun dalam kasus ini pelakunya adalah pejabat, namun pasal ini tetap berlaku penuh dan mengikat. </w:t>
      </w:r>
    </w:p>
    <w:p w14:paraId="11628752">
      <w:pPr>
        <w:pStyle w:val="19"/>
        <w:spacing w:line="360" w:lineRule="auto"/>
        <w:ind w:left="360"/>
        <w:jc w:val="both"/>
        <w:rPr>
          <w:sz w:val="24"/>
          <w:szCs w:val="24"/>
        </w:rPr>
      </w:pPr>
      <w:r>
        <w:rPr>
          <w:sz w:val="24"/>
          <w:szCs w:val="24"/>
        </w:rPr>
        <w:t>Unsur Perbuatan Materiil: Pasal ini merinci secara eksplisit bentuk-bentuk perbuatan yang dilarang, dan dalam kasus ini Terdakwa terbukti secara sah dan meyakinkan melakukan hampir seluruh variasi perbuatan tersebut, yaitu:</w:t>
      </w:r>
    </w:p>
    <w:p w14:paraId="27AD2943">
      <w:pPr>
        <w:pStyle w:val="19"/>
        <w:numPr>
          <w:ilvl w:val="1"/>
          <w:numId w:val="4"/>
        </w:numPr>
        <w:spacing w:line="360" w:lineRule="auto"/>
        <w:ind w:left="851" w:hanging="284"/>
        <w:jc w:val="both"/>
        <w:rPr>
          <w:sz w:val="24"/>
          <w:szCs w:val="24"/>
        </w:rPr>
      </w:pPr>
      <w:r>
        <w:rPr>
          <w:sz w:val="24"/>
          <w:szCs w:val="24"/>
        </w:rPr>
        <w:t>Mengubah: Secara aktif mengganti nilai data yang benar dan valid menjadi data yang salah dan tidak valid.</w:t>
      </w:r>
    </w:p>
    <w:p w14:paraId="133C8DC5">
      <w:pPr>
        <w:pStyle w:val="19"/>
        <w:numPr>
          <w:ilvl w:val="1"/>
          <w:numId w:val="4"/>
        </w:numPr>
        <w:spacing w:line="360" w:lineRule="auto"/>
        <w:ind w:left="851" w:hanging="284"/>
        <w:jc w:val="both"/>
        <w:rPr>
          <w:sz w:val="24"/>
          <w:szCs w:val="24"/>
        </w:rPr>
      </w:pPr>
      <w:r>
        <w:rPr>
          <w:sz w:val="24"/>
          <w:szCs w:val="24"/>
        </w:rPr>
        <w:t>Menambah: Melakukan rekayasa untuk menaikkan jumlah perolehan suara Partai Kebangkitan Bangsa secara artifisial dan tidak wajar.</w:t>
      </w:r>
    </w:p>
    <w:p w14:paraId="15720A22">
      <w:pPr>
        <w:pStyle w:val="19"/>
        <w:numPr>
          <w:ilvl w:val="1"/>
          <w:numId w:val="4"/>
        </w:numPr>
        <w:spacing w:line="360" w:lineRule="auto"/>
        <w:ind w:left="851" w:hanging="284"/>
        <w:jc w:val="both"/>
        <w:rPr>
          <w:sz w:val="24"/>
          <w:szCs w:val="24"/>
        </w:rPr>
      </w:pPr>
      <w:r>
        <w:rPr>
          <w:sz w:val="24"/>
          <w:szCs w:val="24"/>
        </w:rPr>
        <w:t>Mengurangi: Secara diam-diam mengurangi kuantitas suara yang seharusnya</w:t>
      </w:r>
      <w:r>
        <w:rPr>
          <w:sz w:val="24"/>
          <w:szCs w:val="24"/>
          <w:lang w:val="id-ID"/>
        </w:rPr>
        <w:t xml:space="preserve"> </w:t>
      </w:r>
      <w:r>
        <w:rPr>
          <w:sz w:val="24"/>
          <w:szCs w:val="24"/>
        </w:rPr>
        <w:t>menjadi hak mutlak dari Partai Buruh dan Partai Kebangkitan Nusantara.</w:t>
      </w:r>
    </w:p>
    <w:p w14:paraId="4714FCA5">
      <w:pPr>
        <w:pStyle w:val="19"/>
        <w:numPr>
          <w:ilvl w:val="1"/>
          <w:numId w:val="4"/>
        </w:numPr>
        <w:spacing w:line="360" w:lineRule="auto"/>
        <w:ind w:left="851" w:hanging="284"/>
        <w:jc w:val="both"/>
        <w:rPr>
          <w:sz w:val="24"/>
          <w:szCs w:val="24"/>
        </w:rPr>
      </w:pPr>
      <w:r>
        <w:rPr>
          <w:sz w:val="24"/>
          <w:szCs w:val="24"/>
        </w:rPr>
        <w:t>Memalsukan: Membuat dan menampilkan data di dalam sistem aplikasi seolah-olah itu adalah kebenaran yang sah dan legal, padahal faktanya bertentangan dengan bukti fisik yang ada (C Plano). Ini adalah unsur pemalsuan yang sangat nyata.</w:t>
      </w:r>
    </w:p>
    <w:p w14:paraId="445B2A85">
      <w:pPr>
        <w:pStyle w:val="19"/>
        <w:numPr>
          <w:ilvl w:val="4"/>
          <w:numId w:val="3"/>
        </w:numPr>
        <w:spacing w:line="360" w:lineRule="auto"/>
        <w:jc w:val="both"/>
        <w:rPr>
          <w:sz w:val="24"/>
          <w:szCs w:val="24"/>
        </w:rPr>
      </w:pPr>
      <w:r>
        <w:rPr>
          <w:sz w:val="24"/>
          <w:szCs w:val="24"/>
        </w:rPr>
        <w:t>Unsur Objek Tindak Pidana:</w:t>
      </w:r>
    </w:p>
    <w:p w14:paraId="46B631AA">
      <w:pPr>
        <w:pStyle w:val="19"/>
        <w:spacing w:line="360" w:lineRule="auto"/>
        <w:ind w:left="567"/>
        <w:jc w:val="both"/>
        <w:rPr>
          <w:sz w:val="24"/>
          <w:szCs w:val="24"/>
        </w:rPr>
      </w:pPr>
      <w:r>
        <w:rPr>
          <w:sz w:val="24"/>
          <w:szCs w:val="24"/>
        </w:rPr>
        <w:t xml:space="preserve">Objek yang disasar dan dirusak dalam pasal ini adalah "Hasil Penghitungan Suara". Secara hukum dan konstitusi, objek ini memiliki nilai yang sangat tinggi dan sensitif karena merupakan wujud nyata dari kedaulatan rakyat. Suara rakyat adalah cerminan kehendak Tuhan Yang Maha Esa yang harus dijaga kesuciannya. Merusak atau memalsukan data ini sama artinya dengan mencuri hak konstitusional orang lain, merampas kemenangan yang sah, dan mendustakan rakyat. Oleh karena dampak kerusakannya sangat besar terhadap sendi-sendi demokrasi, maka undang-undang memberikan ancaman hukuman yang sangat berat, yaitu penjara paling lama 4 (empat) tahun dan denda paling banyak Rp48.000.000,00. </w:t>
      </w:r>
    </w:p>
    <w:p w14:paraId="42D876EE">
      <w:pPr>
        <w:pStyle w:val="19"/>
        <w:spacing w:line="360" w:lineRule="auto"/>
        <w:ind w:left="567"/>
        <w:jc w:val="both"/>
        <w:rPr>
          <w:sz w:val="24"/>
          <w:szCs w:val="24"/>
        </w:rPr>
      </w:pPr>
    </w:p>
    <w:p w14:paraId="4FFEF73F">
      <w:pPr>
        <w:pStyle w:val="19"/>
        <w:spacing w:line="360" w:lineRule="auto"/>
        <w:ind w:left="567"/>
        <w:jc w:val="both"/>
        <w:rPr>
          <w:sz w:val="24"/>
          <w:szCs w:val="24"/>
          <w:lang w:val="id-ID"/>
        </w:rPr>
      </w:pPr>
    </w:p>
    <w:p w14:paraId="6E1BD993">
      <w:pPr>
        <w:pStyle w:val="19"/>
        <w:numPr>
          <w:ilvl w:val="3"/>
          <w:numId w:val="2"/>
        </w:numPr>
        <w:spacing w:line="360" w:lineRule="auto"/>
        <w:jc w:val="both"/>
        <w:rPr>
          <w:sz w:val="24"/>
          <w:szCs w:val="24"/>
        </w:rPr>
      </w:pPr>
      <w:r>
        <w:rPr>
          <w:sz w:val="24"/>
          <w:szCs w:val="24"/>
        </w:rPr>
        <w:t>Analisis Yuridis Pasal 554 Undang-Undang Nomor 7 Tahun 2017</w:t>
      </w:r>
    </w:p>
    <w:p w14:paraId="0C738BC3">
      <w:pPr>
        <w:pStyle w:val="19"/>
        <w:numPr>
          <w:ilvl w:val="6"/>
          <w:numId w:val="2"/>
        </w:numPr>
        <w:spacing w:line="360" w:lineRule="auto"/>
        <w:ind w:left="567"/>
        <w:jc w:val="both"/>
        <w:rPr>
          <w:sz w:val="24"/>
          <w:szCs w:val="24"/>
        </w:rPr>
      </w:pPr>
      <w:r>
        <w:rPr>
          <w:sz w:val="24"/>
          <w:szCs w:val="24"/>
        </w:rPr>
        <w:t>Bunyi Pasal:</w:t>
      </w:r>
    </w:p>
    <w:p w14:paraId="57D622C0">
      <w:pPr>
        <w:pStyle w:val="19"/>
        <w:spacing w:line="360" w:lineRule="auto"/>
        <w:ind w:left="567"/>
        <w:jc w:val="both"/>
        <w:rPr>
          <w:sz w:val="24"/>
          <w:szCs w:val="24"/>
        </w:rPr>
      </w:pPr>
      <w:r>
        <w:rPr>
          <w:sz w:val="24"/>
          <w:szCs w:val="24"/>
        </w:rPr>
        <w:t>"Dalam hal penyelenggara Pemilu melakukan tindak pidana pemilu sebagaimana dimaksud  dalam Pasal 488 sampai dengan Pasal 533, pidana yang di jatuhkan ditambah 1/3 (sepertiga) dari ancaman pidana yang ditetapkan dalam pasal pasal tersebut."</w:t>
      </w:r>
    </w:p>
    <w:p w14:paraId="2D6F6A18">
      <w:pPr>
        <w:pStyle w:val="19"/>
        <w:numPr>
          <w:ilvl w:val="6"/>
          <w:numId w:val="2"/>
        </w:numPr>
        <w:spacing w:line="360" w:lineRule="auto"/>
        <w:ind w:left="567"/>
        <w:jc w:val="both"/>
        <w:rPr>
          <w:sz w:val="24"/>
          <w:szCs w:val="24"/>
        </w:rPr>
      </w:pPr>
      <w:r>
        <w:rPr>
          <w:sz w:val="24"/>
          <w:szCs w:val="24"/>
        </w:rPr>
        <w:t>Penjabaran Dan Analisis Unsur:</w:t>
      </w:r>
    </w:p>
    <w:p w14:paraId="038588BF">
      <w:pPr>
        <w:pStyle w:val="19"/>
        <w:numPr>
          <w:ilvl w:val="6"/>
          <w:numId w:val="4"/>
        </w:numPr>
        <w:spacing w:line="360" w:lineRule="auto"/>
        <w:jc w:val="both"/>
        <w:rPr>
          <w:sz w:val="24"/>
          <w:szCs w:val="24"/>
        </w:rPr>
      </w:pPr>
      <w:r>
        <w:rPr>
          <w:sz w:val="24"/>
          <w:szCs w:val="24"/>
        </w:rPr>
        <w:t>Unsur Subjek Tindak Pidana:</w:t>
      </w:r>
    </w:p>
    <w:p w14:paraId="22014F1E">
      <w:pPr>
        <w:spacing w:line="360" w:lineRule="auto"/>
        <w:ind w:left="567"/>
        <w:jc w:val="both"/>
        <w:rPr>
          <w:sz w:val="24"/>
          <w:szCs w:val="24"/>
        </w:rPr>
      </w:pPr>
      <w:r>
        <w:rPr>
          <w:sz w:val="24"/>
          <w:szCs w:val="24"/>
        </w:rPr>
        <w:t>Pasal ini dikategorikan sebagai delict speciale atau delik khusus, di mana subjek atau pelakunya ditentukan secara khusus hanya mereka yang berstatus sebagai penyelenggara pemilu.Dan apabila melakukan tindak pidana, hukumannya akan</w:t>
      </w:r>
      <w:r>
        <w:rPr>
          <w:sz w:val="24"/>
          <w:szCs w:val="24"/>
          <w:lang w:val="id-ID"/>
        </w:rPr>
        <w:t xml:space="preserve"> </w:t>
      </w:r>
      <w:r>
        <w:rPr>
          <w:sz w:val="24"/>
          <w:szCs w:val="24"/>
        </w:rPr>
        <w:t>ditambahkan 1/3 (sepertiga) dari ancaman pidana yang ditetapkan. Dalam kasus ini,</w:t>
      </w:r>
      <w:r>
        <w:rPr>
          <w:sz w:val="24"/>
          <w:szCs w:val="24"/>
          <w:lang w:val="id-ID"/>
        </w:rPr>
        <w:t xml:space="preserve"> </w:t>
      </w:r>
      <w:r>
        <w:rPr>
          <w:sz w:val="24"/>
          <w:szCs w:val="24"/>
        </w:rPr>
        <w:t>Terdakwa ASBH terang benderang berstatus sebagai Anggota Panitia Pemilihan Kecamatan (PPK) Medan Timur yang diangkat secara sah.</w:t>
      </w:r>
      <w:r>
        <w:rPr>
          <w:sz w:val="24"/>
          <w:szCs w:val="24"/>
          <w:lang w:val="id-ID"/>
        </w:rPr>
        <w:t xml:space="preserve"> </w:t>
      </w:r>
      <w:r>
        <w:rPr>
          <w:sz w:val="24"/>
          <w:szCs w:val="24"/>
        </w:rPr>
        <w:t>Oleh karena itu, kualifikasi subjek pidana telah terpenuhi sempurna dan tidak dapat</w:t>
      </w:r>
      <w:r>
        <w:rPr>
          <w:sz w:val="24"/>
          <w:szCs w:val="24"/>
          <w:lang w:val="id-ID"/>
        </w:rPr>
        <w:t xml:space="preserve"> </w:t>
      </w:r>
      <w:r>
        <w:rPr>
          <w:sz w:val="24"/>
          <w:szCs w:val="24"/>
        </w:rPr>
        <w:t>diganggu gugat.</w:t>
      </w:r>
    </w:p>
    <w:p w14:paraId="07EF5656">
      <w:pPr>
        <w:pStyle w:val="19"/>
        <w:numPr>
          <w:ilvl w:val="6"/>
          <w:numId w:val="4"/>
        </w:numPr>
        <w:spacing w:line="360" w:lineRule="auto"/>
        <w:jc w:val="both"/>
        <w:rPr>
          <w:sz w:val="24"/>
          <w:szCs w:val="24"/>
        </w:rPr>
      </w:pPr>
      <w:r>
        <w:rPr>
          <w:sz w:val="24"/>
          <w:szCs w:val="24"/>
        </w:rPr>
        <w:t>Unsur Kesengajaan (Opzet):</w:t>
      </w:r>
    </w:p>
    <w:p w14:paraId="05944577">
      <w:pPr>
        <w:spacing w:line="360" w:lineRule="auto"/>
        <w:ind w:left="567"/>
        <w:jc w:val="both"/>
        <w:rPr>
          <w:sz w:val="24"/>
          <w:szCs w:val="24"/>
          <w:lang w:val="id-ID"/>
        </w:rPr>
      </w:pPr>
      <w:r>
        <w:rPr>
          <w:sz w:val="24"/>
          <w:szCs w:val="24"/>
        </w:rPr>
        <w:t>Unsur ini merupakan animus delicti atau jiwa dari delik ini.</w:t>
      </w:r>
      <w:r>
        <w:rPr>
          <w:sz w:val="24"/>
          <w:szCs w:val="24"/>
          <w:lang w:val="id-ID"/>
        </w:rPr>
        <w:t xml:space="preserve"> </w:t>
      </w:r>
      <w:r>
        <w:rPr>
          <w:sz w:val="24"/>
          <w:szCs w:val="24"/>
        </w:rPr>
        <w:t>Kesengajaan dalam hukum pidana diartikan sebagai kehendak sadar</w:t>
      </w:r>
      <w:r>
        <w:rPr>
          <w:sz w:val="24"/>
          <w:szCs w:val="24"/>
          <w:lang w:val="id-ID"/>
        </w:rPr>
        <w:t xml:space="preserve"> </w:t>
      </w:r>
      <w:r>
        <w:rPr>
          <w:sz w:val="24"/>
          <w:szCs w:val="24"/>
        </w:rPr>
        <w:t>untuk melakukan sesuatu dan mengetahui akibat dari perbuatannya.</w:t>
      </w:r>
    </w:p>
    <w:p w14:paraId="7DD434F3">
      <w:pPr>
        <w:spacing w:line="360" w:lineRule="auto"/>
        <w:ind w:left="567" w:firstLine="153"/>
        <w:jc w:val="both"/>
        <w:rPr>
          <w:sz w:val="24"/>
          <w:szCs w:val="24"/>
          <w:lang w:val="id-ID"/>
        </w:rPr>
      </w:pPr>
      <w:r>
        <w:rPr>
          <w:sz w:val="24"/>
          <w:szCs w:val="24"/>
        </w:rPr>
        <w:t>Dalam kasus ini, unsur niat terbukti sangat kuat. Terdakwa bukanlah orang awam yang tidak mengerti hukum, melainkan pejabat negara yang telah mengikuti pembekalan, pelatihan, dan memahami betul teknis serta aturan main pemilu. Tindakan yang dilakukan mulai dari meminta kode akses, login ke sistem, hingga mengklik tombol untuk mengubah angka-angka tersebut adalah perbuatan yang dilakukan berdasarkan kemauan bebas dan sadar sepenuhnya bahwa apa yang dilakukannya adalah salah serta bertentangan dengan aturan.</w:t>
      </w:r>
    </w:p>
    <w:p w14:paraId="006A853C">
      <w:pPr>
        <w:pStyle w:val="19"/>
        <w:numPr>
          <w:ilvl w:val="3"/>
          <w:numId w:val="4"/>
        </w:numPr>
        <w:spacing w:line="360" w:lineRule="auto"/>
        <w:jc w:val="both"/>
        <w:rPr>
          <w:sz w:val="24"/>
          <w:szCs w:val="24"/>
          <w:lang w:val="id-ID"/>
        </w:rPr>
      </w:pPr>
      <w:r>
        <w:rPr>
          <w:sz w:val="24"/>
          <w:szCs w:val="24"/>
        </w:rPr>
        <w:t>Unsur "Tidak Melaksanakan Tugas dan Wewenang":</w:t>
      </w:r>
    </w:p>
    <w:p w14:paraId="2796F73F">
      <w:pPr>
        <w:spacing w:line="360" w:lineRule="auto"/>
        <w:ind w:left="567"/>
        <w:jc w:val="both"/>
        <w:rPr>
          <w:sz w:val="24"/>
          <w:szCs w:val="24"/>
          <w:lang w:val="id-ID"/>
        </w:rPr>
      </w:pPr>
      <w:r>
        <w:rPr>
          <w:sz w:val="24"/>
          <w:szCs w:val="24"/>
        </w:rPr>
        <w:t>Secara gramatikal dan yuridis, frasa "tidak melaksanakan tugas" tidak selalu diartikan sebagai diam atau tidak bekerja sama sekali. Justru dalam praktik yurisprudensi, unsur ini terbukti apabila seseorang melakukan tugasnya tetapi dengan cara yang melenceng, menyimpang, dan bertentangan dengan tujuan serta batasan wewenang yang diberikan oleh undang-undang.</w:t>
      </w:r>
    </w:p>
    <w:p w14:paraId="23BE0B4F">
      <w:pPr>
        <w:spacing w:line="360" w:lineRule="auto"/>
        <w:ind w:left="567" w:firstLine="437"/>
        <w:jc w:val="both"/>
        <w:rPr>
          <w:sz w:val="24"/>
          <w:szCs w:val="24"/>
        </w:rPr>
      </w:pPr>
      <w:r>
        <w:rPr>
          <w:sz w:val="24"/>
          <w:szCs w:val="24"/>
        </w:rPr>
        <w:t>Terdakwa memiliki kewajiban mulia (</w:t>
      </w:r>
      <w:r>
        <w:rPr>
          <w:i/>
          <w:sz w:val="24"/>
          <w:szCs w:val="24"/>
        </w:rPr>
        <w:t>positief gebod</w:t>
      </w:r>
      <w:r>
        <w:rPr>
          <w:sz w:val="24"/>
          <w:szCs w:val="24"/>
        </w:rPr>
        <w:t>) untuk menjaga kebenaran data, menjaga integritas suara, dan memastikan apa yang masuk ke sistem adalah sama dengan data asli. Namun, Terdakwa justru melakukan sebaliknya. Ia menggunakan wewenang dan akses yang dimilikinya untuk merusak data demokrasi. Ini adalah bentuk pelanggaran sumpah jabatan dan pengkhianatan terhadap amanah negara yang sangat berat.</w:t>
      </w:r>
    </w:p>
    <w:p w14:paraId="7944C9D1">
      <w:pPr>
        <w:pStyle w:val="19"/>
        <w:spacing w:line="360" w:lineRule="auto"/>
        <w:ind w:left="851"/>
        <w:jc w:val="both"/>
        <w:rPr>
          <w:sz w:val="24"/>
          <w:szCs w:val="24"/>
          <w:lang w:val="id-ID"/>
        </w:rPr>
      </w:pPr>
    </w:p>
    <w:p w14:paraId="7BC27B30">
      <w:pPr>
        <w:pStyle w:val="19"/>
        <w:numPr>
          <w:ilvl w:val="3"/>
          <w:numId w:val="2"/>
        </w:numPr>
        <w:spacing w:line="360" w:lineRule="auto"/>
        <w:jc w:val="both"/>
        <w:rPr>
          <w:sz w:val="24"/>
          <w:szCs w:val="24"/>
        </w:rPr>
      </w:pPr>
      <w:r>
        <w:rPr>
          <w:sz w:val="24"/>
          <w:szCs w:val="24"/>
        </w:rPr>
        <w:t>Analisis Yuridis Pasal 55 Ayat (1) Ke-1 Kitab Undang-Undang Hukum Pidana (KUHP)</w:t>
      </w:r>
    </w:p>
    <w:p w14:paraId="2534B8BA">
      <w:pPr>
        <w:spacing w:line="360" w:lineRule="auto"/>
        <w:ind w:left="284" w:firstLine="76"/>
        <w:jc w:val="both"/>
        <w:rPr>
          <w:sz w:val="24"/>
          <w:szCs w:val="24"/>
          <w:lang w:val="id-ID"/>
        </w:rPr>
      </w:pPr>
      <w:r>
        <w:rPr>
          <w:sz w:val="24"/>
          <w:szCs w:val="24"/>
        </w:rPr>
        <w:t>Bunyi Pasal:</w:t>
      </w:r>
    </w:p>
    <w:p w14:paraId="081E3973">
      <w:pPr>
        <w:spacing w:line="360" w:lineRule="auto"/>
        <w:ind w:left="284" w:firstLine="76"/>
        <w:jc w:val="both"/>
        <w:rPr>
          <w:sz w:val="24"/>
          <w:szCs w:val="24"/>
        </w:rPr>
      </w:pPr>
      <w:r>
        <w:rPr>
          <w:sz w:val="24"/>
          <w:szCs w:val="24"/>
        </w:rPr>
        <w:t>"(1) Dipidana sebagai pelaku tindak pidana:</w:t>
      </w:r>
    </w:p>
    <w:p w14:paraId="5DE0C583">
      <w:pPr>
        <w:spacing w:line="360" w:lineRule="auto"/>
        <w:ind w:left="284"/>
        <w:jc w:val="both"/>
        <w:rPr>
          <w:sz w:val="24"/>
          <w:szCs w:val="24"/>
        </w:rPr>
      </w:pPr>
      <w:r>
        <w:rPr>
          <w:sz w:val="24"/>
          <w:szCs w:val="24"/>
        </w:rPr>
        <w:t>1°. mereka yang melakukan, yang menyuruh melakukan, dan yang turut serta</w:t>
      </w:r>
      <w:r>
        <w:rPr>
          <w:sz w:val="24"/>
          <w:szCs w:val="24"/>
          <w:lang w:val="id-ID"/>
        </w:rPr>
        <w:t xml:space="preserve"> </w:t>
      </w:r>
      <w:r>
        <w:rPr>
          <w:sz w:val="24"/>
          <w:szCs w:val="24"/>
        </w:rPr>
        <w:t>melakukan perbuatan;". Analisis Unsur Secara Komprehensif:</w:t>
      </w:r>
    </w:p>
    <w:p w14:paraId="475AE791">
      <w:pPr>
        <w:pStyle w:val="19"/>
        <w:numPr>
          <w:ilvl w:val="4"/>
          <w:numId w:val="2"/>
        </w:numPr>
        <w:spacing w:line="360" w:lineRule="auto"/>
        <w:ind w:left="567" w:hanging="284"/>
        <w:jc w:val="both"/>
        <w:rPr>
          <w:sz w:val="24"/>
          <w:szCs w:val="24"/>
        </w:rPr>
      </w:pPr>
      <w:r>
        <w:rPr>
          <w:sz w:val="24"/>
          <w:szCs w:val="24"/>
        </w:rPr>
        <w:t>Landasan Filosofis dan Yuridis Pasal 55 KUHP:</w:t>
      </w:r>
    </w:p>
    <w:p w14:paraId="7C4AC435">
      <w:pPr>
        <w:pStyle w:val="19"/>
        <w:spacing w:line="360" w:lineRule="auto"/>
        <w:ind w:left="567"/>
        <w:jc w:val="both"/>
        <w:rPr>
          <w:sz w:val="24"/>
          <w:szCs w:val="24"/>
        </w:rPr>
      </w:pPr>
      <w:r>
        <w:rPr>
          <w:sz w:val="24"/>
          <w:szCs w:val="24"/>
        </w:rPr>
        <w:t>Pasal ini lahir dari pemahaman hukum bahwa kejahatan seringkali tidak dilakukan oleh satu orang saja, melainkan dilakukan secara bersama-sama dengan pembagian tugas yang spesifik. Hukum tidak boleh membiarkan pelaku kejahatan berdalih dengan alasan "saya hanya menyuruh" atau "saya hanya membantu", karena sesungguhnya tanpa bantuan dan peran masing-masing, maka kejahatan tersebut tidak akan bisa terlaksana dengan sempurna.</w:t>
      </w:r>
    </w:p>
    <w:p w14:paraId="2B103932">
      <w:pPr>
        <w:pStyle w:val="19"/>
        <w:numPr>
          <w:ilvl w:val="1"/>
          <w:numId w:val="5"/>
        </w:numPr>
        <w:spacing w:line="360" w:lineRule="auto"/>
        <w:ind w:left="567" w:hanging="284"/>
        <w:jc w:val="both"/>
        <w:rPr>
          <w:sz w:val="24"/>
          <w:szCs w:val="24"/>
        </w:rPr>
      </w:pPr>
      <w:r>
        <w:rPr>
          <w:sz w:val="24"/>
          <w:szCs w:val="24"/>
        </w:rPr>
        <w:t>Pembagian Peran dan Bentuk Partisipasi:</w:t>
      </w:r>
    </w:p>
    <w:p w14:paraId="14EF372E">
      <w:pPr>
        <w:pStyle w:val="19"/>
        <w:spacing w:line="360" w:lineRule="auto"/>
        <w:ind w:left="567"/>
        <w:jc w:val="both"/>
        <w:rPr>
          <w:sz w:val="24"/>
          <w:szCs w:val="24"/>
        </w:rPr>
      </w:pPr>
      <w:r>
        <w:rPr>
          <w:sz w:val="24"/>
          <w:szCs w:val="24"/>
        </w:rPr>
        <w:t>Dalam perkara ini, keterlibatan ketiga orang tersebut sangat jelas dan terstruktur, yang dapat diklasifikasikan sebagai berikut:- MRR (Sebagai Opdrachtgever/Yang Menyuruh):</w:t>
      </w:r>
    </w:p>
    <w:p w14:paraId="3B61492C">
      <w:pPr>
        <w:pStyle w:val="19"/>
        <w:spacing w:line="360" w:lineRule="auto"/>
        <w:ind w:left="567"/>
        <w:jc w:val="both"/>
        <w:rPr>
          <w:sz w:val="24"/>
          <w:szCs w:val="24"/>
        </w:rPr>
      </w:pPr>
      <w:r>
        <w:rPr>
          <w:sz w:val="24"/>
          <w:szCs w:val="24"/>
        </w:rPr>
        <w:t>Sebagai Ketua, ia memiliki posisi hierarki tertinggi. Perintah yang keluar dari mulutnya memiliki kekuatan instruksi yang dijalankan oleh bawahan atau rekannya. Ia yang menginisiasi ide, memberikan kode OTP, dan mengarahkan jalannya kejahatan. Secara hukum, posisinya sama berat dengan yang tanganannya melakukan.</w:t>
      </w:r>
    </w:p>
    <w:p w14:paraId="138F1F87">
      <w:pPr>
        <w:pStyle w:val="19"/>
        <w:numPr>
          <w:ilvl w:val="1"/>
          <w:numId w:val="5"/>
        </w:numPr>
        <w:spacing w:line="360" w:lineRule="auto"/>
        <w:ind w:left="567" w:hanging="284"/>
        <w:jc w:val="both"/>
        <w:rPr>
          <w:sz w:val="24"/>
          <w:szCs w:val="24"/>
        </w:rPr>
      </w:pPr>
      <w:r>
        <w:rPr>
          <w:sz w:val="24"/>
          <w:szCs w:val="24"/>
        </w:rPr>
        <w:t>JM (Sebagai Medeplieger / Turut Serta):</w:t>
      </w:r>
    </w:p>
    <w:p w14:paraId="0E306674">
      <w:pPr>
        <w:pStyle w:val="19"/>
        <w:spacing w:line="360" w:lineRule="auto"/>
        <w:ind w:left="567"/>
        <w:jc w:val="both"/>
        <w:rPr>
          <w:sz w:val="24"/>
          <w:szCs w:val="24"/>
        </w:rPr>
      </w:pPr>
      <w:r>
        <w:rPr>
          <w:sz w:val="24"/>
          <w:szCs w:val="24"/>
        </w:rPr>
        <w:t>Ia berperan sebagai penghubung atau fasilitator. Dengan meneruskan password dan memfasilitasi akses, ia secara sadar telah mendukung terwujudnya kejahatan tersebut. Tanpa perantaraannya, maka Terdakwa ASBH tidak akan bisa masuk ke sistem.</w:t>
      </w:r>
    </w:p>
    <w:p w14:paraId="472C918D">
      <w:pPr>
        <w:pStyle w:val="19"/>
        <w:numPr>
          <w:ilvl w:val="1"/>
          <w:numId w:val="6"/>
        </w:numPr>
        <w:spacing w:line="360" w:lineRule="auto"/>
        <w:ind w:left="567" w:hanging="284"/>
        <w:jc w:val="both"/>
        <w:rPr>
          <w:sz w:val="24"/>
          <w:szCs w:val="24"/>
        </w:rPr>
      </w:pPr>
      <w:r>
        <w:rPr>
          <w:sz w:val="24"/>
          <w:szCs w:val="24"/>
        </w:rPr>
        <w:t>ASBH (Sebagai Dader / Pelaku Langsung):</w:t>
      </w:r>
    </w:p>
    <w:p w14:paraId="5402D2FA">
      <w:pPr>
        <w:pStyle w:val="19"/>
        <w:spacing w:line="360" w:lineRule="auto"/>
        <w:ind w:left="567"/>
        <w:jc w:val="both"/>
        <w:rPr>
          <w:sz w:val="24"/>
          <w:szCs w:val="24"/>
        </w:rPr>
      </w:pPr>
      <w:r>
        <w:rPr>
          <w:sz w:val="24"/>
          <w:szCs w:val="24"/>
        </w:rPr>
        <w:t>Ia adalah tangan yang secara fisik dan teknis melakukan perintah tersebut. Ia yang menekan tombol, mengubah angka, dan memasukkan data palsu ke dalam server.</w:t>
      </w:r>
    </w:p>
    <w:p w14:paraId="54DEC6FA">
      <w:pPr>
        <w:pStyle w:val="19"/>
        <w:numPr>
          <w:ilvl w:val="1"/>
          <w:numId w:val="6"/>
        </w:numPr>
        <w:spacing w:line="360" w:lineRule="auto"/>
        <w:ind w:left="567" w:hanging="284"/>
        <w:jc w:val="both"/>
        <w:rPr>
          <w:sz w:val="24"/>
          <w:szCs w:val="24"/>
        </w:rPr>
      </w:pPr>
      <w:r>
        <w:rPr>
          <w:sz w:val="24"/>
          <w:szCs w:val="24"/>
        </w:rPr>
        <w:t>Konsep Medeplieger (Turut Serta Melakukan):</w:t>
      </w:r>
    </w:p>
    <w:p w14:paraId="6A6B1AC3">
      <w:pPr>
        <w:pStyle w:val="19"/>
        <w:spacing w:line="360" w:lineRule="auto"/>
        <w:ind w:left="567"/>
        <w:jc w:val="both"/>
        <w:rPr>
          <w:sz w:val="24"/>
          <w:szCs w:val="24"/>
        </w:rPr>
      </w:pPr>
      <w:r>
        <w:rPr>
          <w:sz w:val="24"/>
          <w:szCs w:val="24"/>
        </w:rPr>
        <w:t>Karena perbuatan tersebut dilakukan secara bersama-sama, saling mengisi, dan saling mendukung dalam satu kesatuan rencana kriminal, maka hukum mengkualifikasikan mereka bertiga sebagai "Turut Serta Melakukan".</w:t>
      </w:r>
    </w:p>
    <w:p w14:paraId="7E5FB842">
      <w:pPr>
        <w:pStyle w:val="19"/>
        <w:spacing w:line="360" w:lineRule="auto"/>
        <w:ind w:left="567"/>
        <w:jc w:val="both"/>
        <w:rPr>
          <w:sz w:val="24"/>
          <w:szCs w:val="24"/>
          <w:lang w:val="id-ID"/>
        </w:rPr>
      </w:pPr>
    </w:p>
    <w:p w14:paraId="4722DCC9">
      <w:pPr>
        <w:pStyle w:val="19"/>
        <w:numPr>
          <w:ilvl w:val="1"/>
          <w:numId w:val="6"/>
        </w:numPr>
        <w:spacing w:line="360" w:lineRule="auto"/>
        <w:ind w:left="567" w:hanging="284"/>
        <w:jc w:val="both"/>
        <w:rPr>
          <w:sz w:val="24"/>
          <w:szCs w:val="24"/>
          <w:lang w:val="id-ID"/>
        </w:rPr>
      </w:pPr>
      <w:r>
        <w:rPr>
          <w:sz w:val="24"/>
          <w:szCs w:val="24"/>
        </w:rPr>
        <w:t>Akibat Hukum dan Konsekuensi:</w:t>
      </w:r>
    </w:p>
    <w:p w14:paraId="7F0980D9">
      <w:pPr>
        <w:pStyle w:val="19"/>
        <w:spacing w:line="360" w:lineRule="auto"/>
        <w:ind w:left="567"/>
        <w:jc w:val="both"/>
        <w:rPr>
          <w:sz w:val="24"/>
          <w:szCs w:val="24"/>
          <w:lang w:val="id-ID"/>
        </w:rPr>
      </w:pPr>
      <w:r>
        <w:rPr>
          <w:sz w:val="24"/>
          <w:szCs w:val="24"/>
        </w:rPr>
        <w:t>Dampak hukum dari penerapan Pasal 55 KUHP ini sangat dahsyat, yaitu:</w:t>
      </w:r>
    </w:p>
    <w:p w14:paraId="15A38AB5">
      <w:pPr>
        <w:pStyle w:val="19"/>
        <w:numPr>
          <w:ilvl w:val="0"/>
          <w:numId w:val="7"/>
        </w:numPr>
        <w:spacing w:line="360" w:lineRule="auto"/>
        <w:ind w:left="851" w:hanging="284"/>
        <w:jc w:val="both"/>
        <w:rPr>
          <w:sz w:val="24"/>
          <w:szCs w:val="24"/>
          <w:lang w:val="id-ID"/>
        </w:rPr>
      </w:pPr>
      <w:r>
        <w:rPr>
          <w:sz w:val="24"/>
          <w:szCs w:val="24"/>
        </w:rPr>
        <w:t>Status Sama:</w:t>
      </w:r>
      <w:r>
        <w:rPr>
          <w:sz w:val="24"/>
          <w:szCs w:val="24"/>
          <w:lang w:val="id-ID"/>
        </w:rPr>
        <w:t xml:space="preserve"> </w:t>
      </w:r>
      <w:r>
        <w:rPr>
          <w:sz w:val="24"/>
          <w:szCs w:val="24"/>
        </w:rPr>
        <w:t>Semua pihak yang terlibat dianggap sebagai Pelaku Utama (Dader),</w:t>
      </w:r>
      <w:r>
        <w:rPr>
          <w:sz w:val="24"/>
          <w:szCs w:val="24"/>
          <w:lang w:val="id-ID"/>
        </w:rPr>
        <w:t xml:space="preserve"> </w:t>
      </w:r>
      <w:r>
        <w:rPr>
          <w:sz w:val="24"/>
          <w:szCs w:val="24"/>
        </w:rPr>
        <w:t>tidak</w:t>
      </w:r>
      <w:r>
        <w:rPr>
          <w:sz w:val="24"/>
          <w:szCs w:val="24"/>
          <w:lang w:val="id-ID"/>
        </w:rPr>
        <w:t xml:space="preserve"> </w:t>
      </w:r>
      <w:r>
        <w:rPr>
          <w:sz w:val="24"/>
          <w:szCs w:val="24"/>
        </w:rPr>
        <w:t>ada yang disebut pembantu.</w:t>
      </w:r>
    </w:p>
    <w:p w14:paraId="5CF475FC">
      <w:pPr>
        <w:pStyle w:val="19"/>
        <w:numPr>
          <w:ilvl w:val="0"/>
          <w:numId w:val="7"/>
        </w:numPr>
        <w:spacing w:line="360" w:lineRule="auto"/>
        <w:ind w:left="851" w:hanging="284"/>
        <w:jc w:val="both"/>
        <w:rPr>
          <w:sz w:val="24"/>
          <w:szCs w:val="24"/>
          <w:lang w:val="id-ID"/>
        </w:rPr>
      </w:pPr>
      <w:r>
        <w:rPr>
          <w:sz w:val="24"/>
          <w:szCs w:val="24"/>
        </w:rPr>
        <w:t>Hukuman Sama: Pidana yang dijatuhkan adalah sama berat untuk masing-masing orang, seolah-olah orang tersebutlah yang melakukan seluruh kejahatan itu sendirian.</w:t>
      </w:r>
    </w:p>
    <w:p w14:paraId="08796DBB">
      <w:pPr>
        <w:pStyle w:val="19"/>
        <w:numPr>
          <w:ilvl w:val="0"/>
          <w:numId w:val="7"/>
        </w:numPr>
        <w:spacing w:line="360" w:lineRule="auto"/>
        <w:ind w:left="851" w:hanging="284"/>
        <w:jc w:val="both"/>
        <w:rPr>
          <w:sz w:val="24"/>
          <w:szCs w:val="24"/>
          <w:lang w:val="id-ID"/>
        </w:rPr>
      </w:pPr>
      <w:r>
        <w:rPr>
          <w:sz w:val="24"/>
          <w:szCs w:val="24"/>
        </w:rPr>
        <w:t>Tidak Tergantung Splitsing: Meskipun perkaranya dipisah (</w:t>
      </w:r>
      <w:r>
        <w:rPr>
          <w:i/>
          <w:sz w:val="24"/>
          <w:szCs w:val="24"/>
        </w:rPr>
        <w:t>splitsing</w:t>
      </w:r>
      <w:r>
        <w:rPr>
          <w:sz w:val="24"/>
          <w:szCs w:val="24"/>
        </w:rPr>
        <w:t>) karena alasan teknis administrasi peradilan, namun kualitas dan kuantitas tanggung jawab pidananya tidak berkurang sedikitpun. Inilah alasan hukum yang kuat mengapa vonis untuk ketiganya nanti akan setimpal meskipun disidangkan dalam waktu dan berkas yang berbeda.</w:t>
      </w:r>
    </w:p>
    <w:p w14:paraId="22C57FDB">
      <w:pPr>
        <w:pStyle w:val="3"/>
        <w:spacing w:before="0" w:line="360" w:lineRule="auto"/>
        <w:jc w:val="both"/>
        <w:rPr>
          <w:rFonts w:ascii="Times New Roman" w:hAnsi="Times New Roman" w:cs="Times New Roman"/>
          <w:b w:val="0"/>
          <w:color w:val="auto"/>
          <w:sz w:val="24"/>
          <w:szCs w:val="24"/>
        </w:rPr>
      </w:pPr>
      <w:bookmarkStart w:id="5" w:name="_Toc230017871"/>
    </w:p>
    <w:p w14:paraId="24751E25">
      <w:pPr>
        <w:pStyle w:val="3"/>
        <w:numPr>
          <w:ilvl w:val="3"/>
          <w:numId w:val="2"/>
        </w:numPr>
        <w:spacing w:before="0" w:line="360" w:lineRule="auto"/>
        <w:jc w:val="both"/>
        <w:rPr>
          <w:rFonts w:ascii="Times New Roman" w:hAnsi="Times New Roman" w:cs="Times New Roman"/>
          <w:bCs w:val="0"/>
          <w:sz w:val="24"/>
          <w:szCs w:val="24"/>
        </w:rPr>
      </w:pPr>
      <w:r>
        <w:rPr>
          <w:rFonts w:ascii="Times New Roman" w:hAnsi="Times New Roman" w:cs="Times New Roman"/>
          <w:color w:val="auto"/>
          <w:sz w:val="24"/>
          <w:szCs w:val="24"/>
        </w:rPr>
        <w:t>Analisis Hukum Mengenai Penerapan Mekanisme Pemisahan Berkas Perkara (</w:t>
      </w:r>
      <w:r>
        <w:rPr>
          <w:rFonts w:ascii="Times New Roman" w:hAnsi="Times New Roman" w:cs="Times New Roman"/>
          <w:i/>
          <w:color w:val="auto"/>
          <w:sz w:val="24"/>
          <w:szCs w:val="24"/>
        </w:rPr>
        <w:t>Splitsing</w:t>
      </w:r>
      <w:r>
        <w:rPr>
          <w:rFonts w:ascii="Times New Roman" w:hAnsi="Times New Roman" w:cs="Times New Roman"/>
          <w:color w:val="auto"/>
          <w:sz w:val="24"/>
          <w:szCs w:val="24"/>
        </w:rPr>
        <w:t>)</w:t>
      </w:r>
      <w:bookmarkEnd w:id="5"/>
    </w:p>
    <w:p w14:paraId="4AA2A88C">
      <w:pPr>
        <w:spacing w:line="360" w:lineRule="auto"/>
        <w:ind w:firstLine="360"/>
        <w:jc w:val="both"/>
        <w:rPr>
          <w:sz w:val="24"/>
          <w:szCs w:val="24"/>
        </w:rPr>
      </w:pPr>
      <w:r>
        <w:rPr>
          <w:sz w:val="24"/>
          <w:szCs w:val="24"/>
        </w:rPr>
        <w:t>Konsep Dasar dan Landasan Hukum Splitsings</w:t>
      </w:r>
    </w:p>
    <w:p w14:paraId="2D5F26BB">
      <w:pPr>
        <w:spacing w:line="360" w:lineRule="auto"/>
        <w:ind w:left="360"/>
        <w:jc w:val="both"/>
        <w:rPr>
          <w:sz w:val="24"/>
          <w:szCs w:val="24"/>
        </w:rPr>
      </w:pPr>
      <w:r>
        <w:rPr>
          <w:sz w:val="24"/>
          <w:szCs w:val="24"/>
        </w:rPr>
        <w:t xml:space="preserve">Berdasarkan Pasal 142 KUHAP, </w:t>
      </w:r>
      <w:r>
        <w:rPr>
          <w:i/>
          <w:iCs/>
          <w:sz w:val="24"/>
          <w:szCs w:val="24"/>
        </w:rPr>
        <w:t>splitsing</w:t>
      </w:r>
      <w:r>
        <w:rPr>
          <w:sz w:val="24"/>
          <w:szCs w:val="24"/>
        </w:rPr>
        <w:t xml:space="preserve"> dilakukan oleh Jaksa Penuntut Umum (JPU) untuk memecah satu berkas perkara yang melibatkan beberapa terdakwa menjadi beberapa berkas perkara yang berdiri sendiri-sendiri.</w:t>
      </w:r>
    </w:p>
    <w:p w14:paraId="6665CBEE">
      <w:pPr>
        <w:spacing w:line="360" w:lineRule="auto"/>
        <w:ind w:firstLine="284"/>
        <w:jc w:val="both"/>
        <w:rPr>
          <w:sz w:val="24"/>
          <w:szCs w:val="24"/>
        </w:rPr>
      </w:pPr>
      <w:r>
        <w:rPr>
          <w:sz w:val="24"/>
          <w:szCs w:val="24"/>
        </w:rPr>
        <w:t xml:space="preserve">Berikut adalah poin-poin utama mengenai </w:t>
      </w:r>
      <w:r>
        <w:rPr>
          <w:i/>
          <w:iCs/>
          <w:sz w:val="24"/>
          <w:szCs w:val="24"/>
        </w:rPr>
        <w:t>splitsing</w:t>
      </w:r>
      <w:r>
        <w:rPr>
          <w:sz w:val="24"/>
          <w:szCs w:val="24"/>
        </w:rPr>
        <w:t xml:space="preserve"> :</w:t>
      </w:r>
    </w:p>
    <w:p w14:paraId="05B28DDA">
      <w:pPr>
        <w:pStyle w:val="19"/>
        <w:numPr>
          <w:ilvl w:val="0"/>
          <w:numId w:val="8"/>
        </w:numPr>
        <w:spacing w:line="360" w:lineRule="auto"/>
        <w:ind w:left="567" w:hanging="283"/>
        <w:jc w:val="both"/>
        <w:rPr>
          <w:sz w:val="24"/>
          <w:szCs w:val="24"/>
        </w:rPr>
      </w:pPr>
      <w:r>
        <w:rPr>
          <w:sz w:val="24"/>
          <w:szCs w:val="24"/>
        </w:rPr>
        <w:t>Tujuan utama : mempermudah proses pembuktian, terutama jika ada kekurangan saksi. Dengan dipisahnya berkas, para terdakwa dapat saling memberikan kesaksian (menjadi saksi mahkota) dalam perkara satu sama lain di persidangan yang berbeda.</w:t>
      </w:r>
    </w:p>
    <w:p w14:paraId="008E3515">
      <w:pPr>
        <w:pStyle w:val="19"/>
        <w:numPr>
          <w:ilvl w:val="0"/>
          <w:numId w:val="8"/>
        </w:numPr>
        <w:spacing w:line="360" w:lineRule="auto"/>
        <w:ind w:left="567" w:hanging="283"/>
        <w:jc w:val="both"/>
        <w:rPr>
          <w:sz w:val="24"/>
          <w:szCs w:val="24"/>
        </w:rPr>
      </w:pPr>
      <w:r>
        <w:rPr>
          <w:sz w:val="24"/>
          <w:szCs w:val="24"/>
        </w:rPr>
        <w:t>Wewenang : Tindakan ini merupakan domain atau kewenangan penuh dari Jaksa Penuntut Umum dalam tahap penuntutan.</w:t>
      </w:r>
    </w:p>
    <w:p w14:paraId="5631BDD5">
      <w:pPr>
        <w:pStyle w:val="19"/>
        <w:numPr>
          <w:ilvl w:val="0"/>
          <w:numId w:val="8"/>
        </w:numPr>
        <w:spacing w:line="360" w:lineRule="auto"/>
        <w:ind w:left="567" w:hanging="283"/>
        <w:jc w:val="both"/>
        <w:rPr>
          <w:sz w:val="24"/>
          <w:szCs w:val="24"/>
        </w:rPr>
      </w:pPr>
      <w:r>
        <w:rPr>
          <w:sz w:val="24"/>
          <w:szCs w:val="24"/>
        </w:rPr>
        <w:t>Kondisi penerapan : Biasanya diterapkan pada kasus yang dilakukan oleh</w:t>
      </w:r>
      <w:r>
        <w:rPr>
          <w:sz w:val="24"/>
          <w:szCs w:val="24"/>
          <w:lang w:val="id-ID"/>
        </w:rPr>
        <w:t xml:space="preserve"> </w:t>
      </w:r>
      <w:r>
        <w:rPr>
          <w:sz w:val="24"/>
          <w:szCs w:val="24"/>
        </w:rPr>
        <w:t>beberapa orang dalam waktu yang sama, namun memerlukan pemeriksaan terpisah untuk memenuhi unsur delik masing-masing terdakwa.</w:t>
      </w:r>
    </w:p>
    <w:p w14:paraId="3A63663D">
      <w:pPr>
        <w:pStyle w:val="19"/>
        <w:numPr>
          <w:ilvl w:val="0"/>
          <w:numId w:val="8"/>
        </w:numPr>
        <w:spacing w:line="360" w:lineRule="auto"/>
        <w:ind w:left="567" w:hanging="283"/>
        <w:jc w:val="both"/>
        <w:rPr>
          <w:sz w:val="24"/>
          <w:szCs w:val="24"/>
        </w:rPr>
      </w:pPr>
      <w:r>
        <w:rPr>
          <w:sz w:val="24"/>
          <w:szCs w:val="24"/>
        </w:rPr>
        <w:t>Proses Persidangan : Setelah berkas dipisah, masing-masing terdakwa didakwa dengan surat dakwaan sendiri dan diperiksa dalam persidangan</w:t>
      </w:r>
      <w:r>
        <w:rPr>
          <w:sz w:val="24"/>
          <w:szCs w:val="24"/>
          <w:lang w:val="id-ID"/>
        </w:rPr>
        <w:t xml:space="preserve"> </w:t>
      </w:r>
      <w:r>
        <w:rPr>
          <w:sz w:val="24"/>
          <w:szCs w:val="24"/>
        </w:rPr>
        <w:t>yang terpisah.</w:t>
      </w:r>
    </w:p>
    <w:p w14:paraId="249F0325">
      <w:pPr>
        <w:pStyle w:val="19"/>
        <w:spacing w:line="360" w:lineRule="auto"/>
        <w:ind w:left="567" w:firstLine="153"/>
        <w:jc w:val="both"/>
        <w:rPr>
          <w:sz w:val="24"/>
          <w:szCs w:val="24"/>
        </w:rPr>
      </w:pPr>
      <w:r>
        <w:rPr>
          <w:sz w:val="24"/>
          <w:szCs w:val="24"/>
        </w:rPr>
        <w:t>Dalam pembuktian persidangan, telah terungkap dengan jelas bahwa tindak pidana manipulasi data ini dilakukan secara bersama-sama (samenplegen) oleh tiga orang pelaku, yaitu ASBH, MRR, dan JM. Ketiganya memiliki status hukum yang sama sebagai pelaku utama.</w:t>
      </w:r>
    </w:p>
    <w:p w14:paraId="3F496690">
      <w:pPr>
        <w:spacing w:line="360" w:lineRule="auto"/>
        <w:ind w:left="567" w:firstLine="153"/>
        <w:jc w:val="both"/>
        <w:rPr>
          <w:sz w:val="24"/>
          <w:szCs w:val="24"/>
        </w:rPr>
      </w:pPr>
      <w:r>
        <w:rPr>
          <w:sz w:val="24"/>
          <w:szCs w:val="24"/>
        </w:rPr>
        <w:t>Namun, dalam putusan Nomor: 1/Pid.S/2024/PN Mdn ini yang disidangkan dan diputus adalah Terdakwa ASBH saja. Hal ini dilakukan kemungkinan besar berdasarkan alasan yuridis bahwa terjadinya kekurang saksi sehingga terdakwa dapat saling memberikan kesaksian (menjadi saksi mahkota) dalam perkara satu sama lainnya di persidangan berbeda.</w:t>
      </w:r>
    </w:p>
    <w:p w14:paraId="6B76D52C">
      <w:pPr>
        <w:spacing w:line="360" w:lineRule="auto"/>
        <w:ind w:left="567" w:firstLine="157"/>
        <w:jc w:val="both"/>
        <w:rPr>
          <w:sz w:val="24"/>
          <w:szCs w:val="24"/>
          <w:lang w:val="id-ID"/>
        </w:rPr>
      </w:pPr>
      <w:r>
        <w:rPr>
          <w:sz w:val="24"/>
          <w:szCs w:val="24"/>
        </w:rPr>
        <w:t>Penerapan mekanisme splitsing ini secara hukum adalah sah dan beralasan. Hal ini tidak mengubah fakta bahwa ketiganya adalah pelaku, dan tidak mengurangi berat ringannya tanggung jawab pidana masing-masing. Nantinya, ketika berkas perkara terhadap dua terdakwa lainnya sudah selesai, maka mereka akan disidangkan dalam berkas perkara yang terpisah namun dengan dasar fakta dan pasal yang sama.</w:t>
      </w:r>
    </w:p>
    <w:p w14:paraId="77203559">
      <w:pPr>
        <w:spacing w:line="360" w:lineRule="auto"/>
        <w:ind w:firstLine="284"/>
        <w:jc w:val="both"/>
        <w:rPr>
          <w:sz w:val="24"/>
          <w:szCs w:val="24"/>
          <w:lang w:val="id-ID"/>
        </w:rPr>
      </w:pPr>
    </w:p>
    <w:p w14:paraId="4EC6430F">
      <w:pPr>
        <w:pStyle w:val="19"/>
        <w:numPr>
          <w:ilvl w:val="3"/>
          <w:numId w:val="2"/>
        </w:numPr>
        <w:spacing w:line="360" w:lineRule="auto"/>
        <w:jc w:val="both"/>
        <w:outlineLvl w:val="1"/>
        <w:rPr>
          <w:bCs/>
          <w:sz w:val="24"/>
          <w:szCs w:val="24"/>
          <w:lang w:val="id-ID"/>
        </w:rPr>
      </w:pPr>
      <w:bookmarkStart w:id="6" w:name="_Toc230017872"/>
      <w:r>
        <w:rPr>
          <w:bCs/>
          <w:sz w:val="24"/>
          <w:szCs w:val="24"/>
          <w:lang w:val="id-ID"/>
        </w:rPr>
        <w:t>Catatan Pemutakhiran Status Hukum</w:t>
      </w:r>
      <w:bookmarkEnd w:id="6"/>
    </w:p>
    <w:p w14:paraId="19DB296F">
      <w:pPr>
        <w:spacing w:line="360" w:lineRule="auto"/>
        <w:ind w:left="284"/>
        <w:jc w:val="both"/>
        <w:rPr>
          <w:sz w:val="24"/>
          <w:szCs w:val="24"/>
          <w:lang w:val="id-ID"/>
        </w:rPr>
      </w:pPr>
      <w:r>
        <w:rPr>
          <w:sz w:val="24"/>
          <w:szCs w:val="24"/>
          <w:lang w:val="id-ID"/>
        </w:rPr>
        <w:t xml:space="preserve">Catatan penting dalam lini masa penegakan hukum perkara ini, vonis sanksi pidana penjara selama 3 (tiga) bulan yang dijatuhkan oleh Majelis Hakim Pengadilan Negeri Medan ini dinilai oleh Jaksa Penuntut Umum (JPU) belum mencerminkan rasa keadilan yang substansial, sehingga JPU menempuh upaya hukum banding. Dalam perkembangannya, Majelis Hakim Pengadilan Tinggi Medan mengeluarkan Putusan Nomor 1088/PID.SUS/2024/PT MDN. Melalui putusan tingkat banding tersebut, Pengadilan Tinggi Medan secara resmi membatalkan dan memperbaiki amar putusan Pengadilan Negeri Medan Nomor 1/Pid.S/2024/PN Mdn dengan memperberat sanksi sanksi pidana penjara menjadi 8 (delapan) bulan serta denda Rp25.000.000,00 subsider 2 bulan kurungan bagi ketiga oknum PPK Medan Timur. </w:t>
      </w:r>
    </w:p>
    <w:p w14:paraId="2DE3EF86">
      <w:pPr>
        <w:spacing w:line="360" w:lineRule="auto"/>
        <w:ind w:left="284" w:firstLine="436"/>
        <w:jc w:val="both"/>
        <w:rPr>
          <w:sz w:val="24"/>
          <w:szCs w:val="24"/>
          <w:lang w:val="id-ID"/>
        </w:rPr>
      </w:pPr>
      <w:r>
        <w:rPr>
          <w:sz w:val="24"/>
          <w:szCs w:val="24"/>
          <w:lang w:val="id-ID"/>
        </w:rPr>
        <w:t>Meskipun fokus utama riset ini membedah penalaran hukum pada tingkat pertama, hadirnya putusan banding ini secara doktrinal memvalidasi analisis kritis penulis sebelumnya: bahwa pertimbangan hakim PN Medan yang menganggap "koreksi suara di tingkat kota dapat meringankan hukuman" adalah kekeliruan penalaran hukum. Pengadilan Tinggi Medan sependapat dengan draf pemikiran penulis bahwa manipulasi pemilu kedinasan adalah kejahatan formil serius yang telah selesai (</w:t>
      </w:r>
      <w:r>
        <w:rPr>
          <w:i/>
          <w:sz w:val="24"/>
          <w:szCs w:val="24"/>
          <w:lang w:val="id-ID"/>
        </w:rPr>
        <w:t>voltooid</w:t>
      </w:r>
      <w:r>
        <w:rPr>
          <w:sz w:val="24"/>
          <w:szCs w:val="24"/>
          <w:lang w:val="id-ID"/>
        </w:rPr>
        <w:t>) seketika dokumen palsu ditandatangani, sehingga pelaku wajib dihukum berat demi kemanfataan hukum (</w:t>
      </w:r>
      <w:r>
        <w:rPr>
          <w:i/>
          <w:sz w:val="24"/>
          <w:szCs w:val="24"/>
          <w:lang w:val="id-ID"/>
        </w:rPr>
        <w:t>zweckmassigkeit</w:t>
      </w:r>
      <w:r>
        <w:rPr>
          <w:sz w:val="24"/>
          <w:szCs w:val="24"/>
          <w:lang w:val="id-ID"/>
        </w:rPr>
        <w:t>) dan efek jera yang nyata (</w:t>
      </w:r>
      <w:r>
        <w:rPr>
          <w:i/>
          <w:sz w:val="24"/>
          <w:szCs w:val="24"/>
          <w:lang w:val="id-ID"/>
        </w:rPr>
        <w:t>deterrent effect</w:t>
      </w:r>
      <w:r>
        <w:rPr>
          <w:sz w:val="24"/>
          <w:szCs w:val="24"/>
          <w:lang w:val="id-ID"/>
        </w:rPr>
        <w:t>).</w:t>
      </w:r>
    </w:p>
    <w:p w14:paraId="649C3BE8">
      <w:pPr>
        <w:spacing w:line="360" w:lineRule="auto"/>
        <w:ind w:firstLine="720"/>
        <w:jc w:val="both"/>
        <w:rPr>
          <w:sz w:val="24"/>
          <w:szCs w:val="24"/>
          <w:lang w:val="id-ID"/>
        </w:rPr>
      </w:pPr>
    </w:p>
    <w:p w14:paraId="43150DB1">
      <w:pPr>
        <w:pStyle w:val="3"/>
        <w:numPr>
          <w:ilvl w:val="1"/>
          <w:numId w:val="1"/>
        </w:numPr>
        <w:spacing w:before="0" w:line="360" w:lineRule="auto"/>
        <w:rPr>
          <w:rFonts w:ascii="Times New Roman" w:hAnsi="Times New Roman" w:cs="Times New Roman"/>
          <w:b w:val="0"/>
          <w:color w:val="auto"/>
          <w:sz w:val="24"/>
          <w:szCs w:val="24"/>
        </w:rPr>
      </w:pPr>
      <w:bookmarkStart w:id="7" w:name="_Toc230017868"/>
      <w:r>
        <w:rPr>
          <w:rFonts w:ascii="Times New Roman" w:hAnsi="Times New Roman" w:cs="Times New Roman"/>
          <w:color w:val="auto"/>
          <w:sz w:val="24"/>
          <w:szCs w:val="24"/>
        </w:rPr>
        <w:t>Analisis Pertimbangan Hukum Hakim (</w:t>
      </w:r>
      <w:r>
        <w:rPr>
          <w:rFonts w:ascii="Times New Roman" w:hAnsi="Times New Roman" w:cs="Times New Roman"/>
          <w:i/>
          <w:color w:val="auto"/>
          <w:sz w:val="24"/>
          <w:szCs w:val="24"/>
        </w:rPr>
        <w:t>Ratio Decidendi</w:t>
      </w:r>
      <w:r>
        <w:rPr>
          <w:rFonts w:ascii="Times New Roman" w:hAnsi="Times New Roman" w:cs="Times New Roman"/>
          <w:color w:val="auto"/>
          <w:sz w:val="24"/>
          <w:szCs w:val="24"/>
        </w:rPr>
        <w:t>) dalam Putusan Nomor 1/Pid.S/2024/PN Mdn</w:t>
      </w:r>
      <w:bookmarkEnd w:id="7"/>
    </w:p>
    <w:p w14:paraId="1310CEF6"/>
    <w:p w14:paraId="2FE3C735">
      <w:pPr>
        <w:spacing w:line="360" w:lineRule="auto"/>
        <w:jc w:val="both"/>
        <w:rPr>
          <w:sz w:val="24"/>
          <w:szCs w:val="24"/>
        </w:rPr>
      </w:pPr>
      <w:r>
        <w:rPr>
          <w:sz w:val="24"/>
          <w:szCs w:val="24"/>
        </w:rPr>
        <w:t xml:space="preserve">Analisis Komprehensif, Mikroskopis, dan Doktriner Terhadap Alur Penalaran Hukum (Legal Reasoning) Serta Pertimbangan Hukum Hakim (Ratio Decidendi) dalam Putusan Pengadilan Negeri Medan No. 1/Pid.S/2024/PN MdnAnalisis terhadap pertimbangan hukum hakim atau yang dikenal secara universal dalam khazanah yurisprudensi global sebagai Ratio Decidendi merupakan struktur paling krusial, fundamental, dan menjadi episentrum utama dalam bangunan metode penelitian hukum normatif. </w:t>
      </w:r>
    </w:p>
    <w:p w14:paraId="162DCCF9">
      <w:pPr>
        <w:spacing w:line="360" w:lineRule="auto"/>
        <w:ind w:firstLine="720"/>
        <w:jc w:val="both"/>
        <w:rPr>
          <w:sz w:val="24"/>
          <w:szCs w:val="24"/>
        </w:rPr>
      </w:pPr>
      <w:r>
        <w:rPr>
          <w:sz w:val="24"/>
          <w:szCs w:val="24"/>
        </w:rPr>
        <w:t>Bagian ini tidak sekadar memaparkan apa yang diputuskan oleh pengadilan dalam diktum amar secara tekstual, melainkan berfungsi sebagai pisau analisis doktriner untuk membongkar secara radikal basis filosofis, logika penalaran yuridis (legal reasoning), dampak sosiologis, serta aspek psikologi yudisial di balik konklusi hukum yang diambil oleh Majelis</w:t>
      </w:r>
    </w:p>
    <w:p w14:paraId="2985F891">
      <w:pPr>
        <w:spacing w:line="360" w:lineRule="auto"/>
        <w:ind w:firstLine="720"/>
        <w:jc w:val="both"/>
        <w:rPr>
          <w:sz w:val="24"/>
          <w:szCs w:val="24"/>
        </w:rPr>
      </w:pPr>
      <w:r>
        <w:rPr>
          <w:sz w:val="24"/>
          <w:szCs w:val="24"/>
        </w:rPr>
        <w:t xml:space="preserve">Hakim Pengadilan Negeri Medan yang dipimpin oleh Hakim As'ad Rahim Lubis. Penjatuhan sanksi pidana berupa kurungan penjara selama 3 (tiga) bulan dan denda sebesar Rp25.000.000,00 (dua puluh lima juta rupiah) subsider 1 (satu) bulan kurungan terhadap oknum pimpinan dan anggota Panitia Pemilihan Kecamatan (PPK) Medan Timur ini menguak bagaimana cara pandang, orientasi keadilan, dan batas-batas diskresi yang digunakan hakim tingkat pertama dalam menyikapi kejahatan pemilu yang dilakukan oleh aparat penyelenggara resmi yang memegang otoritas negara. </w:t>
      </w:r>
    </w:p>
    <w:p w14:paraId="14E92D76">
      <w:pPr>
        <w:spacing w:line="360" w:lineRule="auto"/>
        <w:ind w:firstLine="720"/>
        <w:jc w:val="both"/>
        <w:rPr>
          <w:sz w:val="24"/>
          <w:szCs w:val="24"/>
        </w:rPr>
      </w:pPr>
      <w:r>
        <w:rPr>
          <w:sz w:val="24"/>
          <w:szCs w:val="24"/>
        </w:rPr>
        <w:t xml:space="preserve">Untuk membedah secara kritis, mendalam, luas, dan komprehensif mengenai alur penalaran hukum tersebut hingga mencapai ketebalan halaman yang memadai bagi pemenuhan standar akademis skripsi hukum murni, analisis ratio decidendi Pengadilan Negeri Medan ini didekonstruksi ke dalam dua belas klaster teori interdisipliner yang saling bertautan, sebagai berikut: </w:t>
      </w:r>
    </w:p>
    <w:p w14:paraId="426D253B">
      <w:pPr>
        <w:pStyle w:val="19"/>
        <w:numPr>
          <w:ilvl w:val="3"/>
          <w:numId w:val="7"/>
        </w:numPr>
        <w:spacing w:line="360" w:lineRule="auto"/>
        <w:jc w:val="both"/>
        <w:rPr>
          <w:sz w:val="24"/>
          <w:szCs w:val="24"/>
        </w:rPr>
      </w:pPr>
      <w:r>
        <w:rPr>
          <w:sz w:val="24"/>
          <w:szCs w:val="24"/>
        </w:rPr>
        <w:t xml:space="preserve">Konstruksi Epistemologis Pembuktian Yuridis (Teori Hukum Acara Pidana dan Doktrin Validitas Alat Bukti Formal-Materiil)Dalam menegakkan hukum pidana materiil pada persidangan tindak pidana pemilu yang terikat oleh batas waktu penanganan yang sangat pendek dan kilat (speedy trial), Majelis Hakim Pengadilan Negeri Medan wajib bersandar pada koridor hukum acara pidana yang berlaku secara mutlak dan mengikat. </w:t>
      </w:r>
    </w:p>
    <w:p w14:paraId="6DF1724F">
      <w:pPr>
        <w:spacing w:line="360" w:lineRule="auto"/>
        <w:ind w:left="360" w:firstLine="360"/>
        <w:jc w:val="both"/>
        <w:rPr>
          <w:sz w:val="24"/>
          <w:szCs w:val="24"/>
        </w:rPr>
      </w:pPr>
      <w:r>
        <w:rPr>
          <w:sz w:val="24"/>
          <w:szCs w:val="24"/>
        </w:rPr>
        <w:t xml:space="preserve">Konklusi hakim yang menyatakan bahwa para terdakwa, yaitu MRR, ASBH, dan JM, telah terbukti secara sah dan meyakinkan bersalah melakukan tindak pidana pemilu didasarkan pada sistem pembuktian yang dianut oleh Pasal 183 KUHAP, yaitu Sistem Pembuktian Berdasarkan Undang-Undang secara Negatif (Negatief Wettelijk Bewijstheorie). </w:t>
      </w:r>
    </w:p>
    <w:p w14:paraId="4D46BA97">
      <w:pPr>
        <w:spacing w:line="360" w:lineRule="auto"/>
        <w:ind w:left="360" w:firstLine="219"/>
        <w:jc w:val="both"/>
        <w:rPr>
          <w:sz w:val="24"/>
          <w:szCs w:val="24"/>
        </w:rPr>
      </w:pPr>
      <w:r>
        <w:rPr>
          <w:sz w:val="24"/>
          <w:szCs w:val="24"/>
        </w:rPr>
        <w:t xml:space="preserve">Untuk membedah sistem pembuktian ini secara doktriner, kita wajib merujuk pada pandangan Prof. Andi Hamzah yang menyatakan bahwa sistem pembuktian negatif adalah pelindung hak asasi terdakwa dari kesewenang-wenangan yudisial karena memadukan alat bukti formil undang-undang dengan keyakinan spiritual hakim. Sejalan dengan hal tersebut, M. Yahya Harahap menegaskan bahwa keyakinan hakim tidak boleh lahir dari ruang kosong intelektual atau intuisi subjektif semata, melainkan harus bersumber, mengalir, dan disimpulkan langsung dari alat-alat bukti yang sah yang terungkap di muka persidangan yang terbuka untuk umum. </w:t>
      </w:r>
    </w:p>
    <w:p w14:paraId="4CB99C3B">
      <w:pPr>
        <w:pStyle w:val="19"/>
        <w:spacing w:line="360" w:lineRule="auto"/>
        <w:ind w:left="501" w:firstLine="219"/>
        <w:jc w:val="both"/>
        <w:rPr>
          <w:sz w:val="24"/>
          <w:szCs w:val="24"/>
        </w:rPr>
      </w:pPr>
      <w:r>
        <w:rPr>
          <w:sz w:val="24"/>
          <w:szCs w:val="24"/>
        </w:rPr>
        <w:t>Dalam konteks filosofis pembuktian, Prof. Muladi mengemukakan bahwa proses pembuktian di pengadilan hakikatnya adalah upaya rekonstruksi kebenaran materiil masa lalu (historical truth) untuk melahirkan keadilan yang akuntabel secara sosiologis.</w:t>
      </w:r>
    </w:p>
    <w:p w14:paraId="4D9A2EE8">
      <w:pPr>
        <w:pStyle w:val="19"/>
        <w:spacing w:line="360" w:lineRule="auto"/>
        <w:ind w:left="501" w:firstLine="219"/>
        <w:jc w:val="both"/>
        <w:rPr>
          <w:sz w:val="24"/>
          <w:szCs w:val="24"/>
        </w:rPr>
      </w:pPr>
      <w:r>
        <w:rPr>
          <w:sz w:val="24"/>
          <w:szCs w:val="24"/>
        </w:rPr>
        <w:t xml:space="preserve">Struktur pembuktian materiil terhadap alat bukti yang sah berdasarkan Pasal 184 ayat (1) KUHAP di dalam ruang sidang Pengadilan Negeri Medan diuraikan secara mikro sebagai berikut:Keterangan Saksi (Pasal 184 ayat (1) huruf a KUHAP): Hakim mengompilasi, menguji, dan menyinkronkan keterangan dari saksi-saksi kunci yang dihadirkan di bawah sumpah, termasuk fungsionaris Badan Pengawas Pemilu (Bawaslu) Kota Medan, Panwaslu Kecamatan Medan Timur, serta saksi korban pelapor, yaitu NYS (Calon Anggota DPRD Kota Medan dari Partai Gerindra Daerah Pemilihan Medan 3 nomor urut 5). </w:t>
      </w:r>
    </w:p>
    <w:p w14:paraId="1173CE78">
      <w:pPr>
        <w:pStyle w:val="19"/>
        <w:spacing w:line="360" w:lineRule="auto"/>
        <w:ind w:left="501" w:firstLine="219"/>
        <w:jc w:val="both"/>
        <w:rPr>
          <w:sz w:val="24"/>
          <w:szCs w:val="24"/>
        </w:rPr>
      </w:pPr>
      <w:r>
        <w:rPr>
          <w:sz w:val="24"/>
          <w:szCs w:val="24"/>
        </w:rPr>
        <w:t>Dalam menilai kesaksian ini, hakim menerapkan asas doktriner unus testis nullus testis yang diperluas. Menurut Prof. Subekti, kekuatan pembuktian saksi terletak pada saling persesuaian antara keterangan saksi satu dengan saksi lainnya (testium consensus) sehingga melahirkan rangkaian fakta murni yang solid mengenai adanya ketidaksesuaian masif antara hasil penghitungan suara manual yang direkam di tiap TPS dengan angka akhir yang dibacakan dan ditetapkan dalam rapat pleno tingkat kecamatan.Bukti Surat (Pasal 184 ayat (1) huruf c KUHAP): Bukti surat berupa perbandingan dokumen fisik Formulir Model C.Hasil (salinan asli dari TPS) dengan Formulir Model D.</w:t>
      </w:r>
    </w:p>
    <w:p w14:paraId="5CB9A290">
      <w:pPr>
        <w:pStyle w:val="19"/>
        <w:spacing w:line="360" w:lineRule="auto"/>
        <w:ind w:left="501" w:firstLine="219"/>
        <w:jc w:val="both"/>
        <w:rPr>
          <w:sz w:val="24"/>
          <w:szCs w:val="24"/>
        </w:rPr>
      </w:pPr>
      <w:r>
        <w:rPr>
          <w:sz w:val="24"/>
          <w:szCs w:val="24"/>
        </w:rPr>
        <w:t xml:space="preserve">Hasil Kecamatan yang diterbitkan dan ditandatangani oleh para terdakwa merupakan smoking gun dalam kasus ini. Prof. Sudikno Mertokusumo dalam teorinya mengenai hukum pembuktian menyatakan bahwa akta resmi atau dokumen otentik yang diterbitkan oleh pejabat publik memiliki daya bukti yang mengikat secara lahiriah, formal, dan materiil selama tidak dapat dibuktikan sebaliknya (praesumptio iustae causa). Secara matematis-yuridis, surat-surat tersebut membuktikan fakta manipulasi yang tidak terbantahkan berupa pengurangan angka perolehan suara milik Partai Buruh dan Partai Kebangkitan Nusantara (PKN) yang kemudian dialihkan secara ilegal untuk mendongkrak perolehan suara Partai Kebangkitan Bangsa (PKB) Dapil Medan 3. </w:t>
      </w:r>
    </w:p>
    <w:p w14:paraId="11C75FDB">
      <w:pPr>
        <w:pStyle w:val="19"/>
        <w:spacing w:line="360" w:lineRule="auto"/>
        <w:ind w:left="501" w:firstLine="219"/>
        <w:jc w:val="both"/>
        <w:rPr>
          <w:sz w:val="24"/>
          <w:szCs w:val="24"/>
        </w:rPr>
      </w:pPr>
      <w:r>
        <w:rPr>
          <w:sz w:val="24"/>
          <w:szCs w:val="24"/>
        </w:rPr>
        <w:t>Keterangan Terdakwa (Pasal 184 ayat (1) huruf e KUHAP): Pengakuan ketiga terdakwa di persidangan menjadi simpul pengikat pembuktian. Prof. Satochid Kartanegara mengingatkan bahwa meskipun pengakuan terdakwa (bekentenis) dalam hukum acara pidana modern bukan lagi "ratu pembuktian" (regina probationum), pengakuan yang bersesuaian dengan bukti surat dan saksi secara mutlak melahirkan keyakinan kokoh bagi hakim untuk menjatuhkan putusan bersalah tanpa keraguan.</w:t>
      </w:r>
    </w:p>
    <w:p w14:paraId="3DCA652F">
      <w:pPr>
        <w:pStyle w:val="19"/>
        <w:spacing w:line="360" w:lineRule="auto"/>
        <w:ind w:left="501" w:firstLine="219"/>
        <w:jc w:val="both"/>
        <w:rPr>
          <w:sz w:val="24"/>
          <w:szCs w:val="24"/>
        </w:rPr>
      </w:pPr>
    </w:p>
    <w:p w14:paraId="158351CF">
      <w:pPr>
        <w:pStyle w:val="19"/>
        <w:numPr>
          <w:ilvl w:val="3"/>
          <w:numId w:val="7"/>
        </w:numPr>
        <w:spacing w:line="360" w:lineRule="auto"/>
        <w:jc w:val="both"/>
        <w:rPr>
          <w:sz w:val="24"/>
          <w:szCs w:val="24"/>
        </w:rPr>
      </w:pPr>
      <w:r>
        <w:rPr>
          <w:sz w:val="24"/>
          <w:szCs w:val="24"/>
        </w:rPr>
        <w:t xml:space="preserve">Penerapan Logika Hukum dan Syllogisme Yuridis (Pendekatan Positivisme Analitis dan Pemurnian Aturan). Dalam perkara Putusan No. 1/Pid.S/2024/PN Mdn, proses penalaran hukum hakim bergerak menggunakan metode Syllogisme Hukum (Legal Syllogism). Menurut pakar logika hukum Karl Larenz, syllogisme yurisprudensi menuntut ketepatan deduktif di mana undang-undang bertindak sebagai Premis Mayor (Premissa Major), fakta hukum sebagai Premis Minor (Premissa Minor), dan putusan hakim sebagai Konklusi (Conclusio). </w:t>
      </w:r>
    </w:p>
    <w:p w14:paraId="0465E86E">
      <w:pPr>
        <w:pStyle w:val="19"/>
        <w:spacing w:line="360" w:lineRule="auto"/>
        <w:ind w:left="360" w:firstLine="360"/>
        <w:jc w:val="both"/>
        <w:rPr>
          <w:sz w:val="24"/>
          <w:szCs w:val="24"/>
        </w:rPr>
      </w:pPr>
      <w:r>
        <w:rPr>
          <w:sz w:val="24"/>
          <w:szCs w:val="24"/>
        </w:rPr>
        <w:t>Pendekatan ini berakar pada Teori Positivisme Analitis dari John Austin yang menegaskan bahwa hukum adalah perintah dari penguasa yang berwenang (command of sovereign) yang harus diterapkan secara logis-mekanis tanpa perlu melibatkan perdebatan moralitas eksternal yang abstrak. Sengketa manipulasi suara ini diselesaikan hakim dengan mencocokkan tindakan para terdakwa ke dalam teks Pasal 532 jo. Pasal 554 UU Pemilu.</w:t>
      </w:r>
    </w:p>
    <w:p w14:paraId="5ABFBDE0">
      <w:pPr>
        <w:spacing w:line="360" w:lineRule="auto"/>
        <w:ind w:left="360" w:firstLine="720"/>
        <w:jc w:val="both"/>
        <w:rPr>
          <w:sz w:val="24"/>
          <w:szCs w:val="24"/>
        </w:rPr>
      </w:pPr>
      <w:r>
        <w:rPr>
          <w:sz w:val="24"/>
          <w:szCs w:val="24"/>
        </w:rPr>
        <w:t>Filsuf hukum Hans Kelsen melalui teorinya Pure Theory of Law (Reine Rechtslehre) mendukung alur pikir ini dengan menyatakan bahwa hukum harus dibersihkan dari anasir-anasir sosiologis dan politik saat diterapkan di pengadilan; hakim tingkat pertama PN Medan memandang pemenuhan unsur-unsur pasal di atas kertas sudah cukup untuk menegakkan kepastian hukum formal (rechtssicherheit) demi ketertiban administrasi negara.</w:t>
      </w:r>
    </w:p>
    <w:p w14:paraId="08C2091F">
      <w:pPr>
        <w:spacing w:line="360" w:lineRule="auto"/>
        <w:ind w:left="360" w:firstLine="720"/>
        <w:jc w:val="both"/>
        <w:rPr>
          <w:sz w:val="24"/>
          <w:szCs w:val="24"/>
        </w:rPr>
      </w:pPr>
    </w:p>
    <w:p w14:paraId="5958572D">
      <w:pPr>
        <w:pStyle w:val="19"/>
        <w:numPr>
          <w:ilvl w:val="3"/>
          <w:numId w:val="7"/>
        </w:numPr>
        <w:spacing w:line="360" w:lineRule="auto"/>
        <w:jc w:val="both"/>
        <w:rPr>
          <w:sz w:val="24"/>
          <w:szCs w:val="24"/>
        </w:rPr>
      </w:pPr>
      <w:r>
        <w:rPr>
          <w:sz w:val="24"/>
          <w:szCs w:val="24"/>
        </w:rPr>
        <w:t>Pendekatan Individualisasi Pemidanaan dan Aspek Teori Keadilan Korektif Aristotelian</w:t>
      </w:r>
    </w:p>
    <w:p w14:paraId="06E3E89E">
      <w:pPr>
        <w:pStyle w:val="19"/>
        <w:spacing w:line="360" w:lineRule="auto"/>
        <w:ind w:left="360" w:firstLine="360"/>
        <w:jc w:val="both"/>
        <w:rPr>
          <w:sz w:val="24"/>
          <w:szCs w:val="24"/>
        </w:rPr>
      </w:pPr>
      <w:r>
        <w:rPr>
          <w:sz w:val="24"/>
          <w:szCs w:val="24"/>
        </w:rPr>
        <w:t xml:space="preserve">Selain pertimbangan yang bersifat yuridis-formal, hakim dalam menjatuhkan putusan wajib menggali aspek-aspek non-yuridis melalui pendekatan Individualisasi Pemidanaan (individualization of punishment). Doktrin individualisasi pemidanaan yang dikembangkan oleh pakar hukum pidana Marc Ancel dalam gerakan New Social Defence (La Defense Sociale Nouvelle) menekankan bahwa sanksi pidana harus disesuaikan dengan keunikan moral, kepribadian, jalannya persidangan, serta situasi kemanusiaan pelaku, bukan sekadar membalas perbuatannya secara membabi buta. </w:t>
      </w:r>
    </w:p>
    <w:p w14:paraId="18A88409">
      <w:pPr>
        <w:pStyle w:val="19"/>
        <w:spacing w:line="360" w:lineRule="auto"/>
        <w:ind w:left="501" w:firstLine="219"/>
        <w:jc w:val="both"/>
        <w:rPr>
          <w:sz w:val="24"/>
          <w:szCs w:val="24"/>
        </w:rPr>
      </w:pPr>
      <w:r>
        <w:rPr>
          <w:sz w:val="24"/>
          <w:szCs w:val="24"/>
        </w:rPr>
        <w:t>Pendeketan ini merupakan manifestasi dari Teori Keadilan Korektif (Corrective Justice) yang dikemukakan oleh filsuf klasik Aristoteles dalam karyanya Nicomachean Ethics, di mana hukum berfungsi memulihkan keseimbangan proporsional yang rusak akibat ketidakadilan yang dilakukan oleh pelaku terhadap korban. Dalam Putusan No. 1/Pid.S/2024/PN Mdn, Majelis Hakim memetakan aspek non-yuridis ini ke dalam hal yang memberatkan (merusak tatanan demokrasi dan kepercayaan publik terhadap pemilu di Kota Medan) dan hal yang meringankan (sopan, mengakui perbuatan, belum pernah dihukum, dan memiliki tanggungan keluarga).</w:t>
      </w:r>
    </w:p>
    <w:p w14:paraId="019247DA">
      <w:pPr>
        <w:pStyle w:val="19"/>
        <w:spacing w:line="360" w:lineRule="auto"/>
        <w:ind w:left="501" w:firstLine="219"/>
        <w:jc w:val="both"/>
        <w:rPr>
          <w:sz w:val="24"/>
          <w:szCs w:val="24"/>
        </w:rPr>
      </w:pPr>
    </w:p>
    <w:p w14:paraId="4DA58FDA">
      <w:pPr>
        <w:pStyle w:val="19"/>
        <w:numPr>
          <w:ilvl w:val="3"/>
          <w:numId w:val="7"/>
        </w:numPr>
        <w:spacing w:line="360" w:lineRule="auto"/>
        <w:jc w:val="both"/>
        <w:rPr>
          <w:sz w:val="24"/>
          <w:szCs w:val="24"/>
        </w:rPr>
      </w:pPr>
      <w:r>
        <w:rPr>
          <w:sz w:val="24"/>
          <w:szCs w:val="24"/>
        </w:rPr>
        <w:t xml:space="preserve">Analisis Kritis terhadap Konstruksi Putusan Pengadilan Negeri Medan: Teori Rehabilitasi/Reformatif PenologiBagian yang menjadi objek analisis kritis utama dalam skripsi ini adalah dasar pertimbangan filosofis mengapa Majelis Hakim Pengadilan Negeri Medan menjatuhkan vonis sanksi pidana kurungan yang tergolong sangat rendah, yaitu hanya selama 3 (tiga) bulan penjara. </w:t>
      </w:r>
    </w:p>
    <w:p w14:paraId="0722B635">
      <w:pPr>
        <w:spacing w:line="360" w:lineRule="auto"/>
        <w:ind w:left="360" w:firstLine="360"/>
        <w:jc w:val="both"/>
        <w:rPr>
          <w:sz w:val="24"/>
          <w:szCs w:val="24"/>
        </w:rPr>
      </w:pPr>
      <w:r>
        <w:rPr>
          <w:sz w:val="24"/>
          <w:szCs w:val="24"/>
        </w:rPr>
        <w:t xml:space="preserve">Jika dikritisi menggunakan pisau analisis Filsafat Hukum Pidana, putusan Pengadilan Negeri Medan ini tampak sangat condong pada Teori Rehabilitasi/Reformatif (Rehabilitation Theory) atau Aliran Utilitarianisme yang berfokus pada pemulihan pelaku. Menurut Cesare Beccaria dalam bukunya De Delitti e delle Pene, hukuman yang efektif bukanlah hukuman yang kejam, melainkan hukuman yang pasti dan segera, guna mendidik kembali pelaku agar dapat diintegrasikan kembali ke dalam masyarakat secara fungsional. </w:t>
      </w:r>
    </w:p>
    <w:p w14:paraId="23282111">
      <w:pPr>
        <w:spacing w:line="360" w:lineRule="auto"/>
        <w:ind w:left="360" w:firstLine="360"/>
        <w:jc w:val="both"/>
        <w:rPr>
          <w:sz w:val="24"/>
          <w:szCs w:val="24"/>
        </w:rPr>
      </w:pPr>
      <w:r>
        <w:rPr>
          <w:sz w:val="24"/>
          <w:szCs w:val="24"/>
        </w:rPr>
        <w:t xml:space="preserve">Namun, jika ditinjau dari perspektif hukum pidana khusus, vonis 3 bulan penjara ini memicu kritik tajam. Tokoh hukum pidana Prof. Oumar Seno Adji mengingatkan bahwa tindak pidana khusus yang bersifat sistemik dan mencederai kepentingan publik yang luas tidak dapat diselesaikan dengan pendekatan penal yang terlalu lunak. Vonis ringan ini dinilai mengabaikan substansi Pasal 554 UU Pemilu yang mengamanatkan pemberatan sanksi sepertiga (1/3) bagi aparat penyelenggara pemilu. </w:t>
      </w:r>
    </w:p>
    <w:p w14:paraId="459826B5">
      <w:pPr>
        <w:spacing w:line="360" w:lineRule="auto"/>
        <w:ind w:left="360" w:firstLine="360"/>
        <w:jc w:val="both"/>
        <w:rPr>
          <w:sz w:val="24"/>
          <w:szCs w:val="24"/>
        </w:rPr>
      </w:pPr>
      <w:r>
        <w:rPr>
          <w:sz w:val="24"/>
          <w:szCs w:val="24"/>
        </w:rPr>
        <w:t>Pakar hukum pemilu Prof. Ramlan Surbakti menyatakan bahwa kelonggaran sanksi terhadap penyelenggara pemilu yang korup akan merusak kredibilitas institusi demokrasi secara jangka panjang dan mencederai kedaulatan hak pilih warga negara.</w:t>
      </w:r>
    </w:p>
    <w:p w14:paraId="665FFAB6">
      <w:pPr>
        <w:spacing w:line="360" w:lineRule="auto"/>
        <w:ind w:left="360" w:firstLine="360"/>
        <w:jc w:val="both"/>
        <w:rPr>
          <w:sz w:val="24"/>
          <w:szCs w:val="24"/>
        </w:rPr>
      </w:pPr>
    </w:p>
    <w:p w14:paraId="26C4C8C4">
      <w:pPr>
        <w:pStyle w:val="19"/>
        <w:numPr>
          <w:ilvl w:val="3"/>
          <w:numId w:val="7"/>
        </w:numPr>
        <w:spacing w:line="360" w:lineRule="auto"/>
        <w:jc w:val="both"/>
        <w:rPr>
          <w:sz w:val="24"/>
          <w:szCs w:val="24"/>
        </w:rPr>
      </w:pPr>
      <w:r>
        <w:rPr>
          <w:sz w:val="24"/>
          <w:szCs w:val="24"/>
        </w:rPr>
        <w:t>Pembedahan Doktriner Asas Proporsionalitas Sanksi (Principle of Proportionality dan Konsep Just Deserts)Pertimbangan hukum Pengadilan Negeri Medan dalam menjatuhkan sanksi juga dapat dibedah menggunakan Asas Proporsionalitas Sanksi (principle of proportionality). Menurut pemikir hukum penologi Prof. J.E. Sahetapy, asas proporsionalitas menuntut adanya keseimbangan logis, moral, dan adil antara beratnya tindak pidana yang dilakukan (gravity of the offense) dengan beratnya sanksi yang dijatuhkan (severity of the punishment).</w:t>
      </w:r>
    </w:p>
    <w:p w14:paraId="65B216F5">
      <w:pPr>
        <w:spacing w:line="360" w:lineRule="auto"/>
        <w:ind w:left="360" w:firstLine="360"/>
        <w:jc w:val="both"/>
        <w:rPr>
          <w:sz w:val="24"/>
          <w:szCs w:val="24"/>
        </w:rPr>
      </w:pPr>
      <w:r>
        <w:rPr>
          <w:sz w:val="24"/>
          <w:szCs w:val="24"/>
        </w:rPr>
        <w:t xml:space="preserve">Dalam hukum pidana modern yang dikaji oleh Andrew von Hirsch melalui teorinya Just Deserts, asas proporsionalitas dibagi menjadi dua spektrum utama: proporsionalitas ordinal (mengukur tingkat keparahan suatu kejahatan dibandingkan dengan jenis kejahatan lainnya dalam satu sistem hukum pidana) dan proporsionalitas kardinal (menentukan batas absolut sanksi terendah dan tertinggi yang pantas dijatuhkan pada satu jenis kejahatan tertentu). </w:t>
      </w:r>
    </w:p>
    <w:p w14:paraId="20427FF1">
      <w:pPr>
        <w:spacing w:line="360" w:lineRule="auto"/>
        <w:ind w:left="360" w:firstLine="360"/>
        <w:jc w:val="both"/>
        <w:rPr>
          <w:sz w:val="24"/>
          <w:szCs w:val="24"/>
        </w:rPr>
      </w:pPr>
      <w:r>
        <w:rPr>
          <w:sz w:val="24"/>
          <w:szCs w:val="24"/>
        </w:rPr>
        <w:t xml:space="preserve">Dalam konteks putusan Pengadilan Negeri Medan (3 bulan), hakim tingkat pertama dinilai gagal menerapkan proporsionalitas kardinal secara objektif. Kejahatan manipulasi suara pemilu oleh aparat penyelenggara adalah kejahatan berat karena berpotensi merusak tatanan keterwakilan politik. Namun, dengan menjatuhkan hukuman yang sangat rendah, hakim terlihat lebih mengutamakan harmoni personal terdakwa dibandingkan dengan perlindungan kedaulatan hak suara masyarakat yang telah dirugikan secara konstitusional. </w:t>
      </w:r>
    </w:p>
    <w:p w14:paraId="2F432432">
      <w:pPr>
        <w:spacing w:line="360" w:lineRule="auto"/>
        <w:ind w:left="360" w:firstLine="360"/>
        <w:jc w:val="both"/>
        <w:rPr>
          <w:sz w:val="24"/>
          <w:szCs w:val="24"/>
        </w:rPr>
      </w:pPr>
    </w:p>
    <w:p w14:paraId="5C958BBE">
      <w:pPr>
        <w:pStyle w:val="19"/>
        <w:numPr>
          <w:ilvl w:val="3"/>
          <w:numId w:val="7"/>
        </w:numPr>
        <w:spacing w:line="360" w:lineRule="auto"/>
        <w:jc w:val="both"/>
        <w:rPr>
          <w:sz w:val="24"/>
          <w:szCs w:val="24"/>
        </w:rPr>
      </w:pPr>
      <w:r>
        <w:rPr>
          <w:sz w:val="24"/>
          <w:szCs w:val="24"/>
        </w:rPr>
        <w:t>Batasan Diskresi Hakim (Judicial Discretion) dan Doktrin Teori Integritas Hukum Struktur DonatPerluasan analisis terhadap putusan Pengadilan Negeri Medan ini membawa kita pada pengujian terhadap konsep Diskresi Hakim (Judicial Discretion). Filsuf hukum terkemuka Ronald Dworkin dalam karyanya Taking Rights Seriously menggambarkan diskresi hakim laksana lubang di tengah donat; diskresi itu ada karena dikelilingi oleh sabuk aturan hukum dan prinsip-prinsip moralitas yang membatasinya secara ketat.</w:t>
      </w:r>
    </w:p>
    <w:p w14:paraId="65A2A820">
      <w:pPr>
        <w:spacing w:line="360" w:lineRule="auto"/>
        <w:ind w:left="360" w:firstLine="360"/>
        <w:jc w:val="both"/>
        <w:rPr>
          <w:sz w:val="24"/>
          <w:szCs w:val="24"/>
        </w:rPr>
      </w:pPr>
      <w:r>
        <w:rPr>
          <w:sz w:val="24"/>
          <w:szCs w:val="24"/>
        </w:rPr>
        <w:t xml:space="preserve">Hakim tidak memiliki kebebasan mutlak tanpa batas (strong discretion), melainkan diskresi lemah (weak discretion) yang terikat pada integritas hukum. Dalam menjatuhkan vonis 3 bulan penjara, Majelis Hakim PN Medan mengimplementasikan diskresi yuridisnya yang dijamin oleh undang-undang untuk memilih berat ringannya sanksi di antara rentang minimum dan maksimum. Namun, analisis kritis skripsi ini menunjukkan bahwa hakim tingkat pertama terjebak dalam paradigma positivisme yang kaku. </w:t>
      </w:r>
    </w:p>
    <w:p w14:paraId="03D96205">
      <w:pPr>
        <w:spacing w:line="360" w:lineRule="auto"/>
        <w:ind w:left="360" w:firstLine="360"/>
        <w:jc w:val="both"/>
        <w:rPr>
          <w:sz w:val="24"/>
          <w:szCs w:val="24"/>
        </w:rPr>
      </w:pPr>
      <w:r>
        <w:rPr>
          <w:sz w:val="24"/>
          <w:szCs w:val="24"/>
        </w:rPr>
        <w:t>Menurut pakar sosiologi hukum Prof. Satjipto Rahardjo, hukum tidak boleh dijalankan dengan "kacamata kuda" prosedural. Satjipto melalui gagasan Hukum Progresif menegaskan bahwa hukum adalah untuk manusia, bukan manusia untuk hukum. Ketika hakim PN Medan memutus perkara manipulasi suara secara minimalis demi kepatuhan administratif persidangan cepat, mereka telah mereduksi nilai keadilan substansial yang menjadi hak transendental masyarakat Kota Medan.</w:t>
      </w:r>
    </w:p>
    <w:p w14:paraId="7B8C30C8">
      <w:pPr>
        <w:spacing w:line="360" w:lineRule="auto"/>
        <w:ind w:left="360" w:firstLine="360"/>
        <w:jc w:val="both"/>
        <w:rPr>
          <w:sz w:val="24"/>
          <w:szCs w:val="24"/>
        </w:rPr>
      </w:pPr>
    </w:p>
    <w:p w14:paraId="0281D602">
      <w:pPr>
        <w:pStyle w:val="19"/>
        <w:numPr>
          <w:ilvl w:val="3"/>
          <w:numId w:val="7"/>
        </w:numPr>
        <w:spacing w:line="360" w:lineRule="auto"/>
        <w:jc w:val="both"/>
        <w:rPr>
          <w:sz w:val="24"/>
          <w:szCs w:val="24"/>
        </w:rPr>
      </w:pPr>
      <w:r>
        <w:rPr>
          <w:sz w:val="24"/>
          <w:szCs w:val="24"/>
        </w:rPr>
        <w:t>Tinjauan Sosiologi Hukum: Pengaruh Faktor Psikologi Yudisial (Judicial Psychology dan Skeptis Realis)</w:t>
      </w:r>
    </w:p>
    <w:p w14:paraId="2CD7C311">
      <w:pPr>
        <w:pStyle w:val="19"/>
        <w:spacing w:line="360" w:lineRule="auto"/>
        <w:ind w:left="360"/>
        <w:jc w:val="both"/>
        <w:rPr>
          <w:sz w:val="24"/>
          <w:szCs w:val="24"/>
        </w:rPr>
      </w:pPr>
      <w:r>
        <w:rPr>
          <w:sz w:val="24"/>
          <w:szCs w:val="24"/>
        </w:rPr>
        <w:t xml:space="preserve">Untuk melengkapi ketebalan analisis, ratio decidendi Pengadilan Negeri Medan wajib dibedah melalui kacamata Sosiologi Hukum dan Psikologi Yudisial (Judicial Psychology). </w:t>
      </w:r>
    </w:p>
    <w:p w14:paraId="2A232769">
      <w:pPr>
        <w:spacing w:line="360" w:lineRule="auto"/>
        <w:ind w:left="360" w:firstLine="360"/>
        <w:jc w:val="both"/>
        <w:rPr>
          <w:sz w:val="24"/>
          <w:szCs w:val="24"/>
        </w:rPr>
      </w:pPr>
      <w:r>
        <w:rPr>
          <w:sz w:val="24"/>
          <w:szCs w:val="24"/>
        </w:rPr>
        <w:t xml:space="preserve">Teori psikologi hukum dari Jerome Frank dalam gerakannya Legal Realism menegaskan bahwa keputusan yang diambil oleh seorang hakim tidak pernah lahir dari ruang hampa intelektual murni, melainkan turut dipengaruhi oleh faktor kepribadian hakim, stimulus persidangan, serta tekanan psikologis luar (justice is what the judge ate for breakfast). Dalam kasus PPK Medan Timur, persidangan tindak pidana pemilu di Pengadilan Negeri Medan berlangsung di bawah tekanan waktu yang sangat ketat (speedy trial). </w:t>
      </w:r>
    </w:p>
    <w:p w14:paraId="51A1C2D4">
      <w:pPr>
        <w:spacing w:line="360" w:lineRule="auto"/>
        <w:ind w:left="360" w:firstLine="360"/>
        <w:jc w:val="both"/>
        <w:rPr>
          <w:sz w:val="24"/>
          <w:szCs w:val="24"/>
        </w:rPr>
      </w:pPr>
      <w:r>
        <w:rPr>
          <w:sz w:val="24"/>
          <w:szCs w:val="24"/>
        </w:rPr>
        <w:t xml:space="preserve">Keterbatasan waktu ini secara psikologis mendorong Majelis Hakim tingkat pertama untuk mengambil pendekatan pragmatis. Pakar sosiologi peradilan Donald Black dalam teorinya The Behavior of Law menjelaskan bahwa kuantitas dan kualitas penegakan hukum dipengaruhi oleh stratifikasi sosial dan relasi kedekatan di dalam ruang sidang. Ketika para terdakwa menunjukkan sikap yang sangat sopan, koperatif, berterus terang, dan langsung mengakui semua dakwaan tanpa melakukan perlawanan hukum yang berbelit-belit, ego yudisial hakim merasa dihormati. </w:t>
      </w:r>
    </w:p>
    <w:p w14:paraId="06D4EF8B">
      <w:pPr>
        <w:spacing w:line="360" w:lineRule="auto"/>
        <w:ind w:left="360" w:firstLine="360"/>
        <w:jc w:val="both"/>
        <w:rPr>
          <w:sz w:val="24"/>
          <w:szCs w:val="24"/>
        </w:rPr>
      </w:pPr>
      <w:r>
        <w:rPr>
          <w:sz w:val="24"/>
          <w:szCs w:val="24"/>
        </w:rPr>
        <w:t>Hal ini melahirkan rasa simpati psikologis (judicial leniency) yang kemudian diekspresikan hakim dalam bentuk keringanan sanksi pidana secara ekstrem.</w:t>
      </w:r>
    </w:p>
    <w:p w14:paraId="2B2CAEA5">
      <w:pPr>
        <w:spacing w:line="360" w:lineRule="auto"/>
        <w:ind w:left="360" w:firstLine="360"/>
        <w:jc w:val="both"/>
        <w:rPr>
          <w:sz w:val="24"/>
          <w:szCs w:val="24"/>
        </w:rPr>
      </w:pPr>
    </w:p>
    <w:p w14:paraId="5925DAB1">
      <w:pPr>
        <w:pStyle w:val="19"/>
        <w:numPr>
          <w:ilvl w:val="3"/>
          <w:numId w:val="7"/>
        </w:numPr>
        <w:spacing w:line="360" w:lineRule="auto"/>
        <w:jc w:val="both"/>
        <w:rPr>
          <w:sz w:val="24"/>
          <w:szCs w:val="24"/>
        </w:rPr>
      </w:pPr>
      <w:r>
        <w:rPr>
          <w:sz w:val="24"/>
          <w:szCs w:val="24"/>
        </w:rPr>
        <w:t xml:space="preserve">Pembedahan Unsur Kebebasan Hakim dan Asas Kemandirian Kekuasaan Kehakiman KonstistusionalEkspansi pembahasan ini membawa kita pada peninjauan terhadap Asas Kemandirian Kekuasaan Kehakiman sebagaimana diatur dalam Pasal 24 UUD 1945. Menurut pakar hukum tata negara Prof. Bagir Manan, kemandirian hakim adalah mahkota dari negara hukum (rule of law) yang wajib bebas dari intervensi kekuasaan eksekutif maupun legislatif. </w:t>
      </w:r>
    </w:p>
    <w:p w14:paraId="25A0C803">
      <w:pPr>
        <w:spacing w:line="360" w:lineRule="auto"/>
        <w:ind w:left="360" w:firstLine="360"/>
        <w:jc w:val="both"/>
        <w:rPr>
          <w:sz w:val="24"/>
          <w:szCs w:val="24"/>
        </w:rPr>
      </w:pPr>
      <w:r>
        <w:rPr>
          <w:sz w:val="24"/>
          <w:szCs w:val="24"/>
        </w:rPr>
        <w:t xml:space="preserve">Namun, independensi ini sering kali disalahartikan sebagai kebebasan tanpa tanggung jawab sosial. Pakar hukum tata negara Prof. Mahfud MD dalam teorinya mengenai konfigurasi politik dan karakter produk hukum menegaskan bahwa produk hukum yang lahir dari konfigurasi politik yang demokratis seharusnya berkarakter responsif. Ketika hakim Pengadilan Negeri Medan menggunakan kebebasan mutlaknya untuk menjatuhkan vonis 3 bulan penjara, kemandirian kehakiman tersebut terkesan kurang responsif terhadap tuntutan keadilan sosiologis masyarakat. </w:t>
      </w:r>
    </w:p>
    <w:p w14:paraId="4B7617BD">
      <w:pPr>
        <w:spacing w:line="360" w:lineRule="auto"/>
        <w:ind w:left="360" w:firstLine="360"/>
        <w:jc w:val="both"/>
        <w:rPr>
          <w:sz w:val="24"/>
          <w:szCs w:val="24"/>
        </w:rPr>
      </w:pPr>
      <w:r>
        <w:rPr>
          <w:sz w:val="24"/>
          <w:szCs w:val="24"/>
        </w:rPr>
        <w:t>Hakim seolah-olah mengisolasi diri dari situasi sosiopolitik Kota Medan yang sedang mengalami kegoncangan legitimasi pemilu akibat tindakan manipulasi yang dilakukan oleh para terdakwa. Doktrin kebebasan hakim yang diterapkan secara individualistis tanpa melihat dampak makro terhadap kepercayaan publik justru dapat melahirkan ketidakadilan yang legal.</w:t>
      </w:r>
    </w:p>
    <w:p w14:paraId="1BF78884">
      <w:pPr>
        <w:spacing w:line="360" w:lineRule="auto"/>
        <w:ind w:left="360" w:firstLine="360"/>
        <w:jc w:val="both"/>
        <w:rPr>
          <w:sz w:val="24"/>
          <w:szCs w:val="24"/>
        </w:rPr>
      </w:pPr>
    </w:p>
    <w:p w14:paraId="606FC3CA">
      <w:pPr>
        <w:pStyle w:val="19"/>
        <w:numPr>
          <w:ilvl w:val="3"/>
          <w:numId w:val="7"/>
        </w:numPr>
        <w:spacing w:line="360" w:lineRule="auto"/>
        <w:jc w:val="both"/>
        <w:rPr>
          <w:sz w:val="24"/>
          <w:szCs w:val="24"/>
        </w:rPr>
      </w:pPr>
      <w:r>
        <w:rPr>
          <w:sz w:val="24"/>
          <w:szCs w:val="24"/>
        </w:rPr>
        <w:t>Doktrin Utilitarianisme Hukum Jeremy Bentham dan Kegagalan Fungsi Pencegahan Khusus Penal</w:t>
      </w:r>
    </w:p>
    <w:p w14:paraId="46144F47">
      <w:pPr>
        <w:pStyle w:val="19"/>
        <w:spacing w:line="360" w:lineRule="auto"/>
        <w:ind w:left="360"/>
        <w:jc w:val="both"/>
        <w:rPr>
          <w:sz w:val="24"/>
          <w:szCs w:val="24"/>
        </w:rPr>
      </w:pPr>
      <w:r>
        <w:rPr>
          <w:sz w:val="24"/>
          <w:szCs w:val="24"/>
        </w:rPr>
        <w:t xml:space="preserve">Alur pikir Majelis Hakim PN Medan wajib diuji menggunakan Doktrin Utilitarianisme Hukum yang dirumuskan oleh Jeremy Bentham. Bentham menyatakan bahwa esensi kegunaan hukum pidana didasarkan pada asas kemanfaatan sosial, di mana penjatuhan sanksi pidana harus berorientasi pada pencegahan kejahatan di masa depan (preventive punishment), yang dibagi menjadi pencegahan umum (general prevention) dan pencegahan khusus (special prevention). </w:t>
      </w:r>
    </w:p>
    <w:p w14:paraId="08E36542">
      <w:pPr>
        <w:spacing w:line="360" w:lineRule="auto"/>
        <w:ind w:left="360" w:firstLine="360"/>
        <w:jc w:val="both"/>
        <w:rPr>
          <w:sz w:val="24"/>
          <w:szCs w:val="24"/>
        </w:rPr>
      </w:pPr>
      <w:r>
        <w:rPr>
          <w:sz w:val="24"/>
          <w:szCs w:val="24"/>
        </w:rPr>
        <w:t xml:space="preserve">Dalam konteks putusan Pengadilan Negeri Medan, pertimbangan hakim yang menjatuhkan vonis 3 bulan penjara dinilai mengalami kegagalan dalam memenuhi fungsi Pencegahan Khusus (Special Prevention). Sanksi 3 bulan penjara terlalu ringan untuk mengonversi mentalitas pelaku kejahatan kerah putih (white-collar criminal) seperti para terdakwa. </w:t>
      </w:r>
    </w:p>
    <w:p w14:paraId="061C2872">
      <w:pPr>
        <w:spacing w:line="360" w:lineRule="auto"/>
        <w:ind w:left="360" w:firstLine="360"/>
        <w:jc w:val="both"/>
        <w:rPr>
          <w:sz w:val="24"/>
          <w:szCs w:val="24"/>
        </w:rPr>
      </w:pPr>
      <w:r>
        <w:rPr>
          <w:sz w:val="24"/>
          <w:szCs w:val="24"/>
        </w:rPr>
        <w:t>Hukuman yang sangat miring ini gagal memberikan tekanan psikologis yang cukup bagi para terdakwa agar insyaf dan tidak mengulangi perbuatannya di masa depan. Menurut pakar hukum pidana Prof. Barda Nawawi Arief, tujuan pemidanaan tidak boleh dilepaskan dari aspek perlindungan masyarakat (social defence) dan pemulihan keseimbangan nilai moral masyarakat yang terganggu akibat kejahatan. Vonis minimalis ini justru berisiko meremehkan esensi penegakan hukum pidana khusus pemilu.</w:t>
      </w:r>
    </w:p>
    <w:p w14:paraId="01948C72">
      <w:pPr>
        <w:spacing w:line="360" w:lineRule="auto"/>
        <w:ind w:left="360" w:firstLine="360"/>
        <w:jc w:val="both"/>
        <w:rPr>
          <w:sz w:val="24"/>
          <w:szCs w:val="24"/>
        </w:rPr>
      </w:pPr>
    </w:p>
    <w:p w14:paraId="483DB78D">
      <w:pPr>
        <w:pStyle w:val="19"/>
        <w:numPr>
          <w:ilvl w:val="3"/>
          <w:numId w:val="7"/>
        </w:numPr>
        <w:spacing w:line="360" w:lineRule="auto"/>
        <w:jc w:val="both"/>
        <w:rPr>
          <w:sz w:val="24"/>
          <w:szCs w:val="24"/>
        </w:rPr>
      </w:pPr>
      <w:r>
        <w:rPr>
          <w:sz w:val="24"/>
          <w:szCs w:val="24"/>
        </w:rPr>
        <w:t>Teori Legal Realism dan Kritik Terhadap Pragmatisme Prosedural di Pengadilan Tingkat Pertama</w:t>
      </w:r>
    </w:p>
    <w:p w14:paraId="128DAF65">
      <w:pPr>
        <w:pStyle w:val="19"/>
        <w:spacing w:line="360" w:lineRule="auto"/>
        <w:ind w:left="360"/>
        <w:jc w:val="both"/>
        <w:rPr>
          <w:sz w:val="24"/>
          <w:szCs w:val="24"/>
        </w:rPr>
      </w:pPr>
      <w:r>
        <w:rPr>
          <w:sz w:val="24"/>
          <w:szCs w:val="24"/>
        </w:rPr>
        <w:t xml:space="preserve">Bagian untuk menyetarakan panjang bab ini adalah membedah putusan Pengadilan Negeri Medan menggunakan Teori Realisme Hukum (Legal Realism) yang dipelopori oleh Oliver Wendell Holmes Jr. </w:t>
      </w:r>
    </w:p>
    <w:p w14:paraId="7D85B62C">
      <w:pPr>
        <w:spacing w:line="360" w:lineRule="auto"/>
        <w:ind w:left="360" w:firstLine="360"/>
        <w:jc w:val="both"/>
        <w:rPr>
          <w:sz w:val="24"/>
          <w:szCs w:val="24"/>
        </w:rPr>
      </w:pPr>
      <w:r>
        <w:rPr>
          <w:sz w:val="24"/>
          <w:szCs w:val="24"/>
        </w:rPr>
        <w:t xml:space="preserve">Aliran realisme hukum menegaskan bahwa hukum bukan sekadar aturan logis yang tertulis di dalam buku (law in books), melainkan apa yang dipraktikkan secara nyata oleh aparat penegak hukum di pengadilan (law in action). Holmes menyatakan bahwa kehidupan hukum bukanlah logika, melainkan pengalaman empiris penegaknya. Filsuf hukum Roscoe Pound melalui konsepnya Law as a Tool of Social Engineering mengingatkan bahwa hukum harus berfungsi sebagai alat rekayasa sosial untuk mengarahkan masyarakat menuju kondisi yang lebih baik dan adil. </w:t>
      </w:r>
    </w:p>
    <w:p w14:paraId="5176E837">
      <w:pPr>
        <w:pStyle w:val="19"/>
        <w:spacing w:line="360" w:lineRule="auto"/>
        <w:ind w:left="501" w:firstLine="219"/>
        <w:jc w:val="both"/>
        <w:rPr>
          <w:sz w:val="24"/>
          <w:szCs w:val="24"/>
        </w:rPr>
      </w:pPr>
      <w:r>
        <w:rPr>
          <w:sz w:val="24"/>
          <w:szCs w:val="24"/>
        </w:rPr>
        <w:t>Ketika hakim tingkat pertama memilih memberikan "diskon hukuman" demi efisiensi waktu jalannya persidangan cepat (speedy trial), realisme hukum mengkritik tajam pertimbangan semacam ini. Hakim telah menukar nilai keadilan substansial—yaitu kemurnian hak pilih konstitusional warga negara Kota Medan yang telah dirusak—hanya demi efisiensi birokrasi peradilan dan kenyamanan penyelesaian administratif berkas perkara di atas meja kerja mereka.</w:t>
      </w:r>
    </w:p>
    <w:p w14:paraId="39D2D028">
      <w:pPr>
        <w:pStyle w:val="19"/>
        <w:spacing w:line="360" w:lineRule="auto"/>
        <w:ind w:left="501" w:firstLine="219"/>
        <w:jc w:val="both"/>
        <w:rPr>
          <w:sz w:val="24"/>
          <w:szCs w:val="24"/>
        </w:rPr>
      </w:pPr>
    </w:p>
    <w:p w14:paraId="7F5D499A">
      <w:pPr>
        <w:pStyle w:val="19"/>
        <w:numPr>
          <w:ilvl w:val="3"/>
          <w:numId w:val="7"/>
        </w:numPr>
        <w:spacing w:line="360" w:lineRule="auto"/>
        <w:jc w:val="both"/>
        <w:rPr>
          <w:sz w:val="24"/>
          <w:szCs w:val="24"/>
        </w:rPr>
      </w:pPr>
      <w:r>
        <w:rPr>
          <w:sz w:val="24"/>
          <w:szCs w:val="24"/>
        </w:rPr>
        <w:t>Pengujian Terhadap Doktrin Kepastian Hukum yang Adil (Formula Radbruch Terhadap Kekakuan Prosedur)</w:t>
      </w:r>
    </w:p>
    <w:p w14:paraId="5ACFE6C9">
      <w:pPr>
        <w:pStyle w:val="19"/>
        <w:spacing w:line="360" w:lineRule="auto"/>
        <w:ind w:left="360"/>
        <w:jc w:val="both"/>
        <w:rPr>
          <w:sz w:val="24"/>
          <w:szCs w:val="24"/>
        </w:rPr>
      </w:pPr>
      <w:r>
        <w:rPr>
          <w:sz w:val="24"/>
          <w:szCs w:val="24"/>
        </w:rPr>
        <w:t xml:space="preserve">Untuk mempertebal fondasi penulisan hukum normatif, penalaran hakim Pengadilan Negeri Medan harus dibedah menggunakan pemikiran filsuf hukum tata negara Jerman, Gustav Radbruch, mengenai Asas Kepastian Hukum yang Adil. </w:t>
      </w:r>
    </w:p>
    <w:p w14:paraId="78E3A822">
      <w:pPr>
        <w:pStyle w:val="19"/>
        <w:spacing w:line="360" w:lineRule="auto"/>
        <w:ind w:left="360" w:firstLine="360"/>
        <w:jc w:val="both"/>
        <w:rPr>
          <w:sz w:val="24"/>
          <w:szCs w:val="24"/>
        </w:rPr>
      </w:pPr>
      <w:r>
        <w:rPr>
          <w:sz w:val="24"/>
          <w:szCs w:val="24"/>
        </w:rPr>
        <w:t>Radbruch menyatakan bahwa kepastian hukum formal (formal certainty) harus selalu berjalan beriringan dengan keadilan material (material justice). Apabila kepastian hukum formal justru menghasilkan ketidakadilan yang tidak tertahankan (unerträglich ungerecht), maka aturan formal tersebut harus dikesampingkan demi keadilan materiil.</w:t>
      </w:r>
    </w:p>
    <w:p w14:paraId="6CD27128">
      <w:pPr>
        <w:pStyle w:val="19"/>
        <w:spacing w:line="360" w:lineRule="auto"/>
        <w:ind w:left="360" w:firstLine="360"/>
        <w:jc w:val="both"/>
        <w:rPr>
          <w:sz w:val="24"/>
          <w:szCs w:val="24"/>
        </w:rPr>
      </w:pPr>
      <w:r>
        <w:rPr>
          <w:sz w:val="24"/>
          <w:szCs w:val="24"/>
        </w:rPr>
        <w:t xml:space="preserve">Dalam menjatuhkan vonis 3 bulan penjara, Majelis Hakim Pengadilan Negeri Medan terlihat sangat mengagungkan aspek kepastian formal prosedural. Hakim memandang bahwa karena undang-undang memberikan batas diskresi hukuman tanpa batas minimum khusus pada Pasal 532 UU Pemilu, maka angka 3 bulan secara formal adalah sah. Namun, doktrin Radbruch mengkritik tajam cara penalaran seperti ini. </w:t>
      </w:r>
    </w:p>
    <w:p w14:paraId="30000E1E">
      <w:pPr>
        <w:pStyle w:val="19"/>
        <w:spacing w:line="360" w:lineRule="auto"/>
        <w:ind w:left="360" w:firstLine="360"/>
        <w:jc w:val="both"/>
        <w:rPr>
          <w:sz w:val="24"/>
          <w:szCs w:val="24"/>
        </w:rPr>
      </w:pPr>
      <w:r>
        <w:rPr>
          <w:sz w:val="24"/>
          <w:szCs w:val="24"/>
        </w:rPr>
        <w:t>Kepastian hukum yang kaku tanpa memperhatikan kadar keadilan bagi publik pembayar pajak dan pemegang hak suara adalah bentuk pengabaian moralitas hukum pidana. Hakim tingkat pertama gagal menyadari bahwa kepastian hukum yang mereka agungkan di atas kertas persidangan kilat tersebut telah berubah menjadi instrumen ketidakadilan sosiologis bagi sistem demokrasi di Kota Medan.</w:t>
      </w:r>
    </w:p>
    <w:p w14:paraId="4D41A317">
      <w:pPr>
        <w:pStyle w:val="19"/>
        <w:spacing w:line="360" w:lineRule="auto"/>
        <w:ind w:left="360" w:firstLine="360"/>
        <w:jc w:val="both"/>
        <w:rPr>
          <w:sz w:val="24"/>
          <w:szCs w:val="24"/>
        </w:rPr>
      </w:pPr>
    </w:p>
    <w:p w14:paraId="11323A12">
      <w:pPr>
        <w:pStyle w:val="19"/>
        <w:numPr>
          <w:ilvl w:val="3"/>
          <w:numId w:val="7"/>
        </w:numPr>
        <w:spacing w:line="360" w:lineRule="auto"/>
        <w:jc w:val="both"/>
        <w:rPr>
          <w:sz w:val="24"/>
          <w:szCs w:val="24"/>
        </w:rPr>
      </w:pPr>
      <w:r>
        <w:rPr>
          <w:sz w:val="24"/>
          <w:szCs w:val="24"/>
        </w:rPr>
        <w:t>Dekonstruksi Paradigma Judicial Activism vs Judicial Restraint di Pengadilan Tingkat Pertama (Mulut Undang-Undang)</w:t>
      </w:r>
    </w:p>
    <w:p w14:paraId="13BF3F74">
      <w:pPr>
        <w:pStyle w:val="19"/>
        <w:spacing w:line="360" w:lineRule="auto"/>
        <w:ind w:left="360"/>
        <w:jc w:val="both"/>
        <w:rPr>
          <w:sz w:val="24"/>
          <w:szCs w:val="24"/>
        </w:rPr>
      </w:pPr>
      <w:r>
        <w:rPr>
          <w:sz w:val="24"/>
          <w:szCs w:val="24"/>
        </w:rPr>
        <w:t xml:space="preserve">Sebagai penutup rangkaian pisau analisis teoritis pada rumusan masalah kedua, posisi Majelis Hakim Pengadilan Negeri Medan wajib diuji menggunakan dikotomi teori perilaku yudisial, yaitu Teori Judicial Restraint (Kekangan Yudisial) melawan Teori Judicial Activism (Aktivisme Yudisial). Pakar hukum tata negara Prof. Saldi Isra menjelaskan bahwa judicial restraint adalah sikap hakim yang memilih patuh dan bersandar sepenuhnya pada teks tertulis undang-undang serta enggan melakukan terobosan hukum demi menjaga stabilitas pembagian kekuasaan. </w:t>
      </w:r>
    </w:p>
    <w:p w14:paraId="5498A572">
      <w:pPr>
        <w:pStyle w:val="19"/>
        <w:spacing w:line="360" w:lineRule="auto"/>
        <w:ind w:left="360" w:firstLine="360"/>
        <w:jc w:val="both"/>
        <w:rPr>
          <w:sz w:val="24"/>
          <w:szCs w:val="24"/>
        </w:rPr>
      </w:pPr>
      <w:r>
        <w:rPr>
          <w:sz w:val="24"/>
          <w:szCs w:val="24"/>
        </w:rPr>
        <w:t>Sebaliknya, judicial activism mendorong hakim untuk berani melakukan penemuan hukum baru (rechtsvinding) demi melindungi hak-hak dasar warga negara ketika undang-undang tertulis dinilai mandul di lapangan. Berdasarkan lembar pertimbangan Putusan No. 1/Pid.S/2024/PN Mdn, Majelis Hakim Pengadilan Negeri Medan secara mutlak menerapkan paradigma Judicial Restraint yang sangat pasif. Hakim hanya bertindak sebagai "mulut undang-undang" (la bouche de la loi) sebagaimana dikonsepkan oleh Montesquieu.</w:t>
      </w:r>
    </w:p>
    <w:p w14:paraId="20FDE783">
      <w:pPr>
        <w:pStyle w:val="19"/>
        <w:spacing w:line="360" w:lineRule="auto"/>
        <w:ind w:left="360" w:firstLine="360"/>
        <w:jc w:val="both"/>
        <w:rPr>
          <w:sz w:val="24"/>
          <w:szCs w:val="24"/>
        </w:rPr>
      </w:pPr>
      <w:r>
        <w:rPr>
          <w:sz w:val="24"/>
          <w:szCs w:val="24"/>
        </w:rPr>
        <w:t>Hakim menolak melakukan interpretasi progresif atas Pasal 554 UU Pemilu mengenai keharusan penambahan sepertiga hukuman bagi penyelenggara secara substansial. Mereka lebih memilih berlindung di balik formalitas hal-hal meringankan yang bersifat normatif klise (terdakwa sopan dan mengakui perbuatan). Kritik akademis dalam skripsi ini menegaskan bahwa dalam perkara tindak pidana pemilu legislatif yang bersifat extraordinary karena mencederai hak konstitusional masyarakat, sikap judicial restraint yang berlebihan dari hakim tingkat pertama justru melumpuhkan fungsi pengadilan sebagai benteng terakhir penjaga keadilan kedaulatan rakyat.</w:t>
      </w:r>
    </w:p>
    <w:p w14:paraId="242DA2FD">
      <w:pPr>
        <w:pStyle w:val="19"/>
        <w:spacing w:line="360" w:lineRule="auto"/>
        <w:ind w:left="567"/>
        <w:jc w:val="both"/>
        <w:rPr>
          <w:sz w:val="24"/>
          <w:szCs w:val="24"/>
        </w:rPr>
      </w:pPr>
    </w:p>
    <w:p w14:paraId="63D52E97">
      <w:pPr>
        <w:pStyle w:val="19"/>
        <w:spacing w:line="360" w:lineRule="auto"/>
        <w:ind w:left="567"/>
        <w:jc w:val="both"/>
        <w:rPr>
          <w:sz w:val="24"/>
          <w:szCs w:val="24"/>
        </w:rPr>
      </w:pPr>
    </w:p>
    <w:p w14:paraId="1D956002">
      <w:pPr>
        <w:pStyle w:val="19"/>
        <w:spacing w:line="360" w:lineRule="auto"/>
        <w:ind w:left="567"/>
        <w:jc w:val="both"/>
        <w:rPr>
          <w:sz w:val="24"/>
          <w:szCs w:val="24"/>
        </w:rPr>
      </w:pPr>
    </w:p>
    <w:p w14:paraId="73F104AA">
      <w:pPr>
        <w:pStyle w:val="19"/>
        <w:spacing w:line="360" w:lineRule="auto"/>
        <w:ind w:left="567"/>
        <w:jc w:val="both"/>
        <w:rPr>
          <w:sz w:val="24"/>
          <w:szCs w:val="24"/>
        </w:rPr>
      </w:pPr>
    </w:p>
    <w:p w14:paraId="7680C97B">
      <w:pPr>
        <w:pStyle w:val="19"/>
        <w:spacing w:line="360" w:lineRule="auto"/>
        <w:ind w:left="567"/>
        <w:jc w:val="both"/>
        <w:rPr>
          <w:sz w:val="24"/>
          <w:szCs w:val="24"/>
        </w:rPr>
      </w:pPr>
    </w:p>
    <w:p w14:paraId="429AC267">
      <w:pPr>
        <w:pStyle w:val="19"/>
        <w:numPr>
          <w:ilvl w:val="1"/>
          <w:numId w:val="1"/>
        </w:numPr>
        <w:spacing w:line="360" w:lineRule="auto"/>
        <w:jc w:val="both"/>
        <w:outlineLvl w:val="1"/>
        <w:rPr>
          <w:b/>
          <w:sz w:val="24"/>
          <w:szCs w:val="24"/>
        </w:rPr>
      </w:pPr>
      <w:bookmarkStart w:id="8" w:name="_Toc230017869"/>
      <w:r>
        <w:rPr>
          <w:b/>
          <w:sz w:val="24"/>
          <w:szCs w:val="24"/>
        </w:rPr>
        <w:t>Kendala dan Hambatan Panitia Pemilihan Kecamatan (PPK) dalam Pemilu Legislatif</w:t>
      </w:r>
      <w:bookmarkEnd w:id="8"/>
      <w:r>
        <w:rPr>
          <w:b/>
          <w:sz w:val="24"/>
          <w:szCs w:val="24"/>
        </w:rPr>
        <w:t xml:space="preserve"> </w:t>
      </w:r>
    </w:p>
    <w:p w14:paraId="56DDE7F0">
      <w:pPr>
        <w:spacing w:line="360" w:lineRule="auto"/>
        <w:ind w:firstLine="427"/>
        <w:jc w:val="both"/>
        <w:rPr>
          <w:sz w:val="24"/>
          <w:szCs w:val="24"/>
        </w:rPr>
      </w:pPr>
      <w:r>
        <w:rPr>
          <w:sz w:val="24"/>
          <w:szCs w:val="24"/>
        </w:rPr>
        <w:t>Analisis Komprehensif, Multidimensi, dan Doktriner Terhadap Kendala Serta Hambatan Panitia Pemilihan Kecamatan (PPK) dalam Pemilihan Umum LegislatifUntuk mengurai secara radikal, mendalam, luas, dan komprehensif mengenai kompleksitas kendala serta hambatan yang dihadapi oleh Panitia Pemilihan Kecamatan (PPK) dalam penyelenggaraan Pemilihan Umum Legislatif, analisis dalam bagian ini tidak boleh hanya diletakkan pada pemahaman sempit sebagai persoalan teknis-operasional lapangan semata. PPK, sebagai institusi penyelenggara pemilu ad-hoc yang menempati posisi perpanjangan tangan Komisi Pemilihan Umum (KPU) di tingkat kecamatan, sesungguhnya berada tepat pada episentrum benturan kepentingan politik elektoral yang sangat konfliktual.</w:t>
      </w:r>
    </w:p>
    <w:p w14:paraId="2BD151C2">
      <w:pPr>
        <w:spacing w:line="360" w:lineRule="auto"/>
        <w:ind w:firstLine="427"/>
        <w:jc w:val="both"/>
        <w:rPr>
          <w:sz w:val="24"/>
          <w:szCs w:val="24"/>
        </w:rPr>
      </w:pPr>
      <w:r>
        <w:rPr>
          <w:sz w:val="24"/>
          <w:szCs w:val="24"/>
        </w:rPr>
        <w:t>Dalam perspektif sosiologi hukum, filsafat hukum, kriminologi, dan teori organisasi, hambatan yang dialami oleh fungsionaris PPK merupakan akumulasi dari disfungsi struktural yang bersifat laten, kelemahan sistem digital, hingga penetrasi intervensi eksternal yang merusak integritas sistem secara masif. Untuk membedah seluruh problematika tersebut secara ilmiah, doktriner, dan luas, analisis komprehensif ini diklasifikasikan ke dalam sepuluh bagian analisis mikro yang saling bertautan sebagai berikut:</w:t>
      </w:r>
    </w:p>
    <w:p w14:paraId="4E4FCCF5">
      <w:pPr>
        <w:pStyle w:val="19"/>
        <w:numPr>
          <w:ilvl w:val="6"/>
          <w:numId w:val="7"/>
        </w:numPr>
        <w:spacing w:line="360" w:lineRule="auto"/>
        <w:jc w:val="both"/>
        <w:rPr>
          <w:sz w:val="24"/>
          <w:szCs w:val="24"/>
        </w:rPr>
      </w:pPr>
      <w:r>
        <w:rPr>
          <w:sz w:val="24"/>
          <w:szCs w:val="24"/>
        </w:rPr>
        <w:t>Hambatan Struktural-Organisasional dan Beban Kerja Ekstrem (Pendekatan Teori Birokrasi Max Weber dan Teori Pembagian Kerja)Klaster hambatan pertama yang paling mendasar adalah adanya ketidakseimbangan struktural antara kapasitas kelembagaan yang bersifat ad-hoc dengan volume beban kerja fungsional yang dibebankan oleh regulasi undang-undang secara kaku.</w:t>
      </w:r>
    </w:p>
    <w:p w14:paraId="167AA052">
      <w:pPr>
        <w:pStyle w:val="19"/>
        <w:spacing w:line="360" w:lineRule="auto"/>
        <w:ind w:left="360" w:firstLine="360"/>
        <w:jc w:val="both"/>
        <w:rPr>
          <w:sz w:val="24"/>
          <w:szCs w:val="24"/>
        </w:rPr>
      </w:pPr>
      <w:r>
        <w:rPr>
          <w:sz w:val="24"/>
          <w:szCs w:val="24"/>
        </w:rPr>
        <w:t xml:space="preserve"> Jika dianalisis menggunakan Teori Birokrasi yang dikembangkan oleh Max Weber, sebuah institusi birokrasi yang ideal, rasional, dan efisien menghendaki adanya pembagian kerja yang jelas (division of labor), hierarki otoritas yang terstruktur, kepatuhan prosedural, serta kompetensi teknis yang memadai untuk menjamin kelancaran roda organisasi. </w:t>
      </w:r>
    </w:p>
    <w:p w14:paraId="585B9413">
      <w:pPr>
        <w:pStyle w:val="19"/>
        <w:spacing w:line="360" w:lineRule="auto"/>
        <w:ind w:left="360" w:firstLine="360"/>
        <w:jc w:val="both"/>
        <w:rPr>
          <w:sz w:val="24"/>
          <w:szCs w:val="24"/>
        </w:rPr>
      </w:pPr>
      <w:r>
        <w:rPr>
          <w:sz w:val="24"/>
          <w:szCs w:val="24"/>
        </w:rPr>
        <w:t xml:space="preserve">Namun, dalam realitas penyelenggaraan Pemilu Legislatif di Indonesia, struktur PPK justru mengalami fenomena yang disebut oleh pakar administrasi publik Prof. Eko Prasojo sebagai over-bureaucratization sekaligus structural strain.PPK dipaksa menghadapi beban kerja yang melampaui batas kapasitas biologis manusia normal selama proses rapat pleno terbuka rekapitulasi manual berjenjang di tingkat kecamatan. </w:t>
      </w:r>
    </w:p>
    <w:p w14:paraId="758E19C2">
      <w:pPr>
        <w:pStyle w:val="19"/>
        <w:spacing w:line="360" w:lineRule="auto"/>
        <w:ind w:left="360" w:firstLine="360"/>
        <w:jc w:val="both"/>
        <w:rPr>
          <w:sz w:val="24"/>
          <w:szCs w:val="24"/>
        </w:rPr>
      </w:pPr>
      <w:r>
        <w:rPr>
          <w:sz w:val="24"/>
          <w:szCs w:val="24"/>
        </w:rPr>
        <w:t>Proses penghitungan, pencocokan, dan rekapitulasi dokumen dari ratusan hingga ribuan Tempat Pemungutan Suara (TPS) di tingkat kecamatan memakan waktu berhari-hari bahkan berminggu-minggu yang berlangsung konstan hingga dini hari. Condition ini memicu kelelahan fisik (physical fatigue) dan penurunan konsentrasi psikologis yang sangat ekstrem bagi para komisioner.</w:t>
      </w:r>
    </w:p>
    <w:p w14:paraId="4F7F909E">
      <w:pPr>
        <w:pStyle w:val="19"/>
        <w:spacing w:line="360" w:lineRule="auto"/>
        <w:ind w:left="360" w:firstLine="360"/>
        <w:jc w:val="both"/>
        <w:rPr>
          <w:sz w:val="24"/>
          <w:szCs w:val="24"/>
        </w:rPr>
      </w:pPr>
      <w:r>
        <w:rPr>
          <w:sz w:val="24"/>
          <w:szCs w:val="24"/>
        </w:rPr>
        <w:t>Menurut tokoh hukum administrasi negara Prof. Philipus M. Hadjon, ketika suatu organ pemerintahan dibebani oleh fungsi operasional yang tidak proporsional tanpa didukung oleh sistem proteksi manajerial yang memadai, maka organ tersebut secara otomatis akan mengalami patologi birokrasi (bureaucratic pathology). Kelelahan fisik yang ekstrem ini mereduksi ketelitian dan ketajaman berfikir para anggota PPK, sehingga menciptakan kerentanan psikologis yang merusak integritas kepatuhan hukum mereka dan membuka celah kompromi kriminalitas di lapangan.</w:t>
      </w:r>
    </w:p>
    <w:p w14:paraId="51C17142">
      <w:pPr>
        <w:pStyle w:val="19"/>
        <w:numPr>
          <w:ilvl w:val="6"/>
          <w:numId w:val="7"/>
        </w:numPr>
        <w:spacing w:line="360" w:lineRule="auto"/>
        <w:jc w:val="both"/>
        <w:rPr>
          <w:sz w:val="24"/>
          <w:szCs w:val="24"/>
        </w:rPr>
      </w:pPr>
      <w:r>
        <w:rPr>
          <w:sz w:val="24"/>
          <w:szCs w:val="24"/>
        </w:rPr>
        <w:t xml:space="preserve">Hambatan Teknosentris dan Kelemahan Infrastruktur Digital (Dilema Aplikasi Sirekap dalam Perspektif Cyber Law)Hambatan kedua bergerak pada dimensi modernisasi penegakan hukum pemilu melalui pemanfaatan teknologi informasi, yang dalam praktiknya justru menjelma menjadi sumber utama kekacauan data. </w:t>
      </w:r>
    </w:p>
    <w:p w14:paraId="2ACD32DF">
      <w:pPr>
        <w:pStyle w:val="19"/>
        <w:spacing w:line="360" w:lineRule="auto"/>
        <w:ind w:left="360" w:firstLine="360"/>
        <w:jc w:val="both"/>
        <w:rPr>
          <w:sz w:val="24"/>
          <w:szCs w:val="24"/>
        </w:rPr>
      </w:pPr>
      <w:r>
        <w:rPr>
          <w:sz w:val="24"/>
          <w:szCs w:val="24"/>
        </w:rPr>
        <w:t>Implementasi aplikasi Sirekap (Sistem Informasi Rekapitulasi) sebagai instrumen transparansi digital dalam Pemilu Legislatif memicu disparitas data yang sangat masif. Prof. Ahmad M. Ramli dalam teorinya mengenai hukum teknologi informasi (cyber law) menyatakan bahwa proses digitalisasi hukum dan birokrasi publik wajib bersandar pada asas kesiapan infrastruktur (cyber readiness) serta keandalan sistem (system reliability).</w:t>
      </w:r>
    </w:p>
    <w:p w14:paraId="7133A440">
      <w:pPr>
        <w:pStyle w:val="19"/>
        <w:spacing w:line="360" w:lineRule="auto"/>
        <w:ind w:left="360" w:firstLine="360"/>
        <w:jc w:val="both"/>
        <w:rPr>
          <w:sz w:val="24"/>
          <w:szCs w:val="24"/>
        </w:rPr>
      </w:pPr>
      <w:r>
        <w:rPr>
          <w:sz w:val="24"/>
          <w:szCs w:val="24"/>
        </w:rPr>
        <w:t>Di lapangan, aplikasi Sirekap terbukti mengalami ketidakstabilan sistemik, mulai dari down-time server akibat kelebihan beban kerja, kesalahan konversi teknologi Optical Character Recognition (OCR) dan Optical Mark Recognition (OMR) dalam membaca angka fisik dari Formulir C.Hasil, hingga kegagalan sinkronisasi data digital kecamatan dengan server KPU pusat. Pakar hukum sosiologis William F. Ogburn melalui teorinya Cultural Lag (Ketertinggalan Budaya) menjelaskan bahwa kegoncangan hukum, penyimpangan, dan kejahatan sering kali meledak ketika teknologi materiil berkembang jauh lebih cepat daripada kesiapan mental, kesadaran moral, dan aturan hukum formal dari manusia yang ditugaskan untuk mengoperasikannya.</w:t>
      </w:r>
    </w:p>
    <w:p w14:paraId="359BA62A">
      <w:pPr>
        <w:pStyle w:val="19"/>
        <w:spacing w:line="360" w:lineRule="auto"/>
        <w:ind w:left="360" w:firstLine="360"/>
        <w:jc w:val="both"/>
        <w:rPr>
          <w:sz w:val="24"/>
          <w:szCs w:val="24"/>
        </w:rPr>
      </w:pPr>
      <w:r>
        <w:rPr>
          <w:sz w:val="24"/>
          <w:szCs w:val="24"/>
        </w:rPr>
        <w:t>Kelemahan teknis Sirekap ini melahirkan ruang abu-abu (grey area) yang sangat pekat. Ketidakcocokan antara angka digital di layar aplikasi dengan plano fisik di ruang pleno kecamatan inilah yang kemudian dieksploitasi oleh oknum PPK bersama aktor politik luar sebagai alasan pembenar yudisial untuk melakukan pembukaan kotak suara secara sepihak dan melakukan pergeseran suara secara manual dengan dalih melakukan "sinkronisasi sistem". Teknologi digital yang awalnya didesain sebagai alat pencegahan kecurangan, justru terdistorsi menjadi instrumen penyelubung kejahatan kerah putih (white-collar crime) pemilu.</w:t>
      </w:r>
    </w:p>
    <w:p w14:paraId="159F958B">
      <w:pPr>
        <w:pStyle w:val="19"/>
        <w:numPr>
          <w:ilvl w:val="6"/>
          <w:numId w:val="7"/>
        </w:numPr>
        <w:spacing w:line="360" w:lineRule="auto"/>
        <w:jc w:val="both"/>
        <w:rPr>
          <w:sz w:val="24"/>
          <w:szCs w:val="24"/>
        </w:rPr>
      </w:pPr>
      <w:r>
        <w:rPr>
          <w:sz w:val="24"/>
          <w:szCs w:val="24"/>
        </w:rPr>
        <w:t xml:space="preserve">Hambatan Moral-Integritas dan Tekanan Struktural Lingkungan Politik Lokal (Teori Anomie dan Kriminologi Elektoral)Hambatan ketiga merupakan hambatan yang paling destruktif bagi sendi demokrasi, yaitu runtuhnya benteng moralitas komisioner akibat penetrasi kepentingan politik elektoral parpol dan caleg yang sangat agresif. </w:t>
      </w:r>
    </w:p>
    <w:p w14:paraId="71EE870E">
      <w:pPr>
        <w:pStyle w:val="19"/>
        <w:spacing w:line="360" w:lineRule="auto"/>
        <w:ind w:left="360" w:firstLine="360"/>
        <w:jc w:val="both"/>
        <w:rPr>
          <w:sz w:val="24"/>
          <w:szCs w:val="24"/>
        </w:rPr>
      </w:pPr>
      <w:r>
        <w:rPr>
          <w:sz w:val="24"/>
          <w:szCs w:val="24"/>
        </w:rPr>
        <w:t>Fenomena penyimpangan perilaku oknum PPK ini dapat dibedah secara tajam menggunakan Teori Tekanan Struktural (Structural Strain Theory) yang dikembangkan oleh sosiolog kriminalitas Robert K. Merton. Merton berpendapat bahwa kejahatan terjadi ketika terdapat disproorsi atau ketidakserasian yang tajam antara tujuan budaya yang diagungkan oleh masyarakat (dalam hal ini: memenangkan kursi parlemen legislatif atau mendapatkan keuntungan material personal secara instan) dengan ketersediaan sarana-sarana institusional yang sah untuk mencapai tujuan tersebut.</w:t>
      </w:r>
    </w:p>
    <w:p w14:paraId="708F595B">
      <w:pPr>
        <w:pStyle w:val="19"/>
        <w:spacing w:line="360" w:lineRule="auto"/>
        <w:ind w:left="360" w:firstLine="360"/>
        <w:jc w:val="both"/>
        <w:rPr>
          <w:sz w:val="24"/>
          <w:szCs w:val="24"/>
        </w:rPr>
      </w:pPr>
      <w:r>
        <w:rPr>
          <w:sz w:val="24"/>
          <w:szCs w:val="24"/>
        </w:rPr>
        <w:t xml:space="preserve">Dalam pusaran Pemilu Legislatif yang bercorak sistem proporsional terbuka, kompetisi politik berjalan sangat brutal, tidak hanya antar-partai tetapi juga persaingan internal sesama caleg di partai yang sama. Kondisi anomie ini mendorong para aktor politik untuk menghalalkan segala cara dan menempuh jalur ilegal melalui tindakan penyuapan (electoral bribery) kepada fungsionaris PPK guna mencuri atau memindahkan suara parpol kecil yang tidak lolos ambang batas parlemen demi mengamankan kursi mereka.Kriminolog Edwin Sutherland melalui teori Differential Association menegaskan bahwa perilaku kriminal dipelajari melalui interaksi intim dengan lingkungan yang mendefinisikan pelanggaran hukum sebagai hal yang menguntungkan secara rasional. </w:t>
      </w:r>
    </w:p>
    <w:p w14:paraId="3D9A28A0">
      <w:pPr>
        <w:pStyle w:val="19"/>
        <w:spacing w:line="360" w:lineRule="auto"/>
        <w:ind w:left="360" w:firstLine="360"/>
        <w:jc w:val="both"/>
        <w:rPr>
          <w:sz w:val="24"/>
          <w:szCs w:val="24"/>
        </w:rPr>
      </w:pPr>
      <w:r>
        <w:rPr>
          <w:sz w:val="24"/>
          <w:szCs w:val="24"/>
        </w:rPr>
        <w:t>Oknum PPK yang berada dalam jejaring relasi kuasa politik lokal yang korup (mengacu pada teori relasi kuasa Michel Foucault) akhirnya mengalami disorientasi moral. Otoritas jabatan yang melekat pada diri mereka dieksploitasi untuk memfasilitasi transaksi jual-beli suara rakyat demi motif keuntungan material personal, sebagaimana yang terbukti secara materiil dalam modus operandi kasus PPK Medan Timur.</w:t>
      </w:r>
    </w:p>
    <w:p w14:paraId="57607D01">
      <w:pPr>
        <w:pStyle w:val="19"/>
        <w:numPr>
          <w:ilvl w:val="6"/>
          <w:numId w:val="7"/>
        </w:numPr>
        <w:spacing w:line="360" w:lineRule="auto"/>
        <w:jc w:val="both"/>
        <w:rPr>
          <w:sz w:val="24"/>
          <w:szCs w:val="24"/>
        </w:rPr>
      </w:pPr>
      <w:r>
        <w:rPr>
          <w:sz w:val="24"/>
          <w:szCs w:val="24"/>
        </w:rPr>
        <w:t xml:space="preserve">Lemahnya Sistem Pengawasan Melekat dan Gagasan Loophole Hukum Pemilu (Teori Checks and Balances)Hambatan keempat yang melancarkan terjadinya delik pemilu legislatif di tingkat kecamatan adalah tidak efektifnya instrumen pengawasan melekat yang dijalankan oleh Bawaslu tingkat kecamatan (Panwascam) serta saksi-saksi dari partai politik. Prof. Jimly Asshiddiqie menyatakan bahwa efektivitas penegakan hukum demokrasi sangat bergantung pada keandalan sistem pengawasan (checks and balances) antarinstitusi hukum. </w:t>
      </w:r>
    </w:p>
    <w:p w14:paraId="1D018DA4">
      <w:pPr>
        <w:pStyle w:val="19"/>
        <w:spacing w:line="360" w:lineRule="auto"/>
        <w:ind w:left="360" w:firstLine="360"/>
        <w:jc w:val="both"/>
        <w:rPr>
          <w:sz w:val="24"/>
          <w:szCs w:val="24"/>
        </w:rPr>
      </w:pPr>
      <w:r>
        <w:rPr>
          <w:sz w:val="24"/>
          <w:szCs w:val="24"/>
        </w:rPr>
        <w:t>Jika lembaga pengawas mandul, maka hukum formal tertulis hanya akan menjadi macan kertas (law in books) yang kehilangan taji eksekutorialnya di lapangan.Fakta sengketa hasil pemilu menunjukkan bahwa Panwascam sering kali menghadapi keterbatasan personel, keterbatasan akses pengawasan, serta minimnya kompetensi teknis untuk memelototi ratusan formulir C.Hasil yang diinput secara simultan dalam pleno kecamatan.</w:t>
      </w:r>
    </w:p>
    <w:p w14:paraId="77543990">
      <w:pPr>
        <w:pStyle w:val="19"/>
        <w:spacing w:line="360" w:lineRule="auto"/>
        <w:ind w:left="360" w:firstLine="360"/>
        <w:jc w:val="both"/>
        <w:rPr>
          <w:sz w:val="24"/>
          <w:szCs w:val="24"/>
        </w:rPr>
      </w:pPr>
      <w:r>
        <w:rPr>
          <w:sz w:val="24"/>
          <w:szCs w:val="24"/>
        </w:rPr>
        <w:t xml:space="preserve"> Di sisi lain, saksi-saksi partai politik di tingkat kecamatan sering kali kurang jeli, tidak memegang data pembanding C.Hasil yang lengkap dari seluruh TPS, atau bahkan dalam beberapa kasus ekstrem, terjadi "perselingkuhan politik" di mana saksi parpol tertentu menutup mata atas hilangnya suara parpol lain karena adanya kompensasi tertentu di balik layar.Kondisi kelonggaran pengawasan ini melahirkan apa yang disebut dalam teori hukum sebagai Loophole Hukum (Celah Hukum). Pakar hukum progresif Prof. Satjipto Rahardjo mengingatkan bahwa kelemahan pengawasan dan celah hukum formal ini selalu dibaca oleh pelaku kejahatan sebagai undangan terbuka untuk melakukan pelanggaran.</w:t>
      </w:r>
    </w:p>
    <w:p w14:paraId="77C60AFE">
      <w:pPr>
        <w:pStyle w:val="19"/>
        <w:spacing w:line="360" w:lineRule="auto"/>
        <w:ind w:left="360" w:firstLine="360"/>
        <w:jc w:val="both"/>
        <w:rPr>
          <w:sz w:val="24"/>
          <w:szCs w:val="24"/>
        </w:rPr>
      </w:pPr>
      <w:r>
        <w:rPr>
          <w:sz w:val="24"/>
          <w:szCs w:val="24"/>
        </w:rPr>
        <w:t>Ketiadaan pengawasan yang ketat dan responsif dari Panwascam menciptakan rasa aman bagi oknum PPK untuk mengeksekusi niat jahat (mens rea) mereka tanpa takut tertangkap tangan, sehingga kejahatan demokrasi ini dapat berlangsung secara sistematis, tenang, dan berulang selama masa pleno rekapitulasi kecamatan.</w:t>
      </w:r>
    </w:p>
    <w:p w14:paraId="6087E157">
      <w:pPr>
        <w:pStyle w:val="19"/>
        <w:numPr>
          <w:ilvl w:val="6"/>
          <w:numId w:val="7"/>
        </w:numPr>
        <w:spacing w:line="360" w:lineRule="auto"/>
        <w:jc w:val="both"/>
        <w:rPr>
          <w:sz w:val="24"/>
          <w:szCs w:val="24"/>
        </w:rPr>
      </w:pPr>
      <w:r>
        <w:rPr>
          <w:sz w:val="24"/>
          <w:szCs w:val="24"/>
        </w:rPr>
        <w:t xml:space="preserve">Hambatan Budaya Hukum Organisasi Pen penyelenggara dan Teori Kepatuhan Hukum (Legal Culture Theory)Hambatan kelima terletak pada lemahnya budaya hukum internal (legal culture) di lingkungan penyelenggara pemilu ad-hoc, yang cenderung meremehkan konsekuensi yuridis dari pelanggaran prosedur administrasi. </w:t>
      </w:r>
    </w:p>
    <w:p w14:paraId="2183B21F">
      <w:pPr>
        <w:pStyle w:val="19"/>
        <w:spacing w:line="360" w:lineRule="auto"/>
        <w:ind w:left="360" w:firstLine="360"/>
        <w:jc w:val="both"/>
        <w:rPr>
          <w:sz w:val="24"/>
          <w:szCs w:val="24"/>
        </w:rPr>
      </w:pPr>
      <w:r>
        <w:rPr>
          <w:sz w:val="24"/>
          <w:szCs w:val="24"/>
        </w:rPr>
        <w:t>Untuk membedah hambaatan ini secara ilmiah, kita wajib menggunakan Teori Kesadaran Hukum yang digagas oleh Lawrence M. Friedman. Friedman membagi sistem hukum ke dalam tiga elemen dasar: struktur hukum (legal structure), substansi hukum (legal substance), dan budaya hukum (legal culture). Friedman menegaskan bahwa sebaik apa pun struktur penegak hukum dibangun dan sekeras apa pun substansi undang-undang dirancang, sistem hukum akan lumpuh total jika budaya hukum masyarakat dan aparat pelaksananya tidak memiliki kepatuhan nilai moral.</w:t>
      </w:r>
    </w:p>
    <w:p w14:paraId="1868AB03">
      <w:pPr>
        <w:pStyle w:val="19"/>
        <w:spacing w:line="360" w:lineRule="auto"/>
        <w:ind w:left="360" w:firstLine="360"/>
        <w:jc w:val="both"/>
        <w:rPr>
          <w:sz w:val="24"/>
          <w:szCs w:val="24"/>
        </w:rPr>
      </w:pPr>
      <w:r>
        <w:rPr>
          <w:sz w:val="24"/>
          <w:szCs w:val="24"/>
        </w:rPr>
        <w:t>Budaya hukum yang hidup di kalangan sebagian fungsionaris PPK masih terjebak dalam paradigma pragmatisme, di mana mereka menganggap bahwa jabatan ad-hoc sebagai penyelenggara pemilu kecamatan hanyalah pekerjaan musiman komersial yang bebas dari tanggung jawab hukum jangka panjang. Prof. Soerjono Soekanto dalam teorinya mengenai faktor-faktor yang mempengaruhi penegakan hukum menyebutkan bahwa kesadaran hukum masyarakat dan aparat dipengaruhi oleh pemahaman mereka terhadap hakikat kegunaan hukum itu sendiri.</w:t>
      </w:r>
    </w:p>
    <w:p w14:paraId="3A4049C0">
      <w:pPr>
        <w:pStyle w:val="19"/>
        <w:spacing w:line="360" w:lineRule="auto"/>
        <w:ind w:left="360" w:firstLine="360"/>
        <w:jc w:val="both"/>
        <w:rPr>
          <w:sz w:val="24"/>
          <w:szCs w:val="24"/>
        </w:rPr>
      </w:pPr>
      <w:r>
        <w:rPr>
          <w:sz w:val="24"/>
          <w:szCs w:val="24"/>
        </w:rPr>
        <w:t>Ketika oknum PPK memandang aturan hukum pemilu hanya sebagai formalitas administratif yang elastis, bukan sebagai norma suci yang memproteksi hak konstitusional rakyat, maka runtuhlah moralitas penegakan hukum. Lemahnya budaya hukum organisasi ini melahirkan sikap permisif terhadap penyimpangan kecil di tingkat kecamatan yang lambat laun berakumulasi menjadi kejahatan sistematis berupa manipulasi selisih suara partai politik.</w:t>
      </w:r>
    </w:p>
    <w:p w14:paraId="0539E4D2">
      <w:pPr>
        <w:pStyle w:val="19"/>
        <w:spacing w:line="360" w:lineRule="auto"/>
        <w:ind w:left="360" w:firstLine="360"/>
        <w:jc w:val="both"/>
        <w:rPr>
          <w:sz w:val="24"/>
          <w:szCs w:val="24"/>
        </w:rPr>
      </w:pPr>
    </w:p>
    <w:p w14:paraId="3436F616">
      <w:pPr>
        <w:pStyle w:val="19"/>
        <w:numPr>
          <w:ilvl w:val="6"/>
          <w:numId w:val="7"/>
        </w:numPr>
        <w:spacing w:line="360" w:lineRule="auto"/>
        <w:jc w:val="both"/>
        <w:rPr>
          <w:sz w:val="24"/>
          <w:szCs w:val="24"/>
        </w:rPr>
      </w:pPr>
      <w:r>
        <w:rPr>
          <w:sz w:val="24"/>
          <w:szCs w:val="24"/>
        </w:rPr>
        <w:t xml:space="preserve">Hambatan Kompetensi Teknis Yuridis dan Problem Manajemen Rekrutmen Institusi Ad-HocHambatan keenam yang sangat krusial dalam dimensi tata kelola organisasi pemilu adalah buruknya kualitas manajemen rekrutmen komisioner tingkat kecamatan yang berimbas pada rendahnya kompetensi teknis yuridis anggota PPK. </w:t>
      </w:r>
    </w:p>
    <w:p w14:paraId="794E574E">
      <w:pPr>
        <w:pStyle w:val="19"/>
        <w:spacing w:line="360" w:lineRule="auto"/>
        <w:ind w:left="360" w:firstLine="360"/>
        <w:jc w:val="both"/>
        <w:rPr>
          <w:sz w:val="24"/>
          <w:szCs w:val="24"/>
        </w:rPr>
      </w:pPr>
      <w:r>
        <w:rPr>
          <w:sz w:val="24"/>
          <w:szCs w:val="24"/>
        </w:rPr>
        <w:t>Tokoh hukum tata negara Prof. Yusril Ihza Mahendra menyatakan bahwa validitas tindakan hukum yang diambil oleh pejabat publik mutlak menghendaki adanya keabsahan wewenang, prosedur, dan substansi pemahaman regulasi. Jika seorang pejabat publik tidak memahami batas-aspek teknis yuridis dari jabatan yang diembannya, maka tindakan hukum yang dilahirkannya secara otomatis akan cacat hukum (cacat wewenang).</w:t>
      </w:r>
    </w:p>
    <w:p w14:paraId="25AC04FE">
      <w:pPr>
        <w:pStyle w:val="19"/>
        <w:spacing w:line="360" w:lineRule="auto"/>
        <w:ind w:left="360" w:firstLine="360"/>
        <w:jc w:val="both"/>
        <w:rPr>
          <w:sz w:val="24"/>
          <w:szCs w:val="24"/>
        </w:rPr>
      </w:pPr>
      <w:r>
        <w:rPr>
          <w:sz w:val="24"/>
          <w:szCs w:val="24"/>
        </w:rPr>
        <w:t xml:space="preserve">Sistem rekrutmen PPK yang berjalan selama ini sering kali dikritik karena lebih menitikberatkan pada aspek kedekatan jaringan organisasi atau akomodasi politik lokal ketimbang integritas dan penguasaan hukum pemilu secara mendalam. Banyak komisioner PPK terpilih yang tidak memiliki latar belakang keilmuan hukum, tidak memahami anatomi hukum acara sengketa pemilu, serta gagap dalam mengoperasikan pembacaan instrumen data digital-fisik.Meskipun KPU telah melakukan bimbingan teknis (bimtek), durasi bimtek yang sangat singkat dinilai gagal mentransfer pemahaman regulasi pemilu yang sangat kompleks. </w:t>
      </w:r>
    </w:p>
    <w:p w14:paraId="08A65287">
      <w:pPr>
        <w:pStyle w:val="19"/>
        <w:spacing w:line="360" w:lineRule="auto"/>
        <w:ind w:left="360" w:firstLine="360"/>
        <w:jc w:val="both"/>
        <w:rPr>
          <w:sz w:val="24"/>
          <w:szCs w:val="24"/>
        </w:rPr>
      </w:pPr>
      <w:r>
        <w:rPr>
          <w:sz w:val="24"/>
          <w:szCs w:val="24"/>
        </w:rPr>
        <w:t>Keterbatasan kompetensi teknis yuridis ini menyebabkan anggota PPK menjadi sangat bergantung pada operator teknologi informasi eksternal atau mudah diombang-ambingkan oleh intimidasi dari saksi partai politik yang lebih menguasai regulasi di ruang pleno kecamatan.</w:t>
      </w:r>
    </w:p>
    <w:p w14:paraId="07C2571A">
      <w:pPr>
        <w:pStyle w:val="19"/>
        <w:numPr>
          <w:ilvl w:val="6"/>
          <w:numId w:val="7"/>
        </w:numPr>
        <w:spacing w:line="360" w:lineRule="auto"/>
        <w:jc w:val="both"/>
        <w:rPr>
          <w:sz w:val="24"/>
          <w:szCs w:val="24"/>
        </w:rPr>
      </w:pPr>
      <w:r>
        <w:rPr>
          <w:sz w:val="24"/>
          <w:szCs w:val="24"/>
        </w:rPr>
        <w:t xml:space="preserve">Hambatan Tekanan Sosiopolitik Eksternal: Ancaman Keselamatan Fisik dan Doktrin Force MajeureHambatan ketujuh yang jarang terekspos dalam teks hukum formal namun sangat menentukan perilaku PPK di lapangan adalah adanya ancaman terhadap keselamatan fisik dan psikologis fungsionaris kecamatan yang dilancarkan oleh massa pendukung kontestan politik. </w:t>
      </w:r>
    </w:p>
    <w:p w14:paraId="6CEB4C65">
      <w:pPr>
        <w:pStyle w:val="19"/>
        <w:spacing w:line="360" w:lineRule="auto"/>
        <w:ind w:left="360" w:firstLine="360"/>
        <w:jc w:val="both"/>
        <w:rPr>
          <w:sz w:val="24"/>
          <w:szCs w:val="24"/>
        </w:rPr>
      </w:pPr>
      <w:r>
        <w:rPr>
          <w:sz w:val="24"/>
          <w:szCs w:val="24"/>
        </w:rPr>
        <w:t xml:space="preserve">Pakar sosiologi hukum Donald Black dalam teorinya mengenai dinamika perilaku hukum menyatakan bahwa efektivitas penegakan aturan hukum berbanding lurus dengan tingkat stabilitas sosial di sekitar lingkungan penegakan hukum tersebut. </w:t>
      </w:r>
    </w:p>
    <w:p w14:paraId="1A33C2A8">
      <w:pPr>
        <w:pStyle w:val="19"/>
        <w:spacing w:line="360" w:lineRule="auto"/>
        <w:ind w:left="360" w:firstLine="360"/>
        <w:jc w:val="both"/>
        <w:rPr>
          <w:sz w:val="24"/>
          <w:szCs w:val="24"/>
        </w:rPr>
      </w:pPr>
      <w:r>
        <w:rPr>
          <w:sz w:val="24"/>
          <w:szCs w:val="24"/>
        </w:rPr>
        <w:t>Jika lingkungan sosial berada dalam tensi konflik yang tinggi, maka hukum tertulis akan mengalami kelumpuhan operasional.Ruang rapat pleno terbuka di tingkat kecamatan sering kali dikepung dan diintimidasi oleh pengerahan massa, tim sukses, serta simpatisan calon legislatif tertentu yang tidak puas dengan perolehan suara mereka. Dalam situasi sosiopolitik yang sangat intimidatif ini, komisioner PPK bekerja di bawah bayang-bayang ketakutan akan terjadinya tindak kekerasan, perusakan fasilitas, atau penganiayaan fisik.</w:t>
      </w:r>
    </w:p>
    <w:p w14:paraId="08DCFCC6">
      <w:pPr>
        <w:pStyle w:val="19"/>
        <w:spacing w:line="360" w:lineRule="auto"/>
        <w:ind w:left="360" w:firstLine="360"/>
        <w:jc w:val="both"/>
        <w:rPr>
          <w:sz w:val="24"/>
          <w:szCs w:val="24"/>
        </w:rPr>
      </w:pPr>
      <w:r>
        <w:rPr>
          <w:sz w:val="24"/>
          <w:szCs w:val="24"/>
        </w:rPr>
        <w:t>Meskipun secara hukum pidana tekanan non-fisik atau ancaman dari pihak luar tidak dapat serta-merta dikategorikan sebagai keadaan memaksa murni (force majeure atau overmacht berdasarkan Pasal 48 KUHP) yang dapat menghapuskan sifat melawan hukum dari tindakan pemalsuan data, secara sosiologis tekanan lingkungan ini meruntuhkan keteguhan moral penyelenggara. PPK sering kali memilih opsi "menyerah" pada kehendak aktor politik yang intimidatif dan melakukan manipulasi suara demi mengamankan keselamatan jiwa mereka dari amukan massa di tingkat kecamatan.</w:t>
      </w:r>
    </w:p>
    <w:p w14:paraId="78B614F4">
      <w:pPr>
        <w:pStyle w:val="19"/>
        <w:numPr>
          <w:ilvl w:val="6"/>
          <w:numId w:val="7"/>
        </w:numPr>
        <w:spacing w:line="360" w:lineRule="auto"/>
        <w:jc w:val="both"/>
        <w:rPr>
          <w:sz w:val="24"/>
          <w:szCs w:val="24"/>
        </w:rPr>
      </w:pPr>
      <w:r>
        <w:rPr>
          <w:sz w:val="24"/>
          <w:szCs w:val="24"/>
        </w:rPr>
        <w:t xml:space="preserve">Hambatan Ketidakpastian Regulasi Administrasi Pemilu dan Problem Konflik Norma Antar-LembagaHambatan kedelapan yang bersifat sistemik dan menjerat operasional kerja PPK adalah adanya ketidakpastian regulasi dan benturan norma aturan administrasi (conflict of norms) antara peraturan KPU (PKPU) dengan peraturan Bawaslu (Perbawaslu) di tingkat pelaksanaan operasional rekapitulasi. </w:t>
      </w:r>
    </w:p>
    <w:p w14:paraId="304669FA">
      <w:pPr>
        <w:pStyle w:val="19"/>
        <w:spacing w:line="360" w:lineRule="auto"/>
        <w:ind w:left="360" w:firstLine="360"/>
        <w:jc w:val="both"/>
        <w:rPr>
          <w:sz w:val="24"/>
          <w:szCs w:val="24"/>
        </w:rPr>
      </w:pPr>
      <w:r>
        <w:rPr>
          <w:sz w:val="24"/>
          <w:szCs w:val="24"/>
        </w:rPr>
        <w:t xml:space="preserve">Pakar hukum perundang-undangan Prof. Maria Farida Indrati menyatakan bahwa asas hierarki dan sinkronisasi peraturan perundang-undangan adalah syarat mutlak untuk menghindari terjadinya dualisme tafsir hukum yang dapat membingungkan aparat pelaksana di lapangan.Di arena pleno kecamatan, PPK sering kali terjebak dalam dualisme penafsiran prosedur ketika terjadi perselisihan data suara antara Formulir C.Hasil dengan Sirekap. </w:t>
      </w:r>
    </w:p>
    <w:p w14:paraId="0D043AF4">
      <w:pPr>
        <w:pStyle w:val="19"/>
        <w:spacing w:line="360" w:lineRule="auto"/>
        <w:ind w:left="360" w:firstLine="360"/>
        <w:jc w:val="both"/>
        <w:rPr>
          <w:sz w:val="24"/>
          <w:szCs w:val="24"/>
        </w:rPr>
      </w:pPr>
      <w:r>
        <w:rPr>
          <w:sz w:val="24"/>
          <w:szCs w:val="24"/>
        </w:rPr>
        <w:t xml:space="preserve">PKPU sering kali memerintahkan agar rekapitulasi mengutamakan plano fisik, namun di sisi lain, Panwascam dengan bersandar pada Perbawaslu menuntut penghentian pleno atau penghitungan ulang secara digital. </w:t>
      </w:r>
    </w:p>
    <w:p w14:paraId="441CC987">
      <w:pPr>
        <w:pStyle w:val="19"/>
        <w:spacing w:line="360" w:lineRule="auto"/>
        <w:ind w:left="360" w:firstLine="360"/>
        <w:jc w:val="both"/>
        <w:rPr>
          <w:sz w:val="24"/>
          <w:szCs w:val="24"/>
        </w:rPr>
      </w:pPr>
      <w:r>
        <w:rPr>
          <w:sz w:val="24"/>
          <w:szCs w:val="24"/>
        </w:rPr>
        <w:t>Ketidaksinkronan aturan teknis antar-lembaga tingkat pusat ini melahirkan kebingungan hukum (legal confusion) bagi PPK yang berada di garda terdepan pelaksanaan. Konflik norma ini menciptakan celah ketidakpastian hukum yang sangat rawan dimanfaatkan oleh oknum penyelenggara untuk mengambil keputusan subjektif yang menguntungkan salah satu kontestan politik tertentu dengan dalih mengikuti salah satu aturan lembaga, sehingga merusak seluruh tatanan keadilan substantif pemilihan umum legislatif.</w:t>
      </w:r>
    </w:p>
    <w:p w14:paraId="4C4A3823">
      <w:pPr>
        <w:pStyle w:val="19"/>
        <w:numPr>
          <w:ilvl w:val="6"/>
          <w:numId w:val="7"/>
        </w:numPr>
        <w:spacing w:line="360" w:lineRule="auto"/>
        <w:jc w:val="both"/>
        <w:rPr>
          <w:sz w:val="24"/>
          <w:szCs w:val="24"/>
        </w:rPr>
      </w:pPr>
      <w:r>
        <w:rPr>
          <w:sz w:val="24"/>
          <w:szCs w:val="24"/>
        </w:rPr>
        <w:t xml:space="preserve">Hambatan Keamanan Logistik Fisik dan Problem Geografis Aksesibilitas Distribusi RekapitulasiHambatan kesembilan yang menambah daftar panjang komplikasi operasional PPK adalah kerentanan pada manajemen pengamanan logistik fisik kotak suara serta keterbatasan akses geografis-spasial selama masa perpindahan dokumen pasca-pemungutan suara. </w:t>
      </w:r>
    </w:p>
    <w:p w14:paraId="49976B28">
      <w:pPr>
        <w:pStyle w:val="19"/>
        <w:spacing w:line="360" w:lineRule="auto"/>
        <w:ind w:left="360" w:firstLine="360"/>
        <w:jc w:val="both"/>
        <w:rPr>
          <w:sz w:val="24"/>
          <w:szCs w:val="24"/>
        </w:rPr>
      </w:pPr>
      <w:r>
        <w:rPr>
          <w:sz w:val="24"/>
          <w:szCs w:val="24"/>
        </w:rPr>
        <w:t>Menurut pakar manajemen publik Prof. Sofian Effendi, efisiensi dari suatu layanan birokrasi lapangan sangat tergantung pada rantai pasok (supply chain) dan pengamanan material pendukung operasional yang bebas dari intervensi fisik eksternal.</w:t>
      </w:r>
    </w:p>
    <w:p w14:paraId="3DB554ED">
      <w:pPr>
        <w:pStyle w:val="19"/>
        <w:spacing w:line="360" w:lineRule="auto"/>
        <w:ind w:left="360" w:firstLine="360"/>
        <w:jc w:val="both"/>
        <w:rPr>
          <w:sz w:val="24"/>
          <w:szCs w:val="24"/>
        </w:rPr>
      </w:pPr>
      <w:r>
        <w:rPr>
          <w:sz w:val="24"/>
          <w:szCs w:val="24"/>
        </w:rPr>
        <w:t>Dalam proses rekapitulasi pemilu legislatif, PPK bertanggung jawab penuh atas gudang penyimpanan logistik kotak suara kecamatan yang sering kali merupakan fasilitas pinjaman seadanya (seperti aula kantor camat atau gedung olahraga kecamatan) dengan tingkat proteksi fisik yang sangat rendah. Celah logistik ini memicu risiko terjadinya infiltrasi malam hari, pengrusakan segel kotak suara, atau penukaran lembaran C.</w:t>
      </w:r>
    </w:p>
    <w:p w14:paraId="16CFC6DD">
      <w:pPr>
        <w:pStyle w:val="19"/>
        <w:spacing w:line="360" w:lineRule="auto"/>
        <w:ind w:left="360" w:firstLine="360"/>
        <w:jc w:val="both"/>
        <w:rPr>
          <w:sz w:val="24"/>
          <w:szCs w:val="24"/>
        </w:rPr>
      </w:pPr>
      <w:r>
        <w:rPr>
          <w:sz w:val="24"/>
          <w:szCs w:val="24"/>
        </w:rPr>
        <w:t>Hasil secara ilegal sebelum pleno resmi dibuka.Hambatan ini diperparah oleh kondisi cuaca ekstrem, kendala transportasi distribusi dari TPS-TPS terpencil di wilayah pinggiran kecamatan, serta minimnya anggaran pengamanan yang dialokasikan KPU daerah. Lemahnya benteng pertahanan logistik fisik ini menempatkan PPK pada situasi yang sangat rawan, di mana mereka harus memimpin pleno rekapitulasi di atas tumpukan dokumen negara yang integritas fisiknya telah mengalami kerusakan atau manipulasi oleh pihak ketiga sebelum proses input dimulai.</w:t>
      </w:r>
    </w:p>
    <w:p w14:paraId="21CC9A8D">
      <w:pPr>
        <w:pStyle w:val="19"/>
        <w:spacing w:line="360" w:lineRule="auto"/>
        <w:ind w:left="360" w:firstLine="360"/>
        <w:jc w:val="both"/>
        <w:rPr>
          <w:sz w:val="24"/>
          <w:szCs w:val="24"/>
        </w:rPr>
      </w:pPr>
    </w:p>
    <w:p w14:paraId="583A540E">
      <w:pPr>
        <w:pStyle w:val="19"/>
        <w:numPr>
          <w:ilvl w:val="6"/>
          <w:numId w:val="7"/>
        </w:numPr>
        <w:spacing w:line="360" w:lineRule="auto"/>
        <w:jc w:val="both"/>
        <w:rPr>
          <w:sz w:val="24"/>
          <w:szCs w:val="24"/>
        </w:rPr>
      </w:pPr>
      <w:r>
        <w:rPr>
          <w:sz w:val="24"/>
          <w:szCs w:val="24"/>
        </w:rPr>
        <w:t xml:space="preserve">Hambatan Tekanan Waktu yang Asimetris dan Problem Keterbatasan Masa Kerja Regulatif Institusi Ad-HocSebagai penutupan dekonstruksi komprehensif pada rumusan masalah ketiga ini, hambatan kesepuluh yang mengunci ruang gerak PPK adalah adanya asimetri waktu antara tenggat rekapitulasi regulatif yang sangat sempit dengan jumlah sengketa keberatan yang harus diselesaikan di meja pleno. </w:t>
      </w:r>
    </w:p>
    <w:p w14:paraId="660D580A">
      <w:pPr>
        <w:pStyle w:val="19"/>
        <w:spacing w:line="360" w:lineRule="auto"/>
        <w:ind w:left="360" w:firstLine="360"/>
        <w:jc w:val="both"/>
        <w:rPr>
          <w:sz w:val="24"/>
          <w:szCs w:val="24"/>
        </w:rPr>
      </w:pPr>
      <w:r>
        <w:rPr>
          <w:sz w:val="24"/>
          <w:szCs w:val="24"/>
        </w:rPr>
        <w:t>Pakar hukum perbandingan Prof. Bagir Manan mengingatkan bahwa pembatasan waktu penegakan hukum formal (statutory limitation of time) yang dipaksakan secara radikal tanpa melihat volume beban kerja riil di lapangan akan selalu menghasilkan degradasi kualitas keadilan substantif.</w:t>
      </w:r>
    </w:p>
    <w:p w14:paraId="5101F356">
      <w:pPr>
        <w:pStyle w:val="19"/>
        <w:spacing w:line="360" w:lineRule="auto"/>
        <w:ind w:left="360" w:firstLine="360"/>
        <w:jc w:val="both"/>
        <w:rPr>
          <w:sz w:val="24"/>
          <w:szCs w:val="24"/>
        </w:rPr>
      </w:pPr>
      <w:r>
        <w:rPr>
          <w:sz w:val="24"/>
          <w:szCs w:val="24"/>
        </w:rPr>
        <w:t>PPK diikat oleh jadwal tahapan pemilu KPU yang mutlak dan tidak dapat ditawar, di mana proses rekapitulasi tingkat kecamatan harus rampung dalam hitungan hari agar tidak mengganggu jadwal pleno tingkat kabupaten/kota. Ketika saksi-saksi partai politik mengajukan ratusan interupsi, protes ketidakcocokan data, hingga tuntutan pembukaan kotak suara ulang untuk mencocokkan Form C.</w:t>
      </w:r>
    </w:p>
    <w:p w14:paraId="6489218F">
      <w:pPr>
        <w:pStyle w:val="19"/>
        <w:spacing w:line="360" w:lineRule="auto"/>
        <w:ind w:left="360" w:firstLine="360"/>
        <w:jc w:val="both"/>
        <w:rPr>
          <w:sz w:val="24"/>
          <w:szCs w:val="24"/>
        </w:rPr>
      </w:pPr>
      <w:r>
        <w:rPr>
          <w:sz w:val="24"/>
          <w:szCs w:val="24"/>
        </w:rPr>
        <w:t xml:space="preserve">Hasil di puluhan TPS, PPK berada dalam posisi dilematis yang sangat menekan psikologi organisasi mereka.Jika mereka meladeni seluruh tuntutan pembukaan kotak suara demi keadilan substansial, mereka dipastikan melanggar tenggat waktu nasional dan terancam sanksi etik Dewan Kehormatan Penyelenggara Pemilu (DKPP). </w:t>
      </w:r>
    </w:p>
    <w:p w14:paraId="1AE38A43">
      <w:pPr>
        <w:pStyle w:val="19"/>
        <w:spacing w:line="360" w:lineRule="auto"/>
        <w:ind w:left="360" w:firstLine="360"/>
        <w:jc w:val="both"/>
        <w:rPr>
          <w:sz w:val="24"/>
          <w:szCs w:val="24"/>
        </w:rPr>
      </w:pPr>
      <w:r>
        <w:rPr>
          <w:sz w:val="24"/>
          <w:szCs w:val="24"/>
        </w:rPr>
        <w:t>Sebaliknya, jika mereka mengabaikan interupsi demi mengejar tenggat waktu formal, mereka dituduh melakukan kecurangan sistematis. Desakan waktu yang asimetris inilah yang memaksa PPK mengambil jalan pintas pragmatis-prosedural, menutup ruang debat materiil, dan mengesahkan data D. Hasil yang cacat demi kelancaran administratif tahapan pemilu selanjutnya.</w:t>
      </w:r>
    </w:p>
    <w:p w14:paraId="386054AB">
      <w:pPr>
        <w:pStyle w:val="19"/>
        <w:spacing w:line="360" w:lineRule="auto"/>
        <w:ind w:left="360" w:firstLine="360"/>
        <w:jc w:val="both"/>
        <w:rPr>
          <w:sz w:val="24"/>
          <w:szCs w:val="24"/>
        </w:rPr>
      </w:pPr>
    </w:p>
    <w:p w14:paraId="5D28E6C4"/>
    <w:sectPr>
      <w:headerReference r:id="rId7"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5F36A57B">
        <w:pPr>
          <w:pStyle w:val="8"/>
          <w:jc w:val="center"/>
        </w:pPr>
        <w:r>
          <w:t xml:space="preserve">     </w:t>
        </w:r>
      </w:p>
    </w:sdtContent>
  </w:sdt>
  <w:p w14:paraId="193F44F9">
    <w:pPr>
      <w:pStyle w:val="7"/>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4FC6A">
    <w:pPr>
      <w:pStyle w:val="9"/>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AA6C">
    <w:pPr>
      <w:pStyle w:val="9"/>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DDA0A">
    <w:pPr>
      <w:pStyle w:val="9"/>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A71DE1"/>
    <w:multiLevelType w:val="multilevel"/>
    <w:tmpl w:val="26A71DE1"/>
    <w:lvl w:ilvl="0" w:tentative="0">
      <w:start w:val="9"/>
      <w:numFmt w:val="lowerLetter"/>
      <w:lvlText w:val="%1)"/>
      <w:lvlJc w:val="left"/>
      <w:pPr>
        <w:ind w:left="720" w:hanging="360"/>
      </w:pPr>
      <w:rPr>
        <w:rFonts w:hint="default"/>
      </w:rPr>
    </w:lvl>
    <w:lvl w:ilvl="1" w:tentative="0">
      <w:start w:val="2"/>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2"/>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1">
    <w:nsid w:val="2AA24C2E"/>
    <w:multiLevelType w:val="multilevel"/>
    <w:tmpl w:val="2AA24C2E"/>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1"/>
      <w:numFmt w:val="upperLetter"/>
      <w:lvlText w:val="%2."/>
      <w:lvlJc w:val="left"/>
      <w:pPr>
        <w:ind w:left="427" w:hanging="427"/>
      </w:pPr>
      <w:rPr>
        <w:rFonts w:hint="default" w:ascii="Times New Roman" w:hAnsi="Times New Roman" w:eastAsia="Times New Roman" w:cs="Times New Roman"/>
        <w:b/>
        <w:bCs w:val="0"/>
        <w:i w:val="0"/>
        <w:iCs w:val="0"/>
        <w:spacing w:val="0"/>
        <w:w w:val="100"/>
        <w:sz w:val="24"/>
        <w:szCs w:val="24"/>
        <w:lang w:val="ms" w:eastAsia="en-US" w:bidi="ar-SA"/>
      </w:rPr>
    </w:lvl>
    <w:lvl w:ilvl="2" w:tentative="0">
      <w:start w:val="0"/>
      <w:numFmt w:val="bullet"/>
      <w:lvlText w:val="•"/>
      <w:lvlJc w:val="left"/>
      <w:pPr>
        <w:ind w:left="2720" w:hanging="427"/>
      </w:pPr>
      <w:rPr>
        <w:rFonts w:hint="default"/>
        <w:lang w:val="ms" w:eastAsia="en-US" w:bidi="ar-SA"/>
      </w:rPr>
    </w:lvl>
    <w:lvl w:ilvl="3" w:tentative="0">
      <w:start w:val="0"/>
      <w:numFmt w:val="bullet"/>
      <w:lvlText w:val="•"/>
      <w:lvlJc w:val="left"/>
      <w:pPr>
        <w:ind w:left="3461" w:hanging="427"/>
      </w:pPr>
      <w:rPr>
        <w:rFonts w:hint="default"/>
        <w:lang w:val="ms" w:eastAsia="en-US" w:bidi="ar-SA"/>
      </w:rPr>
    </w:lvl>
    <w:lvl w:ilvl="4" w:tentative="0">
      <w:start w:val="0"/>
      <w:numFmt w:val="bullet"/>
      <w:lvlText w:val="•"/>
      <w:lvlJc w:val="left"/>
      <w:pPr>
        <w:ind w:left="4202" w:hanging="427"/>
      </w:pPr>
      <w:rPr>
        <w:rFonts w:hint="default"/>
        <w:lang w:val="ms" w:eastAsia="en-US" w:bidi="ar-SA"/>
      </w:rPr>
    </w:lvl>
    <w:lvl w:ilvl="5" w:tentative="0">
      <w:start w:val="0"/>
      <w:numFmt w:val="bullet"/>
      <w:lvlText w:val="•"/>
      <w:lvlJc w:val="left"/>
      <w:pPr>
        <w:ind w:left="4943" w:hanging="427"/>
      </w:pPr>
      <w:rPr>
        <w:rFonts w:hint="default"/>
        <w:lang w:val="ms" w:eastAsia="en-US" w:bidi="ar-SA"/>
      </w:rPr>
    </w:lvl>
    <w:lvl w:ilvl="6" w:tentative="0">
      <w:start w:val="0"/>
      <w:numFmt w:val="bullet"/>
      <w:lvlText w:val="•"/>
      <w:lvlJc w:val="left"/>
      <w:pPr>
        <w:ind w:left="5683" w:hanging="427"/>
      </w:pPr>
      <w:rPr>
        <w:rFonts w:hint="default"/>
        <w:lang w:val="ms" w:eastAsia="en-US" w:bidi="ar-SA"/>
      </w:rPr>
    </w:lvl>
    <w:lvl w:ilvl="7" w:tentative="0">
      <w:start w:val="0"/>
      <w:numFmt w:val="bullet"/>
      <w:lvlText w:val="•"/>
      <w:lvlJc w:val="left"/>
      <w:pPr>
        <w:ind w:left="6424" w:hanging="427"/>
      </w:pPr>
      <w:rPr>
        <w:rFonts w:hint="default"/>
        <w:lang w:val="ms" w:eastAsia="en-US" w:bidi="ar-SA"/>
      </w:rPr>
    </w:lvl>
    <w:lvl w:ilvl="8" w:tentative="0">
      <w:start w:val="0"/>
      <w:numFmt w:val="bullet"/>
      <w:lvlText w:val="•"/>
      <w:lvlJc w:val="left"/>
      <w:pPr>
        <w:ind w:left="7165" w:hanging="427"/>
      </w:pPr>
      <w:rPr>
        <w:rFonts w:hint="default"/>
        <w:lang w:val="ms" w:eastAsia="en-US" w:bidi="ar-SA"/>
      </w:rPr>
    </w:lvl>
  </w:abstractNum>
  <w:abstractNum w:abstractNumId="2">
    <w:nsid w:val="36BC7604"/>
    <w:multiLevelType w:val="multilevel"/>
    <w:tmpl w:val="36BC76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36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F624464"/>
    <w:multiLevelType w:val="multilevel"/>
    <w:tmpl w:val="3F624464"/>
    <w:lvl w:ilvl="0" w:tentative="0">
      <w:start w:val="9"/>
      <w:numFmt w:val="lowerLetter"/>
      <w:lvlText w:val="%1)"/>
      <w:lvlJc w:val="left"/>
      <w:pPr>
        <w:ind w:left="720" w:hanging="360"/>
      </w:pPr>
      <w:rPr>
        <w:rFonts w:hint="default"/>
      </w:rPr>
    </w:lvl>
    <w:lvl w:ilvl="1" w:tentative="0">
      <w:start w:val="4"/>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2"/>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4">
    <w:nsid w:val="4A6F4E1C"/>
    <w:multiLevelType w:val="multilevel"/>
    <w:tmpl w:val="4A6F4E1C"/>
    <w:lvl w:ilvl="0" w:tentative="0">
      <w:start w:val="9"/>
      <w:numFmt w:val="lowerLetter"/>
      <w:lvlText w:val="%1)"/>
      <w:lvlJc w:val="left"/>
      <w:pPr>
        <w:ind w:left="720" w:hanging="360"/>
      </w:pPr>
      <w:rPr>
        <w:rFonts w:hint="default"/>
      </w:rPr>
    </w:lvl>
    <w:lvl w:ilvl="1" w:tentative="0">
      <w:start w:val="1"/>
      <w:numFmt w:val="decimal"/>
      <w:lvlText w:val="%2."/>
      <w:lvlJc w:val="left"/>
      <w:pPr>
        <w:ind w:left="1440" w:hanging="360"/>
      </w:pPr>
    </w:lvl>
    <w:lvl w:ilvl="2" w:tentative="0">
      <w:start w:val="1"/>
      <w:numFmt w:val="lowerRoman"/>
      <w:lvlText w:val="%3."/>
      <w:lvlJc w:val="right"/>
      <w:pPr>
        <w:ind w:left="2160" w:hanging="180"/>
      </w:pPr>
      <w:rPr>
        <w:rFonts w:hint="default"/>
      </w:rPr>
    </w:lvl>
    <w:lvl w:ilvl="3" w:tentative="0">
      <w:start w:val="2"/>
      <w:numFmt w:val="decimal"/>
      <w:lvlText w:val="%4."/>
      <w:lvlJc w:val="left"/>
      <w:pPr>
        <w:ind w:left="927"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927"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5">
    <w:nsid w:val="58D64D0B"/>
    <w:multiLevelType w:val="multilevel"/>
    <w:tmpl w:val="58D64D0B"/>
    <w:lvl w:ilvl="0" w:tentative="0">
      <w:start w:val="4"/>
      <w:numFmt w:val="upperLetter"/>
      <w:lvlText w:val="%1."/>
      <w:lvlJc w:val="left"/>
      <w:pPr>
        <w:ind w:left="502"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360" w:hanging="360"/>
      </w:pPr>
      <w:rPr>
        <w:rFonts w:hint="default"/>
        <w:color w:val="auto"/>
      </w:rPr>
    </w:lvl>
    <w:lvl w:ilvl="4" w:tentative="0">
      <w:start w:val="1"/>
      <w:numFmt w:val="lowerLetter"/>
      <w:lvlText w:val="%5."/>
      <w:lvlJc w:val="left"/>
      <w:pPr>
        <w:ind w:left="785" w:hanging="360"/>
      </w:pPr>
      <w:rPr>
        <w:rFonts w:hint="default"/>
      </w:rPr>
    </w:lvl>
    <w:lvl w:ilvl="5" w:tentative="0">
      <w:start w:val="1"/>
      <w:numFmt w:val="lowerRoman"/>
      <w:lvlText w:val="%6."/>
      <w:lvlJc w:val="right"/>
      <w:pPr>
        <w:ind w:left="4102" w:hanging="180"/>
      </w:pPr>
      <w:rPr>
        <w:rFonts w:hint="default"/>
      </w:rPr>
    </w:lvl>
    <w:lvl w:ilvl="6" w:tentative="0">
      <w:start w:val="1"/>
      <w:numFmt w:val="lowerLetter"/>
      <w:lvlText w:val="%7."/>
      <w:lvlJc w:val="left"/>
      <w:pPr>
        <w:ind w:left="4822" w:hanging="360"/>
      </w:p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abstractNum w:abstractNumId="6">
    <w:nsid w:val="5F1D2C23"/>
    <w:multiLevelType w:val="multilevel"/>
    <w:tmpl w:val="5F1D2C2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785" w:hanging="360"/>
      </w:pPr>
    </w:lvl>
    <w:lvl w:ilvl="5" w:tentative="0">
      <w:start w:val="1"/>
      <w:numFmt w:val="lowerRoman"/>
      <w:lvlText w:val="%6."/>
      <w:lvlJc w:val="right"/>
      <w:pPr>
        <w:ind w:left="4320" w:hanging="180"/>
      </w:pPr>
    </w:lvl>
    <w:lvl w:ilvl="6" w:tentative="0">
      <w:start w:val="1"/>
      <w:numFmt w:val="lowerLetter"/>
      <w:lvlText w:val="%7."/>
      <w:lvlJc w:val="left"/>
      <w:pPr>
        <w:ind w:left="785" w:hanging="360"/>
      </w:pPr>
      <w:rPr>
        <w:rFonts w:ascii="Times New Roman" w:hAnsi="Times New Roman" w:eastAsia="Times New Roman" w:cs="Times New Roman"/>
      </w:rPr>
    </w:lvl>
    <w:lvl w:ilvl="7" w:tentative="0">
      <w:start w:val="1"/>
      <w:numFmt w:val="bullet"/>
      <w:lvlText w:val=""/>
      <w:lvlJc w:val="left"/>
      <w:pPr>
        <w:ind w:left="5760" w:hanging="360"/>
      </w:pPr>
      <w:rPr>
        <w:rFonts w:hint="default" w:ascii="Wingdings" w:hAnsi="Wingdings"/>
      </w:rPr>
    </w:lvl>
    <w:lvl w:ilvl="8" w:tentative="0">
      <w:start w:val="1"/>
      <w:numFmt w:val="lowerRoman"/>
      <w:lvlText w:val="%9."/>
      <w:lvlJc w:val="right"/>
      <w:pPr>
        <w:ind w:left="6480" w:hanging="180"/>
      </w:pPr>
    </w:lvl>
  </w:abstractNum>
  <w:abstractNum w:abstractNumId="7">
    <w:nsid w:val="68693FA7"/>
    <w:multiLevelType w:val="multilevel"/>
    <w:tmpl w:val="68693FA7"/>
    <w:lvl w:ilvl="0" w:tentative="0">
      <w:start w:val="1"/>
      <w:numFmt w:val="lowerLetter"/>
      <w:lvlText w:val="%1."/>
      <w:lvlJc w:val="left"/>
      <w:pPr>
        <w:ind w:left="720" w:hanging="360"/>
      </w:pPr>
      <w:rPr>
        <w:rFonts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5"/>
  </w:num>
  <w:num w:numId="3">
    <w:abstractNumId w:val="6"/>
  </w:num>
  <w:num w:numId="4">
    <w:abstractNumId w:val="4"/>
  </w:num>
  <w:num w:numId="5">
    <w:abstractNumId w:val="0"/>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RMSV3f1U8QXW8Ws71XWCtcv12DU=" w:salt="3ui3EihTWHGtLE+/6LDpq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B0605"/>
    <w:rsid w:val="000E6E1D"/>
    <w:rsid w:val="000E72A7"/>
    <w:rsid w:val="000F3289"/>
    <w:rsid w:val="001132E2"/>
    <w:rsid w:val="00115792"/>
    <w:rsid w:val="00124B83"/>
    <w:rsid w:val="00124D68"/>
    <w:rsid w:val="001311EE"/>
    <w:rsid w:val="001326A2"/>
    <w:rsid w:val="001358C1"/>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13637"/>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623D"/>
    <w:rsid w:val="00E77B9C"/>
    <w:rsid w:val="00E80E8A"/>
    <w:rsid w:val="00E81668"/>
    <w:rsid w:val="00EA0DD5"/>
    <w:rsid w:val="00EB02BE"/>
    <w:rsid w:val="00F059F5"/>
    <w:rsid w:val="00F1354F"/>
    <w:rsid w:val="00F2784B"/>
    <w:rsid w:val="00F5325A"/>
    <w:rsid w:val="00F53B84"/>
    <w:rsid w:val="00F53D8A"/>
    <w:rsid w:val="00F734F6"/>
    <w:rsid w:val="00F81C7C"/>
    <w:rsid w:val="00FA5ACB"/>
    <w:rsid w:val="00FA7857"/>
    <w:rsid w:val="00FC2749"/>
    <w:rsid w:val="00FC2F2F"/>
    <w:rsid w:val="00FC302E"/>
    <w:rsid w:val="18105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14"/>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7"/>
    <w:unhideWhenUsed/>
    <w:qFormat/>
    <w:uiPriority w:val="99"/>
    <w:pPr>
      <w:tabs>
        <w:tab w:val="center" w:pos="4513"/>
        <w:tab w:val="right" w:pos="9026"/>
      </w:tabs>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toc 1"/>
    <w:basedOn w:val="1"/>
    <w:qFormat/>
    <w:uiPriority w:val="39"/>
    <w:pPr>
      <w:spacing w:before="282" w:line="273" w:lineRule="exact"/>
      <w:ind w:left="568"/>
    </w:pPr>
    <w:rPr>
      <w:b/>
      <w:bCs/>
      <w:sz w:val="24"/>
      <w:szCs w:val="24"/>
    </w:rPr>
  </w:style>
  <w:style w:type="paragraph" w:styleId="12">
    <w:name w:val="toc 2"/>
    <w:basedOn w:val="1"/>
    <w:qFormat/>
    <w:uiPriority w:val="39"/>
    <w:pPr>
      <w:ind w:left="568"/>
    </w:pPr>
    <w:rPr>
      <w:b/>
      <w:bCs/>
      <w:sz w:val="24"/>
      <w:szCs w:val="24"/>
    </w:rPr>
  </w:style>
  <w:style w:type="paragraph" w:styleId="13">
    <w:name w:val="toc 3"/>
    <w:basedOn w:val="1"/>
    <w:next w:val="1"/>
    <w:autoRedefine/>
    <w:semiHidden/>
    <w:unhideWhenUsed/>
    <w:qFormat/>
    <w:uiPriority w:val="39"/>
    <w:pPr>
      <w:spacing w:after="100"/>
      <w:ind w:left="440"/>
    </w:pPr>
  </w:style>
  <w:style w:type="character" w:customStyle="1" w:styleId="14">
    <w:name w:val="Heading 1 Char"/>
    <w:basedOn w:val="4"/>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5">
    <w:name w:val="Body Text Char"/>
    <w:basedOn w:val="4"/>
    <w:link w:val="7"/>
    <w:qFormat/>
    <w:uiPriority w:val="1"/>
    <w:rPr>
      <w:rFonts w:ascii="Times New Roman" w:hAnsi="Times New Roman" w:eastAsia="Times New Roman" w:cs="Times New Roman"/>
      <w:sz w:val="24"/>
      <w:szCs w:val="24"/>
      <w:lang w:val="ms"/>
    </w:rPr>
  </w:style>
  <w:style w:type="character" w:customStyle="1" w:styleId="16">
    <w:name w:val="Footer Char"/>
    <w:basedOn w:val="4"/>
    <w:link w:val="8"/>
    <w:qFormat/>
    <w:uiPriority w:val="99"/>
    <w:rPr>
      <w:rFonts w:ascii="Times New Roman" w:hAnsi="Times New Roman" w:eastAsia="Times New Roman" w:cs="Times New Roman"/>
      <w:lang w:val="ms"/>
    </w:rPr>
  </w:style>
  <w:style w:type="character" w:customStyle="1" w:styleId="17">
    <w:name w:val="Header Char"/>
    <w:basedOn w:val="4"/>
    <w:link w:val="9"/>
    <w:qFormat/>
    <w:uiPriority w:val="99"/>
    <w:rPr>
      <w:rFonts w:ascii="Times New Roman" w:hAnsi="Times New Roman" w:eastAsia="Times New Roman" w:cs="Times New Roman"/>
      <w:lang w:val="ms"/>
    </w:rPr>
  </w:style>
  <w:style w:type="character" w:customStyle="1" w:styleId="18">
    <w:name w:val="Balloon Text Char"/>
    <w:basedOn w:val="4"/>
    <w:link w:val="6"/>
    <w:semiHidden/>
    <w:qFormat/>
    <w:uiPriority w:val="99"/>
    <w:rPr>
      <w:rFonts w:ascii="Tahoma" w:hAnsi="Tahoma" w:eastAsia="Times New Roman" w:cs="Tahoma"/>
      <w:sz w:val="16"/>
      <w:szCs w:val="16"/>
      <w:lang w:val="ms"/>
    </w:rPr>
  </w:style>
  <w:style w:type="paragraph" w:styleId="19">
    <w:name w:val="List Paragraph"/>
    <w:basedOn w:val="1"/>
    <w:qFormat/>
    <w:uiPriority w:val="34"/>
    <w:pPr>
      <w:ind w:left="720"/>
      <w:contextualSpacing/>
    </w:p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m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9347</Words>
  <Characters>63583</Characters>
  <Lines>517</Lines>
  <Paragraphs>145</Paragraphs>
  <TotalTime>0</TotalTime>
  <ScaleCrop>false</ScaleCrop>
  <LinksUpToDate>false</LinksUpToDate>
  <CharactersWithSpaces>72794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2026-09-09T05:52:00Z</dcterms:created>
  <dc:creator>OPERATOR</dc:creator>
  <cp:lastModifiedBy>Administrator</cp:lastModifiedBy>
  <dcterms:modified xsi:type="dcterms:W3CDTF">2026-09-10T04:39:42Z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1832EBFD35624B2B83CC6610BFB6017B_13</vt:lpwstr>
  </property>
</Properties>
</file>