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B9EB1">
      <w:pPr>
        <w:pStyle w:val="2"/>
        <w:spacing w:before="0" w:after="0" w:line="360" w:lineRule="auto"/>
        <w:jc w:val="center"/>
        <w:rPr>
          <w:rFonts w:ascii="Times New Roman" w:hAnsi="Times New Roman" w:cs="Times New Roman"/>
          <w:color w:val="auto"/>
          <w:sz w:val="24"/>
          <w:szCs w:val="24"/>
          <w:lang w:val="id-ID"/>
        </w:rPr>
      </w:pPr>
      <w:bookmarkStart w:id="3" w:name="_GoBack"/>
      <w:bookmarkEnd w:id="3"/>
      <w:r>
        <w:rPr>
          <w:rFonts w:ascii="Times New Roman" w:hAnsi="Times New Roman" w:cs="Times New Roman"/>
          <w:b/>
          <w:bCs/>
          <w:color w:val="auto"/>
          <w:sz w:val="24"/>
          <w:szCs w:val="24"/>
        </w:rPr>
        <w:t>BAB V</w:t>
      </w:r>
    </w:p>
    <w:p w14:paraId="6DD6A0AF">
      <w:pPr>
        <w:pStyle w:val="2"/>
        <w:spacing w:before="0" w:after="0" w:line="360" w:lineRule="auto"/>
        <w:jc w:val="center"/>
        <w:rPr>
          <w:rFonts w:ascii="Times New Roman" w:hAnsi="Times New Roman" w:cs="Times New Roman"/>
          <w:b/>
          <w:bCs/>
          <w:color w:val="000000" w:themeColor="text1"/>
          <w:sz w:val="24"/>
          <w:szCs w:val="24"/>
          <w:lang w:val="en-US"/>
          <w14:textFill>
            <w14:solidFill>
              <w14:schemeClr w14:val="tx1"/>
            </w14:solidFill>
          </w14:textFill>
        </w:rPr>
      </w:pPr>
      <w:bookmarkStart w:id="0" w:name="_Toc230017874"/>
      <w:r>
        <w:rPr>
          <w:rFonts w:ascii="Times New Roman" w:hAnsi="Times New Roman" w:cs="Times New Roman"/>
          <w:b/>
          <w:bCs/>
          <w:color w:val="auto"/>
          <w:sz w:val="24"/>
          <w:szCs w:val="24"/>
          <w:lang w:val="en-US"/>
        </w:rPr>
        <w:t>KESIMPULAN DAN SARAN</w:t>
      </w:r>
      <w:bookmarkEnd w:id="0"/>
    </w:p>
    <w:p w14:paraId="05423CE9">
      <w:pPr>
        <w:spacing w:line="360" w:lineRule="auto"/>
        <w:jc w:val="both"/>
        <w:rPr>
          <w:sz w:val="24"/>
          <w:szCs w:val="24"/>
        </w:rPr>
      </w:pPr>
      <w:r>
        <w:rPr>
          <w:sz w:val="24"/>
          <w:szCs w:val="24"/>
        </w:rPr>
        <w:t xml:space="preserve"> </w:t>
      </w:r>
    </w:p>
    <w:p w14:paraId="55A07D09">
      <w:pPr>
        <w:pStyle w:val="3"/>
        <w:spacing w:before="0" w:line="360" w:lineRule="auto"/>
        <w:rPr>
          <w:rFonts w:ascii="Times New Roman" w:hAnsi="Times New Roman" w:cs="Times New Roman"/>
          <w:b w:val="0"/>
          <w:sz w:val="24"/>
          <w:szCs w:val="24"/>
        </w:rPr>
      </w:pPr>
      <w:bookmarkStart w:id="1" w:name="_Toc230017875"/>
      <w:r>
        <w:rPr>
          <w:rFonts w:ascii="Times New Roman" w:hAnsi="Times New Roman" w:cs="Times New Roman"/>
          <w:color w:val="auto"/>
          <w:sz w:val="24"/>
          <w:szCs w:val="24"/>
        </w:rPr>
        <w:t>A. Kesimpulan</w:t>
      </w:r>
      <w:bookmarkEnd w:id="1"/>
    </w:p>
    <w:p w14:paraId="10FD4238">
      <w:pPr>
        <w:spacing w:line="360" w:lineRule="auto"/>
        <w:jc w:val="both"/>
        <w:rPr>
          <w:sz w:val="24"/>
          <w:szCs w:val="24"/>
          <w:lang w:val="id-ID"/>
        </w:rPr>
      </w:pPr>
      <w:r>
        <w:rPr>
          <w:sz w:val="24"/>
          <w:szCs w:val="24"/>
          <w:lang w:val="id-ID"/>
        </w:rPr>
        <w:t>Kesimpulan berdasarkan hasil penelitian dan pembahasan yang telah diuraikan pada bab sebelumnya mengenai pertanggungjawaban tindak pidana pemilihan umum legislatif tahun 2024 oleh oknum Panitia Pemilihan Kecamatan (PPK) Medan Timur dalam Putusan Pengadilan Negeri Medan No. 1/Pid.S/2024/PN Mdn, maka dapat ditarik kesimpulan sebagai berikut:Pertanggungjawaban Pidana Oknum PPK Medan Timur: Berdasarkan pendekatan dualistis hukum pidana, ketiga terdakwa (MRR, ASBH, dan Ju) secara sah dan meyakinkan wajib memikul pertanggungjawaban pidana perorangan atas kejahatan pemilu yang dilakukan secara bersama-sama (medeplegen). Porsi kesalahan subjektif (mens rea) para terdakwa berada pada derajat kesengajaan murni sebagai maksud (dolus directus), di mana mereka secara sadar mengetahui dan menghendaki penggeseran serta manipulasi selisih suara dari Partai Buruh dan PKN untuk dialihkan ke PKB.</w:t>
      </w:r>
    </w:p>
    <w:p w14:paraId="000CBA4F">
      <w:pPr>
        <w:spacing w:line="360" w:lineRule="auto"/>
        <w:ind w:firstLine="720"/>
        <w:jc w:val="both"/>
        <w:rPr>
          <w:sz w:val="24"/>
          <w:szCs w:val="24"/>
          <w:lang w:val="id-ID"/>
        </w:rPr>
      </w:pPr>
      <w:r>
        <w:rPr>
          <w:sz w:val="24"/>
          <w:szCs w:val="24"/>
          <w:lang w:val="id-ID"/>
        </w:rPr>
        <w:t xml:space="preserve">Perbuatan materiil (actus reus) tersebut secara utuh telah menggenapi unsur melawan hukum pidana khusus pemilu dalam kualifikasi delik jabatan khusus (delicta propria). Mengingat para terdakwa adalah subjek hukum yang sehat secara mental (mampu bertanggung jawab) serta tidak ditemukannya alasan penghapus pidana (baik pembenar maupun pemaaf) di persidangan, maka penjatuhan sanksi pidana terhadap para terdakwa memiliki legitimasi hukum yang mutlak.Analisis Pertimbangan Hukum Hakim (Ratio Decidendi) Pengadilan Negeri Medan: Alur penalaran hukum (legal reasoning) Majelis Hakim tingkat pertama dalam menjatuhkan vonis minimalis selama 3 (tiga) bulan penjara didasarkan pada pemenuhan syllogisme hukum formal-positivistik melalui sistem pembuktian negatif (negatief wettelijk) yang bersumber dari kesesuaian keterangan saksi, keterangan terdakwa, dan bukti surat otentik (Formulir C.Hasil dan D.Hasil). </w:t>
      </w:r>
    </w:p>
    <w:p w14:paraId="1288F5F4">
      <w:pPr>
        <w:spacing w:line="360" w:lineRule="auto"/>
        <w:ind w:firstLine="720"/>
        <w:jc w:val="both"/>
        <w:rPr>
          <w:sz w:val="24"/>
          <w:szCs w:val="24"/>
          <w:lang w:val="id-ID"/>
        </w:rPr>
      </w:pPr>
      <w:r>
        <w:rPr>
          <w:sz w:val="24"/>
          <w:szCs w:val="24"/>
          <w:lang w:val="id-ID"/>
        </w:rPr>
        <w:t>Namun, dalam penentuan berat sanksi (strafmaat), hakim tingkat pertama terjebak dalam pragmatisme prosedural peradilan cepat (speedy trial) dan pendekatan individualisasi pemidanaan yang terlalu menitikberatkan pada aspek rehabilitatif-personal (terdakwa sopan, mengakui perbuatan, dan kepala keluarga). Hakim Pengadilan Negeri Medan menerapkan paradigma kekangan yudisial (judicial restraint) yang pasif, sehingga mengabaikan substansi penegakan keadilan makro dan melumpuhkan mandat pemberatan sanksi sepertiga (1/3) bagi aparat penyelenggara pemilu sebagaimana diamanatkan oleh Pasal 554 UU Pemilu.</w:t>
      </w:r>
    </w:p>
    <w:p w14:paraId="0B5E9DCA">
      <w:pPr>
        <w:spacing w:line="360" w:lineRule="auto"/>
        <w:ind w:firstLine="720"/>
        <w:jc w:val="both"/>
        <w:rPr>
          <w:sz w:val="24"/>
          <w:szCs w:val="24"/>
          <w:lang w:val="id-ID"/>
        </w:rPr>
      </w:pPr>
      <w:r>
        <w:rPr>
          <w:sz w:val="24"/>
          <w:szCs w:val="24"/>
          <w:lang w:val="id-ID"/>
        </w:rPr>
        <w:t>Kendala dan Hambatan PPK dalam Pemilu Legislatif: Hambatan fungsional yang dihadapi oleh PPK di lapangan bersifat multidimensional yang mencakup aspek internal dan eksternal. Hambatan tersebut meliputi beban kerja ekstrem yang tidak proporsional sehingga mendegradasi konsentrasi fisik-psikis penyelenggara, ketidakandalan infrastruktur digital aplikasi Sirekap yang melahirkan fenomena Cultural Lag dan ruang abu-abu manipulasi, serta lemahnya sistem pengawasan melekat (checks and balances) dari Panwascam dan saksi parpol yang menciptakan celah hukum (loophole). Hambatan sosiologis yang paling destruktif adalah kuatnya tekanan struktural (structural strain) berupa intervensi relasi kuasa politik elit lokal dan godaan material yang mengeksploitasi rapuhnya budaya hukum (legal culture) serta rendahnya kompetensi teknis-yuridis komisioner ad-hoc, sehingga mengubah posisi PPK dari benteng pelindung suara menjadi instrumen terjadinya kejahatan kerah putih pemilu (</w:t>
      </w:r>
      <w:r>
        <w:rPr>
          <w:i/>
          <w:iCs/>
          <w:sz w:val="24"/>
          <w:szCs w:val="24"/>
          <w:lang w:val="id-ID"/>
        </w:rPr>
        <w:t>electoral white-collar crime</w:t>
      </w:r>
      <w:r>
        <w:rPr>
          <w:sz w:val="24"/>
          <w:szCs w:val="24"/>
          <w:lang w:val="id-ID"/>
        </w:rPr>
        <w:t>).</w:t>
      </w:r>
    </w:p>
    <w:p w14:paraId="1812F9D7">
      <w:pPr>
        <w:spacing w:line="360" w:lineRule="auto"/>
        <w:ind w:firstLine="720"/>
        <w:jc w:val="both"/>
        <w:rPr>
          <w:sz w:val="24"/>
          <w:szCs w:val="24"/>
          <w:lang w:val="id-ID"/>
        </w:rPr>
      </w:pPr>
    </w:p>
    <w:p w14:paraId="4C26A71E">
      <w:pPr>
        <w:pStyle w:val="3"/>
        <w:spacing w:before="0" w:line="360" w:lineRule="auto"/>
        <w:rPr>
          <w:rFonts w:ascii="Times New Roman" w:hAnsi="Times New Roman" w:cs="Times New Roman"/>
          <w:b w:val="0"/>
          <w:sz w:val="24"/>
          <w:szCs w:val="24"/>
        </w:rPr>
      </w:pPr>
      <w:bookmarkStart w:id="2" w:name="_Toc230017876"/>
      <w:r>
        <w:rPr>
          <w:rFonts w:ascii="Times New Roman" w:hAnsi="Times New Roman" w:cs="Times New Roman"/>
          <w:color w:val="auto"/>
          <w:sz w:val="24"/>
          <w:szCs w:val="24"/>
        </w:rPr>
        <w:t>B. Saran</w:t>
      </w:r>
      <w:bookmarkEnd w:id="2"/>
    </w:p>
    <w:p w14:paraId="078A4B29">
      <w:pPr>
        <w:spacing w:line="360" w:lineRule="auto"/>
        <w:ind w:firstLine="284"/>
        <w:jc w:val="both"/>
        <w:rPr>
          <w:sz w:val="24"/>
          <w:szCs w:val="24"/>
          <w:lang w:val="id-ID"/>
        </w:rPr>
      </w:pPr>
      <w:r>
        <w:rPr>
          <w:sz w:val="24"/>
          <w:szCs w:val="24"/>
        </w:rPr>
        <w:t>Berdasarkan hasil penelitian dan kesimpulan di atas, penulis menyampaikan beberapa saran yang konstruktif sebagai berikut:</w:t>
      </w:r>
    </w:p>
    <w:p w14:paraId="07F9E9E7">
      <w:pPr>
        <w:spacing w:line="360" w:lineRule="auto"/>
        <w:ind w:firstLine="284"/>
        <w:jc w:val="both"/>
        <w:rPr>
          <w:sz w:val="24"/>
          <w:szCs w:val="24"/>
          <w:lang w:val="id-ID"/>
        </w:rPr>
      </w:pPr>
    </w:p>
    <w:p w14:paraId="1246615A">
      <w:pPr>
        <w:pStyle w:val="19"/>
        <w:numPr>
          <w:ilvl w:val="3"/>
          <w:numId w:val="1"/>
        </w:numPr>
        <w:spacing w:line="360" w:lineRule="auto"/>
        <w:ind w:left="284" w:hanging="284"/>
        <w:jc w:val="both"/>
        <w:rPr>
          <w:sz w:val="24"/>
          <w:szCs w:val="24"/>
          <w:lang w:val="id-ID"/>
        </w:rPr>
      </w:pPr>
      <w:r>
        <w:rPr>
          <w:sz w:val="24"/>
          <w:szCs w:val="24"/>
        </w:rPr>
        <w:t>Bagi Penyelenggara Pemilu (KPU):</w:t>
      </w:r>
    </w:p>
    <w:p w14:paraId="56BC4126">
      <w:pPr>
        <w:pStyle w:val="19"/>
        <w:spacing w:line="360" w:lineRule="auto"/>
        <w:ind w:left="284"/>
        <w:jc w:val="both"/>
        <w:rPr>
          <w:sz w:val="24"/>
          <w:szCs w:val="24"/>
        </w:rPr>
      </w:pPr>
      <w:r>
        <w:rPr>
          <w:sz w:val="24"/>
          <w:szCs w:val="24"/>
        </w:rPr>
        <w:t>Perlu dilakukan penguatan sistem keamanan data yang lebih ketat dan multi-factor authentication agar tidak mudah dimanipulasi. Selain itu, seleksi calon anggota PPK harus lebih ketat tidak hanya dari segi teknis, tetapi juga integritas moral dan pemahaman hukum yang kuat agar memahami konsekuensi berat dari pelanggaran pidana pemilu.</w:t>
      </w:r>
    </w:p>
    <w:p w14:paraId="68ECBD4F">
      <w:pPr>
        <w:pStyle w:val="19"/>
        <w:numPr>
          <w:ilvl w:val="3"/>
          <w:numId w:val="1"/>
        </w:numPr>
        <w:spacing w:line="360" w:lineRule="auto"/>
        <w:ind w:left="284" w:hanging="284"/>
        <w:jc w:val="both"/>
        <w:rPr>
          <w:sz w:val="24"/>
          <w:szCs w:val="24"/>
          <w:lang w:val="id-ID"/>
        </w:rPr>
      </w:pPr>
      <w:r>
        <w:rPr>
          <w:sz w:val="24"/>
          <w:szCs w:val="24"/>
        </w:rPr>
        <w:t>Bagi Penegak Hukum:</w:t>
      </w:r>
    </w:p>
    <w:p w14:paraId="22BC907D">
      <w:pPr>
        <w:pStyle w:val="19"/>
        <w:spacing w:line="360" w:lineRule="auto"/>
        <w:ind w:left="284"/>
        <w:jc w:val="both"/>
        <w:rPr>
          <w:sz w:val="24"/>
          <w:szCs w:val="24"/>
          <w:lang w:val="id-ID"/>
        </w:rPr>
      </w:pPr>
      <w:r>
        <w:rPr>
          <w:sz w:val="24"/>
          <w:szCs w:val="24"/>
          <w:lang w:val="id-ID"/>
        </w:rPr>
        <w:t>Diharapkan dalam memeriksa perkara tindak pidana pemilu kedinasan dimasa mendatang, jajaran majelis hakim tingkat pertama tidak hanya bersandar pada keadilan korektif yang bersifat minimalis. Hakim harus berani menjatuhkan sanksi yang lebih progresif dan mendekati batas maksimal tuntutan undang-undang. Hal ini penting guna menegakkan muruah peradilan dan memberikan efek jera yang nyata bagi siapapun aparatur negara yang berniat mencurangi suara rakyat.</w:t>
      </w:r>
    </w:p>
    <w:p w14:paraId="6FC3402E">
      <w:pPr>
        <w:pStyle w:val="19"/>
        <w:numPr>
          <w:ilvl w:val="0"/>
          <w:numId w:val="2"/>
        </w:numPr>
        <w:spacing w:line="360" w:lineRule="auto"/>
        <w:ind w:left="284" w:hanging="284"/>
        <w:jc w:val="both"/>
        <w:rPr>
          <w:sz w:val="24"/>
          <w:szCs w:val="24"/>
          <w:lang w:val="id-ID"/>
        </w:rPr>
      </w:pPr>
      <w:r>
        <w:rPr>
          <w:sz w:val="24"/>
          <w:szCs w:val="24"/>
        </w:rPr>
        <w:t>Bagi Masyarakat dan Calon Penyelenggara Pemilu</w:t>
      </w:r>
    </w:p>
    <w:p w14:paraId="3CBE2D02">
      <w:pPr>
        <w:pStyle w:val="19"/>
        <w:spacing w:line="360" w:lineRule="auto"/>
        <w:ind w:left="284"/>
        <w:jc w:val="both"/>
        <w:rPr>
          <w:sz w:val="24"/>
          <w:szCs w:val="24"/>
        </w:rPr>
        <w:sectPr>
          <w:headerReference r:id="rId7" w:type="first"/>
          <w:headerReference r:id="rId5" w:type="default"/>
          <w:footerReference r:id="rId8" w:type="default"/>
          <w:headerReference r:id="rId6" w:type="even"/>
          <w:pgSz w:w="11910" w:h="16840"/>
          <w:pgMar w:top="1701" w:right="1701" w:bottom="1701" w:left="2268" w:header="709" w:footer="709" w:gutter="0"/>
          <w:cols w:space="708" w:num="1"/>
          <w:docGrid w:linePitch="360" w:charSpace="0"/>
        </w:sectPr>
      </w:pPr>
      <w:r>
        <w:rPr>
          <w:sz w:val="24"/>
          <w:szCs w:val="24"/>
        </w:rPr>
        <w:t>Hendaknya selalu menjunjung tinggi nilai-nilai kejujuran dan integritas. Jabatan sebagai penyelenggara pemilu adalah amanah yang suci, bukan ladang untuk melakukan kecurangan. Segala bentuk pelanggaran, sekecil apapun, pada akhirnya akan terungkap dan dipertanggungjawabkan di depan hukum.</w:t>
      </w:r>
    </w:p>
    <w:p w14:paraId="4F825248"/>
    <w:sectPr>
      <w:headerReference r:id="rId11" w:type="first"/>
      <w:headerReference r:id="rId9" w:type="default"/>
      <w:footerReference r:id="rId12" w:type="default"/>
      <w:headerReference r:id="rId10"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B4AC8">
    <w:pPr>
      <w:pStyle w:val="8"/>
      <w:jc w:val="center"/>
    </w:pPr>
  </w:p>
  <w:p w14:paraId="2C5972A4">
    <w:pPr>
      <w:pStyle w:val="7"/>
      <w:jc w:val="right"/>
      <w:rPr>
        <w:sz w:val="36"/>
        <w:szCs w:val="36"/>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06FD3575">
        <w:pPr>
          <w:pStyle w:val="8"/>
          <w:jc w:val="center"/>
        </w:pPr>
        <w:r>
          <w:t xml:space="preserve">     </w:t>
        </w:r>
      </w:p>
    </w:sdtContent>
  </w:sdt>
  <w:p w14:paraId="7A994398">
    <w:pPr>
      <w:pStyle w:val="7"/>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8120500"/>
      <w:docPartObj>
        <w:docPartGallery w:val="AutoText"/>
      </w:docPartObj>
    </w:sdtPr>
    <w:sdtContent>
      <w:p w14:paraId="4A0D5BC4">
        <w:pPr>
          <w:pStyle w:val="9"/>
          <w:jc w:val="right"/>
        </w:pPr>
        <w:r>
          <w:rPr>
            <w:lang w:val="en-US"/>
          </w:rPr>
          <w:pict>
            <v:shape id="WordPictureWatermark14406627" o:spid="_x0000_s2069" o:spt="75" type="#_x0000_t75" style="position:absolute;left:0pt;height:391.15pt;width:396.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3</w:t>
        </w:r>
        <w:r>
          <w:fldChar w:fldCharType="end"/>
        </w:r>
      </w:p>
    </w:sdtContent>
  </w:sdt>
  <w:p w14:paraId="2EFEB272">
    <w:pPr>
      <w:pStyle w:val="9"/>
      <w:jc w:val="right"/>
      <w:rPr>
        <w:sz w:val="28"/>
        <w:szCs w:val="36"/>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1954A">
    <w:pPr>
      <w:pStyle w:val="9"/>
    </w:pPr>
    <w:r>
      <w:rPr>
        <w:lang w:val="en-US"/>
      </w:rPr>
      <w:pict>
        <v:shape id="WordPictureWatermark14406626" o:spid="_x0000_s2068" o:spt="75" type="#_x0000_t75" style="position:absolute;left:0pt;height:391.15pt;width:396.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D5CB6">
    <w:pPr>
      <w:pStyle w:val="9"/>
    </w:pPr>
    <w:r>
      <w:rPr>
        <w:lang w:val="en-US"/>
      </w:rPr>
      <w:pict>
        <v:shape id="WordPictureWatermark14406625" o:spid="_x0000_s2067" o:spt="75" type="#_x0000_t75" style="position:absolute;left:0pt;height:391.15pt;width:396.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9CEEF">
    <w:pPr>
      <w:pStyle w:val="9"/>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21903">
    <w:pPr>
      <w:pStyle w:val="9"/>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A54F7">
    <w:pPr>
      <w:pStyle w:val="9"/>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255957"/>
    <w:multiLevelType w:val="multilevel"/>
    <w:tmpl w:val="2F255957"/>
    <w:lvl w:ilvl="0" w:tentative="0">
      <w:start w:val="3"/>
      <w:numFmt w:val="decimal"/>
      <w:lvlText w:val="%1."/>
      <w:lvlJc w:val="left"/>
      <w:pPr>
        <w:ind w:left="783" w:hanging="360"/>
      </w:pPr>
      <w:rPr>
        <w:rFonts w:hint="default"/>
      </w:rPr>
    </w:lvl>
    <w:lvl w:ilvl="1" w:tentative="0">
      <w:start w:val="1"/>
      <w:numFmt w:val="lowerLetter"/>
      <w:lvlText w:val="%2."/>
      <w:lvlJc w:val="left"/>
      <w:pPr>
        <w:ind w:left="1503" w:hanging="360"/>
      </w:pPr>
      <w:rPr>
        <w:rFonts w:hint="default"/>
      </w:rPr>
    </w:lvl>
    <w:lvl w:ilvl="2" w:tentative="0">
      <w:start w:val="1"/>
      <w:numFmt w:val="lowerRoman"/>
      <w:lvlText w:val="%3."/>
      <w:lvlJc w:val="right"/>
      <w:pPr>
        <w:ind w:left="2223" w:hanging="180"/>
      </w:pPr>
      <w:rPr>
        <w:rFonts w:hint="default"/>
      </w:rPr>
    </w:lvl>
    <w:lvl w:ilvl="3" w:tentative="0">
      <w:start w:val="1"/>
      <w:numFmt w:val="decimal"/>
      <w:lvlText w:val="%4."/>
      <w:lvlJc w:val="left"/>
      <w:pPr>
        <w:ind w:left="2943" w:hanging="360"/>
      </w:pPr>
      <w:rPr>
        <w:rFonts w:hint="default"/>
      </w:rPr>
    </w:lvl>
    <w:lvl w:ilvl="4" w:tentative="0">
      <w:start w:val="1"/>
      <w:numFmt w:val="lowerLetter"/>
      <w:lvlText w:val="%5."/>
      <w:lvlJc w:val="left"/>
      <w:pPr>
        <w:ind w:left="3663" w:hanging="360"/>
      </w:pPr>
      <w:rPr>
        <w:rFonts w:hint="default"/>
      </w:rPr>
    </w:lvl>
    <w:lvl w:ilvl="5" w:tentative="0">
      <w:start w:val="1"/>
      <w:numFmt w:val="lowerRoman"/>
      <w:lvlText w:val="%6."/>
      <w:lvlJc w:val="right"/>
      <w:pPr>
        <w:ind w:left="4383" w:hanging="180"/>
      </w:pPr>
      <w:rPr>
        <w:rFonts w:hint="default"/>
      </w:rPr>
    </w:lvl>
    <w:lvl w:ilvl="6" w:tentative="0">
      <w:start w:val="1"/>
      <w:numFmt w:val="decimal"/>
      <w:lvlText w:val="%7."/>
      <w:lvlJc w:val="left"/>
      <w:pPr>
        <w:ind w:left="5103" w:hanging="360"/>
      </w:pPr>
      <w:rPr>
        <w:rFonts w:hint="default"/>
      </w:rPr>
    </w:lvl>
    <w:lvl w:ilvl="7" w:tentative="0">
      <w:start w:val="1"/>
      <w:numFmt w:val="lowerLetter"/>
      <w:lvlText w:val="%8."/>
      <w:lvlJc w:val="left"/>
      <w:pPr>
        <w:ind w:left="5823" w:hanging="360"/>
      </w:pPr>
      <w:rPr>
        <w:rFonts w:hint="default"/>
      </w:rPr>
    </w:lvl>
    <w:lvl w:ilvl="8" w:tentative="0">
      <w:start w:val="1"/>
      <w:numFmt w:val="lowerRoman"/>
      <w:lvlText w:val="%9."/>
      <w:lvlJc w:val="right"/>
      <w:pPr>
        <w:ind w:left="6543" w:hanging="180"/>
      </w:pPr>
      <w:rPr>
        <w:rFonts w:hint="default"/>
      </w:rPr>
    </w:lvl>
  </w:abstractNum>
  <w:abstractNum w:abstractNumId="1">
    <w:nsid w:val="62EF32C4"/>
    <w:multiLevelType w:val="multilevel"/>
    <w:tmpl w:val="62EF32C4"/>
    <w:lvl w:ilvl="0" w:tentative="0">
      <w:start w:val="2"/>
      <w:numFmt w:val="decimal"/>
      <w:lvlText w:val="%1."/>
      <w:lvlJc w:val="left"/>
      <w:pPr>
        <w:ind w:left="783" w:hanging="360"/>
      </w:pPr>
      <w:rPr>
        <w:rFonts w:hint="default"/>
      </w:rPr>
    </w:lvl>
    <w:lvl w:ilvl="1" w:tentative="0">
      <w:start w:val="1"/>
      <w:numFmt w:val="lowerLetter"/>
      <w:lvlText w:val="%2."/>
      <w:lvlJc w:val="left"/>
      <w:pPr>
        <w:ind w:left="1503" w:hanging="360"/>
      </w:pPr>
      <w:rPr>
        <w:rFonts w:hint="default"/>
      </w:rPr>
    </w:lvl>
    <w:lvl w:ilvl="2" w:tentative="0">
      <w:start w:val="1"/>
      <w:numFmt w:val="lowerRoman"/>
      <w:lvlText w:val="%3."/>
      <w:lvlJc w:val="right"/>
      <w:pPr>
        <w:ind w:left="2223" w:hanging="180"/>
      </w:pPr>
      <w:rPr>
        <w:rFonts w:hint="default"/>
      </w:rPr>
    </w:lvl>
    <w:lvl w:ilvl="3" w:tentative="0">
      <w:start w:val="1"/>
      <w:numFmt w:val="decimal"/>
      <w:lvlText w:val="%4."/>
      <w:lvlJc w:val="left"/>
      <w:pPr>
        <w:ind w:left="2943" w:hanging="360"/>
      </w:pPr>
      <w:rPr>
        <w:rFonts w:hint="default"/>
      </w:rPr>
    </w:lvl>
    <w:lvl w:ilvl="4" w:tentative="0">
      <w:start w:val="1"/>
      <w:numFmt w:val="lowerLetter"/>
      <w:lvlText w:val="%5."/>
      <w:lvlJc w:val="left"/>
      <w:pPr>
        <w:ind w:left="3663" w:hanging="360"/>
      </w:pPr>
      <w:rPr>
        <w:rFonts w:hint="default"/>
      </w:rPr>
    </w:lvl>
    <w:lvl w:ilvl="5" w:tentative="0">
      <w:start w:val="1"/>
      <w:numFmt w:val="lowerRoman"/>
      <w:lvlText w:val="%6."/>
      <w:lvlJc w:val="right"/>
      <w:pPr>
        <w:ind w:left="4383" w:hanging="180"/>
      </w:pPr>
      <w:rPr>
        <w:rFonts w:hint="default"/>
      </w:rPr>
    </w:lvl>
    <w:lvl w:ilvl="6" w:tentative="0">
      <w:start w:val="1"/>
      <w:numFmt w:val="decimal"/>
      <w:lvlText w:val="%7."/>
      <w:lvlJc w:val="left"/>
      <w:pPr>
        <w:ind w:left="5103" w:hanging="360"/>
      </w:pPr>
      <w:rPr>
        <w:rFonts w:hint="default"/>
      </w:rPr>
    </w:lvl>
    <w:lvl w:ilvl="7" w:tentative="0">
      <w:start w:val="1"/>
      <w:numFmt w:val="lowerLetter"/>
      <w:lvlText w:val="%8."/>
      <w:lvlJc w:val="left"/>
      <w:pPr>
        <w:ind w:left="5823" w:hanging="360"/>
      </w:pPr>
      <w:rPr>
        <w:rFonts w:hint="default"/>
      </w:rPr>
    </w:lvl>
    <w:lvl w:ilvl="8" w:tentative="0">
      <w:start w:val="1"/>
      <w:numFmt w:val="lowerRoman"/>
      <w:lvlText w:val="%9."/>
      <w:lvlJc w:val="right"/>
      <w:pPr>
        <w:ind w:left="6543" w:hanging="18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DfL/ZsZH9gqCFtUK4cS07phgvX4=" w:salt="A75gaOwH/oJoWhzS96Atp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7C"/>
    <w:rsid w:val="00001C3E"/>
    <w:rsid w:val="0001408C"/>
    <w:rsid w:val="000206E4"/>
    <w:rsid w:val="00072A73"/>
    <w:rsid w:val="00097B51"/>
    <w:rsid w:val="000A0074"/>
    <w:rsid w:val="000A20BB"/>
    <w:rsid w:val="000B0605"/>
    <w:rsid w:val="000E6E1D"/>
    <w:rsid w:val="000E72A7"/>
    <w:rsid w:val="000F3289"/>
    <w:rsid w:val="001132E2"/>
    <w:rsid w:val="00115792"/>
    <w:rsid w:val="00124B83"/>
    <w:rsid w:val="00124D68"/>
    <w:rsid w:val="001311EE"/>
    <w:rsid w:val="001326A2"/>
    <w:rsid w:val="001358C1"/>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93BB9"/>
    <w:rsid w:val="00394114"/>
    <w:rsid w:val="003C3827"/>
    <w:rsid w:val="003D3786"/>
    <w:rsid w:val="003D5F01"/>
    <w:rsid w:val="003E149E"/>
    <w:rsid w:val="003E1FF4"/>
    <w:rsid w:val="003F2E9C"/>
    <w:rsid w:val="00402B3F"/>
    <w:rsid w:val="00410910"/>
    <w:rsid w:val="00413637"/>
    <w:rsid w:val="004278E2"/>
    <w:rsid w:val="004323EF"/>
    <w:rsid w:val="00443FD8"/>
    <w:rsid w:val="00447431"/>
    <w:rsid w:val="004506C3"/>
    <w:rsid w:val="00461C41"/>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3701D"/>
    <w:rsid w:val="006403CC"/>
    <w:rsid w:val="00644BB9"/>
    <w:rsid w:val="00647A95"/>
    <w:rsid w:val="00651F05"/>
    <w:rsid w:val="00653891"/>
    <w:rsid w:val="0069217C"/>
    <w:rsid w:val="00693FAF"/>
    <w:rsid w:val="006973EB"/>
    <w:rsid w:val="006A1F6A"/>
    <w:rsid w:val="006A5F4B"/>
    <w:rsid w:val="006A7444"/>
    <w:rsid w:val="006B48A2"/>
    <w:rsid w:val="006D7051"/>
    <w:rsid w:val="006F4508"/>
    <w:rsid w:val="00712BA0"/>
    <w:rsid w:val="00713015"/>
    <w:rsid w:val="00715FC5"/>
    <w:rsid w:val="00716CFD"/>
    <w:rsid w:val="00717FCB"/>
    <w:rsid w:val="00725D4D"/>
    <w:rsid w:val="007376F4"/>
    <w:rsid w:val="00762643"/>
    <w:rsid w:val="007718E3"/>
    <w:rsid w:val="00783571"/>
    <w:rsid w:val="00796CF1"/>
    <w:rsid w:val="00803D6A"/>
    <w:rsid w:val="00804A04"/>
    <w:rsid w:val="008125BD"/>
    <w:rsid w:val="008136EB"/>
    <w:rsid w:val="00813C1C"/>
    <w:rsid w:val="0083659B"/>
    <w:rsid w:val="008447ED"/>
    <w:rsid w:val="008508F0"/>
    <w:rsid w:val="00882D1C"/>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A37C15"/>
    <w:rsid w:val="00A67D67"/>
    <w:rsid w:val="00A732B8"/>
    <w:rsid w:val="00A76263"/>
    <w:rsid w:val="00A83081"/>
    <w:rsid w:val="00A87C80"/>
    <w:rsid w:val="00AC24D2"/>
    <w:rsid w:val="00AE34B9"/>
    <w:rsid w:val="00AE39B6"/>
    <w:rsid w:val="00B04EB8"/>
    <w:rsid w:val="00B067B1"/>
    <w:rsid w:val="00B11630"/>
    <w:rsid w:val="00B23263"/>
    <w:rsid w:val="00B43376"/>
    <w:rsid w:val="00B6386D"/>
    <w:rsid w:val="00B70598"/>
    <w:rsid w:val="00B76CF4"/>
    <w:rsid w:val="00B91889"/>
    <w:rsid w:val="00BB7945"/>
    <w:rsid w:val="00BE5474"/>
    <w:rsid w:val="00C12AFD"/>
    <w:rsid w:val="00C2355E"/>
    <w:rsid w:val="00C24E16"/>
    <w:rsid w:val="00C34845"/>
    <w:rsid w:val="00C45B26"/>
    <w:rsid w:val="00C56158"/>
    <w:rsid w:val="00C812F6"/>
    <w:rsid w:val="00CA0770"/>
    <w:rsid w:val="00CA6428"/>
    <w:rsid w:val="00CC0D31"/>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623D"/>
    <w:rsid w:val="00E77B9C"/>
    <w:rsid w:val="00E80E8A"/>
    <w:rsid w:val="00E81668"/>
    <w:rsid w:val="00EA0DD5"/>
    <w:rsid w:val="00EB02BE"/>
    <w:rsid w:val="00F059F5"/>
    <w:rsid w:val="00F1354F"/>
    <w:rsid w:val="00F2784B"/>
    <w:rsid w:val="00F5325A"/>
    <w:rsid w:val="00F53B84"/>
    <w:rsid w:val="00F53D8A"/>
    <w:rsid w:val="00F734F6"/>
    <w:rsid w:val="00F81C7C"/>
    <w:rsid w:val="00FA5ACB"/>
    <w:rsid w:val="00FA7857"/>
    <w:rsid w:val="00FC2749"/>
    <w:rsid w:val="00FC2F2F"/>
    <w:rsid w:val="00FC302E"/>
    <w:rsid w:val="369E4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next w:val="1"/>
    <w:link w:val="14"/>
    <w:qFormat/>
    <w:uiPriority w:val="1"/>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0"/>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Tahoma" w:hAnsi="Tahoma" w:cs="Tahoma"/>
      <w:sz w:val="16"/>
      <w:szCs w:val="16"/>
    </w:rPr>
  </w:style>
  <w:style w:type="paragraph" w:styleId="7">
    <w:name w:val="Body Text"/>
    <w:basedOn w:val="1"/>
    <w:link w:val="15"/>
    <w:qFormat/>
    <w:uiPriority w:val="1"/>
    <w:rPr>
      <w:sz w:val="24"/>
      <w:szCs w:val="24"/>
    </w:r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7"/>
    <w:unhideWhenUsed/>
    <w:qFormat/>
    <w:uiPriority w:val="99"/>
    <w:pPr>
      <w:tabs>
        <w:tab w:val="center" w:pos="4513"/>
        <w:tab w:val="right" w:pos="9026"/>
      </w:tabs>
    </w:p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toc 1"/>
    <w:basedOn w:val="1"/>
    <w:qFormat/>
    <w:uiPriority w:val="39"/>
    <w:pPr>
      <w:spacing w:before="282" w:line="273" w:lineRule="exact"/>
      <w:ind w:left="568"/>
    </w:pPr>
    <w:rPr>
      <w:b/>
      <w:bCs/>
      <w:sz w:val="24"/>
      <w:szCs w:val="24"/>
    </w:rPr>
  </w:style>
  <w:style w:type="paragraph" w:styleId="12">
    <w:name w:val="toc 2"/>
    <w:basedOn w:val="1"/>
    <w:qFormat/>
    <w:uiPriority w:val="39"/>
    <w:pPr>
      <w:ind w:left="568"/>
    </w:pPr>
    <w:rPr>
      <w:b/>
      <w:bCs/>
      <w:sz w:val="24"/>
      <w:szCs w:val="24"/>
    </w:rPr>
  </w:style>
  <w:style w:type="paragraph" w:styleId="13">
    <w:name w:val="toc 3"/>
    <w:basedOn w:val="1"/>
    <w:next w:val="1"/>
    <w:autoRedefine/>
    <w:semiHidden/>
    <w:unhideWhenUsed/>
    <w:qFormat/>
    <w:uiPriority w:val="39"/>
    <w:pPr>
      <w:spacing w:after="100"/>
      <w:ind w:left="440"/>
    </w:pPr>
  </w:style>
  <w:style w:type="character" w:customStyle="1" w:styleId="14">
    <w:name w:val="Heading 1 Char"/>
    <w:basedOn w:val="4"/>
    <w:link w:val="2"/>
    <w:qFormat/>
    <w:uiPriority w:val="9"/>
    <w:rPr>
      <w:rFonts w:asciiTheme="majorHAnsi" w:hAnsiTheme="majorHAnsi" w:eastAsiaTheme="majorEastAsia" w:cstheme="majorBidi"/>
      <w:color w:val="376092" w:themeColor="accent1" w:themeShade="BF"/>
      <w:sz w:val="40"/>
      <w:szCs w:val="40"/>
      <w:lang w:val="ms"/>
    </w:rPr>
  </w:style>
  <w:style w:type="character" w:customStyle="1" w:styleId="15">
    <w:name w:val="Body Text Char"/>
    <w:basedOn w:val="4"/>
    <w:link w:val="7"/>
    <w:qFormat/>
    <w:uiPriority w:val="1"/>
    <w:rPr>
      <w:rFonts w:ascii="Times New Roman" w:hAnsi="Times New Roman" w:eastAsia="Times New Roman" w:cs="Times New Roman"/>
      <w:sz w:val="24"/>
      <w:szCs w:val="24"/>
      <w:lang w:val="ms"/>
    </w:rPr>
  </w:style>
  <w:style w:type="character" w:customStyle="1" w:styleId="16">
    <w:name w:val="Footer Char"/>
    <w:basedOn w:val="4"/>
    <w:link w:val="8"/>
    <w:qFormat/>
    <w:uiPriority w:val="99"/>
    <w:rPr>
      <w:rFonts w:ascii="Times New Roman" w:hAnsi="Times New Roman" w:eastAsia="Times New Roman" w:cs="Times New Roman"/>
      <w:lang w:val="ms"/>
    </w:rPr>
  </w:style>
  <w:style w:type="character" w:customStyle="1" w:styleId="17">
    <w:name w:val="Header Char"/>
    <w:basedOn w:val="4"/>
    <w:link w:val="9"/>
    <w:qFormat/>
    <w:uiPriority w:val="99"/>
    <w:rPr>
      <w:rFonts w:ascii="Times New Roman" w:hAnsi="Times New Roman" w:eastAsia="Times New Roman" w:cs="Times New Roman"/>
      <w:lang w:val="ms"/>
    </w:rPr>
  </w:style>
  <w:style w:type="character" w:customStyle="1" w:styleId="18">
    <w:name w:val="Balloon Text Char"/>
    <w:basedOn w:val="4"/>
    <w:link w:val="6"/>
    <w:semiHidden/>
    <w:qFormat/>
    <w:uiPriority w:val="99"/>
    <w:rPr>
      <w:rFonts w:ascii="Tahoma" w:hAnsi="Tahoma" w:eastAsia="Times New Roman" w:cs="Tahoma"/>
      <w:sz w:val="16"/>
      <w:szCs w:val="16"/>
      <w:lang w:val="ms"/>
    </w:rPr>
  </w:style>
  <w:style w:type="paragraph" w:styleId="19">
    <w:name w:val="List Paragraph"/>
    <w:basedOn w:val="1"/>
    <w:qFormat/>
    <w:uiPriority w:val="34"/>
    <w:pPr>
      <w:ind w:left="720"/>
      <w:contextualSpacing/>
    </w:pPr>
  </w:style>
  <w:style w:type="character" w:customStyle="1" w:styleId="20">
    <w:name w:val="Heading 2 Char"/>
    <w:basedOn w:val="4"/>
    <w:link w:val="3"/>
    <w:semiHidden/>
    <w:qFormat/>
    <w:uiPriority w:val="9"/>
    <w:rPr>
      <w:rFonts w:asciiTheme="majorHAnsi" w:hAnsiTheme="majorHAnsi" w:eastAsiaTheme="majorEastAsia" w:cstheme="majorBidi"/>
      <w:b/>
      <w:bCs/>
      <w:color w:val="4F81BD" w:themeColor="accent1"/>
      <w:sz w:val="26"/>
      <w:szCs w:val="26"/>
      <w:lang w:val="ms"/>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9"/>
    <customShpInfo spid="_x0000_s2068"/>
    <customShpInfo spid="_x0000_s2067"/>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597</Words>
  <Characters>4157</Characters>
  <Lines>33</Lines>
  <Paragraphs>9</Paragraphs>
  <TotalTime>0</TotalTime>
  <ScaleCrop>false</ScaleCrop>
  <LinksUpToDate>false</LinksUpToDate>
  <CharactersWithSpaces>4741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2026-09-09T05:52:00Z</dcterms:created>
  <dc:creator>OPERATOR</dc:creator>
  <cp:lastModifiedBy>Administrator</cp:lastModifiedBy>
  <dcterms:modified xsi:type="dcterms:W3CDTF">2026-09-10T04:40:01Z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9FF1C5BD608C461C88A318312A89CD91_13</vt:lpwstr>
  </property>
</Properties>
</file>