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66C1A7">
      <w:pPr>
        <w:spacing w:after="0" w:line="480" w:lineRule="auto"/>
        <w:jc w:val="center"/>
        <w:rPr>
          <w:rFonts w:ascii="Times New Roman" w:hAnsi="Times New Roman" w:cs="Times New Roman"/>
          <w:b/>
          <w:sz w:val="24"/>
          <w:szCs w:val="24"/>
          <w:lang w:val="id-ID"/>
        </w:rPr>
      </w:pPr>
      <w:bookmarkStart w:id="6" w:name="_GoBack"/>
      <w:bookmarkEnd w:id="6"/>
      <w:r>
        <w:rPr>
          <w:rFonts w:ascii="Times New Roman" w:hAnsi="Times New Roman" w:cs="Times New Roman"/>
          <w:b/>
          <w:sz w:val="24"/>
          <w:szCs w:val="24"/>
        </w:rPr>
        <w:t>BAB IV</w:t>
      </w:r>
    </w:p>
    <w:p w14:paraId="1F1FE56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HASIL PENELITIAN DAN PEMBAHASAN</w:t>
      </w:r>
    </w:p>
    <w:p w14:paraId="40A69D4A">
      <w:pPr>
        <w:spacing w:after="0" w:line="480" w:lineRule="auto"/>
        <w:jc w:val="center"/>
        <w:rPr>
          <w:rFonts w:ascii="Times New Roman" w:hAnsi="Times New Roman" w:cs="Times New Roman"/>
          <w:b/>
          <w:bCs/>
          <w:sz w:val="24"/>
          <w:szCs w:val="24"/>
        </w:rPr>
      </w:pPr>
    </w:p>
    <w:p w14:paraId="6C4D5FFF">
      <w:pPr>
        <w:pStyle w:val="3"/>
        <w:spacing w:before="0" w:line="480" w:lineRule="auto"/>
        <w:jc w:val="both"/>
        <w:rPr>
          <w:rFonts w:ascii="Times New Roman" w:hAnsi="Times New Roman" w:cs="Times New Roman"/>
          <w:b/>
          <w:bCs/>
          <w:color w:val="auto"/>
          <w:sz w:val="24"/>
          <w:szCs w:val="24"/>
        </w:rPr>
      </w:pPr>
      <w:bookmarkStart w:id="0" w:name="_TOC_250010"/>
      <w:r>
        <w:rPr>
          <w:rFonts w:ascii="Times New Roman" w:hAnsi="Times New Roman" w:cs="Times New Roman"/>
          <w:b/>
          <w:bCs/>
          <w:color w:val="auto"/>
          <w:sz w:val="24"/>
          <w:szCs w:val="24"/>
        </w:rPr>
        <w:t>4.1 Deskripsi Lokasi Penelitian</w:t>
      </w:r>
    </w:p>
    <w:p w14:paraId="4C4C6DD5">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SDN 401 Panyabungan merupakan salah satu sekolah dasar negeri yang terletak di jantung Kecamatan Panyabungan, tepatnya di Jl. Adam Malik Lintas Timur, Desa Sipolu Polu, Kabupaten Mandailing Natal, Provinsi Sumatera Utara. Berdiri sejak 1 Agustus 2017, sekolah ini hadir sebagai institusi pendidikan yang menjawab kebutuhan masyarakat lokal akan layanan pendidikan dasar yang berkualitas.</w:t>
      </w:r>
    </w:p>
    <w:p w14:paraId="2B1E663D">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Dengan status akreditasi “A” dari Kementerian Pendidikan dan Kebudayaan, SDN 401 Panyabungan terus menunjukkan komitmennya dalam meningkatkan mutu pendidikan. Sekolah ini dipimpin oleh Kepala Sekolah Zulfahmi yang dibantu oleh operator sekolah Abdul Basid, serta didukung oleh 19 guru profesional yang penuh dedikasi. Saat ini, SDN 401 Panyabungan melayani 415 siswa yang terdiri dari 206 siswa laki-laki dan 209 siswa perempuan.</w:t>
      </w:r>
    </w:p>
    <w:p w14:paraId="4844EE2D">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Meskipun tergolong baru, sekolah ini telah memiliki sarana dan prasarana yang cukup memadai, termasuk 9 ruang kelas, 1 ruang perpustakaan, serta sambungan listrik dari PLN dan koneksi internet sebesar 30 Mb—walau masih dengan akses terbatas. Luas lahan mencapai 5.788 m² memberikan potensi besar bagi pengembangan lingkungan belajar yang sehat dan nyaman. Pada tahun 2022, bantuan Dana Alokasi Khusus (DAK) berhasil menghadirkan satu Ruang Kelas Baru (RKB) untuk mengatasi keterbatasan ruang belajar yang sempat membuat sebagian siswa harus belajar secara bergantian atau di luar ruangan.</w:t>
      </w:r>
    </w:p>
    <w:p w14:paraId="17722125">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Tidak hanya fokus pada aspek akademik, SDN 401 Panyabungan juga aktif dalam mendukung program-program kesejahteraan siswa. Pada Desember 2024, sekolah ini menjadi pelaksana program "Makan Bergizi Gratis" yang merupakan hasil kolaborasi Pemerintah Kabupaten Mandailing Natal dan Bank Sumut dalam rangka mendukung program nasional Astacita.</w:t>
      </w:r>
    </w:p>
    <w:p w14:paraId="106E5865">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Berlokasi di wilayah beriklim tropis basah yang mendukung aktivitas pembelajaran luar ruang, SDN 401 Panyabungan memiliki potensi besar untuk terus tumbuh menjadi sekolah unggulan di daerah. Lingkungan Panyabungan sebagai pusat pemerintahan kabupaten dengan populasi sekitar 90.000 jiwa juga menjadikan sekolah ini strategis untuk pengembangan inovasi pendidikan.</w:t>
      </w:r>
    </w:p>
    <w:p w14:paraId="7441C6E5">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Dengan semua potensi dan dukungan yang dimiliki, SDN 401 Panyabungan sangat layak menjadi lokasi penelitian skripsi, khususnya dalam mengkaji efektivitas penerapan metode pembelajaran untuk meningkatkan keterampilan berbicara siswa. Sekolah ini bukan hanya tempat belajar, tapi juga lahan subur bagi tumbuh kembangnya generasi emas masa depan.</w:t>
      </w:r>
    </w:p>
    <w:p w14:paraId="76CBD3DE">
      <w:pPr>
        <w:widowControl w:val="0"/>
        <w:spacing w:after="0" w:line="480" w:lineRule="auto"/>
        <w:ind w:firstLine="709"/>
        <w:jc w:val="both"/>
        <w:rPr>
          <w:rFonts w:ascii="Times New Roman" w:hAnsi="Times New Roman" w:eastAsia="Times New Roman" w:cs="Times New Roman"/>
          <w:sz w:val="24"/>
          <w:szCs w:val="24"/>
        </w:rPr>
      </w:pPr>
    </w:p>
    <w:p w14:paraId="3483E0EA">
      <w:pPr>
        <w:pStyle w:val="3"/>
        <w:keepNext w:val="0"/>
        <w:keepLines w:val="0"/>
        <w:widowControl w:val="0"/>
        <w:spacing w:before="0" w:line="480" w:lineRule="auto"/>
        <w:jc w:val="both"/>
        <w:rPr>
          <w:rFonts w:ascii="Times New Roman" w:hAnsi="Times New Roman" w:cs="Times New Roman"/>
          <w:b/>
          <w:bCs/>
          <w:color w:val="auto"/>
          <w:spacing w:val="-2"/>
          <w:sz w:val="24"/>
          <w:szCs w:val="24"/>
        </w:rPr>
      </w:pPr>
      <w:r>
        <w:rPr>
          <w:rFonts w:ascii="Times New Roman" w:hAnsi="Times New Roman" w:cs="Times New Roman"/>
          <w:b/>
          <w:bCs/>
          <w:color w:val="auto"/>
          <w:sz w:val="24"/>
          <w:szCs w:val="24"/>
        </w:rPr>
        <w:t>4.2 Deskripsi</w:t>
      </w:r>
      <w:r>
        <w:rPr>
          <w:rFonts w:ascii="Times New Roman" w:hAnsi="Times New Roman" w:cs="Times New Roman"/>
          <w:b/>
          <w:bCs/>
          <w:color w:val="auto"/>
          <w:spacing w:val="-5"/>
          <w:sz w:val="24"/>
          <w:szCs w:val="24"/>
        </w:rPr>
        <w:t xml:space="preserve"> </w:t>
      </w:r>
      <w:r>
        <w:rPr>
          <w:rFonts w:ascii="Times New Roman" w:hAnsi="Times New Roman" w:cs="Times New Roman"/>
          <w:b/>
          <w:bCs/>
          <w:color w:val="auto"/>
          <w:sz w:val="24"/>
          <w:szCs w:val="24"/>
        </w:rPr>
        <w:t>Data</w:t>
      </w:r>
      <w:r>
        <w:rPr>
          <w:rFonts w:ascii="Times New Roman" w:hAnsi="Times New Roman" w:cs="Times New Roman"/>
          <w:b/>
          <w:bCs/>
          <w:color w:val="auto"/>
          <w:spacing w:val="-3"/>
          <w:sz w:val="24"/>
          <w:szCs w:val="24"/>
        </w:rPr>
        <w:t xml:space="preserve"> </w:t>
      </w:r>
      <w:bookmarkEnd w:id="0"/>
      <w:r>
        <w:rPr>
          <w:rFonts w:ascii="Times New Roman" w:hAnsi="Times New Roman" w:cs="Times New Roman"/>
          <w:b/>
          <w:bCs/>
          <w:color w:val="auto"/>
          <w:spacing w:val="-2"/>
          <w:sz w:val="24"/>
          <w:szCs w:val="24"/>
        </w:rPr>
        <w:t>Variabel</w:t>
      </w:r>
    </w:p>
    <w:p w14:paraId="425852DD">
      <w:pPr>
        <w:pStyle w:val="3"/>
        <w:keepNext w:val="0"/>
        <w:keepLines w:val="0"/>
        <w:widowControl w:val="0"/>
        <w:spacing w:before="0" w:line="480" w:lineRule="auto"/>
        <w:ind w:firstLine="72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Data dalam penelitian ini merupakan hasil dari dua variabel yang diperoleh melalui tes keterampilan berbicara kepada 36 siswa sebagai sampel penelitian. Sampel tersebut terdiri dari 18 siswa sebagai kelas eksperimen dan 18 siswa sebagai kelas kontrol. Kedua variabel yang diteliti yaitu: </w:t>
      </w:r>
      <w:r>
        <w:rPr>
          <w:rStyle w:val="21"/>
          <w:rFonts w:ascii="Times New Roman" w:hAnsi="Times New Roman" w:cs="Times New Roman"/>
          <w:b w:val="0"/>
          <w:bCs w:val="0"/>
          <w:color w:val="auto"/>
          <w:sz w:val="24"/>
          <w:szCs w:val="24"/>
        </w:rPr>
        <w:t>Keterampilan Berbicara Siswa dengan Metode Demonstrasi (Y1)</w:t>
      </w:r>
      <w:r>
        <w:rPr>
          <w:rFonts w:ascii="Times New Roman" w:hAnsi="Times New Roman" w:cs="Times New Roman"/>
          <w:color w:val="auto"/>
          <w:sz w:val="24"/>
          <w:szCs w:val="24"/>
        </w:rPr>
        <w:t xml:space="preserve"> dan </w:t>
      </w:r>
      <w:r>
        <w:rPr>
          <w:rStyle w:val="21"/>
          <w:rFonts w:ascii="Times New Roman" w:hAnsi="Times New Roman" w:cs="Times New Roman"/>
          <w:b w:val="0"/>
          <w:bCs w:val="0"/>
          <w:color w:val="auto"/>
          <w:sz w:val="24"/>
          <w:szCs w:val="24"/>
        </w:rPr>
        <w:t>Keterampilan Berbicara Siswa tanpa Metode Demonstrasi (Y2)</w:t>
      </w:r>
      <w:r>
        <w:rPr>
          <w:rFonts w:ascii="Times New Roman" w:hAnsi="Times New Roman" w:cs="Times New Roman"/>
          <w:color w:val="auto"/>
          <w:sz w:val="24"/>
          <w:szCs w:val="24"/>
        </w:rPr>
        <w:t>.</w:t>
      </w:r>
    </w:p>
    <w:p w14:paraId="516FCAAA">
      <w:pPr>
        <w:pStyle w:val="3"/>
        <w:spacing w:before="0" w:line="480" w:lineRule="auto"/>
        <w:ind w:firstLine="720"/>
        <w:jc w:val="both"/>
        <w:rPr>
          <w:rFonts w:ascii="Times New Roman" w:hAnsi="Times New Roman" w:eastAsia="Times New Roman" w:cs="Times New Roman"/>
          <w:color w:val="auto"/>
          <w:sz w:val="24"/>
          <w:szCs w:val="24"/>
          <w:lang w:val="id"/>
        </w:rPr>
      </w:pPr>
      <w:r>
        <w:rPr>
          <w:rFonts w:ascii="Times New Roman" w:hAnsi="Times New Roman" w:eastAsia="Times New Roman" w:cs="Times New Roman"/>
          <w:color w:val="auto"/>
          <w:sz w:val="24"/>
          <w:szCs w:val="24"/>
        </w:rPr>
        <w:t>Penamaan masing-masing variabel berdasarkan perlakuan yang diberikan, yaitu Metode Demonstrasi (X) sebagai variabel bebas, dan Keterampilan Berbicara dalam Menceritakan Kembali Dongeng (Y) sebagai variabel terikat. Instrumen penelitian berupa tes keterampilan berbicara dengan indikator yang disusun berdasarkan rubrik penilaian yang telah divalidasi sebelumnya. Tes ini bertujuan untuk mengetahui peningkatan keterampilan berbicara siswa pada kedua kelas tersebut.</w:t>
      </w:r>
    </w:p>
    <w:p w14:paraId="48BEC88E">
      <w:pPr>
        <w:pStyle w:val="5"/>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1. Keterampilan Berbicara dengan Metode Demonstrasi (Y1)</w:t>
      </w:r>
    </w:p>
    <w:p w14:paraId="5A20BF88">
      <w:pPr>
        <w:pStyle w:val="5"/>
        <w:spacing w:before="0" w:line="480" w:lineRule="auto"/>
        <w:ind w:firstLine="720"/>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 xml:space="preserve">Hasil tes yang diberikan kepada siswa kelas eksperimen menunjukkan rata-rata nilai sebesar </w:t>
      </w:r>
      <w:r>
        <w:rPr>
          <w:rStyle w:val="21"/>
          <w:rFonts w:ascii="Times New Roman" w:hAnsi="Times New Roman" w:cs="Times New Roman"/>
          <w:b w:val="0"/>
          <w:bCs w:val="0"/>
          <w:i w:val="0"/>
          <w:iCs w:val="0"/>
          <w:color w:val="auto"/>
          <w:sz w:val="24"/>
          <w:szCs w:val="24"/>
        </w:rPr>
        <w:t>90,88</w:t>
      </w:r>
      <w:r>
        <w:rPr>
          <w:rFonts w:ascii="Times New Roman" w:hAnsi="Times New Roman" w:cs="Times New Roman"/>
          <w:i w:val="0"/>
          <w:iCs w:val="0"/>
          <w:color w:val="auto"/>
          <w:sz w:val="24"/>
          <w:szCs w:val="24"/>
        </w:rPr>
        <w:t xml:space="preserve">, dengan nilai tertinggi </w:t>
      </w:r>
      <w:r>
        <w:rPr>
          <w:rStyle w:val="21"/>
          <w:rFonts w:ascii="Times New Roman" w:hAnsi="Times New Roman" w:cs="Times New Roman"/>
          <w:b w:val="0"/>
          <w:bCs w:val="0"/>
          <w:i w:val="0"/>
          <w:iCs w:val="0"/>
          <w:color w:val="auto"/>
          <w:sz w:val="24"/>
          <w:szCs w:val="24"/>
        </w:rPr>
        <w:t>100</w:t>
      </w:r>
      <w:r>
        <w:rPr>
          <w:rFonts w:ascii="Times New Roman" w:hAnsi="Times New Roman" w:cs="Times New Roman"/>
          <w:i w:val="0"/>
          <w:iCs w:val="0"/>
          <w:color w:val="auto"/>
          <w:sz w:val="24"/>
          <w:szCs w:val="24"/>
        </w:rPr>
        <w:t xml:space="preserve"> dan nilai terendah </w:t>
      </w:r>
      <w:r>
        <w:rPr>
          <w:rStyle w:val="21"/>
          <w:rFonts w:ascii="Times New Roman" w:hAnsi="Times New Roman" w:cs="Times New Roman"/>
          <w:b w:val="0"/>
          <w:bCs w:val="0"/>
          <w:i w:val="0"/>
          <w:iCs w:val="0"/>
          <w:color w:val="auto"/>
          <w:sz w:val="24"/>
          <w:szCs w:val="24"/>
        </w:rPr>
        <w:t>76</w:t>
      </w:r>
      <w:r>
        <w:rPr>
          <w:rFonts w:ascii="Times New Roman" w:hAnsi="Times New Roman" w:cs="Times New Roman"/>
          <w:i w:val="0"/>
          <w:iCs w:val="0"/>
          <w:color w:val="auto"/>
          <w:sz w:val="24"/>
          <w:szCs w:val="24"/>
        </w:rPr>
        <w:t>.</w:t>
      </w:r>
    </w:p>
    <w:p w14:paraId="3560BD57">
      <w:pPr>
        <w:pStyle w:val="19"/>
        <w:spacing w:before="0" w:beforeAutospacing="0" w:after="0" w:afterAutospacing="0" w:line="480" w:lineRule="auto"/>
        <w:jc w:val="center"/>
      </w:pPr>
      <w:r>
        <w:rPr>
          <w:rStyle w:val="21"/>
          <w:b w:val="0"/>
          <w:bCs w:val="0"/>
        </w:rPr>
        <w:t>Tabel 8</w:t>
      </w:r>
      <w:r>
        <w:br w:type="textWrapping"/>
      </w:r>
      <w:r>
        <w:t>Skor Keterampilan Berbicara Siswa dengan Metode Demonstrasi</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40"/>
        <w:gridCol w:w="1086"/>
        <w:gridCol w:w="1546"/>
        <w:gridCol w:w="1899"/>
        <w:gridCol w:w="786"/>
        <w:gridCol w:w="1446"/>
      </w:tblGrid>
      <w:tr w14:paraId="709BEC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B4C92E3">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0" w:type="auto"/>
            <w:vAlign w:val="center"/>
          </w:tcPr>
          <w:p w14:paraId="23ABF7F7">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Interval</w:t>
            </w:r>
          </w:p>
        </w:tc>
        <w:tc>
          <w:tcPr>
            <w:tcW w:w="0" w:type="auto"/>
            <w:vAlign w:val="center"/>
          </w:tcPr>
          <w:p w14:paraId="17548EFB">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Frekuensi (F)</w:t>
            </w:r>
          </w:p>
        </w:tc>
        <w:tc>
          <w:tcPr>
            <w:tcW w:w="0" w:type="auto"/>
            <w:vAlign w:val="center"/>
          </w:tcPr>
          <w:p w14:paraId="21FDFB44">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Nilai Tengah (X)</w:t>
            </w:r>
          </w:p>
        </w:tc>
        <w:tc>
          <w:tcPr>
            <w:tcW w:w="0" w:type="auto"/>
            <w:vAlign w:val="center"/>
          </w:tcPr>
          <w:p w14:paraId="279D2F81">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FX</w:t>
            </w:r>
          </w:p>
        </w:tc>
        <w:tc>
          <w:tcPr>
            <w:tcW w:w="0" w:type="auto"/>
            <w:vAlign w:val="center"/>
          </w:tcPr>
          <w:p w14:paraId="54342C7F">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Nilai Nyata</w:t>
            </w:r>
          </w:p>
        </w:tc>
      </w:tr>
      <w:tr w14:paraId="4378EBF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8D2F825">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vAlign w:val="center"/>
          </w:tcPr>
          <w:p w14:paraId="40867AE2">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76 – 80</w:t>
            </w:r>
          </w:p>
        </w:tc>
        <w:tc>
          <w:tcPr>
            <w:tcW w:w="0" w:type="auto"/>
            <w:vAlign w:val="center"/>
          </w:tcPr>
          <w:p w14:paraId="022508F8">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vAlign w:val="center"/>
          </w:tcPr>
          <w:p w14:paraId="61D5D5E7">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78</w:t>
            </w:r>
          </w:p>
        </w:tc>
        <w:tc>
          <w:tcPr>
            <w:tcW w:w="0" w:type="auto"/>
            <w:vAlign w:val="center"/>
          </w:tcPr>
          <w:p w14:paraId="637BE785">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234</w:t>
            </w:r>
          </w:p>
        </w:tc>
        <w:tc>
          <w:tcPr>
            <w:tcW w:w="0" w:type="auto"/>
            <w:vAlign w:val="center"/>
          </w:tcPr>
          <w:p w14:paraId="236DB9AD">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75,5 – 80,5</w:t>
            </w:r>
          </w:p>
        </w:tc>
      </w:tr>
      <w:tr w14:paraId="2DAC48F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100BBC5">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vAlign w:val="center"/>
          </w:tcPr>
          <w:p w14:paraId="64303D05">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81 – 85</w:t>
            </w:r>
          </w:p>
        </w:tc>
        <w:tc>
          <w:tcPr>
            <w:tcW w:w="0" w:type="auto"/>
            <w:vAlign w:val="center"/>
          </w:tcPr>
          <w:p w14:paraId="29A1DB75">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vAlign w:val="center"/>
          </w:tcPr>
          <w:p w14:paraId="416CEDE5">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83</w:t>
            </w:r>
          </w:p>
        </w:tc>
        <w:tc>
          <w:tcPr>
            <w:tcW w:w="0" w:type="auto"/>
            <w:vAlign w:val="center"/>
          </w:tcPr>
          <w:p w14:paraId="0AEF5498">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83</w:t>
            </w:r>
          </w:p>
        </w:tc>
        <w:tc>
          <w:tcPr>
            <w:tcW w:w="0" w:type="auto"/>
            <w:vAlign w:val="center"/>
          </w:tcPr>
          <w:p w14:paraId="1A8CFC00">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80,5 – 85,5</w:t>
            </w:r>
          </w:p>
        </w:tc>
      </w:tr>
      <w:tr w14:paraId="20FBA5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5790C91">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vAlign w:val="center"/>
          </w:tcPr>
          <w:p w14:paraId="4FE3FDC7">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86 – 90</w:t>
            </w:r>
          </w:p>
        </w:tc>
        <w:tc>
          <w:tcPr>
            <w:tcW w:w="0" w:type="auto"/>
            <w:vAlign w:val="center"/>
          </w:tcPr>
          <w:p w14:paraId="788B92BB">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vAlign w:val="center"/>
          </w:tcPr>
          <w:p w14:paraId="1D890F2A">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88</w:t>
            </w:r>
          </w:p>
        </w:tc>
        <w:tc>
          <w:tcPr>
            <w:tcW w:w="0" w:type="auto"/>
            <w:vAlign w:val="center"/>
          </w:tcPr>
          <w:p w14:paraId="2E178238">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352</w:t>
            </w:r>
          </w:p>
        </w:tc>
        <w:tc>
          <w:tcPr>
            <w:tcW w:w="0" w:type="auto"/>
            <w:vAlign w:val="center"/>
          </w:tcPr>
          <w:p w14:paraId="56EB6E84">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85,5 – 90,5</w:t>
            </w:r>
          </w:p>
        </w:tc>
      </w:tr>
      <w:tr w14:paraId="022385B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10640E1">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vAlign w:val="center"/>
          </w:tcPr>
          <w:p w14:paraId="17F3E25D">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91 – 95</w:t>
            </w:r>
          </w:p>
        </w:tc>
        <w:tc>
          <w:tcPr>
            <w:tcW w:w="0" w:type="auto"/>
            <w:vAlign w:val="center"/>
          </w:tcPr>
          <w:p w14:paraId="023FCF8C">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vAlign w:val="center"/>
          </w:tcPr>
          <w:p w14:paraId="6509E574">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93</w:t>
            </w:r>
          </w:p>
        </w:tc>
        <w:tc>
          <w:tcPr>
            <w:tcW w:w="0" w:type="auto"/>
            <w:vAlign w:val="center"/>
          </w:tcPr>
          <w:p w14:paraId="47B48ACE">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372</w:t>
            </w:r>
          </w:p>
        </w:tc>
        <w:tc>
          <w:tcPr>
            <w:tcW w:w="0" w:type="auto"/>
            <w:vAlign w:val="center"/>
          </w:tcPr>
          <w:p w14:paraId="743DCE62">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90,5 – 95,5</w:t>
            </w:r>
          </w:p>
        </w:tc>
      </w:tr>
      <w:tr w14:paraId="6E673C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7CE21CA">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vAlign w:val="center"/>
          </w:tcPr>
          <w:p w14:paraId="29F30779">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96 – 100</w:t>
            </w:r>
          </w:p>
        </w:tc>
        <w:tc>
          <w:tcPr>
            <w:tcW w:w="0" w:type="auto"/>
            <w:vAlign w:val="center"/>
          </w:tcPr>
          <w:p w14:paraId="6B726334">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0" w:type="auto"/>
            <w:vAlign w:val="center"/>
          </w:tcPr>
          <w:p w14:paraId="1E54AF37">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98</w:t>
            </w:r>
          </w:p>
        </w:tc>
        <w:tc>
          <w:tcPr>
            <w:tcW w:w="0" w:type="auto"/>
            <w:vAlign w:val="center"/>
          </w:tcPr>
          <w:p w14:paraId="31D2850F">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588</w:t>
            </w:r>
          </w:p>
        </w:tc>
        <w:tc>
          <w:tcPr>
            <w:tcW w:w="0" w:type="auto"/>
            <w:vAlign w:val="center"/>
          </w:tcPr>
          <w:p w14:paraId="74474D23">
            <w:pPr>
              <w:spacing w:after="0" w:line="240" w:lineRule="auto"/>
              <w:ind w:left="30"/>
              <w:jc w:val="center"/>
              <w:rPr>
                <w:rFonts w:ascii="Times New Roman" w:hAnsi="Times New Roman" w:cs="Times New Roman"/>
                <w:sz w:val="24"/>
                <w:szCs w:val="24"/>
                <w:lang w:val="id-ID"/>
              </w:rPr>
            </w:pPr>
            <w:r>
              <w:rPr>
                <w:rFonts w:ascii="Times New Roman" w:hAnsi="Times New Roman" w:cs="Times New Roman"/>
                <w:sz w:val="24"/>
                <w:szCs w:val="24"/>
                <w:lang w:val="id-ID"/>
              </w:rPr>
              <w:t>95,5 – 100,5</w:t>
            </w:r>
          </w:p>
        </w:tc>
      </w:tr>
      <w:tr w14:paraId="78B4A0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996BB96">
            <w:pPr>
              <w:spacing w:after="0" w:line="240" w:lineRule="auto"/>
              <w:ind w:left="30"/>
              <w:jc w:val="center"/>
              <w:rPr>
                <w:rFonts w:ascii="Times New Roman" w:hAnsi="Times New Roman" w:cs="Times New Roman"/>
                <w:sz w:val="24"/>
                <w:szCs w:val="24"/>
                <w:lang w:val="id-ID"/>
              </w:rPr>
            </w:pPr>
          </w:p>
        </w:tc>
        <w:tc>
          <w:tcPr>
            <w:tcW w:w="0" w:type="auto"/>
            <w:vAlign w:val="center"/>
          </w:tcPr>
          <w:p w14:paraId="76A7201D">
            <w:pPr>
              <w:spacing w:after="0" w:line="240" w:lineRule="auto"/>
              <w:ind w:left="30"/>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Jumlah</w:t>
            </w:r>
          </w:p>
        </w:tc>
        <w:tc>
          <w:tcPr>
            <w:tcW w:w="0" w:type="auto"/>
            <w:vAlign w:val="center"/>
          </w:tcPr>
          <w:p w14:paraId="0487E256">
            <w:pPr>
              <w:spacing w:after="0" w:line="240" w:lineRule="auto"/>
              <w:ind w:left="30"/>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18</w:t>
            </w:r>
          </w:p>
        </w:tc>
        <w:tc>
          <w:tcPr>
            <w:tcW w:w="0" w:type="auto"/>
            <w:vAlign w:val="center"/>
          </w:tcPr>
          <w:p w14:paraId="6C02C300">
            <w:pPr>
              <w:spacing w:after="0" w:line="240" w:lineRule="auto"/>
              <w:ind w:left="30"/>
              <w:jc w:val="center"/>
              <w:rPr>
                <w:rFonts w:ascii="Times New Roman" w:hAnsi="Times New Roman" w:cs="Times New Roman"/>
                <w:sz w:val="24"/>
                <w:szCs w:val="24"/>
                <w:lang w:val="id-ID"/>
              </w:rPr>
            </w:pPr>
          </w:p>
        </w:tc>
        <w:tc>
          <w:tcPr>
            <w:tcW w:w="0" w:type="auto"/>
            <w:vAlign w:val="center"/>
          </w:tcPr>
          <w:p w14:paraId="40FFB4F6">
            <w:pPr>
              <w:spacing w:after="0" w:line="240" w:lineRule="auto"/>
              <w:ind w:left="30"/>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1.629</w:t>
            </w:r>
          </w:p>
        </w:tc>
        <w:tc>
          <w:tcPr>
            <w:tcW w:w="0" w:type="auto"/>
            <w:vAlign w:val="center"/>
          </w:tcPr>
          <w:p w14:paraId="2CCE12D1">
            <w:pPr>
              <w:spacing w:after="0" w:line="240" w:lineRule="auto"/>
              <w:ind w:left="30"/>
              <w:jc w:val="center"/>
              <w:rPr>
                <w:rFonts w:ascii="Times New Roman" w:hAnsi="Times New Roman" w:cs="Times New Roman"/>
                <w:sz w:val="24"/>
                <w:szCs w:val="24"/>
                <w:lang w:val="id-ID"/>
              </w:rPr>
            </w:pPr>
          </w:p>
        </w:tc>
      </w:tr>
    </w:tbl>
    <w:p w14:paraId="2931A435">
      <w:pPr>
        <w:pStyle w:val="4"/>
        <w:spacing w:before="0" w:line="480" w:lineRule="auto"/>
        <w:jc w:val="both"/>
        <w:rPr>
          <w:rFonts w:ascii="Times New Roman" w:hAnsi="Times New Roman" w:cs="Times New Roman"/>
          <w:b/>
          <w:bCs/>
          <w:color w:val="auto"/>
        </w:rPr>
      </w:pPr>
    </w:p>
    <w:p w14:paraId="447AB6BC">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2. Hasil Keterampilan Berbicara Siswa dalam Menceritakan Kembali Dongeng Tanpa Menggunakan Metode Demonstrasi (Y2)</w:t>
      </w:r>
    </w:p>
    <w:p w14:paraId="32C11500">
      <w:pPr>
        <w:pStyle w:val="19"/>
        <w:spacing w:before="0" w:beforeAutospacing="0" w:after="0" w:afterAutospacing="0" w:line="480" w:lineRule="auto"/>
        <w:ind w:firstLine="720"/>
        <w:jc w:val="both"/>
      </w:pPr>
      <w:r>
        <w:t xml:space="preserve">Berdasarkan hasil tes keterampilan berbicara yang diberikan pada kelas kontrol (tanpa penerapan metode demonstrasi), diperoleh nilai rata-rata sebesar </w:t>
      </w:r>
      <w:r>
        <w:rPr>
          <w:rStyle w:val="21"/>
          <w:b w:val="0"/>
          <w:bCs w:val="0"/>
        </w:rPr>
        <w:t>86,94</w:t>
      </w:r>
      <w:r>
        <w:t xml:space="preserve">, dengan nilai tertinggi </w:t>
      </w:r>
      <w:r>
        <w:rPr>
          <w:rStyle w:val="21"/>
          <w:b w:val="0"/>
          <w:bCs w:val="0"/>
        </w:rPr>
        <w:t>100</w:t>
      </w:r>
      <w:r>
        <w:t xml:space="preserve"> dan nilai terendah </w:t>
      </w:r>
      <w:r>
        <w:rPr>
          <w:rStyle w:val="21"/>
          <w:b w:val="0"/>
          <w:bCs w:val="0"/>
        </w:rPr>
        <w:t>71</w:t>
      </w:r>
      <w:r>
        <w:t>.</w:t>
      </w:r>
    </w:p>
    <w:p w14:paraId="344F7E83">
      <w:pPr>
        <w:pStyle w:val="19"/>
        <w:spacing w:before="0" w:beforeAutospacing="0" w:after="0" w:afterAutospacing="0" w:line="480" w:lineRule="auto"/>
        <w:jc w:val="center"/>
      </w:pPr>
      <w:r>
        <w:rPr>
          <w:rStyle w:val="21"/>
          <w:b w:val="0"/>
          <w:bCs w:val="0"/>
        </w:rPr>
        <w:t>Tabel 9</w:t>
      </w:r>
      <w:r>
        <w:br w:type="textWrapping"/>
      </w:r>
      <w:r>
        <w:rPr>
          <w:rStyle w:val="21"/>
          <w:b w:val="0"/>
          <w:bCs w:val="0"/>
        </w:rPr>
        <w:t>Skor Keterampilan Berbicara Siswa Kelas IV SDN 401 Panyabungan Tanpa Menggunakan Metode Demonstrasi</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1503"/>
        <w:gridCol w:w="1463"/>
        <w:gridCol w:w="1869"/>
        <w:gridCol w:w="756"/>
        <w:gridCol w:w="1416"/>
      </w:tblGrid>
      <w:tr w14:paraId="63DDCA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8B53570">
            <w:pPr>
              <w:spacing w:after="20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0" w:type="auto"/>
            <w:vAlign w:val="center"/>
          </w:tcPr>
          <w:p w14:paraId="0ACFFF5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Interval Nilai</w:t>
            </w:r>
          </w:p>
        </w:tc>
        <w:tc>
          <w:tcPr>
            <w:tcW w:w="0" w:type="auto"/>
            <w:vAlign w:val="center"/>
          </w:tcPr>
          <w:p w14:paraId="6882F3BC">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Frekuensi (f)</w:t>
            </w:r>
          </w:p>
        </w:tc>
        <w:tc>
          <w:tcPr>
            <w:tcW w:w="0" w:type="auto"/>
            <w:vAlign w:val="center"/>
          </w:tcPr>
          <w:p w14:paraId="02CD524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Nilai Tengah (X)</w:t>
            </w:r>
          </w:p>
        </w:tc>
        <w:tc>
          <w:tcPr>
            <w:tcW w:w="0" w:type="auto"/>
            <w:vAlign w:val="center"/>
          </w:tcPr>
          <w:p w14:paraId="19DB607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fX</w:t>
            </w:r>
          </w:p>
        </w:tc>
        <w:tc>
          <w:tcPr>
            <w:tcW w:w="0" w:type="auto"/>
            <w:vAlign w:val="center"/>
          </w:tcPr>
          <w:p w14:paraId="10107ED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Nilai Nyata</w:t>
            </w:r>
          </w:p>
        </w:tc>
      </w:tr>
      <w:tr w14:paraId="497B840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EA5E20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vAlign w:val="center"/>
          </w:tcPr>
          <w:p w14:paraId="4CDD176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71 – 76</w:t>
            </w:r>
          </w:p>
        </w:tc>
        <w:tc>
          <w:tcPr>
            <w:tcW w:w="0" w:type="auto"/>
            <w:vAlign w:val="center"/>
          </w:tcPr>
          <w:p w14:paraId="58D6F99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vAlign w:val="center"/>
          </w:tcPr>
          <w:p w14:paraId="4A31304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73,5</w:t>
            </w:r>
          </w:p>
        </w:tc>
        <w:tc>
          <w:tcPr>
            <w:tcW w:w="0" w:type="auto"/>
            <w:vAlign w:val="center"/>
          </w:tcPr>
          <w:p w14:paraId="5C14FBC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147</w:t>
            </w:r>
          </w:p>
        </w:tc>
        <w:tc>
          <w:tcPr>
            <w:tcW w:w="0" w:type="auto"/>
            <w:vAlign w:val="center"/>
          </w:tcPr>
          <w:p w14:paraId="2C0B52F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70,5 – 76,5</w:t>
            </w:r>
          </w:p>
        </w:tc>
      </w:tr>
      <w:tr w14:paraId="7221A8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284213C">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vAlign w:val="center"/>
          </w:tcPr>
          <w:p w14:paraId="41FBD2D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 – 82</w:t>
            </w:r>
          </w:p>
        </w:tc>
        <w:tc>
          <w:tcPr>
            <w:tcW w:w="0" w:type="auto"/>
            <w:vAlign w:val="center"/>
          </w:tcPr>
          <w:p w14:paraId="74D445F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vAlign w:val="center"/>
          </w:tcPr>
          <w:p w14:paraId="0E8DEA7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79,5</w:t>
            </w:r>
          </w:p>
        </w:tc>
        <w:tc>
          <w:tcPr>
            <w:tcW w:w="0" w:type="auto"/>
            <w:vAlign w:val="center"/>
          </w:tcPr>
          <w:p w14:paraId="756935F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397,5</w:t>
            </w:r>
          </w:p>
        </w:tc>
        <w:tc>
          <w:tcPr>
            <w:tcW w:w="0" w:type="auto"/>
            <w:vAlign w:val="center"/>
          </w:tcPr>
          <w:p w14:paraId="60492BC9">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76,5 – 82,5</w:t>
            </w:r>
          </w:p>
        </w:tc>
      </w:tr>
      <w:tr w14:paraId="2494F3A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03888A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vAlign w:val="center"/>
          </w:tcPr>
          <w:p w14:paraId="63DF8D2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83 – 88</w:t>
            </w:r>
          </w:p>
        </w:tc>
        <w:tc>
          <w:tcPr>
            <w:tcW w:w="0" w:type="auto"/>
            <w:vAlign w:val="center"/>
          </w:tcPr>
          <w:p w14:paraId="12367E70">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vAlign w:val="center"/>
          </w:tcPr>
          <w:p w14:paraId="4F9D58C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85,5</w:t>
            </w:r>
          </w:p>
        </w:tc>
        <w:tc>
          <w:tcPr>
            <w:tcW w:w="0" w:type="auto"/>
            <w:vAlign w:val="center"/>
          </w:tcPr>
          <w:p w14:paraId="62642FD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85,5</w:t>
            </w:r>
          </w:p>
        </w:tc>
        <w:tc>
          <w:tcPr>
            <w:tcW w:w="0" w:type="auto"/>
            <w:vAlign w:val="center"/>
          </w:tcPr>
          <w:p w14:paraId="388D6CD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82,5 – 88,5</w:t>
            </w:r>
          </w:p>
        </w:tc>
      </w:tr>
      <w:tr w14:paraId="5A932E1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1544A6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vAlign w:val="center"/>
          </w:tcPr>
          <w:p w14:paraId="19B7FBA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89 – 94</w:t>
            </w:r>
          </w:p>
        </w:tc>
        <w:tc>
          <w:tcPr>
            <w:tcW w:w="0" w:type="auto"/>
            <w:vAlign w:val="center"/>
          </w:tcPr>
          <w:p w14:paraId="423D4CF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0" w:type="auto"/>
            <w:vAlign w:val="center"/>
          </w:tcPr>
          <w:p w14:paraId="44BF9B2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91,5</w:t>
            </w:r>
          </w:p>
        </w:tc>
        <w:tc>
          <w:tcPr>
            <w:tcW w:w="0" w:type="auto"/>
            <w:vAlign w:val="center"/>
          </w:tcPr>
          <w:p w14:paraId="05AF23E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549</w:t>
            </w:r>
          </w:p>
        </w:tc>
        <w:tc>
          <w:tcPr>
            <w:tcW w:w="0" w:type="auto"/>
            <w:vAlign w:val="center"/>
          </w:tcPr>
          <w:p w14:paraId="2B00D90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88,5 – 94,5</w:t>
            </w:r>
          </w:p>
        </w:tc>
      </w:tr>
      <w:tr w14:paraId="5E91801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B5C4A4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vAlign w:val="center"/>
          </w:tcPr>
          <w:p w14:paraId="7E9A4D6C">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95 – 100</w:t>
            </w:r>
          </w:p>
        </w:tc>
        <w:tc>
          <w:tcPr>
            <w:tcW w:w="0" w:type="auto"/>
            <w:vAlign w:val="center"/>
          </w:tcPr>
          <w:p w14:paraId="00991AF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vAlign w:val="center"/>
          </w:tcPr>
          <w:p w14:paraId="0CABB9B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97,5</w:t>
            </w:r>
          </w:p>
        </w:tc>
        <w:tc>
          <w:tcPr>
            <w:tcW w:w="0" w:type="auto"/>
            <w:vAlign w:val="center"/>
          </w:tcPr>
          <w:p w14:paraId="3300685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390</w:t>
            </w:r>
          </w:p>
        </w:tc>
        <w:tc>
          <w:tcPr>
            <w:tcW w:w="0" w:type="auto"/>
            <w:vAlign w:val="center"/>
          </w:tcPr>
          <w:p w14:paraId="31B096A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94,5 – 100,5</w:t>
            </w:r>
          </w:p>
        </w:tc>
      </w:tr>
      <w:tr w14:paraId="3A49F2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EEAEF1F">
            <w:pPr>
              <w:spacing w:after="0" w:line="480" w:lineRule="auto"/>
              <w:jc w:val="center"/>
              <w:rPr>
                <w:rFonts w:ascii="Times New Roman" w:hAnsi="Times New Roman" w:cs="Times New Roman"/>
                <w:sz w:val="24"/>
                <w:szCs w:val="24"/>
                <w:lang w:val="id-ID"/>
              </w:rPr>
            </w:pPr>
          </w:p>
        </w:tc>
        <w:tc>
          <w:tcPr>
            <w:tcW w:w="0" w:type="auto"/>
            <w:vAlign w:val="center"/>
          </w:tcPr>
          <w:p w14:paraId="65E43973">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Jumlah</w:t>
            </w:r>
          </w:p>
        </w:tc>
        <w:tc>
          <w:tcPr>
            <w:tcW w:w="0" w:type="auto"/>
            <w:vAlign w:val="center"/>
          </w:tcPr>
          <w:p w14:paraId="7F7CCBA9">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18</w:t>
            </w:r>
          </w:p>
        </w:tc>
        <w:tc>
          <w:tcPr>
            <w:tcW w:w="0" w:type="auto"/>
            <w:vAlign w:val="center"/>
          </w:tcPr>
          <w:p w14:paraId="719E1F42">
            <w:pPr>
              <w:spacing w:after="0" w:line="480" w:lineRule="auto"/>
              <w:jc w:val="center"/>
              <w:rPr>
                <w:rFonts w:ascii="Times New Roman" w:hAnsi="Times New Roman" w:cs="Times New Roman"/>
                <w:sz w:val="24"/>
                <w:szCs w:val="24"/>
                <w:lang w:val="id-ID"/>
              </w:rPr>
            </w:pPr>
          </w:p>
        </w:tc>
        <w:tc>
          <w:tcPr>
            <w:tcW w:w="0" w:type="auto"/>
            <w:vAlign w:val="center"/>
          </w:tcPr>
          <w:p w14:paraId="5A221366">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1569</w:t>
            </w:r>
          </w:p>
        </w:tc>
        <w:tc>
          <w:tcPr>
            <w:tcW w:w="0" w:type="auto"/>
            <w:vAlign w:val="center"/>
          </w:tcPr>
          <w:p w14:paraId="684F0399">
            <w:pPr>
              <w:spacing w:after="0" w:line="480" w:lineRule="auto"/>
              <w:jc w:val="center"/>
              <w:rPr>
                <w:rFonts w:ascii="Times New Roman" w:hAnsi="Times New Roman" w:cs="Times New Roman"/>
                <w:sz w:val="24"/>
                <w:szCs w:val="24"/>
                <w:lang w:val="id-ID"/>
              </w:rPr>
            </w:pPr>
          </w:p>
        </w:tc>
      </w:tr>
    </w:tbl>
    <w:p w14:paraId="41F1A3DC">
      <w:pPr>
        <w:pStyle w:val="19"/>
        <w:spacing w:before="0" w:beforeAutospacing="0" w:after="0" w:afterAutospacing="0" w:line="480" w:lineRule="auto"/>
        <w:ind w:firstLine="720"/>
        <w:jc w:val="both"/>
      </w:pPr>
    </w:p>
    <w:p w14:paraId="6E28040A">
      <w:pPr>
        <w:pStyle w:val="19"/>
        <w:spacing w:before="0" w:beforeAutospacing="0" w:after="0" w:afterAutospacing="0" w:line="480" w:lineRule="auto"/>
        <w:ind w:firstLine="720"/>
        <w:jc w:val="both"/>
      </w:pPr>
      <w:r>
        <w:t>Untuk memberikan gambaran yang lebih jelas mengenai penyebaran skor keterampilan berbicara siswa kelas IV SDN 401 Panyabungan tanpa penerapan metode demonstrasi dalam kegiatan menceritakan kembali dongeng, dapat dilihat pada histogram berikut:</w:t>
      </w:r>
    </w:p>
    <w:p w14:paraId="102FDAAA">
      <w:pPr>
        <w:pStyle w:val="12"/>
        <w:spacing w:line="480" w:lineRule="auto"/>
      </w:pPr>
    </w:p>
    <w:p w14:paraId="16E455F2">
      <w:pPr>
        <w:pStyle w:val="3"/>
        <w:tabs>
          <w:tab w:val="left" w:pos="996"/>
        </w:tabs>
        <w:spacing w:before="0" w:line="480" w:lineRule="auto"/>
        <w:rPr>
          <w:rFonts w:ascii="Times New Roman" w:hAnsi="Times New Roman" w:cs="Times New Roman"/>
          <w:b/>
          <w:bCs/>
          <w:color w:val="auto"/>
          <w:sz w:val="24"/>
          <w:szCs w:val="24"/>
        </w:rPr>
      </w:pPr>
      <w:bookmarkStart w:id="1" w:name="_TOC_250009"/>
      <w:r>
        <w:rPr>
          <w:rFonts w:ascii="Times New Roman" w:hAnsi="Times New Roman" w:cs="Times New Roman"/>
          <w:b/>
          <w:bCs/>
          <w:color w:val="auto"/>
          <w:sz w:val="24"/>
          <w:szCs w:val="24"/>
        </w:rPr>
        <w:t>4.3 Uji</w:t>
      </w:r>
      <w:r>
        <w:rPr>
          <w:rFonts w:ascii="Times New Roman" w:hAnsi="Times New Roman" w:cs="Times New Roman"/>
          <w:b/>
          <w:bCs/>
          <w:color w:val="auto"/>
          <w:spacing w:val="-1"/>
          <w:sz w:val="24"/>
          <w:szCs w:val="24"/>
        </w:rPr>
        <w:t xml:space="preserve"> </w:t>
      </w:r>
      <w:r>
        <w:rPr>
          <w:rFonts w:ascii="Times New Roman" w:hAnsi="Times New Roman" w:cs="Times New Roman"/>
          <w:b/>
          <w:bCs/>
          <w:color w:val="auto"/>
          <w:sz w:val="24"/>
          <w:szCs w:val="24"/>
        </w:rPr>
        <w:t>Persyaratan</w:t>
      </w:r>
      <w:bookmarkEnd w:id="1"/>
      <w:r>
        <w:rPr>
          <w:rFonts w:ascii="Times New Roman" w:hAnsi="Times New Roman" w:cs="Times New Roman"/>
          <w:b/>
          <w:bCs/>
          <w:color w:val="auto"/>
          <w:spacing w:val="-2"/>
          <w:sz w:val="24"/>
          <w:szCs w:val="24"/>
        </w:rPr>
        <w:t xml:space="preserve"> Analisis</w:t>
      </w:r>
    </w:p>
    <w:p w14:paraId="50C1E281">
      <w:pPr>
        <w:pStyle w:val="3"/>
        <w:tabs>
          <w:tab w:val="left" w:pos="1356"/>
        </w:tabs>
        <w:spacing w:before="0" w:line="480" w:lineRule="auto"/>
        <w:rPr>
          <w:rFonts w:ascii="Times New Roman" w:hAnsi="Times New Roman" w:cs="Times New Roman"/>
          <w:b/>
          <w:bCs/>
          <w:color w:val="auto"/>
          <w:sz w:val="24"/>
          <w:szCs w:val="24"/>
        </w:rPr>
      </w:pPr>
      <w:bookmarkStart w:id="2" w:name="_TOC_250008"/>
      <w:r>
        <w:rPr>
          <w:rFonts w:ascii="Times New Roman" w:hAnsi="Times New Roman" w:cs="Times New Roman"/>
          <w:b/>
          <w:bCs/>
          <w:color w:val="auto"/>
          <w:sz w:val="24"/>
          <w:szCs w:val="24"/>
        </w:rPr>
        <w:t>4.3.1 Uji</w:t>
      </w:r>
      <w:r>
        <w:rPr>
          <w:rFonts w:ascii="Times New Roman" w:hAnsi="Times New Roman" w:cs="Times New Roman"/>
          <w:b/>
          <w:bCs/>
          <w:color w:val="auto"/>
          <w:spacing w:val="-1"/>
          <w:sz w:val="24"/>
          <w:szCs w:val="24"/>
        </w:rPr>
        <w:t xml:space="preserve"> </w:t>
      </w:r>
      <w:bookmarkEnd w:id="2"/>
      <w:r>
        <w:rPr>
          <w:rFonts w:ascii="Times New Roman" w:hAnsi="Times New Roman" w:cs="Times New Roman"/>
          <w:b/>
          <w:bCs/>
          <w:color w:val="auto"/>
          <w:spacing w:val="-2"/>
          <w:sz w:val="24"/>
          <w:szCs w:val="24"/>
        </w:rPr>
        <w:t>Normalitas</w:t>
      </w:r>
    </w:p>
    <w:p w14:paraId="391B548B">
      <w:pPr>
        <w:pStyle w:val="28"/>
        <w:tabs>
          <w:tab w:val="left" w:pos="1717"/>
        </w:tabs>
        <w:spacing w:after="0" w:line="480" w:lineRule="auto"/>
        <w:ind w:left="0"/>
        <w:jc w:val="both"/>
        <w:rPr>
          <w:rFonts w:ascii="Times New Roman" w:hAnsi="Times New Roman"/>
          <w:i/>
          <w:iCs/>
          <w:sz w:val="24"/>
          <w:szCs w:val="24"/>
        </w:rPr>
      </w:pPr>
      <w:r>
        <w:rPr>
          <w:rFonts w:ascii="Times New Roman" w:hAnsi="Times New Roman"/>
          <w:i/>
          <w:iCs/>
          <w:sz w:val="24"/>
          <w:szCs w:val="24"/>
          <w:lang w:val="en-US"/>
        </w:rPr>
        <w:t xml:space="preserve">a. </w:t>
      </w:r>
      <w:r>
        <w:rPr>
          <w:rFonts w:ascii="Times New Roman" w:hAnsi="Times New Roman"/>
          <w:i/>
          <w:iCs/>
          <w:sz w:val="24"/>
          <w:szCs w:val="24"/>
        </w:rPr>
        <w:t>Uji Normalitas Liliefors Keterampilan Berbicara dengan Metode Demonstrasi</w:t>
      </w:r>
    </w:p>
    <w:p w14:paraId="68871EA0">
      <w:pPr>
        <w:pStyle w:val="12"/>
        <w:spacing w:line="480" w:lineRule="auto"/>
        <w:ind w:firstLine="720"/>
        <w:jc w:val="both"/>
      </w:pPr>
      <w:r>
        <w:t>Hasil pengujian normalitas lilifors variabel Y</w:t>
      </w:r>
      <w:r>
        <w:rPr>
          <w:vertAlign w:val="subscript"/>
        </w:rPr>
        <w:t>1</w:t>
      </w:r>
      <w:r>
        <w:t xml:space="preserve"> didapat L</w:t>
      </w:r>
      <w:r>
        <w:rPr>
          <w:vertAlign w:val="subscript"/>
        </w:rPr>
        <w:t>hitung</w:t>
      </w:r>
      <w:r>
        <w:t xml:space="preserve"> = 0,106 lebih kecil dari L</w:t>
      </w:r>
      <w:r>
        <w:rPr>
          <w:vertAlign w:val="subscript"/>
        </w:rPr>
        <w:t>tabel</w:t>
      </w:r>
      <w:r>
        <w:t xml:space="preserve"> = 0,200. Hal ini menujukkan bahwa data skor dari variabel Y</w:t>
      </w:r>
      <w:r>
        <w:rPr>
          <w:vertAlign w:val="subscript"/>
        </w:rPr>
        <w:t>1</w:t>
      </w:r>
      <w:r>
        <w:t xml:space="preserve"> bersumber dari populasi yang berdistribusi “Normal”, artinya persyaratan analisis untuk variabel tersebut </w:t>
      </w:r>
      <w:r>
        <w:rPr>
          <w:spacing w:val="-2"/>
        </w:rPr>
        <w:t>terpenuhi.</w:t>
      </w:r>
    </w:p>
    <w:p w14:paraId="22AEE0EE">
      <w:pPr>
        <w:spacing w:line="480" w:lineRule="auto"/>
        <w:jc w:val="center"/>
        <w:rPr>
          <w:rFonts w:ascii="Times New Roman" w:hAnsi="Times New Roman" w:cs="Times New Roman"/>
          <w:sz w:val="24"/>
          <w:szCs w:val="24"/>
        </w:rPr>
      </w:pPr>
      <w:r>
        <w:rPr>
          <w:rFonts w:ascii="Times New Roman" w:hAnsi="Times New Roman" w:cs="Times New Roman"/>
          <w:sz w:val="24"/>
          <w:szCs w:val="24"/>
        </w:rPr>
        <w:t>Tabel 10</w:t>
      </w:r>
    </w:p>
    <w:p w14:paraId="29F7C728">
      <w:pPr>
        <w:spacing w:line="480" w:lineRule="auto"/>
        <w:jc w:val="center"/>
        <w:rPr>
          <w:rFonts w:ascii="Times New Roman" w:hAnsi="Times New Roman" w:cs="Times New Roman"/>
          <w:sz w:val="24"/>
          <w:szCs w:val="24"/>
        </w:rPr>
      </w:pPr>
      <w:r>
        <w:rPr>
          <w:rFonts w:ascii="Times New Roman" w:hAnsi="Times New Roman" w:cs="Times New Roman"/>
          <w:sz w:val="24"/>
          <w:szCs w:val="24"/>
        </w:rPr>
        <w:t>Uji Normalitas Variabel Keterampilan Berbicara (Kelas Eksperimen)</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1"/>
        <w:gridCol w:w="1517"/>
        <w:gridCol w:w="2437"/>
        <w:gridCol w:w="1957"/>
      </w:tblGrid>
      <w:tr w14:paraId="797531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jc w:val="center"/>
        </w:trPr>
        <w:tc>
          <w:tcPr>
            <w:tcW w:w="641" w:type="dxa"/>
            <w:vAlign w:val="center"/>
          </w:tcPr>
          <w:p w14:paraId="21A001F4">
            <w:pPr>
              <w:pStyle w:val="305"/>
              <w:spacing w:line="480" w:lineRule="auto"/>
              <w:jc w:val="center"/>
              <w:rPr>
                <w:sz w:val="24"/>
                <w:szCs w:val="24"/>
              </w:rPr>
            </w:pPr>
            <w:r>
              <w:rPr>
                <w:spacing w:val="-10"/>
                <w:sz w:val="24"/>
                <w:szCs w:val="24"/>
              </w:rPr>
              <w:t>N</w:t>
            </w:r>
          </w:p>
        </w:tc>
        <w:tc>
          <w:tcPr>
            <w:tcW w:w="1517" w:type="dxa"/>
            <w:vAlign w:val="center"/>
          </w:tcPr>
          <w:p w14:paraId="1277BEDE">
            <w:pPr>
              <w:pStyle w:val="305"/>
              <w:spacing w:line="480" w:lineRule="auto"/>
              <w:jc w:val="center"/>
              <w:rPr>
                <w:sz w:val="24"/>
                <w:szCs w:val="24"/>
              </w:rPr>
            </w:pPr>
            <w:r>
              <w:rPr>
                <w:spacing w:val="-2"/>
                <w:sz w:val="24"/>
                <w:szCs w:val="24"/>
              </w:rPr>
              <w:t>Lhitung</w:t>
            </w:r>
          </w:p>
        </w:tc>
        <w:tc>
          <w:tcPr>
            <w:tcW w:w="2437" w:type="dxa"/>
            <w:vAlign w:val="center"/>
          </w:tcPr>
          <w:p w14:paraId="16E1FA3B">
            <w:pPr>
              <w:pStyle w:val="305"/>
              <w:spacing w:line="480" w:lineRule="auto"/>
              <w:jc w:val="center"/>
              <w:rPr>
                <w:sz w:val="24"/>
                <w:szCs w:val="24"/>
              </w:rPr>
            </w:pPr>
            <w:r>
              <w:rPr>
                <w:sz w:val="24"/>
                <w:szCs w:val="24"/>
              </w:rPr>
              <w:t>Ltabel</w:t>
            </w:r>
            <w:r>
              <w:rPr>
                <w:spacing w:val="-3"/>
                <w:sz w:val="24"/>
                <w:szCs w:val="24"/>
              </w:rPr>
              <w:t xml:space="preserve"> </w:t>
            </w:r>
            <w:r>
              <w:rPr>
                <w:sz w:val="24"/>
                <w:szCs w:val="24"/>
              </w:rPr>
              <w:t>(N=35 </w:t>
            </w:r>
            <w:r>
              <w:rPr>
                <w:spacing w:val="-6"/>
                <w:sz w:val="24"/>
                <w:szCs w:val="24"/>
              </w:rPr>
              <w:t xml:space="preserve"> </w:t>
            </w:r>
            <w:r>
              <w:rPr>
                <w:spacing w:val="-2"/>
                <w:sz w:val="24"/>
                <w:szCs w:val="24"/>
              </w:rPr>
              <w:t>0,05)</w:t>
            </w:r>
          </w:p>
        </w:tc>
        <w:tc>
          <w:tcPr>
            <w:tcW w:w="1957" w:type="dxa"/>
            <w:vAlign w:val="center"/>
          </w:tcPr>
          <w:p w14:paraId="76496A05">
            <w:pPr>
              <w:pStyle w:val="305"/>
              <w:spacing w:line="480" w:lineRule="auto"/>
              <w:jc w:val="center"/>
              <w:rPr>
                <w:sz w:val="24"/>
                <w:szCs w:val="24"/>
              </w:rPr>
            </w:pPr>
            <w:r>
              <w:rPr>
                <w:sz w:val="24"/>
                <w:szCs w:val="24"/>
              </w:rPr>
              <w:t>Hasil</w:t>
            </w:r>
            <w:r>
              <w:rPr>
                <w:spacing w:val="-7"/>
                <w:sz w:val="24"/>
                <w:szCs w:val="24"/>
              </w:rPr>
              <w:t xml:space="preserve"> </w:t>
            </w:r>
            <w:r>
              <w:rPr>
                <w:spacing w:val="-2"/>
                <w:sz w:val="24"/>
                <w:szCs w:val="24"/>
              </w:rPr>
              <w:t>Pengujian</w:t>
            </w:r>
          </w:p>
        </w:tc>
      </w:tr>
      <w:tr w14:paraId="15DF0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5" w:hRule="atLeast"/>
          <w:jc w:val="center"/>
        </w:trPr>
        <w:tc>
          <w:tcPr>
            <w:tcW w:w="641" w:type="dxa"/>
            <w:vAlign w:val="center"/>
          </w:tcPr>
          <w:p w14:paraId="1FFFE7C2">
            <w:pPr>
              <w:pStyle w:val="305"/>
              <w:spacing w:line="480" w:lineRule="auto"/>
              <w:jc w:val="center"/>
              <w:rPr>
                <w:sz w:val="24"/>
                <w:szCs w:val="24"/>
              </w:rPr>
            </w:pPr>
            <w:r>
              <w:rPr>
                <w:spacing w:val="-5"/>
                <w:sz w:val="24"/>
                <w:szCs w:val="24"/>
              </w:rPr>
              <w:t>18</w:t>
            </w:r>
          </w:p>
        </w:tc>
        <w:tc>
          <w:tcPr>
            <w:tcW w:w="1517" w:type="dxa"/>
            <w:vAlign w:val="center"/>
          </w:tcPr>
          <w:p w14:paraId="376AC795">
            <w:pPr>
              <w:pStyle w:val="305"/>
              <w:spacing w:line="480" w:lineRule="auto"/>
              <w:jc w:val="center"/>
              <w:rPr>
                <w:sz w:val="24"/>
                <w:szCs w:val="24"/>
              </w:rPr>
            </w:pPr>
            <w:r>
              <w:rPr>
                <w:spacing w:val="-2"/>
                <w:sz w:val="24"/>
                <w:szCs w:val="24"/>
              </w:rPr>
              <w:t>0,106</w:t>
            </w:r>
          </w:p>
        </w:tc>
        <w:tc>
          <w:tcPr>
            <w:tcW w:w="2437" w:type="dxa"/>
            <w:vAlign w:val="center"/>
          </w:tcPr>
          <w:p w14:paraId="16776B42">
            <w:pPr>
              <w:pStyle w:val="305"/>
              <w:spacing w:line="480" w:lineRule="auto"/>
              <w:jc w:val="center"/>
              <w:rPr>
                <w:sz w:val="24"/>
                <w:szCs w:val="24"/>
              </w:rPr>
            </w:pPr>
            <w:r>
              <w:rPr>
                <w:spacing w:val="-2"/>
                <w:sz w:val="24"/>
                <w:szCs w:val="24"/>
              </w:rPr>
              <w:t>0,200</w:t>
            </w:r>
          </w:p>
        </w:tc>
        <w:tc>
          <w:tcPr>
            <w:tcW w:w="1957" w:type="dxa"/>
            <w:vAlign w:val="center"/>
          </w:tcPr>
          <w:p w14:paraId="7E5A8B6E">
            <w:pPr>
              <w:pStyle w:val="305"/>
              <w:spacing w:line="480" w:lineRule="auto"/>
              <w:jc w:val="center"/>
              <w:rPr>
                <w:sz w:val="24"/>
                <w:szCs w:val="24"/>
              </w:rPr>
            </w:pPr>
            <w:r>
              <w:rPr>
                <w:sz w:val="24"/>
                <w:szCs w:val="24"/>
              </w:rPr>
              <w:t xml:space="preserve">Data </w:t>
            </w:r>
            <w:r>
              <w:rPr>
                <w:spacing w:val="-2"/>
                <w:sz w:val="24"/>
                <w:szCs w:val="24"/>
              </w:rPr>
              <w:t>berdistribusi</w:t>
            </w:r>
          </w:p>
          <w:p w14:paraId="72A3ED99">
            <w:pPr>
              <w:pStyle w:val="305"/>
              <w:spacing w:line="480" w:lineRule="auto"/>
              <w:jc w:val="center"/>
              <w:rPr>
                <w:sz w:val="24"/>
                <w:szCs w:val="24"/>
              </w:rPr>
            </w:pPr>
            <w:r>
              <w:rPr>
                <w:spacing w:val="-2"/>
                <w:sz w:val="24"/>
                <w:szCs w:val="24"/>
              </w:rPr>
              <w:t>Normal</w:t>
            </w:r>
          </w:p>
        </w:tc>
      </w:tr>
    </w:tbl>
    <w:p w14:paraId="2795A475">
      <w:pPr>
        <w:pStyle w:val="12"/>
        <w:spacing w:line="480" w:lineRule="auto"/>
      </w:pPr>
    </w:p>
    <w:p w14:paraId="32D2F25F">
      <w:pPr>
        <w:pStyle w:val="28"/>
        <w:tabs>
          <w:tab w:val="left" w:pos="1715"/>
          <w:tab w:val="left" w:pos="1717"/>
        </w:tabs>
        <w:spacing w:after="0" w:line="480" w:lineRule="auto"/>
        <w:ind w:left="0"/>
        <w:jc w:val="both"/>
        <w:rPr>
          <w:rFonts w:ascii="Times New Roman" w:hAnsi="Times New Roman"/>
          <w:i/>
          <w:iCs/>
          <w:sz w:val="24"/>
          <w:szCs w:val="24"/>
        </w:rPr>
      </w:pPr>
      <w:r>
        <w:rPr>
          <w:rFonts w:ascii="Times New Roman" w:hAnsi="Times New Roman"/>
          <w:i/>
          <w:iCs/>
          <w:sz w:val="24"/>
          <w:szCs w:val="24"/>
          <w:lang w:val="en-US"/>
        </w:rPr>
        <w:t xml:space="preserve">b. </w:t>
      </w:r>
      <w:r>
        <w:rPr>
          <w:rFonts w:ascii="Times New Roman" w:hAnsi="Times New Roman"/>
          <w:i/>
          <w:iCs/>
          <w:sz w:val="24"/>
          <w:szCs w:val="24"/>
        </w:rPr>
        <w:t>Uji Normalitas Liliefors Keterampilan Berbicara tanpa Metode Demonstrasi</w:t>
      </w:r>
    </w:p>
    <w:p w14:paraId="61A9067E">
      <w:pPr>
        <w:pStyle w:val="12"/>
        <w:spacing w:line="480" w:lineRule="auto"/>
        <w:ind w:firstLine="720"/>
        <w:jc w:val="both"/>
      </w:pPr>
      <w:r>
        <w:t>Hasil pengujian normalitas lilifors variabel Y</w:t>
      </w:r>
      <w:r>
        <w:rPr>
          <w:vertAlign w:val="subscript"/>
        </w:rPr>
        <w:t>2</w:t>
      </w:r>
      <w:r>
        <w:t xml:space="preserve"> didapat L</w:t>
      </w:r>
      <w:r>
        <w:rPr>
          <w:vertAlign w:val="subscript"/>
        </w:rPr>
        <w:t>hitung</w:t>
      </w:r>
      <w:r>
        <w:t xml:space="preserve"> = 0,191 lebih kecil dari L</w:t>
      </w:r>
      <w:r>
        <w:rPr>
          <w:vertAlign w:val="subscript"/>
        </w:rPr>
        <w:t>tabel</w:t>
      </w:r>
      <w:r>
        <w:t xml:space="preserve"> = 0,200. Hal ini menujukkan bahwa data skor dari variabel Y</w:t>
      </w:r>
      <w:r>
        <w:rPr>
          <w:vertAlign w:val="subscript"/>
        </w:rPr>
        <w:t>2</w:t>
      </w:r>
      <w:r>
        <w:t xml:space="preserve"> bersumber dari populasi yang berdistribusi “Normal”, artinya persyaratan analisis untuk variabel tersebut </w:t>
      </w:r>
      <w:r>
        <w:rPr>
          <w:spacing w:val="-2"/>
        </w:rPr>
        <w:t>terpenuhi.</w:t>
      </w:r>
    </w:p>
    <w:p w14:paraId="2C6B03C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11</w:t>
      </w:r>
    </w:p>
    <w:p w14:paraId="207C309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Uji Normalitas Variabel Keterampilan Berbicara (Kelas Kontrol)</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9"/>
        <w:gridCol w:w="1661"/>
        <w:gridCol w:w="2257"/>
        <w:gridCol w:w="1945"/>
      </w:tblGrid>
      <w:tr w14:paraId="25EE5E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709" w:type="dxa"/>
            <w:vAlign w:val="center"/>
          </w:tcPr>
          <w:p w14:paraId="57603DFC">
            <w:pPr>
              <w:pStyle w:val="305"/>
              <w:spacing w:line="480" w:lineRule="auto"/>
              <w:jc w:val="center"/>
              <w:rPr>
                <w:sz w:val="24"/>
                <w:szCs w:val="24"/>
              </w:rPr>
            </w:pPr>
            <w:r>
              <w:rPr>
                <w:spacing w:val="-10"/>
                <w:sz w:val="24"/>
                <w:szCs w:val="24"/>
              </w:rPr>
              <w:t>N</w:t>
            </w:r>
          </w:p>
        </w:tc>
        <w:tc>
          <w:tcPr>
            <w:tcW w:w="1661" w:type="dxa"/>
            <w:vAlign w:val="center"/>
          </w:tcPr>
          <w:p w14:paraId="2236CA6F">
            <w:pPr>
              <w:pStyle w:val="305"/>
              <w:spacing w:line="480" w:lineRule="auto"/>
              <w:jc w:val="center"/>
              <w:rPr>
                <w:sz w:val="24"/>
                <w:szCs w:val="24"/>
              </w:rPr>
            </w:pPr>
            <w:r>
              <w:rPr>
                <w:spacing w:val="-2"/>
                <w:position w:val="3"/>
                <w:sz w:val="24"/>
                <w:szCs w:val="24"/>
              </w:rPr>
              <w:t>L</w:t>
            </w:r>
            <w:r>
              <w:rPr>
                <w:spacing w:val="-2"/>
                <w:sz w:val="24"/>
                <w:szCs w:val="24"/>
              </w:rPr>
              <w:t>hitung</w:t>
            </w:r>
          </w:p>
        </w:tc>
        <w:tc>
          <w:tcPr>
            <w:tcW w:w="2257" w:type="dxa"/>
            <w:vAlign w:val="center"/>
          </w:tcPr>
          <w:p w14:paraId="2B00CEA8">
            <w:pPr>
              <w:pStyle w:val="305"/>
              <w:spacing w:line="480" w:lineRule="auto"/>
              <w:jc w:val="center"/>
              <w:rPr>
                <w:sz w:val="24"/>
                <w:szCs w:val="24"/>
              </w:rPr>
            </w:pPr>
            <w:r>
              <w:rPr>
                <w:sz w:val="24"/>
                <w:szCs w:val="24"/>
              </w:rPr>
              <w:t>L</w:t>
            </w:r>
            <w:r>
              <w:rPr>
                <w:sz w:val="24"/>
                <w:szCs w:val="24"/>
                <w:vertAlign w:val="subscript"/>
              </w:rPr>
              <w:t>tabel</w:t>
            </w:r>
            <w:r>
              <w:rPr>
                <w:spacing w:val="-21"/>
                <w:sz w:val="24"/>
                <w:szCs w:val="24"/>
              </w:rPr>
              <w:t xml:space="preserve"> </w:t>
            </w:r>
            <w:r>
              <w:rPr>
                <w:sz w:val="24"/>
                <w:szCs w:val="24"/>
              </w:rPr>
              <w:t>(N=35</w:t>
            </w:r>
            <w:r>
              <w:rPr>
                <w:spacing w:val="-4"/>
                <w:sz w:val="24"/>
                <w:szCs w:val="24"/>
              </w:rPr>
              <w:t xml:space="preserve"> </w:t>
            </w:r>
            <w:r>
              <w:rPr>
                <w:sz w:val="24"/>
                <w:szCs w:val="24"/>
              </w:rPr>
              <w:t>α</w:t>
            </w:r>
            <w:r>
              <w:rPr>
                <w:spacing w:val="-4"/>
                <w:sz w:val="24"/>
                <w:szCs w:val="24"/>
              </w:rPr>
              <w:t xml:space="preserve"> </w:t>
            </w:r>
            <w:r>
              <w:rPr>
                <w:sz w:val="24"/>
                <w:szCs w:val="24"/>
              </w:rPr>
              <w:t>=</w:t>
            </w:r>
            <w:r>
              <w:rPr>
                <w:spacing w:val="-1"/>
                <w:sz w:val="24"/>
                <w:szCs w:val="24"/>
              </w:rPr>
              <w:t xml:space="preserve"> </w:t>
            </w:r>
            <w:r>
              <w:rPr>
                <w:spacing w:val="-2"/>
                <w:sz w:val="24"/>
                <w:szCs w:val="24"/>
              </w:rPr>
              <w:t>0,05)</w:t>
            </w:r>
          </w:p>
        </w:tc>
        <w:tc>
          <w:tcPr>
            <w:tcW w:w="1945" w:type="dxa"/>
            <w:vAlign w:val="center"/>
          </w:tcPr>
          <w:p w14:paraId="5904BDB3">
            <w:pPr>
              <w:pStyle w:val="305"/>
              <w:spacing w:line="480" w:lineRule="auto"/>
              <w:jc w:val="center"/>
              <w:rPr>
                <w:sz w:val="24"/>
                <w:szCs w:val="24"/>
              </w:rPr>
            </w:pPr>
            <w:r>
              <w:rPr>
                <w:sz w:val="24"/>
                <w:szCs w:val="24"/>
              </w:rPr>
              <w:t>Hasil</w:t>
            </w:r>
            <w:r>
              <w:rPr>
                <w:spacing w:val="-7"/>
                <w:sz w:val="24"/>
                <w:szCs w:val="24"/>
              </w:rPr>
              <w:t xml:space="preserve"> </w:t>
            </w:r>
            <w:r>
              <w:rPr>
                <w:spacing w:val="-2"/>
                <w:sz w:val="24"/>
                <w:szCs w:val="24"/>
              </w:rPr>
              <w:t>Pengujian</w:t>
            </w:r>
          </w:p>
        </w:tc>
      </w:tr>
      <w:tr w14:paraId="548BDC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6" w:hRule="atLeast"/>
          <w:jc w:val="center"/>
        </w:trPr>
        <w:tc>
          <w:tcPr>
            <w:tcW w:w="709" w:type="dxa"/>
            <w:vAlign w:val="center"/>
          </w:tcPr>
          <w:p w14:paraId="44AB8873">
            <w:pPr>
              <w:pStyle w:val="305"/>
              <w:spacing w:line="480" w:lineRule="auto"/>
              <w:jc w:val="center"/>
              <w:rPr>
                <w:sz w:val="24"/>
                <w:szCs w:val="24"/>
              </w:rPr>
            </w:pPr>
            <w:r>
              <w:rPr>
                <w:spacing w:val="-5"/>
                <w:sz w:val="24"/>
                <w:szCs w:val="24"/>
              </w:rPr>
              <w:t>18</w:t>
            </w:r>
          </w:p>
        </w:tc>
        <w:tc>
          <w:tcPr>
            <w:tcW w:w="1661" w:type="dxa"/>
            <w:vAlign w:val="center"/>
          </w:tcPr>
          <w:p w14:paraId="039E6F9C">
            <w:pPr>
              <w:pStyle w:val="305"/>
              <w:spacing w:line="480" w:lineRule="auto"/>
              <w:jc w:val="center"/>
              <w:rPr>
                <w:sz w:val="24"/>
                <w:szCs w:val="24"/>
              </w:rPr>
            </w:pPr>
            <w:r>
              <w:rPr>
                <w:spacing w:val="-2"/>
                <w:sz w:val="24"/>
                <w:szCs w:val="24"/>
              </w:rPr>
              <w:t>0,191</w:t>
            </w:r>
          </w:p>
        </w:tc>
        <w:tc>
          <w:tcPr>
            <w:tcW w:w="2257" w:type="dxa"/>
            <w:vAlign w:val="center"/>
          </w:tcPr>
          <w:p w14:paraId="702C6040">
            <w:pPr>
              <w:pStyle w:val="305"/>
              <w:spacing w:line="480" w:lineRule="auto"/>
              <w:jc w:val="center"/>
              <w:rPr>
                <w:sz w:val="24"/>
                <w:szCs w:val="24"/>
              </w:rPr>
            </w:pPr>
            <w:r>
              <w:rPr>
                <w:spacing w:val="-2"/>
                <w:sz w:val="24"/>
                <w:szCs w:val="24"/>
              </w:rPr>
              <w:t>0,200</w:t>
            </w:r>
          </w:p>
        </w:tc>
        <w:tc>
          <w:tcPr>
            <w:tcW w:w="1945" w:type="dxa"/>
            <w:vAlign w:val="center"/>
          </w:tcPr>
          <w:p w14:paraId="71757A5F">
            <w:pPr>
              <w:pStyle w:val="305"/>
              <w:spacing w:line="480" w:lineRule="auto"/>
              <w:jc w:val="center"/>
              <w:rPr>
                <w:sz w:val="24"/>
                <w:szCs w:val="24"/>
              </w:rPr>
            </w:pPr>
            <w:r>
              <w:rPr>
                <w:sz w:val="24"/>
                <w:szCs w:val="24"/>
              </w:rPr>
              <w:t xml:space="preserve">Data </w:t>
            </w:r>
            <w:r>
              <w:rPr>
                <w:spacing w:val="-2"/>
                <w:sz w:val="24"/>
                <w:szCs w:val="24"/>
              </w:rPr>
              <w:t>berdistribusi</w:t>
            </w:r>
          </w:p>
          <w:p w14:paraId="42E489EB">
            <w:pPr>
              <w:pStyle w:val="305"/>
              <w:spacing w:line="480" w:lineRule="auto"/>
              <w:jc w:val="center"/>
              <w:rPr>
                <w:sz w:val="24"/>
                <w:szCs w:val="24"/>
              </w:rPr>
            </w:pPr>
            <w:r>
              <w:rPr>
                <w:spacing w:val="-2"/>
                <w:sz w:val="24"/>
                <w:szCs w:val="24"/>
              </w:rPr>
              <w:t>Normal</w:t>
            </w:r>
          </w:p>
        </w:tc>
      </w:tr>
    </w:tbl>
    <w:p w14:paraId="1A5109C5">
      <w:pPr>
        <w:pStyle w:val="3"/>
        <w:tabs>
          <w:tab w:val="left" w:pos="1356"/>
        </w:tabs>
        <w:spacing w:before="0" w:line="480" w:lineRule="auto"/>
        <w:jc w:val="both"/>
        <w:rPr>
          <w:rFonts w:ascii="Times New Roman" w:hAnsi="Times New Roman" w:cs="Times New Roman"/>
          <w:color w:val="auto"/>
          <w:sz w:val="24"/>
          <w:szCs w:val="24"/>
        </w:rPr>
      </w:pPr>
      <w:bookmarkStart w:id="3" w:name="_TOC_250007"/>
    </w:p>
    <w:p w14:paraId="14971C6E">
      <w:pPr>
        <w:pStyle w:val="3"/>
        <w:tabs>
          <w:tab w:val="left" w:pos="1356"/>
        </w:tabs>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4.3.2 Uji</w:t>
      </w:r>
      <w:r>
        <w:rPr>
          <w:rFonts w:ascii="Times New Roman" w:hAnsi="Times New Roman" w:cs="Times New Roman"/>
          <w:b/>
          <w:bCs/>
          <w:color w:val="auto"/>
          <w:spacing w:val="-1"/>
          <w:sz w:val="24"/>
          <w:szCs w:val="24"/>
        </w:rPr>
        <w:t xml:space="preserve"> </w:t>
      </w:r>
      <w:bookmarkEnd w:id="3"/>
      <w:r>
        <w:rPr>
          <w:rFonts w:ascii="Times New Roman" w:hAnsi="Times New Roman" w:cs="Times New Roman"/>
          <w:b/>
          <w:bCs/>
          <w:color w:val="auto"/>
          <w:spacing w:val="-2"/>
          <w:sz w:val="24"/>
          <w:szCs w:val="24"/>
        </w:rPr>
        <w:t>Homogenitas</w:t>
      </w:r>
    </w:p>
    <w:p w14:paraId="042A5A18">
      <w:pPr>
        <w:pStyle w:val="12"/>
        <w:spacing w:line="480" w:lineRule="auto"/>
        <w:ind w:firstLine="720"/>
        <w:jc w:val="both"/>
        <w:rPr>
          <w:spacing w:val="33"/>
        </w:rPr>
      </w:pPr>
      <w:r>
        <w:t>Analisis regresi dan korelasi mensyaratkan terpenuhinya asumsi homogenitas</w:t>
      </w:r>
      <w:r>
        <w:rPr>
          <w:spacing w:val="-3"/>
        </w:rPr>
        <w:t xml:space="preserve"> </w:t>
      </w:r>
      <w:r>
        <w:t>varian</w:t>
      </w:r>
      <w:r>
        <w:rPr>
          <w:spacing w:val="-2"/>
        </w:rPr>
        <w:t xml:space="preserve"> </w:t>
      </w:r>
      <w:r>
        <w:t>sampel.</w:t>
      </w:r>
      <w:r>
        <w:rPr>
          <w:spacing w:val="-2"/>
        </w:rPr>
        <w:t xml:space="preserve"> </w:t>
      </w:r>
      <w:r>
        <w:t>Homogenitas</w:t>
      </w:r>
      <w:r>
        <w:rPr>
          <w:spacing w:val="-3"/>
        </w:rPr>
        <w:t xml:space="preserve"> </w:t>
      </w:r>
      <w:r>
        <w:t>varian</w:t>
      </w:r>
      <w:r>
        <w:rPr>
          <w:spacing w:val="-2"/>
        </w:rPr>
        <w:t xml:space="preserve"> </w:t>
      </w:r>
      <w:r>
        <w:t>sampel</w:t>
      </w:r>
      <w:r>
        <w:rPr>
          <w:spacing w:val="-1"/>
        </w:rPr>
        <w:t xml:space="preserve"> </w:t>
      </w:r>
      <w:r>
        <w:t>adalah</w:t>
      </w:r>
      <w:r>
        <w:rPr>
          <w:spacing w:val="-6"/>
        </w:rPr>
        <w:t xml:space="preserve"> </w:t>
      </w:r>
      <w:r>
        <w:t>kumpulan skor variabel terikat untuk setiap skor variabel bebas yang sama memiliki varian homogen. Ujian homogenitas varians dilakukan tehadap skor variabel</w:t>
      </w:r>
      <w:r>
        <w:rPr>
          <w:spacing w:val="-4"/>
        </w:rPr>
        <w:t xml:space="preserve"> </w:t>
      </w:r>
      <w:r>
        <w:t>Y1</w:t>
      </w:r>
      <w:r>
        <w:rPr>
          <w:spacing w:val="-1"/>
        </w:rPr>
        <w:t xml:space="preserve"> </w:t>
      </w:r>
      <w:r>
        <w:t>yang</w:t>
      </w:r>
      <w:r>
        <w:rPr>
          <w:spacing w:val="-8"/>
        </w:rPr>
        <w:t xml:space="preserve"> </w:t>
      </w:r>
      <w:r>
        <w:t>telah</w:t>
      </w:r>
      <w:r>
        <w:rPr>
          <w:spacing w:val="-4"/>
        </w:rPr>
        <w:t xml:space="preserve"> </w:t>
      </w:r>
      <w:r>
        <w:t>dikelompokan</w:t>
      </w:r>
      <w:r>
        <w:rPr>
          <w:spacing w:val="-4"/>
        </w:rPr>
        <w:t xml:space="preserve"> </w:t>
      </w:r>
      <w:r>
        <w:t>berdasarkan</w:t>
      </w:r>
      <w:r>
        <w:rPr>
          <w:spacing w:val="-4"/>
        </w:rPr>
        <w:t xml:space="preserve"> </w:t>
      </w:r>
      <w:r>
        <w:t>kesamaan</w:t>
      </w:r>
      <w:r>
        <w:rPr>
          <w:spacing w:val="-4"/>
        </w:rPr>
        <w:t xml:space="preserve"> </w:t>
      </w:r>
      <w:r>
        <w:t>skor</w:t>
      </w:r>
      <w:r>
        <w:rPr>
          <w:spacing w:val="-4"/>
        </w:rPr>
        <w:t xml:space="preserve"> </w:t>
      </w:r>
      <w:r>
        <w:t>variabel Y2. Asumsi homogenitas terpenuhi jika variasi skor Y1 untuk setiap skor Y2</w:t>
      </w:r>
      <w:r>
        <w:rPr>
          <w:spacing w:val="34"/>
        </w:rPr>
        <w:t xml:space="preserve"> </w:t>
      </w:r>
      <w:r>
        <w:t>yang</w:t>
      </w:r>
      <w:r>
        <w:rPr>
          <w:spacing w:val="33"/>
        </w:rPr>
        <w:t xml:space="preserve"> </w:t>
      </w:r>
      <w:r>
        <w:t>sama</w:t>
      </w:r>
      <w:r>
        <w:rPr>
          <w:spacing w:val="33"/>
        </w:rPr>
        <w:t xml:space="preserve"> </w:t>
      </w:r>
      <w:r>
        <w:t>homogen.</w:t>
      </w:r>
      <w:r>
        <w:rPr>
          <w:spacing w:val="33"/>
        </w:rPr>
        <w:t xml:space="preserve"> </w:t>
      </w:r>
    </w:p>
    <w:p w14:paraId="67CEEBAF">
      <w:pPr>
        <w:pStyle w:val="12"/>
        <w:spacing w:line="480" w:lineRule="auto"/>
        <w:ind w:firstLine="720"/>
        <w:jc w:val="both"/>
      </w:pPr>
      <w:r>
        <w:t>Pengujian</w:t>
      </w:r>
      <w:r>
        <w:rPr>
          <w:spacing w:val="33"/>
        </w:rPr>
        <w:t xml:space="preserve"> </w:t>
      </w:r>
      <w:r>
        <w:t>homegen</w:t>
      </w:r>
      <w:r>
        <w:rPr>
          <w:spacing w:val="32"/>
        </w:rPr>
        <w:t xml:space="preserve"> </w:t>
      </w:r>
      <w:r>
        <w:t>varians</w:t>
      </w:r>
      <w:r>
        <w:rPr>
          <w:spacing w:val="32"/>
        </w:rPr>
        <w:t xml:space="preserve"> </w:t>
      </w:r>
      <w:r>
        <w:t>dilakukan</w:t>
      </w:r>
      <w:r>
        <w:rPr>
          <w:spacing w:val="33"/>
        </w:rPr>
        <w:t xml:space="preserve"> </w:t>
      </w:r>
      <w:r>
        <w:rPr>
          <w:spacing w:val="-2"/>
        </w:rPr>
        <w:t>dengan</w:t>
      </w:r>
      <w:r>
        <w:t xml:space="preserve"> uji</w:t>
      </w:r>
      <w:r>
        <w:rPr>
          <w:spacing w:val="80"/>
        </w:rPr>
        <w:t xml:space="preserve"> </w:t>
      </w:r>
      <w:r>
        <w:t>fisher</w:t>
      </w:r>
      <w:r>
        <w:rPr>
          <w:spacing w:val="80"/>
        </w:rPr>
        <w:t xml:space="preserve"> </w:t>
      </w:r>
      <w:r>
        <w:t>(uji</w:t>
      </w:r>
      <w:r>
        <w:rPr>
          <w:spacing w:val="80"/>
          <w:w w:val="150"/>
        </w:rPr>
        <w:t xml:space="preserve"> </w:t>
      </w:r>
      <w:r>
        <w:t>F).</w:t>
      </w:r>
      <w:r>
        <w:rPr>
          <w:spacing w:val="80"/>
        </w:rPr>
        <w:t xml:space="preserve"> </w:t>
      </w:r>
      <w:r>
        <w:t>Kriteria</w:t>
      </w:r>
      <w:r>
        <w:rPr>
          <w:spacing w:val="80"/>
        </w:rPr>
        <w:t xml:space="preserve"> </w:t>
      </w:r>
      <w:r>
        <w:t>pengujian</w:t>
      </w:r>
      <w:r>
        <w:rPr>
          <w:spacing w:val="80"/>
        </w:rPr>
        <w:t xml:space="preserve"> </w:t>
      </w:r>
      <w:r>
        <w:t>ditetapkan</w:t>
      </w:r>
      <w:r>
        <w:rPr>
          <w:spacing w:val="80"/>
        </w:rPr>
        <w:t xml:space="preserve"> </w:t>
      </w:r>
      <w:r>
        <w:t>berdasarkan</w:t>
      </w:r>
      <w:r>
        <w:rPr>
          <w:spacing w:val="80"/>
        </w:rPr>
        <w:t xml:space="preserve"> </w:t>
      </w:r>
      <w:r>
        <w:t>hasil</w:t>
      </w:r>
      <w:r>
        <w:rPr>
          <w:spacing w:val="80"/>
        </w:rPr>
        <w:t xml:space="preserve"> </w:t>
      </w:r>
      <w:r>
        <w:t>perhitungan nilai statistic F</w:t>
      </w:r>
      <w:r>
        <w:rPr>
          <w:vertAlign w:val="subscript"/>
        </w:rPr>
        <w:t>hitung</w:t>
      </w:r>
      <w:r>
        <w:t xml:space="preserve"> yaitu sebagai berikut:</w:t>
      </w:r>
    </w:p>
    <w:p w14:paraId="083495C8">
      <w:pPr>
        <w:pStyle w:val="12"/>
        <w:spacing w:line="480" w:lineRule="auto"/>
      </w:pPr>
      <w:r>
        <w:t>Jika</w:t>
      </w:r>
      <w:r>
        <w:rPr>
          <w:spacing w:val="-3"/>
        </w:rPr>
        <w:t xml:space="preserve"> </w:t>
      </w:r>
      <w:r>
        <w:t>F</w:t>
      </w:r>
      <w:r>
        <w:rPr>
          <w:vertAlign w:val="subscript"/>
        </w:rPr>
        <w:t>hitung</w:t>
      </w:r>
      <w:r>
        <w:rPr>
          <w:spacing w:val="16"/>
        </w:rPr>
        <w:t xml:space="preserve"> </w:t>
      </w:r>
      <w:r>
        <w:t>&lt; F</w:t>
      </w:r>
      <w:r>
        <w:rPr>
          <w:vertAlign w:val="subscript"/>
        </w:rPr>
        <w:t>tabel</w:t>
      </w:r>
      <w:r>
        <w:t>,</w:t>
      </w:r>
      <w:r>
        <w:rPr>
          <w:spacing w:val="-3"/>
        </w:rPr>
        <w:t xml:space="preserve"> </w:t>
      </w:r>
      <w:r>
        <w:t>artinya</w:t>
      </w:r>
      <w:r>
        <w:rPr>
          <w:spacing w:val="-3"/>
        </w:rPr>
        <w:t xml:space="preserve"> </w:t>
      </w:r>
      <w:r>
        <w:t>persyaratan</w:t>
      </w:r>
      <w:r>
        <w:rPr>
          <w:spacing w:val="-3"/>
        </w:rPr>
        <w:t xml:space="preserve"> </w:t>
      </w:r>
      <w:r>
        <w:t>homogenitas</w:t>
      </w:r>
      <w:r>
        <w:rPr>
          <w:spacing w:val="-5"/>
        </w:rPr>
        <w:t xml:space="preserve"> </w:t>
      </w:r>
      <w:r>
        <w:rPr>
          <w:spacing w:val="-2"/>
        </w:rPr>
        <w:t>terpenuhi</w:t>
      </w:r>
    </w:p>
    <w:p w14:paraId="6462E123">
      <w:pPr>
        <w:pStyle w:val="12"/>
        <w:spacing w:line="480" w:lineRule="auto"/>
      </w:pPr>
      <w:r>
        <w:t>Jika</w:t>
      </w:r>
      <w:r>
        <w:rPr>
          <w:spacing w:val="-4"/>
        </w:rPr>
        <w:t xml:space="preserve"> </w:t>
      </w:r>
      <w:r>
        <w:t>F</w:t>
      </w:r>
      <w:r>
        <w:rPr>
          <w:vertAlign w:val="subscript"/>
        </w:rPr>
        <w:t>hitung</w:t>
      </w:r>
      <w:r>
        <w:rPr>
          <w:spacing w:val="16"/>
        </w:rPr>
        <w:t xml:space="preserve"> </w:t>
      </w:r>
      <w:r>
        <w:t>&gt;</w:t>
      </w:r>
      <w:r>
        <w:rPr>
          <w:spacing w:val="1"/>
        </w:rPr>
        <w:t xml:space="preserve"> </w:t>
      </w:r>
      <w:r>
        <w:t>F</w:t>
      </w:r>
      <w:r>
        <w:rPr>
          <w:vertAlign w:val="subscript"/>
        </w:rPr>
        <w:t>tabel,</w:t>
      </w:r>
      <w:r>
        <w:rPr>
          <w:spacing w:val="-4"/>
        </w:rPr>
        <w:t xml:space="preserve"> </w:t>
      </w:r>
      <w:r>
        <w:t>artinya</w:t>
      </w:r>
      <w:r>
        <w:rPr>
          <w:spacing w:val="-2"/>
        </w:rPr>
        <w:t xml:space="preserve"> </w:t>
      </w:r>
      <w:r>
        <w:t>persyaratan</w:t>
      </w:r>
      <w:r>
        <w:rPr>
          <w:spacing w:val="-2"/>
        </w:rPr>
        <w:t xml:space="preserve"> </w:t>
      </w:r>
      <w:r>
        <w:t>homogenitas</w:t>
      </w:r>
      <w:r>
        <w:rPr>
          <w:spacing w:val="-5"/>
        </w:rPr>
        <w:t xml:space="preserve"> </w:t>
      </w:r>
      <w:r>
        <w:t>tidak</w:t>
      </w:r>
      <w:r>
        <w:rPr>
          <w:spacing w:val="-7"/>
        </w:rPr>
        <w:t xml:space="preserve"> </w:t>
      </w:r>
      <w:r>
        <w:rPr>
          <w:spacing w:val="-2"/>
        </w:rPr>
        <w:t>terpenuhi</w:t>
      </w:r>
    </w:p>
    <w:p w14:paraId="4063E07E">
      <w:pPr>
        <w:pStyle w:val="3"/>
        <w:spacing w:before="0"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Tabel 12</w:t>
      </w:r>
    </w:p>
    <w:p w14:paraId="52A8276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Hasil</w:t>
      </w:r>
      <w:r>
        <w:rPr>
          <w:rFonts w:ascii="Times New Roman" w:hAnsi="Times New Roman" w:cs="Times New Roman"/>
          <w:spacing w:val="-3"/>
          <w:sz w:val="24"/>
          <w:szCs w:val="24"/>
        </w:rPr>
        <w:t xml:space="preserve"> </w:t>
      </w:r>
      <w:r>
        <w:rPr>
          <w:rFonts w:ascii="Times New Roman" w:hAnsi="Times New Roman" w:cs="Times New Roman"/>
          <w:sz w:val="24"/>
          <w:szCs w:val="24"/>
        </w:rPr>
        <w:t>Pengujian</w:t>
      </w:r>
      <w:r>
        <w:rPr>
          <w:rFonts w:ascii="Times New Roman" w:hAnsi="Times New Roman" w:cs="Times New Roman"/>
          <w:spacing w:val="-6"/>
          <w:sz w:val="24"/>
          <w:szCs w:val="24"/>
        </w:rPr>
        <w:t xml:space="preserve"> </w:t>
      </w:r>
      <w:r>
        <w:rPr>
          <w:rFonts w:ascii="Times New Roman" w:hAnsi="Times New Roman" w:cs="Times New Roman"/>
          <w:sz w:val="24"/>
          <w:szCs w:val="24"/>
        </w:rPr>
        <w:t>Homogenitas</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Varians</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9"/>
        <w:gridCol w:w="1837"/>
        <w:gridCol w:w="1817"/>
        <w:gridCol w:w="1905"/>
      </w:tblGrid>
      <w:tr w14:paraId="5FB1D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jc w:val="center"/>
        </w:trPr>
        <w:tc>
          <w:tcPr>
            <w:tcW w:w="1649" w:type="dxa"/>
            <w:vAlign w:val="center"/>
          </w:tcPr>
          <w:p w14:paraId="17FB7368">
            <w:pPr>
              <w:pStyle w:val="305"/>
              <w:spacing w:line="480" w:lineRule="auto"/>
              <w:jc w:val="center"/>
              <w:rPr>
                <w:sz w:val="24"/>
                <w:szCs w:val="24"/>
              </w:rPr>
            </w:pPr>
            <w:r>
              <w:rPr>
                <w:spacing w:val="-2"/>
                <w:sz w:val="24"/>
                <w:szCs w:val="24"/>
              </w:rPr>
              <w:t>Varians</w:t>
            </w:r>
          </w:p>
        </w:tc>
        <w:tc>
          <w:tcPr>
            <w:tcW w:w="1837" w:type="dxa"/>
            <w:vAlign w:val="center"/>
          </w:tcPr>
          <w:p w14:paraId="248714FB">
            <w:pPr>
              <w:pStyle w:val="305"/>
              <w:spacing w:line="480" w:lineRule="auto"/>
              <w:jc w:val="center"/>
              <w:rPr>
                <w:sz w:val="24"/>
                <w:szCs w:val="24"/>
              </w:rPr>
            </w:pPr>
            <w:r>
              <w:rPr>
                <w:spacing w:val="-2"/>
                <w:position w:val="3"/>
                <w:sz w:val="24"/>
                <w:szCs w:val="24"/>
              </w:rPr>
              <w:t>F</w:t>
            </w:r>
            <w:r>
              <w:rPr>
                <w:spacing w:val="-2"/>
                <w:sz w:val="24"/>
                <w:szCs w:val="24"/>
              </w:rPr>
              <w:t>hitung</w:t>
            </w:r>
          </w:p>
        </w:tc>
        <w:tc>
          <w:tcPr>
            <w:tcW w:w="1817" w:type="dxa"/>
            <w:vAlign w:val="center"/>
          </w:tcPr>
          <w:p w14:paraId="6D3C9D80">
            <w:pPr>
              <w:pStyle w:val="305"/>
              <w:spacing w:line="480" w:lineRule="auto"/>
              <w:jc w:val="center"/>
              <w:rPr>
                <w:sz w:val="24"/>
                <w:szCs w:val="24"/>
              </w:rPr>
            </w:pPr>
            <w:r>
              <w:rPr>
                <w:sz w:val="24"/>
                <w:szCs w:val="24"/>
              </w:rPr>
              <w:t>F</w:t>
            </w:r>
            <w:r>
              <w:rPr>
                <w:sz w:val="24"/>
                <w:szCs w:val="24"/>
                <w:vertAlign w:val="subscript"/>
              </w:rPr>
              <w:t>tabel</w:t>
            </w:r>
            <w:r>
              <w:rPr>
                <w:spacing w:val="-20"/>
                <w:sz w:val="24"/>
                <w:szCs w:val="24"/>
              </w:rPr>
              <w:t xml:space="preserve"> </w:t>
            </w:r>
            <w:r>
              <w:rPr>
                <w:sz w:val="24"/>
                <w:szCs w:val="24"/>
              </w:rPr>
              <w:t>α</w:t>
            </w:r>
            <w:r>
              <w:rPr>
                <w:spacing w:val="-4"/>
                <w:sz w:val="24"/>
                <w:szCs w:val="24"/>
              </w:rPr>
              <w:t xml:space="preserve"> </w:t>
            </w:r>
            <w:r>
              <w:rPr>
                <w:sz w:val="24"/>
                <w:szCs w:val="24"/>
              </w:rPr>
              <w:t>=</w:t>
            </w:r>
            <w:r>
              <w:rPr>
                <w:spacing w:val="-1"/>
                <w:sz w:val="24"/>
                <w:szCs w:val="24"/>
              </w:rPr>
              <w:t xml:space="preserve"> </w:t>
            </w:r>
            <w:r>
              <w:rPr>
                <w:spacing w:val="-4"/>
                <w:sz w:val="24"/>
                <w:szCs w:val="24"/>
              </w:rPr>
              <w:t>0.05</w:t>
            </w:r>
          </w:p>
        </w:tc>
        <w:tc>
          <w:tcPr>
            <w:tcW w:w="1905" w:type="dxa"/>
            <w:vAlign w:val="center"/>
          </w:tcPr>
          <w:p w14:paraId="497319CE">
            <w:pPr>
              <w:pStyle w:val="305"/>
              <w:spacing w:line="480" w:lineRule="auto"/>
              <w:jc w:val="center"/>
              <w:rPr>
                <w:sz w:val="24"/>
                <w:szCs w:val="24"/>
              </w:rPr>
            </w:pPr>
            <w:r>
              <w:rPr>
                <w:spacing w:val="-2"/>
                <w:sz w:val="24"/>
                <w:szCs w:val="24"/>
              </w:rPr>
              <w:t>Keterangan</w:t>
            </w:r>
          </w:p>
        </w:tc>
      </w:tr>
      <w:tr w14:paraId="00823B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jc w:val="center"/>
        </w:trPr>
        <w:tc>
          <w:tcPr>
            <w:tcW w:w="1649" w:type="dxa"/>
            <w:vAlign w:val="center"/>
          </w:tcPr>
          <w:p w14:paraId="44F822D4">
            <w:pPr>
              <w:pStyle w:val="305"/>
              <w:spacing w:line="480" w:lineRule="auto"/>
              <w:jc w:val="center"/>
              <w:rPr>
                <w:sz w:val="24"/>
                <w:szCs w:val="24"/>
              </w:rPr>
            </w:pPr>
            <w:r>
              <w:rPr>
                <w:sz w:val="24"/>
                <w:szCs w:val="24"/>
              </w:rPr>
              <w:t>Y</w:t>
            </w:r>
            <w:r>
              <w:rPr>
                <w:sz w:val="24"/>
                <w:szCs w:val="24"/>
                <w:vertAlign w:val="subscript"/>
              </w:rPr>
              <w:t>2</w:t>
            </w:r>
            <w:r>
              <w:rPr>
                <w:sz w:val="24"/>
                <w:szCs w:val="24"/>
              </w:rPr>
              <w:t xml:space="preserve"> atas</w:t>
            </w:r>
            <w:r>
              <w:rPr>
                <w:spacing w:val="-2"/>
                <w:sz w:val="24"/>
                <w:szCs w:val="24"/>
              </w:rPr>
              <w:t xml:space="preserve"> </w:t>
            </w:r>
            <w:r>
              <w:rPr>
                <w:spacing w:val="-5"/>
                <w:sz w:val="24"/>
                <w:szCs w:val="24"/>
              </w:rPr>
              <w:t>Y</w:t>
            </w:r>
            <w:r>
              <w:rPr>
                <w:spacing w:val="-5"/>
                <w:sz w:val="24"/>
                <w:szCs w:val="24"/>
                <w:vertAlign w:val="subscript"/>
              </w:rPr>
              <w:t>1</w:t>
            </w:r>
          </w:p>
        </w:tc>
        <w:tc>
          <w:tcPr>
            <w:tcW w:w="1837" w:type="dxa"/>
            <w:vAlign w:val="center"/>
          </w:tcPr>
          <w:p w14:paraId="7E5CF135">
            <w:pPr>
              <w:pStyle w:val="305"/>
              <w:spacing w:line="480" w:lineRule="auto"/>
              <w:jc w:val="center"/>
              <w:rPr>
                <w:sz w:val="24"/>
                <w:szCs w:val="24"/>
              </w:rPr>
            </w:pPr>
            <w:r>
              <w:rPr>
                <w:spacing w:val="-4"/>
                <w:sz w:val="24"/>
                <w:szCs w:val="24"/>
              </w:rPr>
              <w:t>1,04</w:t>
            </w:r>
          </w:p>
        </w:tc>
        <w:tc>
          <w:tcPr>
            <w:tcW w:w="1817" w:type="dxa"/>
            <w:vAlign w:val="center"/>
          </w:tcPr>
          <w:p w14:paraId="4E9E886C">
            <w:pPr>
              <w:pStyle w:val="305"/>
              <w:spacing w:line="480" w:lineRule="auto"/>
              <w:jc w:val="center"/>
              <w:rPr>
                <w:sz w:val="24"/>
                <w:szCs w:val="24"/>
              </w:rPr>
            </w:pPr>
            <w:r>
              <w:rPr>
                <w:spacing w:val="-4"/>
                <w:sz w:val="24"/>
                <w:szCs w:val="24"/>
              </w:rPr>
              <w:t>4,45</w:t>
            </w:r>
          </w:p>
        </w:tc>
        <w:tc>
          <w:tcPr>
            <w:tcW w:w="1905" w:type="dxa"/>
            <w:vAlign w:val="center"/>
          </w:tcPr>
          <w:p w14:paraId="32E46EFA">
            <w:pPr>
              <w:pStyle w:val="305"/>
              <w:spacing w:line="480" w:lineRule="auto"/>
              <w:jc w:val="center"/>
              <w:rPr>
                <w:sz w:val="24"/>
                <w:szCs w:val="24"/>
              </w:rPr>
            </w:pPr>
            <w:r>
              <w:rPr>
                <w:spacing w:val="-2"/>
                <w:sz w:val="24"/>
                <w:szCs w:val="24"/>
              </w:rPr>
              <w:t>Homogen</w:t>
            </w:r>
          </w:p>
        </w:tc>
      </w:tr>
    </w:tbl>
    <w:p w14:paraId="6079F725">
      <w:pPr>
        <w:pStyle w:val="12"/>
        <w:ind w:firstLine="720"/>
        <w:jc w:val="both"/>
      </w:pPr>
    </w:p>
    <w:p w14:paraId="1F25C6DB">
      <w:pPr>
        <w:pStyle w:val="12"/>
        <w:spacing w:line="480" w:lineRule="auto"/>
        <w:ind w:firstLine="720"/>
        <w:jc w:val="both"/>
      </w:pPr>
      <w:r>
        <w:t>Berdasarkan hasil perhitungan seperti disajikan pada tabel</w:t>
      </w:r>
      <w:r>
        <w:rPr>
          <w:spacing w:val="40"/>
        </w:rPr>
        <w:t xml:space="preserve"> </w:t>
      </w:r>
      <w:r>
        <w:t>dapat dijelaskan sebagai berikut:</w:t>
      </w:r>
    </w:p>
    <w:p w14:paraId="074A834C">
      <w:pPr>
        <w:pStyle w:val="12"/>
        <w:spacing w:line="480" w:lineRule="auto"/>
        <w:ind w:firstLine="720"/>
        <w:jc w:val="both"/>
      </w:pPr>
      <w:r>
        <w:t>Hasil perhitungan statistik pada uji homogenitas varians skor keterampilan berbicara siswa dalam menceritakan kembali dongeng dengan penerapan Metode Demonstrasi (Y1) dan tanpa penerapan Metode Demonstrasi (Y2) menunjukkan bahwa nilai F</w:t>
      </w:r>
      <w:r>
        <w:rPr>
          <w:vertAlign w:val="subscript"/>
        </w:rPr>
        <w:t>hitung</w:t>
      </w:r>
      <w:r>
        <w:t xml:space="preserve"> (1,04) &lt; F</w:t>
      </w:r>
      <w:r>
        <w:rPr>
          <w:vertAlign w:val="subscript"/>
        </w:rPr>
        <w:t>tabel</w:t>
      </w:r>
      <w:r>
        <w:t xml:space="preserve"> (4.45) pada α = 0.05 yang menunjukkan varians Y</w:t>
      </w:r>
      <w:r>
        <w:rPr>
          <w:vertAlign w:val="subscript"/>
        </w:rPr>
        <w:t>2</w:t>
      </w:r>
      <w:r>
        <w:t xml:space="preserve"> atas Y</w:t>
      </w:r>
      <w:r>
        <w:rPr>
          <w:vertAlign w:val="subscript"/>
        </w:rPr>
        <w:t>1</w:t>
      </w:r>
      <w:r>
        <w:t xml:space="preserve"> adalah Homogen.</w:t>
      </w:r>
    </w:p>
    <w:p w14:paraId="1746EC33">
      <w:pPr>
        <w:pStyle w:val="12"/>
        <w:spacing w:line="480" w:lineRule="auto"/>
        <w:ind w:firstLine="720"/>
        <w:jc w:val="both"/>
      </w:pPr>
    </w:p>
    <w:p w14:paraId="509BC161">
      <w:pPr>
        <w:pStyle w:val="3"/>
        <w:tabs>
          <w:tab w:val="left" w:pos="995"/>
        </w:tabs>
        <w:spacing w:before="0" w:line="480" w:lineRule="auto"/>
        <w:rPr>
          <w:rFonts w:ascii="Times New Roman" w:hAnsi="Times New Roman" w:cs="Times New Roman"/>
          <w:b/>
          <w:bCs/>
          <w:color w:val="auto"/>
          <w:sz w:val="24"/>
          <w:szCs w:val="24"/>
        </w:rPr>
      </w:pPr>
      <w:bookmarkStart w:id="4" w:name="_TOC_250006"/>
      <w:r>
        <w:rPr>
          <w:rFonts w:ascii="Times New Roman" w:hAnsi="Times New Roman" w:cs="Times New Roman"/>
          <w:b/>
          <w:bCs/>
          <w:color w:val="auto"/>
          <w:sz w:val="24"/>
          <w:szCs w:val="24"/>
        </w:rPr>
        <w:t>4.3.3 Pengujian</w:t>
      </w:r>
      <w:r>
        <w:rPr>
          <w:rFonts w:ascii="Times New Roman" w:hAnsi="Times New Roman" w:cs="Times New Roman"/>
          <w:b/>
          <w:bCs/>
          <w:color w:val="auto"/>
          <w:spacing w:val="-3"/>
          <w:sz w:val="24"/>
          <w:szCs w:val="24"/>
        </w:rPr>
        <w:t xml:space="preserve"> </w:t>
      </w:r>
      <w:bookmarkEnd w:id="4"/>
      <w:r>
        <w:rPr>
          <w:rFonts w:ascii="Times New Roman" w:hAnsi="Times New Roman" w:cs="Times New Roman"/>
          <w:b/>
          <w:bCs/>
          <w:color w:val="auto"/>
          <w:spacing w:val="-2"/>
          <w:sz w:val="24"/>
          <w:szCs w:val="24"/>
        </w:rPr>
        <w:t>Hipotesis</w:t>
      </w:r>
    </w:p>
    <w:p w14:paraId="0256825E">
      <w:pPr>
        <w:pStyle w:val="3"/>
        <w:tabs>
          <w:tab w:val="left" w:pos="1356"/>
        </w:tabs>
        <w:spacing w:before="0" w:line="480" w:lineRule="auto"/>
        <w:jc w:val="both"/>
        <w:rPr>
          <w:rFonts w:ascii="Times New Roman" w:hAnsi="Times New Roman" w:cs="Times New Roman"/>
          <w:b/>
          <w:bCs/>
          <w:color w:val="auto"/>
          <w:sz w:val="24"/>
          <w:szCs w:val="24"/>
        </w:rPr>
      </w:pPr>
      <w:bookmarkStart w:id="5" w:name="_TOC_250005"/>
      <w:r>
        <w:rPr>
          <w:rFonts w:ascii="Times New Roman" w:hAnsi="Times New Roman" w:cs="Times New Roman"/>
          <w:b/>
          <w:bCs/>
          <w:color w:val="auto"/>
          <w:sz w:val="24"/>
          <w:szCs w:val="24"/>
        </w:rPr>
        <w:t>1. Uji</w:t>
      </w:r>
      <w:r>
        <w:rPr>
          <w:rFonts w:ascii="Times New Roman" w:hAnsi="Times New Roman" w:cs="Times New Roman"/>
          <w:b/>
          <w:bCs/>
          <w:color w:val="auto"/>
          <w:spacing w:val="-1"/>
          <w:sz w:val="24"/>
          <w:szCs w:val="24"/>
        </w:rPr>
        <w:t xml:space="preserve"> </w:t>
      </w:r>
      <w:bookmarkEnd w:id="5"/>
      <w:r>
        <w:rPr>
          <w:rFonts w:ascii="Times New Roman" w:hAnsi="Times New Roman" w:cs="Times New Roman"/>
          <w:b/>
          <w:bCs/>
          <w:color w:val="auto"/>
          <w:spacing w:val="-2"/>
          <w:sz w:val="24"/>
          <w:szCs w:val="24"/>
        </w:rPr>
        <w:t>Hipotesis</w:t>
      </w:r>
    </w:p>
    <w:p w14:paraId="4BD3FCF5">
      <w:pPr>
        <w:pStyle w:val="12"/>
        <w:spacing w:line="480" w:lineRule="auto"/>
        <w:ind w:firstLine="720"/>
        <w:jc w:val="both"/>
      </w:pPr>
      <w:r>
        <w:t>Setelah data berdistribusi normal selanjutnya dilakukan uji hipotesis.</w:t>
      </w:r>
      <w:r>
        <w:rPr>
          <w:spacing w:val="-2"/>
        </w:rPr>
        <w:t xml:space="preserve"> </w:t>
      </w:r>
      <w:r>
        <w:t>Uji</w:t>
      </w:r>
      <w:r>
        <w:rPr>
          <w:spacing w:val="-1"/>
        </w:rPr>
        <w:t xml:space="preserve"> </w:t>
      </w:r>
      <w:r>
        <w:t>hipotesis</w:t>
      </w:r>
      <w:r>
        <w:rPr>
          <w:spacing w:val="-2"/>
        </w:rPr>
        <w:t xml:space="preserve"> </w:t>
      </w:r>
      <w:r>
        <w:t>dengan</w:t>
      </w:r>
      <w:r>
        <w:rPr>
          <w:spacing w:val="-2"/>
        </w:rPr>
        <w:t xml:space="preserve"> </w:t>
      </w:r>
      <w:r>
        <w:t>menggunakan Uji T.</w:t>
      </w:r>
      <w:r>
        <w:rPr>
          <w:spacing w:val="-1"/>
        </w:rPr>
        <w:t xml:space="preserve"> </w:t>
      </w:r>
      <w:r>
        <w:t>Berikut</w:t>
      </w:r>
      <w:r>
        <w:rPr>
          <w:spacing w:val="-1"/>
        </w:rPr>
        <w:t xml:space="preserve"> </w:t>
      </w:r>
      <w:r>
        <w:t>ini</w:t>
      </w:r>
      <w:r>
        <w:rPr>
          <w:spacing w:val="-1"/>
        </w:rPr>
        <w:t xml:space="preserve"> </w:t>
      </w:r>
      <w:r>
        <w:t>dijelaskan hasil output pengolahan data uji hipotesis.</w:t>
      </w:r>
    </w:p>
    <w:p w14:paraId="1E9C0E50">
      <w:pPr>
        <w:pStyle w:val="3"/>
        <w:spacing w:before="0"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Tabel 13</w:t>
      </w:r>
    </w:p>
    <w:p w14:paraId="63DDCC3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Hasil</w:t>
      </w:r>
      <w:r>
        <w:rPr>
          <w:rFonts w:ascii="Times New Roman" w:hAnsi="Times New Roman" w:cs="Times New Roman"/>
          <w:spacing w:val="-1"/>
          <w:sz w:val="24"/>
          <w:szCs w:val="24"/>
        </w:rPr>
        <w:t xml:space="preserve"> </w:t>
      </w:r>
      <w:r>
        <w:rPr>
          <w:rFonts w:ascii="Times New Roman" w:hAnsi="Times New Roman" w:cs="Times New Roman"/>
          <w:sz w:val="24"/>
          <w:szCs w:val="24"/>
        </w:rPr>
        <w:t>Pengujian</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Hipotesis</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65"/>
        <w:gridCol w:w="1132"/>
        <w:gridCol w:w="1424"/>
        <w:gridCol w:w="1929"/>
        <w:gridCol w:w="1696"/>
      </w:tblGrid>
      <w:tr w14:paraId="45A697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jc w:val="center"/>
        </w:trPr>
        <w:tc>
          <w:tcPr>
            <w:tcW w:w="1365" w:type="dxa"/>
            <w:vAlign w:val="center"/>
          </w:tcPr>
          <w:p w14:paraId="4EF0E3FA">
            <w:pPr>
              <w:pStyle w:val="305"/>
              <w:spacing w:line="480" w:lineRule="auto"/>
              <w:jc w:val="center"/>
              <w:rPr>
                <w:sz w:val="24"/>
                <w:szCs w:val="24"/>
              </w:rPr>
            </w:pPr>
            <w:r>
              <w:rPr>
                <w:spacing w:val="-2"/>
                <w:sz w:val="24"/>
                <w:szCs w:val="24"/>
              </w:rPr>
              <w:t>Kelas</w:t>
            </w:r>
          </w:p>
        </w:tc>
        <w:tc>
          <w:tcPr>
            <w:tcW w:w="1132" w:type="dxa"/>
            <w:vAlign w:val="center"/>
          </w:tcPr>
          <w:p w14:paraId="0A66C0EB">
            <w:pPr>
              <w:pStyle w:val="305"/>
              <w:spacing w:line="480" w:lineRule="auto"/>
              <w:jc w:val="center"/>
              <w:rPr>
                <w:sz w:val="24"/>
                <w:szCs w:val="24"/>
              </w:rPr>
            </w:pPr>
            <w:r>
              <w:rPr>
                <w:spacing w:val="-2"/>
                <w:sz w:val="24"/>
                <w:szCs w:val="24"/>
              </w:rPr>
              <w:t>Sampel</w:t>
            </w:r>
          </w:p>
        </w:tc>
        <w:tc>
          <w:tcPr>
            <w:tcW w:w="1424" w:type="dxa"/>
            <w:tcBorders>
              <w:bottom w:val="single" w:color="000000" w:sz="4" w:space="0"/>
            </w:tcBorders>
            <w:vAlign w:val="center"/>
          </w:tcPr>
          <w:p w14:paraId="2303BBB5">
            <w:pPr>
              <w:pStyle w:val="305"/>
              <w:spacing w:line="480" w:lineRule="auto"/>
              <w:jc w:val="center"/>
              <w:rPr>
                <w:i/>
                <w:sz w:val="24"/>
                <w:szCs w:val="24"/>
              </w:rPr>
            </w:pPr>
            <w:r>
              <w:rPr>
                <w:sz w:val="24"/>
                <w:szCs w:val="24"/>
              </w:rPr>
              <w:t>T</w:t>
            </w:r>
            <w:r>
              <w:rPr>
                <w:spacing w:val="-1"/>
                <w:sz w:val="24"/>
                <w:szCs w:val="24"/>
              </w:rPr>
              <w:t xml:space="preserve"> </w:t>
            </w:r>
            <w:r>
              <w:rPr>
                <w:i/>
                <w:spacing w:val="-2"/>
                <w:sz w:val="24"/>
                <w:szCs w:val="24"/>
              </w:rPr>
              <w:t>hitung</w:t>
            </w:r>
          </w:p>
        </w:tc>
        <w:tc>
          <w:tcPr>
            <w:tcW w:w="1929" w:type="dxa"/>
            <w:tcBorders>
              <w:bottom w:val="single" w:color="000000" w:sz="4" w:space="0"/>
            </w:tcBorders>
            <w:vAlign w:val="center"/>
          </w:tcPr>
          <w:p w14:paraId="6144DB67">
            <w:pPr>
              <w:pStyle w:val="305"/>
              <w:spacing w:line="480" w:lineRule="auto"/>
              <w:jc w:val="center"/>
              <w:rPr>
                <w:sz w:val="24"/>
                <w:szCs w:val="24"/>
              </w:rPr>
            </w:pPr>
            <w:r>
              <w:rPr>
                <w:sz w:val="24"/>
                <w:szCs w:val="24"/>
              </w:rPr>
              <w:t>T</w:t>
            </w:r>
            <w:r>
              <w:rPr>
                <w:i/>
                <w:sz w:val="24"/>
                <w:szCs w:val="24"/>
              </w:rPr>
              <w:t>tabel</w:t>
            </w:r>
            <w:r>
              <w:rPr>
                <w:i/>
                <w:spacing w:val="2"/>
                <w:sz w:val="24"/>
                <w:szCs w:val="24"/>
              </w:rPr>
              <w:t xml:space="preserve"> </w:t>
            </w:r>
            <w:r>
              <w:rPr>
                <w:rFonts w:ascii="Cambria Math" w:hAnsi="Cambria Math" w:cs="Cambria Math"/>
                <w:sz w:val="24"/>
                <w:szCs w:val="24"/>
              </w:rPr>
              <w:t>𝛼</w:t>
            </w:r>
            <w:r>
              <w:rPr>
                <w:spacing w:val="-4"/>
                <w:sz w:val="24"/>
                <w:szCs w:val="24"/>
              </w:rPr>
              <w:t xml:space="preserve"> </w:t>
            </w:r>
            <w:r>
              <w:rPr>
                <w:sz w:val="24"/>
                <w:szCs w:val="24"/>
              </w:rPr>
              <w:t xml:space="preserve">= </w:t>
            </w:r>
            <w:r>
              <w:rPr>
                <w:spacing w:val="-4"/>
                <w:sz w:val="24"/>
                <w:szCs w:val="24"/>
              </w:rPr>
              <w:t>0,05</w:t>
            </w:r>
          </w:p>
        </w:tc>
        <w:tc>
          <w:tcPr>
            <w:tcW w:w="1696" w:type="dxa"/>
            <w:tcBorders>
              <w:bottom w:val="single" w:color="000000" w:sz="4" w:space="0"/>
            </w:tcBorders>
            <w:vAlign w:val="center"/>
          </w:tcPr>
          <w:p w14:paraId="29A1F7A7">
            <w:pPr>
              <w:pStyle w:val="305"/>
              <w:spacing w:line="480" w:lineRule="auto"/>
              <w:jc w:val="center"/>
              <w:rPr>
                <w:sz w:val="24"/>
                <w:szCs w:val="24"/>
              </w:rPr>
            </w:pPr>
            <w:r>
              <w:rPr>
                <w:spacing w:val="-2"/>
                <w:sz w:val="24"/>
                <w:szCs w:val="24"/>
              </w:rPr>
              <w:t>Kesimpulan</w:t>
            </w:r>
          </w:p>
        </w:tc>
      </w:tr>
      <w:tr w14:paraId="269008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 w:hRule="atLeast"/>
          <w:jc w:val="center"/>
        </w:trPr>
        <w:tc>
          <w:tcPr>
            <w:tcW w:w="1365" w:type="dxa"/>
            <w:vAlign w:val="center"/>
          </w:tcPr>
          <w:p w14:paraId="230D62E2">
            <w:pPr>
              <w:pStyle w:val="305"/>
              <w:spacing w:line="480" w:lineRule="auto"/>
              <w:jc w:val="center"/>
              <w:rPr>
                <w:sz w:val="24"/>
                <w:szCs w:val="24"/>
              </w:rPr>
            </w:pPr>
            <w:r>
              <w:rPr>
                <w:spacing w:val="-2"/>
                <w:sz w:val="24"/>
                <w:szCs w:val="24"/>
              </w:rPr>
              <w:t>Eksperimen</w:t>
            </w:r>
          </w:p>
        </w:tc>
        <w:tc>
          <w:tcPr>
            <w:tcW w:w="1132" w:type="dxa"/>
            <w:vAlign w:val="center"/>
          </w:tcPr>
          <w:p w14:paraId="539749D9">
            <w:pPr>
              <w:pStyle w:val="305"/>
              <w:spacing w:line="480" w:lineRule="auto"/>
              <w:jc w:val="center"/>
              <w:rPr>
                <w:sz w:val="24"/>
                <w:szCs w:val="24"/>
              </w:rPr>
            </w:pPr>
            <w:r>
              <w:rPr>
                <w:spacing w:val="-5"/>
                <w:sz w:val="24"/>
                <w:szCs w:val="24"/>
              </w:rPr>
              <w:t>18</w:t>
            </w:r>
          </w:p>
        </w:tc>
        <w:tc>
          <w:tcPr>
            <w:tcW w:w="1424" w:type="dxa"/>
            <w:vMerge w:val="restart"/>
            <w:tcBorders>
              <w:bottom w:val="single" w:color="auto" w:sz="4" w:space="0"/>
            </w:tcBorders>
            <w:vAlign w:val="center"/>
          </w:tcPr>
          <w:p w14:paraId="6DF8EA30">
            <w:pPr>
              <w:pStyle w:val="305"/>
              <w:spacing w:line="480" w:lineRule="auto"/>
              <w:jc w:val="center"/>
              <w:rPr>
                <w:sz w:val="24"/>
                <w:szCs w:val="24"/>
              </w:rPr>
            </w:pPr>
            <w:r>
              <w:rPr>
                <w:spacing w:val="-4"/>
                <w:sz w:val="24"/>
                <w:szCs w:val="24"/>
              </w:rPr>
              <w:t>2,77</w:t>
            </w:r>
          </w:p>
        </w:tc>
        <w:tc>
          <w:tcPr>
            <w:tcW w:w="1929" w:type="dxa"/>
            <w:vMerge w:val="restart"/>
            <w:tcBorders>
              <w:bottom w:val="single" w:color="auto" w:sz="4" w:space="0"/>
            </w:tcBorders>
            <w:vAlign w:val="center"/>
          </w:tcPr>
          <w:p w14:paraId="013D23E9">
            <w:pPr>
              <w:pStyle w:val="305"/>
              <w:jc w:val="center"/>
              <w:rPr>
                <w:sz w:val="24"/>
                <w:szCs w:val="24"/>
              </w:rPr>
            </w:pPr>
            <w:r>
              <w:rPr>
                <w:spacing w:val="-4"/>
                <w:sz w:val="24"/>
                <w:szCs w:val="24"/>
              </w:rPr>
              <w:t>2,03</w:t>
            </w:r>
          </w:p>
        </w:tc>
        <w:tc>
          <w:tcPr>
            <w:tcW w:w="1696" w:type="dxa"/>
            <w:vMerge w:val="restart"/>
            <w:tcBorders>
              <w:bottom w:val="single" w:color="auto" w:sz="4" w:space="0"/>
            </w:tcBorders>
            <w:vAlign w:val="center"/>
          </w:tcPr>
          <w:p w14:paraId="2197477C">
            <w:pPr>
              <w:pStyle w:val="305"/>
              <w:jc w:val="center"/>
              <w:rPr>
                <w:sz w:val="24"/>
                <w:szCs w:val="24"/>
              </w:rPr>
            </w:pPr>
            <w:r>
              <w:rPr>
                <w:sz w:val="24"/>
                <w:szCs w:val="24"/>
              </w:rPr>
              <w:t>Ho</w:t>
            </w:r>
            <w:r>
              <w:rPr>
                <w:spacing w:val="-15"/>
                <w:sz w:val="24"/>
                <w:szCs w:val="24"/>
              </w:rPr>
              <w:t xml:space="preserve"> </w:t>
            </w:r>
            <w:r>
              <w:rPr>
                <w:sz w:val="24"/>
                <w:szCs w:val="24"/>
              </w:rPr>
              <w:t>ditolak maka Ha</w:t>
            </w:r>
          </w:p>
          <w:p w14:paraId="439E2F79">
            <w:pPr>
              <w:pStyle w:val="305"/>
              <w:jc w:val="center"/>
              <w:rPr>
                <w:sz w:val="24"/>
                <w:szCs w:val="24"/>
              </w:rPr>
            </w:pPr>
            <w:r>
              <w:rPr>
                <w:spacing w:val="-2"/>
                <w:sz w:val="24"/>
                <w:szCs w:val="24"/>
              </w:rPr>
              <w:t>diterima</w:t>
            </w:r>
          </w:p>
        </w:tc>
      </w:tr>
      <w:tr w14:paraId="277C28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 w:hRule="atLeast"/>
          <w:jc w:val="center"/>
        </w:trPr>
        <w:tc>
          <w:tcPr>
            <w:tcW w:w="1365" w:type="dxa"/>
            <w:vAlign w:val="center"/>
          </w:tcPr>
          <w:p w14:paraId="7EA7547C">
            <w:pPr>
              <w:pStyle w:val="305"/>
              <w:spacing w:line="480" w:lineRule="auto"/>
              <w:jc w:val="center"/>
              <w:rPr>
                <w:sz w:val="24"/>
                <w:szCs w:val="24"/>
              </w:rPr>
            </w:pPr>
            <w:r>
              <w:rPr>
                <w:spacing w:val="-2"/>
                <w:sz w:val="24"/>
                <w:szCs w:val="24"/>
              </w:rPr>
              <w:t>Kontrol</w:t>
            </w:r>
          </w:p>
        </w:tc>
        <w:tc>
          <w:tcPr>
            <w:tcW w:w="1132" w:type="dxa"/>
            <w:vAlign w:val="center"/>
          </w:tcPr>
          <w:p w14:paraId="74611700">
            <w:pPr>
              <w:pStyle w:val="305"/>
              <w:spacing w:line="480" w:lineRule="auto"/>
              <w:jc w:val="center"/>
              <w:rPr>
                <w:sz w:val="24"/>
                <w:szCs w:val="24"/>
              </w:rPr>
            </w:pPr>
            <w:r>
              <w:rPr>
                <w:spacing w:val="-5"/>
                <w:sz w:val="24"/>
                <w:szCs w:val="24"/>
              </w:rPr>
              <w:t>18</w:t>
            </w:r>
          </w:p>
        </w:tc>
        <w:tc>
          <w:tcPr>
            <w:tcW w:w="1424" w:type="dxa"/>
            <w:vMerge w:val="continue"/>
            <w:tcBorders>
              <w:top w:val="single" w:color="000000" w:sz="4" w:space="0"/>
              <w:bottom w:val="single" w:color="auto" w:sz="4" w:space="0"/>
            </w:tcBorders>
            <w:vAlign w:val="center"/>
          </w:tcPr>
          <w:p w14:paraId="4BBC41E0">
            <w:pPr>
              <w:spacing w:line="480" w:lineRule="auto"/>
              <w:jc w:val="center"/>
              <w:rPr>
                <w:rFonts w:ascii="Times New Roman" w:hAnsi="Times New Roman" w:cs="Times New Roman"/>
                <w:sz w:val="24"/>
                <w:szCs w:val="24"/>
              </w:rPr>
            </w:pPr>
          </w:p>
        </w:tc>
        <w:tc>
          <w:tcPr>
            <w:tcW w:w="1929" w:type="dxa"/>
            <w:vMerge w:val="continue"/>
            <w:tcBorders>
              <w:top w:val="single" w:color="auto" w:sz="4" w:space="0"/>
              <w:bottom w:val="single" w:color="auto" w:sz="4" w:space="0"/>
            </w:tcBorders>
            <w:vAlign w:val="center"/>
          </w:tcPr>
          <w:p w14:paraId="1038175A">
            <w:pPr>
              <w:spacing w:line="480" w:lineRule="auto"/>
              <w:jc w:val="center"/>
              <w:rPr>
                <w:rFonts w:ascii="Times New Roman" w:hAnsi="Times New Roman" w:cs="Times New Roman"/>
                <w:sz w:val="24"/>
                <w:szCs w:val="24"/>
              </w:rPr>
            </w:pPr>
          </w:p>
        </w:tc>
        <w:tc>
          <w:tcPr>
            <w:tcW w:w="1696" w:type="dxa"/>
            <w:vMerge w:val="continue"/>
            <w:tcBorders>
              <w:top w:val="single" w:color="000000" w:sz="4" w:space="0"/>
              <w:bottom w:val="single" w:color="auto" w:sz="4" w:space="0"/>
            </w:tcBorders>
            <w:vAlign w:val="center"/>
          </w:tcPr>
          <w:p w14:paraId="52E49D87">
            <w:pPr>
              <w:spacing w:line="480" w:lineRule="auto"/>
              <w:jc w:val="center"/>
              <w:rPr>
                <w:rFonts w:ascii="Times New Roman" w:hAnsi="Times New Roman" w:cs="Times New Roman"/>
                <w:sz w:val="24"/>
                <w:szCs w:val="24"/>
              </w:rPr>
            </w:pPr>
          </w:p>
        </w:tc>
      </w:tr>
    </w:tbl>
    <w:p w14:paraId="613CA5A2">
      <w:pPr>
        <w:spacing w:after="0" w:line="480" w:lineRule="auto"/>
        <w:jc w:val="both"/>
        <w:rPr>
          <w:rFonts w:ascii="Times New Roman" w:hAnsi="Times New Roman" w:cs="Times New Roman"/>
          <w:sz w:val="24"/>
          <w:szCs w:val="24"/>
        </w:rPr>
      </w:pPr>
    </w:p>
    <w:p w14:paraId="3456BF0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data pada tabel yang membandingkan hasil keterampilan berbicara siswa antara kelas eksperimen dan kelas kontrol dengan taraf signifikansi α = 0,05 dan derajat kebebasan (dk) = (n₁ + n₂) – 2 = 18 + 18 – 2 = 34, maka diperoleh nilai 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 2,03 dan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 2,77. Karena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&gt; T</w:t>
      </w:r>
      <w:r>
        <w:rPr>
          <w:rFonts w:ascii="Times New Roman" w:hAnsi="Times New Roman" w:cs="Times New Roman"/>
          <w:sz w:val="24"/>
          <w:szCs w:val="24"/>
          <w:vertAlign w:val="subscript"/>
        </w:rPr>
        <w:t>tabel</w:t>
      </w:r>
      <w:r>
        <w:rPr>
          <w:rFonts w:ascii="Times New Roman" w:hAnsi="Times New Roman" w:cs="Times New Roman"/>
          <w:sz w:val="24"/>
          <w:szCs w:val="24"/>
        </w:rPr>
        <w:t>, maka Ho ditolak. Artinya, terdapat pengaruh yang signifikan dari penerapan metode demonstrasi terhadap peningkatan keterampilan berbicara siswa dalam menceritakan kembali dongeng di kelas IV SDN 401 Panyabungan.</w:t>
      </w:r>
    </w:p>
    <w:p w14:paraId="78D295F8">
      <w:pPr>
        <w:spacing w:after="0" w:line="480" w:lineRule="auto"/>
        <w:ind w:firstLine="720"/>
        <w:jc w:val="both"/>
        <w:rPr>
          <w:rFonts w:ascii="Times New Roman" w:hAnsi="Times New Roman" w:cs="Times New Roman"/>
          <w:sz w:val="24"/>
          <w:szCs w:val="24"/>
        </w:rPr>
      </w:pPr>
    </w:p>
    <w:p w14:paraId="7EEB24D0">
      <w:pPr>
        <w:pStyle w:val="3"/>
        <w:tabs>
          <w:tab w:val="left" w:pos="1356"/>
        </w:tabs>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2. Uji</w:t>
      </w:r>
      <w:r>
        <w:rPr>
          <w:rFonts w:ascii="Times New Roman" w:hAnsi="Times New Roman" w:cs="Times New Roman"/>
          <w:b/>
          <w:bCs/>
          <w:color w:val="auto"/>
          <w:spacing w:val="-4"/>
          <w:sz w:val="24"/>
          <w:szCs w:val="24"/>
        </w:rPr>
        <w:t xml:space="preserve"> </w:t>
      </w:r>
      <w:r>
        <w:rPr>
          <w:rFonts w:ascii="Times New Roman" w:hAnsi="Times New Roman" w:cs="Times New Roman"/>
          <w:b/>
          <w:bCs/>
          <w:color w:val="auto"/>
          <w:sz w:val="24"/>
          <w:szCs w:val="24"/>
        </w:rPr>
        <w:t>Korelasi</w:t>
      </w:r>
      <w:r>
        <w:rPr>
          <w:rFonts w:ascii="Times New Roman" w:hAnsi="Times New Roman" w:cs="Times New Roman"/>
          <w:b/>
          <w:bCs/>
          <w:color w:val="auto"/>
          <w:spacing w:val="-3"/>
          <w:sz w:val="24"/>
          <w:szCs w:val="24"/>
        </w:rPr>
        <w:t xml:space="preserve"> </w:t>
      </w:r>
      <w:r>
        <w:rPr>
          <w:rFonts w:ascii="Times New Roman" w:hAnsi="Times New Roman" w:cs="Times New Roman"/>
          <w:b/>
          <w:bCs/>
          <w:color w:val="auto"/>
          <w:sz w:val="24"/>
          <w:szCs w:val="24"/>
        </w:rPr>
        <w:t>dan</w:t>
      </w:r>
      <w:r>
        <w:rPr>
          <w:rFonts w:ascii="Times New Roman" w:hAnsi="Times New Roman" w:cs="Times New Roman"/>
          <w:b/>
          <w:bCs/>
          <w:color w:val="auto"/>
          <w:spacing w:val="-3"/>
          <w:sz w:val="24"/>
          <w:szCs w:val="24"/>
        </w:rPr>
        <w:t xml:space="preserve"> </w:t>
      </w:r>
      <w:r>
        <w:rPr>
          <w:rFonts w:ascii="Times New Roman" w:hAnsi="Times New Roman" w:cs="Times New Roman"/>
          <w:b/>
          <w:bCs/>
          <w:color w:val="auto"/>
          <w:sz w:val="24"/>
          <w:szCs w:val="24"/>
        </w:rPr>
        <w:t>Koefisiensi</w:t>
      </w:r>
      <w:r>
        <w:rPr>
          <w:rFonts w:ascii="Times New Roman" w:hAnsi="Times New Roman" w:cs="Times New Roman"/>
          <w:b/>
          <w:bCs/>
          <w:color w:val="auto"/>
          <w:spacing w:val="-4"/>
          <w:sz w:val="24"/>
          <w:szCs w:val="24"/>
        </w:rPr>
        <w:t xml:space="preserve"> </w:t>
      </w:r>
      <w:r>
        <w:rPr>
          <w:rFonts w:ascii="Times New Roman" w:hAnsi="Times New Roman" w:cs="Times New Roman"/>
          <w:b/>
          <w:bCs/>
          <w:color w:val="auto"/>
          <w:sz w:val="24"/>
          <w:szCs w:val="24"/>
        </w:rPr>
        <w:t>Determinasi</w:t>
      </w:r>
      <w:r>
        <w:rPr>
          <w:rFonts w:ascii="Times New Roman" w:hAnsi="Times New Roman" w:cs="Times New Roman"/>
          <w:b/>
          <w:bCs/>
          <w:color w:val="auto"/>
          <w:spacing w:val="-3"/>
          <w:sz w:val="24"/>
          <w:szCs w:val="24"/>
        </w:rPr>
        <w:t xml:space="preserve"> </w:t>
      </w:r>
      <w:r>
        <w:rPr>
          <w:rFonts w:ascii="Times New Roman" w:hAnsi="Times New Roman" w:cs="Times New Roman"/>
          <w:b/>
          <w:bCs/>
          <w:color w:val="auto"/>
          <w:spacing w:val="-4"/>
          <w:sz w:val="24"/>
          <w:szCs w:val="24"/>
        </w:rPr>
        <w:t>(R</w:t>
      </w:r>
      <w:r>
        <w:rPr>
          <w:rFonts w:ascii="Times New Roman" w:hAnsi="Times New Roman" w:cs="Times New Roman"/>
          <w:b/>
          <w:bCs/>
          <w:color w:val="auto"/>
          <w:spacing w:val="-4"/>
          <w:sz w:val="24"/>
          <w:szCs w:val="24"/>
          <w:vertAlign w:val="superscript"/>
        </w:rPr>
        <w:t>2</w:t>
      </w:r>
      <w:r>
        <w:rPr>
          <w:rFonts w:ascii="Times New Roman" w:hAnsi="Times New Roman" w:cs="Times New Roman"/>
          <w:b/>
          <w:bCs/>
          <w:color w:val="auto"/>
          <w:spacing w:val="-4"/>
          <w:sz w:val="24"/>
          <w:szCs w:val="24"/>
        </w:rPr>
        <w:t>)</w:t>
      </w:r>
    </w:p>
    <w:p w14:paraId="1DF04563">
      <w:pPr>
        <w:pStyle w:val="12"/>
        <w:spacing w:line="480" w:lineRule="auto"/>
        <w:ind w:firstLine="720"/>
        <w:jc w:val="both"/>
      </w:pPr>
      <w:r>
        <w:t>Untuk mengetahui ada atau tidaknya hubungan antara metode demonstrasi dengan keterampilan berbicara siswa dalam menceritakan kembali dongeng, dilakukan pengujian hipotesis statistik sebagai berikut:</w:t>
      </w:r>
    </w:p>
    <w:p w14:paraId="25A2AA54">
      <w:pPr>
        <w:spacing w:line="480" w:lineRule="auto"/>
        <w:jc w:val="center"/>
        <w:rPr>
          <w:rFonts w:ascii="Times New Roman" w:hAnsi="Times New Roman" w:eastAsia="Cambria Math" w:cs="Times New Roman"/>
          <w:sz w:val="24"/>
          <w:szCs w:val="24"/>
        </w:rPr>
      </w:pPr>
      <w:r>
        <w:rPr>
          <w:rFonts w:ascii="Times New Roman" w:hAnsi="Times New Roman" w:eastAsia="Cambria" w:cs="Times New Roman"/>
          <w:sz w:val="24"/>
          <w:szCs w:val="24"/>
        </w:rPr>
        <w:t>Ho</w:t>
      </w:r>
      <w:r>
        <w:rPr>
          <w:rFonts w:ascii="Times New Roman" w:hAnsi="Times New Roman" w:eastAsia="Cambria" w:cs="Times New Roman"/>
          <w:spacing w:val="-8"/>
          <w:sz w:val="24"/>
          <w:szCs w:val="24"/>
        </w:rPr>
        <w:t xml:space="preserve"> </w:t>
      </w:r>
      <w:r>
        <w:rPr>
          <w:rFonts w:ascii="Times New Roman" w:hAnsi="Times New Roman" w:eastAsia="Cambria" w:cs="Times New Roman"/>
          <w:sz w:val="24"/>
          <w:szCs w:val="24"/>
        </w:rPr>
        <w:t>:</w:t>
      </w:r>
      <w:r>
        <w:rPr>
          <w:rFonts w:ascii="Times New Roman" w:hAnsi="Times New Roman" w:eastAsia="Cambria" w:cs="Times New Roman"/>
          <w:spacing w:val="-6"/>
          <w:sz w:val="24"/>
          <w:szCs w:val="24"/>
        </w:rPr>
        <w:t xml:space="preserve"> </w:t>
      </w:r>
      <w:r>
        <w:rPr>
          <w:rFonts w:ascii="Cambria Math" w:hAnsi="Cambria Math" w:eastAsia="Cambria Math" w:cs="Cambria Math"/>
          <w:sz w:val="24"/>
          <w:szCs w:val="24"/>
        </w:rPr>
        <w:t>𝝁</w:t>
      </w:r>
      <w:r>
        <w:rPr>
          <w:rFonts w:ascii="Times New Roman" w:hAnsi="Times New Roman" w:eastAsia="Cambria Math" w:cs="Times New Roman"/>
          <w:sz w:val="24"/>
          <w:szCs w:val="24"/>
        </w:rPr>
        <w:t>1</w:t>
      </w:r>
      <w:r>
        <w:rPr>
          <w:rFonts w:ascii="Times New Roman" w:hAnsi="Times New Roman" w:eastAsia="Cambria Math" w:cs="Times New Roman"/>
          <w:spacing w:val="12"/>
          <w:sz w:val="24"/>
          <w:szCs w:val="24"/>
        </w:rPr>
        <w:t xml:space="preserve"> </w:t>
      </w:r>
      <w:r>
        <w:rPr>
          <w:rFonts w:ascii="Times New Roman" w:hAnsi="Times New Roman" w:eastAsia="Cambria Math" w:cs="Times New Roman"/>
          <w:sz w:val="24"/>
          <w:szCs w:val="24"/>
        </w:rPr>
        <w:t>=</w:t>
      </w:r>
      <w:r>
        <w:rPr>
          <w:rFonts w:ascii="Times New Roman" w:hAnsi="Times New Roman" w:eastAsia="Cambria Math" w:cs="Times New Roman"/>
          <w:spacing w:val="61"/>
          <w:sz w:val="24"/>
          <w:szCs w:val="24"/>
        </w:rPr>
        <w:t xml:space="preserve"> </w:t>
      </w:r>
      <w:r>
        <w:rPr>
          <w:rFonts w:ascii="Cambria Math" w:hAnsi="Cambria Math" w:eastAsia="Cambria Math" w:cs="Cambria Math"/>
          <w:spacing w:val="-5"/>
          <w:sz w:val="24"/>
          <w:szCs w:val="24"/>
        </w:rPr>
        <w:t>𝝁</w:t>
      </w:r>
      <w:r>
        <w:rPr>
          <w:rFonts w:ascii="Times New Roman" w:hAnsi="Times New Roman" w:eastAsia="Cambria Math" w:cs="Times New Roman"/>
          <w:spacing w:val="-5"/>
          <w:sz w:val="24"/>
          <w:szCs w:val="24"/>
        </w:rPr>
        <w:t>2</w:t>
      </w:r>
    </w:p>
    <w:p w14:paraId="6C6D174E">
      <w:pPr>
        <w:spacing w:line="480" w:lineRule="auto"/>
        <w:jc w:val="both"/>
        <w:rPr>
          <w:rFonts w:ascii="Times New Roman" w:hAnsi="Times New Roman" w:cs="Times New Roman"/>
          <w:sz w:val="24"/>
          <w:szCs w:val="24"/>
        </w:rPr>
      </w:pPr>
      <w:r>
        <w:rPr>
          <w:rFonts w:ascii="Times New Roman" w:hAnsi="Times New Roman" w:cs="Times New Roman"/>
          <w:sz w:val="24"/>
          <w:szCs w:val="24"/>
        </w:rPr>
        <w:t>Tidak terdapat pengaruh antara keterampilan berbicara siswa yang diajar dengan metode demonstrasi dan yang tidak diajar dengan metode demonstrasi.</w:t>
      </w:r>
    </w:p>
    <w:p w14:paraId="3023ED6B">
      <w:pPr>
        <w:spacing w:line="480" w:lineRule="auto"/>
        <w:jc w:val="center"/>
        <w:rPr>
          <w:rFonts w:ascii="Times New Roman" w:hAnsi="Times New Roman" w:eastAsia="Cambria Math"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1</w:t>
      </w:r>
      <w:r>
        <w:rPr>
          <w:rFonts w:ascii="Times New Roman" w:hAnsi="Times New Roman" w:cs="Times New Roman"/>
          <w:spacing w:val="1"/>
          <w:sz w:val="24"/>
          <w:szCs w:val="24"/>
        </w:rPr>
        <w:t xml:space="preserve"> </w:t>
      </w:r>
      <w:r>
        <w:rPr>
          <w:rFonts w:ascii="Times New Roman" w:hAnsi="Times New Roman" w:cs="Times New Roman"/>
          <w:sz w:val="24"/>
          <w:szCs w:val="24"/>
        </w:rPr>
        <w:t>:</w:t>
      </w:r>
      <w:r>
        <w:rPr>
          <w:rFonts w:ascii="Times New Roman" w:hAnsi="Times New Roman" w:cs="Times New Roman"/>
          <w:spacing w:val="2"/>
          <w:sz w:val="24"/>
          <w:szCs w:val="24"/>
        </w:rPr>
        <w:t xml:space="preserve"> </w:t>
      </w:r>
      <w:r>
        <w:rPr>
          <w:rFonts w:ascii="Cambria Math" w:hAnsi="Cambria Math" w:eastAsia="Cambria Math" w:cs="Cambria Math"/>
          <w:sz w:val="24"/>
          <w:szCs w:val="24"/>
        </w:rPr>
        <w:t>𝝁</w:t>
      </w:r>
      <w:r>
        <w:rPr>
          <w:rFonts w:ascii="Times New Roman" w:hAnsi="Times New Roman" w:eastAsia="Cambria Math" w:cs="Times New Roman"/>
          <w:sz w:val="24"/>
          <w:szCs w:val="24"/>
        </w:rPr>
        <w:t>1</w:t>
      </w:r>
      <w:r>
        <w:rPr>
          <w:rFonts w:ascii="Times New Roman" w:hAnsi="Times New Roman" w:eastAsia="Cambria Math" w:cs="Times New Roman"/>
          <w:spacing w:val="70"/>
          <w:sz w:val="24"/>
          <w:szCs w:val="24"/>
        </w:rPr>
        <w:t xml:space="preserve"> </w:t>
      </w:r>
      <w:r>
        <w:rPr>
          <w:rFonts w:ascii="Times New Roman" w:hAnsi="Times New Roman" w:eastAsia="Cambria Math" w:cs="Times New Roman"/>
          <w:sz w:val="24"/>
          <w:szCs w:val="24"/>
        </w:rPr>
        <w:t>≠</w:t>
      </w:r>
      <w:r>
        <w:rPr>
          <w:rFonts w:ascii="Times New Roman" w:hAnsi="Times New Roman" w:eastAsia="Cambria Math" w:cs="Times New Roman"/>
          <w:spacing w:val="66"/>
          <w:sz w:val="24"/>
          <w:szCs w:val="24"/>
        </w:rPr>
        <w:t xml:space="preserve"> </w:t>
      </w:r>
      <w:r>
        <w:rPr>
          <w:rFonts w:ascii="Cambria Math" w:hAnsi="Cambria Math" w:eastAsia="Cambria Math" w:cs="Cambria Math"/>
          <w:spacing w:val="-5"/>
          <w:sz w:val="24"/>
          <w:szCs w:val="24"/>
        </w:rPr>
        <w:t>𝝁</w:t>
      </w:r>
      <w:r>
        <w:rPr>
          <w:rFonts w:ascii="Times New Roman" w:hAnsi="Times New Roman" w:eastAsia="Cambria Math" w:cs="Times New Roman"/>
          <w:spacing w:val="-5"/>
          <w:sz w:val="24"/>
          <w:szCs w:val="24"/>
        </w:rPr>
        <w:t>2</w:t>
      </w:r>
    </w:p>
    <w:p w14:paraId="6D57F2DE">
      <w:pPr>
        <w:pStyle w:val="12"/>
        <w:spacing w:line="480" w:lineRule="auto"/>
        <w:jc w:val="both"/>
      </w:pPr>
      <w:r>
        <w:t>Terdapat pengaruh antara keterampilan berbicara siswa yang diajar dengan metode demonstrasi dan yang tidak diajar dengan metode demonstrasi.</w:t>
      </w:r>
    </w:p>
    <w:p w14:paraId="620D160C">
      <w:pPr>
        <w:pStyle w:val="12"/>
        <w:spacing w:line="480" w:lineRule="auto"/>
        <w:ind w:firstLine="720"/>
        <w:jc w:val="both"/>
      </w:pPr>
      <w:r>
        <w:t>Kekuatan perbedaan antara keterampilan berbicara dalam menceritakan kembali dongeng yang diperoleh siswa kelas IV SDN 401 Panyabungan yang diajar menggunakan metode demonstrasi, dibandingkan dengan yang tidak menggunakan metode demonstrasi, dapat dijelaskan melalui koefisien korelasi yang dihitung menggunakan teknik korelasi.</w:t>
      </w:r>
    </w:p>
    <w:p w14:paraId="2B13BDAD">
      <w:pPr>
        <w:pStyle w:val="12"/>
        <w:spacing w:line="480" w:lineRule="auto"/>
        <w:ind w:firstLine="720"/>
        <w:jc w:val="both"/>
      </w:pPr>
      <w:r>
        <w:t>Perhitungan ini bertujuan untuk mengetahui sejauh mana hubungan antara penggunaan metode demonstrasi dengan peningkatan keterampilan berbicara siswa. Selain itu, juga dihitung koefisien determinasi (R²) untuk mengetahui seberapa besar kontribusi metode demonstrasi dalam menjelaskan variasi hasil keterampilan berbicara siswa.</w:t>
      </w:r>
    </w:p>
    <w:p w14:paraId="2F605E3B">
      <w:pPr>
        <w:spacing w:line="480" w:lineRule="auto"/>
        <w:jc w:val="center"/>
        <w:rPr>
          <w:rFonts w:ascii="Times New Roman" w:hAnsi="Times New Roman" w:cs="Times New Roman"/>
          <w:sz w:val="24"/>
          <w:szCs w:val="24"/>
        </w:rPr>
      </w:pPr>
      <w:r>
        <w:rPr>
          <w:rFonts w:ascii="Times New Roman" w:hAnsi="Times New Roman" w:cs="Times New Roman"/>
          <w:sz w:val="24"/>
          <w:szCs w:val="24"/>
        </w:rPr>
        <w:t>Tabel 14</w:t>
      </w:r>
      <w:r>
        <w:rPr>
          <w:rFonts w:ascii="Times New Roman" w:hAnsi="Times New Roman" w:cs="Times New Roman"/>
          <w:sz w:val="24"/>
          <w:szCs w:val="24"/>
        </w:rPr>
        <w:br w:type="textWrapping"/>
      </w:r>
      <w:r>
        <w:rPr>
          <w:rFonts w:ascii="Times New Roman" w:hAnsi="Times New Roman" w:cs="Times New Roman"/>
          <w:spacing w:val="-6"/>
          <w:sz w:val="24"/>
          <w:szCs w:val="24"/>
        </w:rPr>
        <w:t>Hasil Perhitungan Koefisien Korelasi antara Keterampilan Berbicara dengan Metode Demonstrasi (Y1) dan Keterampilan Berbicara tanpa Metode Demonstrasi (Y2)</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456"/>
        <w:gridCol w:w="1150"/>
        <w:gridCol w:w="2834"/>
        <w:gridCol w:w="759"/>
        <w:gridCol w:w="1703"/>
      </w:tblGrid>
      <w:tr w14:paraId="678A0C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F0BC2BF">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w:t>
            </w:r>
          </w:p>
        </w:tc>
        <w:tc>
          <w:tcPr>
            <w:tcW w:w="0" w:type="auto"/>
            <w:vAlign w:val="center"/>
          </w:tcPr>
          <w:p w14:paraId="213ACD8A">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Koefisien</w:t>
            </w:r>
          </w:p>
        </w:tc>
        <w:tc>
          <w:tcPr>
            <w:tcW w:w="0" w:type="auto"/>
            <w:vAlign w:val="center"/>
          </w:tcPr>
          <w:p w14:paraId="67EBEACA">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Koefisien Determinasi (R²)</w:t>
            </w:r>
          </w:p>
        </w:tc>
        <w:tc>
          <w:tcPr>
            <w:tcW w:w="0" w:type="auto"/>
            <w:vAlign w:val="center"/>
          </w:tcPr>
          <w:p w14:paraId="609B4868">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T</w:t>
            </w:r>
            <w:r>
              <w:rPr>
                <w:rFonts w:ascii="Times New Roman" w:hAnsi="Times New Roman" w:cs="Times New Roman"/>
                <w:sz w:val="24"/>
                <w:szCs w:val="24"/>
                <w:vertAlign w:val="subscript"/>
                <w:lang w:val="en-US"/>
              </w:rPr>
              <w:t>hitung</w:t>
            </w:r>
          </w:p>
        </w:tc>
        <w:tc>
          <w:tcPr>
            <w:tcW w:w="0" w:type="auto"/>
            <w:vAlign w:val="center"/>
          </w:tcPr>
          <w:p w14:paraId="4035B5BE">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T</w:t>
            </w:r>
            <w:r>
              <w:rPr>
                <w:rFonts w:ascii="Times New Roman" w:hAnsi="Times New Roman" w:cs="Times New Roman"/>
                <w:sz w:val="24"/>
                <w:szCs w:val="24"/>
                <w:vertAlign w:val="subscript"/>
                <w:lang w:val="en-US"/>
              </w:rPr>
              <w:t>tabel</w:t>
            </w:r>
            <w:r>
              <w:rPr>
                <w:rFonts w:ascii="Times New Roman" w:hAnsi="Times New Roman" w:cs="Times New Roman"/>
                <w:sz w:val="24"/>
                <w:szCs w:val="24"/>
                <w:lang w:val="en-US"/>
              </w:rPr>
              <w:t xml:space="preserve"> (</w:t>
            </w:r>
            <w:r>
              <w:rPr>
                <w:rFonts w:ascii="Cambria Math" w:hAnsi="Cambria Math" w:cs="Cambria Math"/>
                <w:sz w:val="24"/>
                <w:szCs w:val="24"/>
                <w:lang w:val="en-US"/>
              </w:rPr>
              <w:t>𝛼</w:t>
            </w:r>
            <w:r>
              <w:rPr>
                <w:rFonts w:ascii="Times New Roman" w:hAnsi="Times New Roman" w:cs="Times New Roman"/>
                <w:sz w:val="24"/>
                <w:szCs w:val="24"/>
                <w:lang w:val="en-US"/>
              </w:rPr>
              <w:t xml:space="preserve"> = 0,05)</w:t>
            </w:r>
          </w:p>
        </w:tc>
      </w:tr>
      <w:tr w14:paraId="4D3D39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60C43C3">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18</w:t>
            </w:r>
          </w:p>
        </w:tc>
        <w:tc>
          <w:tcPr>
            <w:tcW w:w="0" w:type="auto"/>
            <w:vAlign w:val="center"/>
          </w:tcPr>
          <w:p w14:paraId="0F905B39">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0,967</w:t>
            </w:r>
          </w:p>
        </w:tc>
        <w:tc>
          <w:tcPr>
            <w:tcW w:w="0" w:type="auto"/>
            <w:vAlign w:val="center"/>
          </w:tcPr>
          <w:p w14:paraId="300842D8">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0,935</w:t>
            </w:r>
          </w:p>
        </w:tc>
        <w:tc>
          <w:tcPr>
            <w:tcW w:w="0" w:type="auto"/>
            <w:vAlign w:val="center"/>
          </w:tcPr>
          <w:p w14:paraId="47F92798">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15,21</w:t>
            </w:r>
          </w:p>
        </w:tc>
        <w:tc>
          <w:tcPr>
            <w:tcW w:w="0" w:type="auto"/>
            <w:vAlign w:val="center"/>
          </w:tcPr>
          <w:p w14:paraId="3C70C4DD">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1,734</w:t>
            </w:r>
          </w:p>
        </w:tc>
      </w:tr>
    </w:tbl>
    <w:p w14:paraId="40D52226">
      <w:pPr>
        <w:rPr>
          <w:rFonts w:ascii="Times New Roman" w:hAnsi="Times New Roman" w:cs="Times New Roman"/>
          <w:sz w:val="24"/>
          <w:szCs w:val="24"/>
        </w:rPr>
      </w:pPr>
    </w:p>
    <w:p w14:paraId="4B8BDC6D">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Koefisien korelasi sebesar r = 0,967 dan koefisien determinasi R² = 0,935 menunjukkan bahwa hubungan antara keterampilan berbicara siswa yang mengikuti pembelajaran dengan metode demonstrasi dan tanpa metode demonstrasi adalah sangat kuat dan signifikan. Hal ini diperkuat oleh nilai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 15,21 yang lebih besar dari 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 1,734 pada taraf signifikansi </w:t>
      </w:r>
      <w:r>
        <w:rPr>
          <w:rFonts w:ascii="Cambria Math" w:hAnsi="Cambria Math" w:cs="Cambria Math"/>
          <w:sz w:val="24"/>
          <w:szCs w:val="24"/>
        </w:rPr>
        <w:t>𝛼</w:t>
      </w:r>
      <w:r>
        <w:rPr>
          <w:rFonts w:ascii="Times New Roman" w:hAnsi="Times New Roman" w:cs="Times New Roman"/>
          <w:sz w:val="24"/>
          <w:szCs w:val="24"/>
        </w:rPr>
        <w:t xml:space="preserve"> = 0,05.</w:t>
      </w:r>
    </w:p>
    <w:p w14:paraId="4F942C8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Dengan demikian, hipotesis penelitian dapat diterima, yaitu terdapat hubungan yang signifikan antara keterampilan berbicara siswa dalam menceritakan kembali dongeng yang diajarkan dengan menggunakan metode demonstrasi dan tanpa metode demonstrasi. Artinya, penerapan metode demonstrasi terbukti lebih efektif dalam meningkatkan keterampilan berbicara siswa dibandingkan dengan pembelajaran tanpa metode tersebut.</w:t>
      </w:r>
    </w:p>
    <w:p w14:paraId="08A616E3">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Sementara itu, nilai koefisien determinasi 0,935 mengindikasikan bahwa 93,5% variasi keterampilan berbicara siswa dapat dijelaskan oleh penggunaan metode demonstrasi, sedangkan 6,5% sisanya dipengaruhi oleh faktor lain di luar metode demonstrasi, seperti motivasi belajar, lingkungan belajar, atau perbedaan gaya belajar siswa.</w:t>
      </w:r>
    </w:p>
    <w:p w14:paraId="6EB7766C">
      <w:pPr>
        <w:spacing w:after="0" w:line="480" w:lineRule="auto"/>
        <w:ind w:firstLine="709"/>
        <w:jc w:val="both"/>
        <w:rPr>
          <w:rFonts w:ascii="Times New Roman" w:hAnsi="Times New Roman" w:cs="Times New Roman"/>
          <w:sz w:val="24"/>
          <w:szCs w:val="24"/>
        </w:rPr>
      </w:pPr>
    </w:p>
    <w:p w14:paraId="66C8B305">
      <w:pPr>
        <w:widowControl w:val="0"/>
        <w:autoSpaceDE w:val="0"/>
        <w:autoSpaceDN w:val="0"/>
        <w:spacing w:after="0" w:line="480" w:lineRule="auto"/>
        <w:rPr>
          <w:rFonts w:ascii="Times New Roman" w:hAnsi="Times New Roman" w:cs="Times New Roman"/>
          <w:b/>
          <w:bCs/>
          <w:sz w:val="24"/>
          <w:szCs w:val="24"/>
        </w:rPr>
      </w:pPr>
      <w:r>
        <w:rPr>
          <w:rFonts w:ascii="Times New Roman" w:hAnsi="Times New Roman" w:cs="Times New Roman"/>
          <w:b/>
          <w:bCs/>
          <w:sz w:val="24"/>
          <w:szCs w:val="24"/>
        </w:rPr>
        <w:t>4.4 Pembahasan Hasil Penelitian</w:t>
      </w:r>
    </w:p>
    <w:p w14:paraId="3C88AC43">
      <w:pPr>
        <w:widowControl w:val="0"/>
        <w:autoSpaceDE w:val="0"/>
        <w:autoSpaceDN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pengujian hipotesis yang telah dilakukan, diperoleh hasil bahwa Hipotesis nol (Ho) ditolak, yang berarti bahwa Hipotesis alternatif (Ha) diterima. Dengan demikian, dapat disimpulkan bahwa penerapan metode demonstrasi berpengaruh secara signifikan terhadap peningkatan keterampilan berbicara siswa dalam menceritakan kembali dongeng di kelas IV SDN 401 Panyabungan Kabupaten Mandailing Natal Tahun Pembelajaran 2025–2026 pada taraf signifikansi α = 0,05.</w:t>
      </w:r>
    </w:p>
    <w:p w14:paraId="1D1F3816">
      <w:pPr>
        <w:widowControl w:val="0"/>
        <w:autoSpaceDE w:val="0"/>
        <w:autoSpaceDN w:val="0"/>
        <w:spacing w:after="0" w:line="480" w:lineRule="auto"/>
        <w:ind w:firstLine="720"/>
        <w:jc w:val="both"/>
        <w:rPr>
          <w:rFonts w:ascii="Times New Roman" w:hAnsi="Times New Roman" w:cs="Times New Roman"/>
          <w:sz w:val="24"/>
          <w:szCs w:val="24"/>
        </w:rPr>
      </w:pPr>
    </w:p>
    <w:p w14:paraId="62454EA5">
      <w:pPr>
        <w:widowControl w:val="0"/>
        <w:autoSpaceDE w:val="0"/>
        <w:autoSpaceDN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1. Efektivitas Metode Demonstrasi dalam Pembelajaran Dongeng</w:t>
      </w:r>
    </w:p>
    <w:p w14:paraId="17E6F4A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Pembelajaran yang dilakukan menggunakan metode demonstrasi memberikan dampak positif terhadap suasana dan proses pembelajaran di kelas. Dalam pelaksanaan kegiatan, guru memberikan contoh secara langsung bagaimana cara menyampaikan dongeng dengan baik, mulai dari penggunaan intonasi, ekspresi wajah, gerak tubuh, hingga pengaturan alur cerita yang sistematis.</w:t>
      </w:r>
    </w:p>
    <w:p w14:paraId="12443C9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observasi yang dilakukan selama proses pembelajaran berlangsung, siswa tampak lebih percaya diri dan antusias ketika diminta menceritakan kembali dongeng yang telah dipelajari. Mereka lebih berani tampil di depan kelas, mengungkapkan isi cerita dengan gaya mereka sendiri, dan mampu menyampaikan kembali alur cerita secara runtut. Hal ini menunjukkan bahwa demonstrasi sebagai metode pembelajaran sangat membantu siswa memahami cara bercerita secara langsung dan konkret.</w:t>
      </w:r>
    </w:p>
    <w:p w14:paraId="5ED4BD0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Metode ini juga menciptakan suasana belajar yang lebih aktif, partisipatif, dan menyenangkan. Guru tidak hanya menjadi sumber informasi, tetapi juga berperan sebagai fasilitator dan model yang dapat ditiru siswa. Aktivitas seperti ini sangat penting dalam mengembangkan keterampilan berbicara, karena siswa tidak hanya diajak mendengarkan teori, melainkan juga terlibat dalam praktik langsung.</w:t>
      </w:r>
    </w:p>
    <w:p w14:paraId="226579E9">
      <w:pPr>
        <w:widowControl w:val="0"/>
        <w:autoSpaceDE w:val="0"/>
        <w:autoSpaceDN w:val="0"/>
        <w:spacing w:after="0" w:line="480" w:lineRule="auto"/>
        <w:ind w:firstLine="720"/>
        <w:jc w:val="both"/>
        <w:rPr>
          <w:rFonts w:ascii="Times New Roman" w:hAnsi="Times New Roman" w:cs="Times New Roman"/>
          <w:sz w:val="24"/>
          <w:szCs w:val="24"/>
        </w:rPr>
      </w:pPr>
    </w:p>
    <w:p w14:paraId="2A029F7C">
      <w:pPr>
        <w:widowControl w:val="0"/>
        <w:autoSpaceDE w:val="0"/>
        <w:autoSpaceDN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2. Peningkatan Keterampilan Berbicara Siswa</w:t>
      </w:r>
    </w:p>
    <w:p w14:paraId="41AD2898">
      <w:pPr>
        <w:widowControl w:val="0"/>
        <w:autoSpaceDE w:val="0"/>
        <w:autoSpaceDN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Hasil wawancara dan lembar penilaian menunjukkan bahwa setelah pembelajaran menggunakan metode demonstrasi, terjadi peningkatan yang signifikan dalam aspek-aspek berbicara, seperti:</w:t>
      </w:r>
    </w:p>
    <w:p w14:paraId="2AFB332D">
      <w:pPr>
        <w:widowControl w:val="0"/>
        <w:numPr>
          <w:ilvl w:val="0"/>
          <w:numId w:val="1"/>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Kelancaran berbicara (fluency),</w:t>
      </w:r>
    </w:p>
    <w:p w14:paraId="01E704AB">
      <w:pPr>
        <w:widowControl w:val="0"/>
        <w:numPr>
          <w:ilvl w:val="0"/>
          <w:numId w:val="1"/>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Ketepatan dalam mengungkapkan isi cerita,</w:t>
      </w:r>
    </w:p>
    <w:p w14:paraId="16AAB3E5">
      <w:pPr>
        <w:widowControl w:val="0"/>
        <w:numPr>
          <w:ilvl w:val="0"/>
          <w:numId w:val="1"/>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Kemampuan menggunakan ekspresi dan intonasi yang tepat,</w:t>
      </w:r>
    </w:p>
    <w:p w14:paraId="2DC40C45">
      <w:pPr>
        <w:widowControl w:val="0"/>
        <w:numPr>
          <w:ilvl w:val="0"/>
          <w:numId w:val="1"/>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Keberanian untuk berbicara di depan umum, dan</w:t>
      </w:r>
    </w:p>
    <w:p w14:paraId="551786C3">
      <w:pPr>
        <w:widowControl w:val="0"/>
        <w:numPr>
          <w:ilvl w:val="0"/>
          <w:numId w:val="1"/>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Kemampuan menyusun struktur cerita yang runtut dan logis.</w:t>
      </w:r>
    </w:p>
    <w:p w14:paraId="0299BC90">
      <w:pPr>
        <w:widowControl w:val="0"/>
        <w:autoSpaceDE w:val="0"/>
        <w:autoSpaceDN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Siswa juga mulai menunjukkan kemampuan menginterpretasi karakter dan pesan moral dalam dongeng, yang ditunjukkan dengan cara mereka mengekspresikan tokoh dan kejadian dalam cerita tersebut. Ini menunjukkan bahwa keterampilan kognitif dan afektif mereka pun ikut berkembang melalui metode demonstrasi.</w:t>
      </w:r>
    </w:p>
    <w:p w14:paraId="5EE38BFE">
      <w:pPr>
        <w:widowControl w:val="0"/>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Hasil perhitungan statistik menunjukkan bahwa:</w:t>
      </w:r>
    </w:p>
    <w:p w14:paraId="5A7E8B81">
      <w:pPr>
        <w:widowControl w:val="0"/>
        <w:numPr>
          <w:ilvl w:val="0"/>
          <w:numId w:val="2"/>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Koefisien korelasi (R) = 0,967, yang berarti terdapat hubungan yang sangat kuat antara penggunaan metode demonstrasi dan peningkatan keterampilan berbicara siswa.</w:t>
      </w:r>
    </w:p>
    <w:p w14:paraId="43BACAD9">
      <w:pPr>
        <w:widowControl w:val="0"/>
        <w:numPr>
          <w:ilvl w:val="0"/>
          <w:numId w:val="2"/>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Koefisien determinasi (R²) = 0,935, yang berarti sebesar 93,5% peningkatan keterampilan berbicara siswa dapat dijelaskan oleh penerapan metode demonstrasi.</w:t>
      </w:r>
    </w:p>
    <w:p w14:paraId="7004D1C1">
      <w:pPr>
        <w:widowControl w:val="0"/>
        <w:numPr>
          <w:ilvl w:val="0"/>
          <w:numId w:val="2"/>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Nilai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 15,21 lebih besar dari 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 1,734 pada taraf signifikansi α = 0,05, yang menunjukkan bahwa pengaruh tersebut signifikan secara statistik.</w:t>
      </w:r>
    </w:p>
    <w:p w14:paraId="03EFBAA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Dengan demikian, data menunjukkan bahwa penggunaan metode demonstrasi secara langsung berkontribusi terhadap peningkatan hasil belajar siswa, khususnya dalam keterampilan berbicara pada materi menceritakan kembali dongeng.</w:t>
      </w:r>
    </w:p>
    <w:p w14:paraId="1ED91F25">
      <w:pPr>
        <w:widowControl w:val="0"/>
        <w:autoSpaceDE w:val="0"/>
        <w:autoSpaceDN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Beberapa keunggulan metode demonstrasi yang terbukti efektif dalam konteks penelitian ini antara lain:</w:t>
      </w:r>
    </w:p>
    <w:p w14:paraId="0A8C8CEF">
      <w:pPr>
        <w:widowControl w:val="0"/>
        <w:numPr>
          <w:ilvl w:val="0"/>
          <w:numId w:val="3"/>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Memudahkan siswa mengamati langsung proses menyampaikan cerita, bukan hanya membayangkan.</w:t>
      </w:r>
    </w:p>
    <w:p w14:paraId="4D077308">
      <w:pPr>
        <w:widowControl w:val="0"/>
        <w:numPr>
          <w:ilvl w:val="0"/>
          <w:numId w:val="3"/>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Meningkatkan retensi (daya ingat) terhadap materi pembelajaran karena melibatkan pengalaman visual dan kinestetik.</w:t>
      </w:r>
    </w:p>
    <w:p w14:paraId="31D4DB50">
      <w:pPr>
        <w:widowControl w:val="0"/>
        <w:numPr>
          <w:ilvl w:val="0"/>
          <w:numId w:val="3"/>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Membangun keterampilan sosial seperti percaya diri, komunikasi lisan, dan empati melalui peran-peran dalam cerita.</w:t>
      </w:r>
    </w:p>
    <w:p w14:paraId="4DEE6AFF">
      <w:pPr>
        <w:widowControl w:val="0"/>
        <w:numPr>
          <w:ilvl w:val="0"/>
          <w:numId w:val="3"/>
        </w:numPr>
        <w:autoSpaceDE w:val="0"/>
        <w:autoSpaceDN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Membantu siswa belajar dari contoh nyata, bukan dari hafalan atau penjelasan abstrak semata.</w:t>
      </w:r>
    </w:p>
    <w:sectPr>
      <w:headerReference r:id="rId7" w:type="first"/>
      <w:headerReference r:id="rId5" w:type="default"/>
      <w:footerReference r:id="rId8" w:type="default"/>
      <w:headerReference r:id="rId6" w:type="even"/>
      <w:pgSz w:w="11907" w:h="16839"/>
      <w:pgMar w:top="2268" w:right="1701" w:bottom="1701" w:left="2268" w:header="993" w:footer="1082"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C30D9">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993AA">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5621797" o:spid="_x0000_s2081"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p w14:paraId="75D2944E">
    <w:pPr>
      <w:pStyle w:val="12"/>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5DE40">
    <w:pPr>
      <w:pStyle w:val="16"/>
    </w:pPr>
    <w:r>
      <w:pict>
        <v:shape id="WordPictureWatermark5621796" o:spid="_x0000_s2080"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98D26">
    <w:pPr>
      <w:pStyle w:val="16"/>
    </w:pPr>
    <w:r>
      <w:pict>
        <v:shape id="WordPictureWatermark5621795" o:spid="_x0000_s207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F42145"/>
    <w:multiLevelType w:val="multilevel"/>
    <w:tmpl w:val="38F42145"/>
    <w:lvl w:ilvl="0" w:tentative="0">
      <w:start w:val="1"/>
      <w:numFmt w:val="lowerLetter"/>
      <w:lvlText w:val="%1."/>
      <w:lvlJc w:val="left"/>
      <w:pPr>
        <w:tabs>
          <w:tab w:val="left" w:pos="720"/>
        </w:tabs>
        <w:ind w:left="720" w:hanging="360"/>
      </w:pPr>
      <w:rPr>
        <w:rFonts w:hint="default" w:ascii="Times New Roman" w:hAnsi="Times New Roman" w:cs="Times New Roman"/>
        <w:b w:val="0"/>
        <w:bCs w:val="0"/>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6A116AA6"/>
    <w:multiLevelType w:val="multilevel"/>
    <w:tmpl w:val="6A116AA6"/>
    <w:lvl w:ilvl="0" w:tentative="0">
      <w:start w:val="1"/>
      <w:numFmt w:val="lowerLetter"/>
      <w:lvlText w:val="%1."/>
      <w:lvlJc w:val="left"/>
      <w:pPr>
        <w:tabs>
          <w:tab w:val="left" w:pos="720"/>
        </w:tabs>
        <w:ind w:left="720" w:hanging="360"/>
      </w:pPr>
      <w:rPr>
        <w:rFonts w:hint="default" w:ascii="Times New Roman" w:hAnsi="Times New Roman" w:cs="Times New Roman"/>
        <w:b w:val="0"/>
        <w:bCs w:val="0"/>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6AF461E9"/>
    <w:multiLevelType w:val="multilevel"/>
    <w:tmpl w:val="6AF461E9"/>
    <w:lvl w:ilvl="0" w:tentative="0">
      <w:start w:val="1"/>
      <w:numFmt w:val="lowerLetter"/>
      <w:lvlText w:val="%1."/>
      <w:lvlJc w:val="left"/>
      <w:pPr>
        <w:tabs>
          <w:tab w:val="left" w:pos="720"/>
        </w:tabs>
        <w:ind w:left="720" w:hanging="360"/>
      </w:pPr>
      <w:rPr>
        <w:rFonts w:hint="default" w:ascii="Times New Roman" w:hAnsi="Times New Roman" w:cs="Times New Roman"/>
        <w:b w:val="0"/>
        <w:bCs w:val="0"/>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T7CULrBgl7kdHjjbDruFGdmoQs=" w:salt="mveSOqY+u85HynSQIWOorg=="/>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76C"/>
    <w:rsid w:val="00010A2A"/>
    <w:rsid w:val="000257BF"/>
    <w:rsid w:val="00032B15"/>
    <w:rsid w:val="00043EC4"/>
    <w:rsid w:val="000526A3"/>
    <w:rsid w:val="000566AC"/>
    <w:rsid w:val="000610AC"/>
    <w:rsid w:val="000652AC"/>
    <w:rsid w:val="00066C41"/>
    <w:rsid w:val="00070749"/>
    <w:rsid w:val="0007628A"/>
    <w:rsid w:val="00082598"/>
    <w:rsid w:val="00082C7F"/>
    <w:rsid w:val="00085210"/>
    <w:rsid w:val="0008752B"/>
    <w:rsid w:val="00093398"/>
    <w:rsid w:val="000941E6"/>
    <w:rsid w:val="000A3683"/>
    <w:rsid w:val="000A65FF"/>
    <w:rsid w:val="000B2BF2"/>
    <w:rsid w:val="000B4810"/>
    <w:rsid w:val="000B4AC5"/>
    <w:rsid w:val="000B66D3"/>
    <w:rsid w:val="000C32E4"/>
    <w:rsid w:val="000C5A2B"/>
    <w:rsid w:val="000C622F"/>
    <w:rsid w:val="000D09AC"/>
    <w:rsid w:val="000D2359"/>
    <w:rsid w:val="000E2722"/>
    <w:rsid w:val="000F003E"/>
    <w:rsid w:val="00100365"/>
    <w:rsid w:val="00101226"/>
    <w:rsid w:val="001070AA"/>
    <w:rsid w:val="0012270B"/>
    <w:rsid w:val="00125CC1"/>
    <w:rsid w:val="00127FF1"/>
    <w:rsid w:val="001336CE"/>
    <w:rsid w:val="00133EF1"/>
    <w:rsid w:val="001361DF"/>
    <w:rsid w:val="00137964"/>
    <w:rsid w:val="0014401C"/>
    <w:rsid w:val="00144FB9"/>
    <w:rsid w:val="001462FC"/>
    <w:rsid w:val="001503E5"/>
    <w:rsid w:val="00152371"/>
    <w:rsid w:val="00155DAD"/>
    <w:rsid w:val="00162AFC"/>
    <w:rsid w:val="001633D1"/>
    <w:rsid w:val="00165CEA"/>
    <w:rsid w:val="00176EAA"/>
    <w:rsid w:val="00180CA7"/>
    <w:rsid w:val="001822C5"/>
    <w:rsid w:val="00182FA8"/>
    <w:rsid w:val="001860B8"/>
    <w:rsid w:val="00194D80"/>
    <w:rsid w:val="001A0119"/>
    <w:rsid w:val="001A01F9"/>
    <w:rsid w:val="001A1D8B"/>
    <w:rsid w:val="001A46F8"/>
    <w:rsid w:val="001B47C6"/>
    <w:rsid w:val="001B725E"/>
    <w:rsid w:val="001C23AC"/>
    <w:rsid w:val="001C68DA"/>
    <w:rsid w:val="001D2B24"/>
    <w:rsid w:val="001D5DF6"/>
    <w:rsid w:val="001E0CA0"/>
    <w:rsid w:val="001E1514"/>
    <w:rsid w:val="001E3454"/>
    <w:rsid w:val="001E3A75"/>
    <w:rsid w:val="001E41F7"/>
    <w:rsid w:val="001E6186"/>
    <w:rsid w:val="001E68BB"/>
    <w:rsid w:val="001E7AE6"/>
    <w:rsid w:val="001F020C"/>
    <w:rsid w:val="001F11D9"/>
    <w:rsid w:val="001F65D1"/>
    <w:rsid w:val="0020513C"/>
    <w:rsid w:val="0021511D"/>
    <w:rsid w:val="00215F7F"/>
    <w:rsid w:val="002161F6"/>
    <w:rsid w:val="00217672"/>
    <w:rsid w:val="00220A25"/>
    <w:rsid w:val="00225E73"/>
    <w:rsid w:val="00227AFA"/>
    <w:rsid w:val="002321A9"/>
    <w:rsid w:val="00235414"/>
    <w:rsid w:val="00236D4A"/>
    <w:rsid w:val="00243567"/>
    <w:rsid w:val="00243AC3"/>
    <w:rsid w:val="00246234"/>
    <w:rsid w:val="0025054F"/>
    <w:rsid w:val="00255363"/>
    <w:rsid w:val="00255B34"/>
    <w:rsid w:val="002617A2"/>
    <w:rsid w:val="00263E05"/>
    <w:rsid w:val="0027083F"/>
    <w:rsid w:val="00271480"/>
    <w:rsid w:val="002719FF"/>
    <w:rsid w:val="00272AD8"/>
    <w:rsid w:val="002742BE"/>
    <w:rsid w:val="002769CB"/>
    <w:rsid w:val="0028076E"/>
    <w:rsid w:val="00294619"/>
    <w:rsid w:val="00297911"/>
    <w:rsid w:val="002A117E"/>
    <w:rsid w:val="002A13A1"/>
    <w:rsid w:val="002A2D0B"/>
    <w:rsid w:val="002B4121"/>
    <w:rsid w:val="002D3A36"/>
    <w:rsid w:val="002E42DF"/>
    <w:rsid w:val="002E4945"/>
    <w:rsid w:val="002E7C27"/>
    <w:rsid w:val="002F18B6"/>
    <w:rsid w:val="002F19F1"/>
    <w:rsid w:val="00301896"/>
    <w:rsid w:val="0030190F"/>
    <w:rsid w:val="00303B7F"/>
    <w:rsid w:val="003063BF"/>
    <w:rsid w:val="00306BC8"/>
    <w:rsid w:val="00313D35"/>
    <w:rsid w:val="00322166"/>
    <w:rsid w:val="00326A23"/>
    <w:rsid w:val="00331D78"/>
    <w:rsid w:val="0033335C"/>
    <w:rsid w:val="00335166"/>
    <w:rsid w:val="00335FA1"/>
    <w:rsid w:val="00343D64"/>
    <w:rsid w:val="0034404A"/>
    <w:rsid w:val="003469FD"/>
    <w:rsid w:val="00350748"/>
    <w:rsid w:val="00353531"/>
    <w:rsid w:val="003569AF"/>
    <w:rsid w:val="00366EB3"/>
    <w:rsid w:val="00370187"/>
    <w:rsid w:val="003768F2"/>
    <w:rsid w:val="00381ECD"/>
    <w:rsid w:val="0038215C"/>
    <w:rsid w:val="0038352C"/>
    <w:rsid w:val="003842BE"/>
    <w:rsid w:val="00385BA0"/>
    <w:rsid w:val="0039326A"/>
    <w:rsid w:val="003A1162"/>
    <w:rsid w:val="003A44D1"/>
    <w:rsid w:val="003B09B7"/>
    <w:rsid w:val="003C5C6E"/>
    <w:rsid w:val="003C6982"/>
    <w:rsid w:val="003D79CE"/>
    <w:rsid w:val="003E6B23"/>
    <w:rsid w:val="003F6907"/>
    <w:rsid w:val="004108DD"/>
    <w:rsid w:val="00422532"/>
    <w:rsid w:val="00424EDA"/>
    <w:rsid w:val="00433249"/>
    <w:rsid w:val="00433B64"/>
    <w:rsid w:val="00434581"/>
    <w:rsid w:val="004477CC"/>
    <w:rsid w:val="004530A4"/>
    <w:rsid w:val="0045621A"/>
    <w:rsid w:val="00461162"/>
    <w:rsid w:val="004612A1"/>
    <w:rsid w:val="0046354C"/>
    <w:rsid w:val="0046436C"/>
    <w:rsid w:val="00464AF8"/>
    <w:rsid w:val="00473E77"/>
    <w:rsid w:val="00475EED"/>
    <w:rsid w:val="00476ABB"/>
    <w:rsid w:val="00477ECA"/>
    <w:rsid w:val="0048072B"/>
    <w:rsid w:val="004813C4"/>
    <w:rsid w:val="00481789"/>
    <w:rsid w:val="00483E8A"/>
    <w:rsid w:val="00486692"/>
    <w:rsid w:val="00490BDB"/>
    <w:rsid w:val="004A4A7E"/>
    <w:rsid w:val="004B7701"/>
    <w:rsid w:val="004C1A20"/>
    <w:rsid w:val="004C203C"/>
    <w:rsid w:val="004C4E57"/>
    <w:rsid w:val="004D0477"/>
    <w:rsid w:val="004D279A"/>
    <w:rsid w:val="004D4A01"/>
    <w:rsid w:val="004E2D75"/>
    <w:rsid w:val="004E6227"/>
    <w:rsid w:val="004E6365"/>
    <w:rsid w:val="004F16E8"/>
    <w:rsid w:val="005039FD"/>
    <w:rsid w:val="005046B1"/>
    <w:rsid w:val="00505CC2"/>
    <w:rsid w:val="005120F3"/>
    <w:rsid w:val="00512962"/>
    <w:rsid w:val="00525EB7"/>
    <w:rsid w:val="005273F2"/>
    <w:rsid w:val="00534B34"/>
    <w:rsid w:val="00537438"/>
    <w:rsid w:val="005421DE"/>
    <w:rsid w:val="00544BF1"/>
    <w:rsid w:val="00546A40"/>
    <w:rsid w:val="005471C9"/>
    <w:rsid w:val="0056662C"/>
    <w:rsid w:val="00566753"/>
    <w:rsid w:val="00576531"/>
    <w:rsid w:val="0057731C"/>
    <w:rsid w:val="0057738A"/>
    <w:rsid w:val="00582C96"/>
    <w:rsid w:val="00585393"/>
    <w:rsid w:val="00591120"/>
    <w:rsid w:val="00597859"/>
    <w:rsid w:val="005A5138"/>
    <w:rsid w:val="005A621F"/>
    <w:rsid w:val="005B193D"/>
    <w:rsid w:val="005B2D54"/>
    <w:rsid w:val="005B689F"/>
    <w:rsid w:val="005C2B31"/>
    <w:rsid w:val="005C763F"/>
    <w:rsid w:val="005D35B8"/>
    <w:rsid w:val="005E1754"/>
    <w:rsid w:val="005F17E3"/>
    <w:rsid w:val="005F23B6"/>
    <w:rsid w:val="005F2543"/>
    <w:rsid w:val="005F4899"/>
    <w:rsid w:val="00612C43"/>
    <w:rsid w:val="006149FA"/>
    <w:rsid w:val="006214BF"/>
    <w:rsid w:val="00622B0C"/>
    <w:rsid w:val="00627B7C"/>
    <w:rsid w:val="006361B9"/>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A3BE1"/>
    <w:rsid w:val="006A3E2B"/>
    <w:rsid w:val="006A4BE8"/>
    <w:rsid w:val="006A68D9"/>
    <w:rsid w:val="006A7650"/>
    <w:rsid w:val="006C352B"/>
    <w:rsid w:val="006C466F"/>
    <w:rsid w:val="006C4CBF"/>
    <w:rsid w:val="006C5FC9"/>
    <w:rsid w:val="006D6DA3"/>
    <w:rsid w:val="006E0536"/>
    <w:rsid w:val="006E09F7"/>
    <w:rsid w:val="006E1C55"/>
    <w:rsid w:val="006E6E69"/>
    <w:rsid w:val="006F1855"/>
    <w:rsid w:val="006F224B"/>
    <w:rsid w:val="006F5E4C"/>
    <w:rsid w:val="0070375F"/>
    <w:rsid w:val="00704791"/>
    <w:rsid w:val="0071411C"/>
    <w:rsid w:val="00714AC4"/>
    <w:rsid w:val="007167F3"/>
    <w:rsid w:val="00721A6D"/>
    <w:rsid w:val="007220D0"/>
    <w:rsid w:val="00722FE8"/>
    <w:rsid w:val="0073026D"/>
    <w:rsid w:val="007341D7"/>
    <w:rsid w:val="0073628A"/>
    <w:rsid w:val="00741833"/>
    <w:rsid w:val="00743C7E"/>
    <w:rsid w:val="00753BDB"/>
    <w:rsid w:val="0075583E"/>
    <w:rsid w:val="007559CE"/>
    <w:rsid w:val="00761916"/>
    <w:rsid w:val="007636E5"/>
    <w:rsid w:val="00763CF9"/>
    <w:rsid w:val="007669E8"/>
    <w:rsid w:val="00771962"/>
    <w:rsid w:val="00773B69"/>
    <w:rsid w:val="00774DCA"/>
    <w:rsid w:val="00784AAE"/>
    <w:rsid w:val="00793272"/>
    <w:rsid w:val="00794724"/>
    <w:rsid w:val="00794B64"/>
    <w:rsid w:val="00794E64"/>
    <w:rsid w:val="00796392"/>
    <w:rsid w:val="007A7CE7"/>
    <w:rsid w:val="007B1D58"/>
    <w:rsid w:val="007B27F8"/>
    <w:rsid w:val="007C72AC"/>
    <w:rsid w:val="007D1B39"/>
    <w:rsid w:val="007E2F81"/>
    <w:rsid w:val="007F5A50"/>
    <w:rsid w:val="007F6F30"/>
    <w:rsid w:val="007F6F48"/>
    <w:rsid w:val="00814E0C"/>
    <w:rsid w:val="00823CD9"/>
    <w:rsid w:val="0082669A"/>
    <w:rsid w:val="008311FE"/>
    <w:rsid w:val="0083515A"/>
    <w:rsid w:val="008373B0"/>
    <w:rsid w:val="008404AD"/>
    <w:rsid w:val="0084078A"/>
    <w:rsid w:val="00841465"/>
    <w:rsid w:val="008452B8"/>
    <w:rsid w:val="00846721"/>
    <w:rsid w:val="00866287"/>
    <w:rsid w:val="008677C6"/>
    <w:rsid w:val="00872ABF"/>
    <w:rsid w:val="00874E9A"/>
    <w:rsid w:val="0088191D"/>
    <w:rsid w:val="00883D2C"/>
    <w:rsid w:val="00894761"/>
    <w:rsid w:val="0089633A"/>
    <w:rsid w:val="008A11A4"/>
    <w:rsid w:val="008A1832"/>
    <w:rsid w:val="008A1FE9"/>
    <w:rsid w:val="008A6835"/>
    <w:rsid w:val="008A6D6E"/>
    <w:rsid w:val="008B0FFB"/>
    <w:rsid w:val="008B2073"/>
    <w:rsid w:val="008C6C75"/>
    <w:rsid w:val="008D03A5"/>
    <w:rsid w:val="008D0ACF"/>
    <w:rsid w:val="008D1EDC"/>
    <w:rsid w:val="008D2245"/>
    <w:rsid w:val="008D2EFF"/>
    <w:rsid w:val="008D34F5"/>
    <w:rsid w:val="008D3FD7"/>
    <w:rsid w:val="008F6E07"/>
    <w:rsid w:val="008F7706"/>
    <w:rsid w:val="00902961"/>
    <w:rsid w:val="00902FA3"/>
    <w:rsid w:val="00906917"/>
    <w:rsid w:val="0091008B"/>
    <w:rsid w:val="00912EA3"/>
    <w:rsid w:val="009152F1"/>
    <w:rsid w:val="009243E0"/>
    <w:rsid w:val="009260DA"/>
    <w:rsid w:val="0094054C"/>
    <w:rsid w:val="00941EC4"/>
    <w:rsid w:val="00942F88"/>
    <w:rsid w:val="0095549F"/>
    <w:rsid w:val="009651CE"/>
    <w:rsid w:val="009663A1"/>
    <w:rsid w:val="00973A49"/>
    <w:rsid w:val="00975DCE"/>
    <w:rsid w:val="00976835"/>
    <w:rsid w:val="009832A8"/>
    <w:rsid w:val="00990D6C"/>
    <w:rsid w:val="00991098"/>
    <w:rsid w:val="0099170F"/>
    <w:rsid w:val="009919AF"/>
    <w:rsid w:val="009979E3"/>
    <w:rsid w:val="009A1730"/>
    <w:rsid w:val="009C2D06"/>
    <w:rsid w:val="009C331D"/>
    <w:rsid w:val="009C39BC"/>
    <w:rsid w:val="009D0452"/>
    <w:rsid w:val="009D4A96"/>
    <w:rsid w:val="009D627D"/>
    <w:rsid w:val="009E2674"/>
    <w:rsid w:val="009E3224"/>
    <w:rsid w:val="009E6A88"/>
    <w:rsid w:val="009F3259"/>
    <w:rsid w:val="009F43F4"/>
    <w:rsid w:val="009F5A73"/>
    <w:rsid w:val="00A1151C"/>
    <w:rsid w:val="00A11ADD"/>
    <w:rsid w:val="00A21644"/>
    <w:rsid w:val="00A22926"/>
    <w:rsid w:val="00A24898"/>
    <w:rsid w:val="00A25AF6"/>
    <w:rsid w:val="00A35871"/>
    <w:rsid w:val="00A44675"/>
    <w:rsid w:val="00A45232"/>
    <w:rsid w:val="00A51B38"/>
    <w:rsid w:val="00A54493"/>
    <w:rsid w:val="00A57E85"/>
    <w:rsid w:val="00A6011A"/>
    <w:rsid w:val="00A63296"/>
    <w:rsid w:val="00A637B4"/>
    <w:rsid w:val="00A642AB"/>
    <w:rsid w:val="00A76770"/>
    <w:rsid w:val="00A77181"/>
    <w:rsid w:val="00A862A2"/>
    <w:rsid w:val="00A86C37"/>
    <w:rsid w:val="00A878E4"/>
    <w:rsid w:val="00A90A0A"/>
    <w:rsid w:val="00A9181F"/>
    <w:rsid w:val="00A93B78"/>
    <w:rsid w:val="00AA3268"/>
    <w:rsid w:val="00AA4900"/>
    <w:rsid w:val="00AA4A1A"/>
    <w:rsid w:val="00AA5336"/>
    <w:rsid w:val="00AB1C42"/>
    <w:rsid w:val="00AC129E"/>
    <w:rsid w:val="00AC3B51"/>
    <w:rsid w:val="00AC3DFA"/>
    <w:rsid w:val="00AD18DD"/>
    <w:rsid w:val="00AD7702"/>
    <w:rsid w:val="00AE1B4E"/>
    <w:rsid w:val="00AF01E2"/>
    <w:rsid w:val="00AF174D"/>
    <w:rsid w:val="00AF5A60"/>
    <w:rsid w:val="00AF74D5"/>
    <w:rsid w:val="00B01362"/>
    <w:rsid w:val="00B01E14"/>
    <w:rsid w:val="00B028C5"/>
    <w:rsid w:val="00B06C08"/>
    <w:rsid w:val="00B1313D"/>
    <w:rsid w:val="00B13DB7"/>
    <w:rsid w:val="00B17C77"/>
    <w:rsid w:val="00B24A98"/>
    <w:rsid w:val="00B274C9"/>
    <w:rsid w:val="00B33A39"/>
    <w:rsid w:val="00B33C6C"/>
    <w:rsid w:val="00B410FB"/>
    <w:rsid w:val="00B54A79"/>
    <w:rsid w:val="00B577BC"/>
    <w:rsid w:val="00B66DA1"/>
    <w:rsid w:val="00B70082"/>
    <w:rsid w:val="00B73A23"/>
    <w:rsid w:val="00B817C1"/>
    <w:rsid w:val="00B84377"/>
    <w:rsid w:val="00B86468"/>
    <w:rsid w:val="00B90AE3"/>
    <w:rsid w:val="00B95029"/>
    <w:rsid w:val="00BA7BA8"/>
    <w:rsid w:val="00BB13C2"/>
    <w:rsid w:val="00BB5517"/>
    <w:rsid w:val="00BB59F2"/>
    <w:rsid w:val="00BC1F11"/>
    <w:rsid w:val="00BD1678"/>
    <w:rsid w:val="00BD7D90"/>
    <w:rsid w:val="00BE2820"/>
    <w:rsid w:val="00BE3260"/>
    <w:rsid w:val="00BE402E"/>
    <w:rsid w:val="00BE4BAA"/>
    <w:rsid w:val="00BE6BEB"/>
    <w:rsid w:val="00BE7B12"/>
    <w:rsid w:val="00BF0220"/>
    <w:rsid w:val="00BF262B"/>
    <w:rsid w:val="00BF3CBD"/>
    <w:rsid w:val="00BF3ECB"/>
    <w:rsid w:val="00BF5733"/>
    <w:rsid w:val="00C004A5"/>
    <w:rsid w:val="00C02163"/>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5576"/>
    <w:rsid w:val="00C66974"/>
    <w:rsid w:val="00C6721E"/>
    <w:rsid w:val="00C82D87"/>
    <w:rsid w:val="00C8404C"/>
    <w:rsid w:val="00C93A61"/>
    <w:rsid w:val="00C94101"/>
    <w:rsid w:val="00C95CC7"/>
    <w:rsid w:val="00CA2165"/>
    <w:rsid w:val="00CA4955"/>
    <w:rsid w:val="00CB486B"/>
    <w:rsid w:val="00CC1B51"/>
    <w:rsid w:val="00CC2D1B"/>
    <w:rsid w:val="00CC512C"/>
    <w:rsid w:val="00CD1291"/>
    <w:rsid w:val="00CD2C2E"/>
    <w:rsid w:val="00CD62B5"/>
    <w:rsid w:val="00CE2993"/>
    <w:rsid w:val="00CF3CB5"/>
    <w:rsid w:val="00CF4A18"/>
    <w:rsid w:val="00D005BA"/>
    <w:rsid w:val="00D00A1C"/>
    <w:rsid w:val="00D06D2A"/>
    <w:rsid w:val="00D11344"/>
    <w:rsid w:val="00D1443A"/>
    <w:rsid w:val="00D2359E"/>
    <w:rsid w:val="00D23ACA"/>
    <w:rsid w:val="00D26EFF"/>
    <w:rsid w:val="00D31B8C"/>
    <w:rsid w:val="00D31F37"/>
    <w:rsid w:val="00D72728"/>
    <w:rsid w:val="00D74A99"/>
    <w:rsid w:val="00D752A7"/>
    <w:rsid w:val="00D83573"/>
    <w:rsid w:val="00D902F3"/>
    <w:rsid w:val="00D96EA4"/>
    <w:rsid w:val="00D97ADB"/>
    <w:rsid w:val="00DC4759"/>
    <w:rsid w:val="00DD0777"/>
    <w:rsid w:val="00DD1E0A"/>
    <w:rsid w:val="00DD1E44"/>
    <w:rsid w:val="00DD2011"/>
    <w:rsid w:val="00DE5176"/>
    <w:rsid w:val="00DF235B"/>
    <w:rsid w:val="00DF52EB"/>
    <w:rsid w:val="00DF6C52"/>
    <w:rsid w:val="00E103F2"/>
    <w:rsid w:val="00E10C47"/>
    <w:rsid w:val="00E1279D"/>
    <w:rsid w:val="00E15A00"/>
    <w:rsid w:val="00E223E0"/>
    <w:rsid w:val="00E227A1"/>
    <w:rsid w:val="00E2371E"/>
    <w:rsid w:val="00E42F9A"/>
    <w:rsid w:val="00E54DA3"/>
    <w:rsid w:val="00E60570"/>
    <w:rsid w:val="00E803D0"/>
    <w:rsid w:val="00E844BB"/>
    <w:rsid w:val="00E85B4E"/>
    <w:rsid w:val="00E866C0"/>
    <w:rsid w:val="00E90E13"/>
    <w:rsid w:val="00E9190C"/>
    <w:rsid w:val="00E966CF"/>
    <w:rsid w:val="00EA395D"/>
    <w:rsid w:val="00EA7936"/>
    <w:rsid w:val="00EB38B3"/>
    <w:rsid w:val="00EC316E"/>
    <w:rsid w:val="00EC4902"/>
    <w:rsid w:val="00EC4C79"/>
    <w:rsid w:val="00EC5561"/>
    <w:rsid w:val="00ED2033"/>
    <w:rsid w:val="00ED2085"/>
    <w:rsid w:val="00EE3B99"/>
    <w:rsid w:val="00EF7405"/>
    <w:rsid w:val="00F01CF0"/>
    <w:rsid w:val="00F02B1B"/>
    <w:rsid w:val="00F031B4"/>
    <w:rsid w:val="00F07F55"/>
    <w:rsid w:val="00F10F57"/>
    <w:rsid w:val="00F26EE3"/>
    <w:rsid w:val="00F34F62"/>
    <w:rsid w:val="00F36DC7"/>
    <w:rsid w:val="00F43276"/>
    <w:rsid w:val="00F547D9"/>
    <w:rsid w:val="00F61C26"/>
    <w:rsid w:val="00F62110"/>
    <w:rsid w:val="00F6425D"/>
    <w:rsid w:val="00F66F8D"/>
    <w:rsid w:val="00F7382E"/>
    <w:rsid w:val="00F835BC"/>
    <w:rsid w:val="00F92370"/>
    <w:rsid w:val="00F9619D"/>
    <w:rsid w:val="00F97D5A"/>
    <w:rsid w:val="00FA6B58"/>
    <w:rsid w:val="00FB75EC"/>
    <w:rsid w:val="00FC240B"/>
    <w:rsid w:val="00FC29CD"/>
    <w:rsid w:val="00FC2EA6"/>
    <w:rsid w:val="00FC566F"/>
    <w:rsid w:val="00FD0226"/>
    <w:rsid w:val="00FD0C1E"/>
    <w:rsid w:val="00FD2426"/>
    <w:rsid w:val="00FD627C"/>
    <w:rsid w:val="00FE1BE8"/>
    <w:rsid w:val="00FE25BB"/>
    <w:rsid w:val="00FE2BDC"/>
    <w:rsid w:val="00FE506E"/>
    <w:rsid w:val="00FE6638"/>
    <w:rsid w:val="00FE7AE2"/>
    <w:rsid w:val="00FF12F8"/>
    <w:rsid w:val="00FF6F23"/>
    <w:rsid w:val="190538C0"/>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1"/>
    <w:pPr>
      <w:ind w:left="720"/>
      <w:contextualSpacing/>
    </w:pPr>
    <w:rPr>
      <w:rFonts w:ascii="Calibri" w:hAnsi="Calibri" w:eastAsia="Calibri" w:cs="Times New Roman"/>
      <w:lang w:val="id-ID"/>
    </w:rPr>
  </w:style>
  <w:style w:type="character" w:customStyle="1" w:styleId="29">
    <w:name w:val="List Paragraph Char"/>
    <w:basedOn w:val="9"/>
    <w:link w:val="28"/>
    <w:qFormat/>
    <w:uiPriority w:val="1"/>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uiPriority w:val="0"/>
    <w:pPr>
      <w:widowControl w:val="0"/>
      <w:shd w:val="clear" w:color="auto" w:fill="FFFFFF"/>
      <w:spacing w:after="140" w:line="266" w:lineRule="exact"/>
      <w:ind w:hanging="340"/>
    </w:pPr>
  </w:style>
  <w:style w:type="character" w:customStyle="1" w:styleId="39">
    <w:name w:val="Table of contents + Italic"/>
    <w:basedOn w:val="37"/>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qFormat/>
    <w:locked/>
    <w:uiPriority w:val="0"/>
    <w:rPr>
      <w:b/>
      <w:bCs/>
      <w:shd w:val="clear" w:color="auto" w:fill="FFFFFF"/>
    </w:rPr>
  </w:style>
  <w:style w:type="paragraph" w:customStyle="1" w:styleId="73">
    <w:name w:val="Table caption (2)"/>
    <w:basedOn w:val="1"/>
    <w:link w:val="72"/>
    <w:qFormat/>
    <w:uiPriority w:val="0"/>
    <w:pPr>
      <w:widowControl w:val="0"/>
      <w:shd w:val="clear" w:color="auto" w:fill="FFFFFF"/>
      <w:spacing w:after="0" w:line="266" w:lineRule="exact"/>
    </w:pPr>
    <w:rPr>
      <w:b/>
      <w:bCs/>
    </w:rPr>
  </w:style>
  <w:style w:type="character" w:customStyle="1" w:styleId="74">
    <w:name w:val="Body text (9)_"/>
    <w:basedOn w:val="9"/>
    <w:link w:val="75"/>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qFormat/>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qFormat/>
    <w:locked/>
    <w:uiPriority w:val="0"/>
    <w:rPr>
      <w:sz w:val="19"/>
      <w:szCs w:val="19"/>
      <w:shd w:val="clear" w:color="auto" w:fill="FFFFFF"/>
    </w:rPr>
  </w:style>
  <w:style w:type="paragraph" w:customStyle="1" w:styleId="91">
    <w:name w:val="Table caption (4)"/>
    <w:basedOn w:val="1"/>
    <w:link w:val="90"/>
    <w:qFormat/>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locked/>
    <w:uiPriority w:val="0"/>
    <w:rPr>
      <w:sz w:val="19"/>
      <w:szCs w:val="19"/>
      <w:shd w:val="clear" w:color="auto" w:fill="FFFFFF"/>
    </w:rPr>
  </w:style>
  <w:style w:type="paragraph" w:customStyle="1" w:styleId="93">
    <w:name w:val="Picture caption (4)"/>
    <w:basedOn w:val="1"/>
    <w:link w:val="92"/>
    <w:qFormat/>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qFormat/>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qFormat/>
    <w:locked/>
    <w:uiPriority w:val="0"/>
    <w:rPr>
      <w:b/>
      <w:bCs/>
      <w:sz w:val="9"/>
      <w:szCs w:val="9"/>
      <w:shd w:val="clear" w:color="auto" w:fill="FFFFFF"/>
    </w:rPr>
  </w:style>
  <w:style w:type="paragraph" w:customStyle="1" w:styleId="105">
    <w:name w:val="Body text (27)"/>
    <w:basedOn w:val="1"/>
    <w:link w:val="104"/>
    <w:qFormat/>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qFormat/>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qFormat/>
    <w:locked/>
    <w:uiPriority w:val="0"/>
    <w:rPr>
      <w:i/>
      <w:iCs/>
      <w:shd w:val="clear" w:color="auto" w:fill="FFFFFF"/>
    </w:rPr>
  </w:style>
  <w:style w:type="paragraph" w:customStyle="1" w:styleId="113">
    <w:name w:val="Body text (41)"/>
    <w:basedOn w:val="1"/>
    <w:link w:val="112"/>
    <w:qFormat/>
    <w:uiPriority w:val="0"/>
    <w:pPr>
      <w:widowControl w:val="0"/>
      <w:shd w:val="clear" w:color="auto" w:fill="FFFFFF"/>
      <w:spacing w:after="0" w:line="244" w:lineRule="exact"/>
    </w:pPr>
    <w:rPr>
      <w:i/>
      <w:iCs/>
    </w:rPr>
  </w:style>
  <w:style w:type="character" w:customStyle="1" w:styleId="114">
    <w:name w:val="Body text (43)_"/>
    <w:basedOn w:val="9"/>
    <w:link w:val="115"/>
    <w:qFormat/>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qFormat/>
    <w:locked/>
    <w:uiPriority w:val="0"/>
    <w:rPr>
      <w:sz w:val="18"/>
      <w:szCs w:val="18"/>
      <w:shd w:val="clear" w:color="auto" w:fill="FFFFFF"/>
    </w:rPr>
  </w:style>
  <w:style w:type="paragraph" w:customStyle="1" w:styleId="117">
    <w:name w:val="Table caption (5)"/>
    <w:basedOn w:val="1"/>
    <w:link w:val="116"/>
    <w:qFormat/>
    <w:uiPriority w:val="0"/>
    <w:pPr>
      <w:widowControl w:val="0"/>
      <w:shd w:val="clear" w:color="auto" w:fill="FFFFFF"/>
      <w:spacing w:after="0" w:line="200" w:lineRule="exact"/>
    </w:pPr>
    <w:rPr>
      <w:sz w:val="18"/>
      <w:szCs w:val="18"/>
    </w:rPr>
  </w:style>
  <w:style w:type="character" w:customStyle="1" w:styleId="118">
    <w:name w:val="Table caption (6) Exact"/>
    <w:basedOn w:val="9"/>
    <w:link w:val="119"/>
    <w:qFormat/>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qFormat/>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qFormat/>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qFormat/>
    <w:uiPriority w:val="0"/>
    <w:pPr>
      <w:widowControl w:val="0"/>
      <w:shd w:val="clear" w:color="auto" w:fill="FFFFFF"/>
      <w:spacing w:after="0" w:line="182" w:lineRule="exact"/>
    </w:pPr>
    <w:rPr>
      <w:sz w:val="10"/>
      <w:szCs w:val="10"/>
    </w:rPr>
  </w:style>
  <w:style w:type="character" w:customStyle="1" w:styleId="130">
    <w:name w:val="Table caption (8) Exact"/>
    <w:basedOn w:val="9"/>
    <w:link w:val="131"/>
    <w:qFormat/>
    <w:locked/>
    <w:uiPriority w:val="0"/>
    <w:rPr>
      <w:sz w:val="15"/>
      <w:szCs w:val="15"/>
      <w:shd w:val="clear" w:color="auto" w:fill="FFFFFF"/>
    </w:rPr>
  </w:style>
  <w:style w:type="paragraph" w:customStyle="1" w:styleId="131">
    <w:name w:val="Table caption (8)"/>
    <w:basedOn w:val="1"/>
    <w:link w:val="130"/>
    <w:qFormat/>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qFormat/>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qFormat/>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qFormat/>
    <w:uiPriority w:val="0"/>
    <w:rPr>
      <w:u w:val="none"/>
    </w:rPr>
  </w:style>
  <w:style w:type="character" w:customStyle="1" w:styleId="163">
    <w:name w:val="Table caption Exact"/>
    <w:basedOn w:val="9"/>
    <w:qFormat/>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qFormat/>
    <w:uiPriority w:val="0"/>
    <w:rPr>
      <w:sz w:val="8"/>
      <w:szCs w:val="8"/>
      <w:u w:val="none"/>
    </w:rPr>
  </w:style>
  <w:style w:type="character" w:customStyle="1" w:styleId="176">
    <w:name w:val="Heading #4 (2)_"/>
    <w:basedOn w:val="9"/>
    <w:qFormat/>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qFormat/>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qFormat/>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qFormat/>
    <w:uiPriority w:val="0"/>
    <w:rPr>
      <w:b/>
      <w:bCs/>
      <w:w w:val="66"/>
      <w:sz w:val="26"/>
      <w:szCs w:val="26"/>
      <w:u w:val="none"/>
    </w:rPr>
  </w:style>
  <w:style w:type="character" w:customStyle="1" w:styleId="183">
    <w:name w:val="Body text (15)"/>
    <w:basedOn w:val="182"/>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qFormat/>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qFormat/>
    <w:uiPriority w:val="0"/>
    <w:rPr>
      <w:sz w:val="8"/>
      <w:szCs w:val="8"/>
      <w:u w:val="none"/>
    </w:rPr>
  </w:style>
  <w:style w:type="character" w:customStyle="1" w:styleId="187">
    <w:name w:val="Body text (17)"/>
    <w:basedOn w:val="186"/>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qFormat/>
    <w:uiPriority w:val="0"/>
    <w:rPr>
      <w:w w:val="120"/>
      <w:sz w:val="13"/>
      <w:szCs w:val="13"/>
      <w:u w:val="none"/>
    </w:rPr>
  </w:style>
  <w:style w:type="character" w:customStyle="1" w:styleId="190">
    <w:name w:val="Body text (24) + Not Italic Exact"/>
    <w:basedOn w:val="98"/>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qFormat/>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qFormat/>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qFormat/>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qFormat/>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qFormat/>
    <w:uiPriority w:val="0"/>
    <w:rPr>
      <w:i/>
      <w:iCs/>
      <w:sz w:val="20"/>
      <w:szCs w:val="20"/>
      <w:u w:val="none"/>
    </w:rPr>
  </w:style>
  <w:style w:type="character" w:customStyle="1" w:styleId="255">
    <w:name w:val="Body text (36)"/>
    <w:basedOn w:val="254"/>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uiPriority w:val="0"/>
    <w:rPr>
      <w:sz w:val="18"/>
      <w:szCs w:val="18"/>
      <w:u w:val="none"/>
    </w:rPr>
  </w:style>
  <w:style w:type="character" w:customStyle="1" w:styleId="263">
    <w:name w:val="Table caption (5) Exact"/>
    <w:basedOn w:val="9"/>
    <w:uiPriority w:val="0"/>
    <w:rPr>
      <w:sz w:val="18"/>
      <w:szCs w:val="18"/>
      <w:u w:val="none"/>
    </w:rPr>
  </w:style>
  <w:style w:type="character" w:customStyle="1" w:styleId="264">
    <w:name w:val="Body text (10) + 9 pt"/>
    <w:basedOn w:val="34"/>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uiPriority w:val="0"/>
    <w:rPr>
      <w:sz w:val="19"/>
      <w:szCs w:val="19"/>
      <w:shd w:val="clear" w:color="auto" w:fill="FFFFFF"/>
    </w:rPr>
  </w:style>
  <w:style w:type="character" w:customStyle="1" w:styleId="266">
    <w:name w:val="Table caption (7) + 9 pt Exact"/>
    <w:basedOn w:val="120"/>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uiPriority w:val="0"/>
    <w:rPr>
      <w:i/>
      <w:iCs/>
      <w:spacing w:val="10"/>
      <w:sz w:val="14"/>
      <w:szCs w:val="14"/>
      <w:u w:val="none"/>
    </w:rPr>
  </w:style>
  <w:style w:type="character" w:customStyle="1" w:styleId="274">
    <w:name w:val="Body text (49) + Times New Roman"/>
    <w:basedOn w:val="134"/>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qFormat/>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uiPriority w:val="0"/>
    <w:rPr>
      <w:w w:val="80"/>
      <w:sz w:val="22"/>
      <w:szCs w:val="22"/>
      <w:u w:val="none"/>
    </w:rPr>
  </w:style>
  <w:style w:type="character" w:customStyle="1" w:styleId="280">
    <w:name w:val="Heading #5 (4)"/>
    <w:basedOn w:val="279"/>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uiPriority w:val="0"/>
    <w:rPr>
      <w:sz w:val="15"/>
      <w:szCs w:val="15"/>
      <w:u w:val="none"/>
    </w:rPr>
  </w:style>
  <w:style w:type="character" w:customStyle="1" w:styleId="287">
    <w:name w:val="Body text (55) Exact"/>
    <w:basedOn w:val="9"/>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uiPriority w:val="0"/>
    <w:rPr>
      <w:sz w:val="16"/>
      <w:szCs w:val="16"/>
      <w:u w:val="none"/>
    </w:rPr>
  </w:style>
  <w:style w:type="character" w:customStyle="1" w:styleId="293">
    <w:name w:val="Body text (54)"/>
    <w:basedOn w:val="292"/>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uiPriority w:val="0"/>
    <w:rPr>
      <w:sz w:val="18"/>
      <w:szCs w:val="18"/>
      <w:u w:val="none"/>
    </w:rPr>
  </w:style>
  <w:style w:type="character" w:customStyle="1" w:styleId="297">
    <w:name w:val="Body text (55)"/>
    <w:basedOn w:val="296"/>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uiPriority w:val="0"/>
    <w:rPr>
      <w:color w:val="292526"/>
      <w:sz w:val="24"/>
      <w:szCs w:val="24"/>
      <w:u w:val="none"/>
    </w:rPr>
  </w:style>
  <w:style w:type="character" w:customStyle="1" w:styleId="303">
    <w:name w:val="Body text (34) + Small Caps Exact"/>
    <w:basedOn w:val="245"/>
    <w:uiPriority w:val="0"/>
    <w:rPr>
      <w:smallCaps/>
      <w:color w:val="97969B"/>
      <w:sz w:val="15"/>
      <w:szCs w:val="15"/>
      <w:u w:val="none"/>
    </w:rPr>
  </w:style>
  <w:style w:type="character" w:customStyle="1" w:styleId="304">
    <w:name w:val="Body Text Char"/>
    <w:basedOn w:val="9"/>
    <w:link w:val="12"/>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uiPriority w:val="99"/>
    <w:rPr>
      <w:color w:val="808080"/>
    </w:rPr>
  </w:style>
  <w:style w:type="character" w:customStyle="1" w:styleId="311">
    <w:name w:val="katex-mathml"/>
    <w:basedOn w:val="9"/>
    <w:qFormat/>
    <w:uiPriority w:val="0"/>
  </w:style>
  <w:style w:type="character" w:customStyle="1" w:styleId="312">
    <w:name w:val="mord"/>
    <w:basedOn w:val="9"/>
    <w:uiPriority w:val="0"/>
  </w:style>
  <w:style w:type="character" w:customStyle="1" w:styleId="313">
    <w:name w:val="mop"/>
    <w:basedOn w:val="9"/>
    <w:qFormat/>
    <w:uiPriority w:val="0"/>
  </w:style>
  <w:style w:type="character" w:customStyle="1" w:styleId="314">
    <w:name w:val="vlist-s"/>
    <w:basedOn w:val="9"/>
    <w:uiPriority w:val="0"/>
  </w:style>
  <w:style w:type="character" w:customStyle="1" w:styleId="315">
    <w:name w:val="Heading 4 Char"/>
    <w:basedOn w:val="9"/>
    <w:link w:val="5"/>
    <w:semiHidden/>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uiPriority w:val="9"/>
    <w:rPr>
      <w:rFonts w:asciiTheme="majorHAnsi" w:hAnsiTheme="majorHAnsi" w:eastAsiaTheme="majorEastAsia" w:cstheme="majorBidi"/>
      <w:color w:val="254061" w:themeColor="accent1" w:themeShade="80"/>
    </w:rPr>
  </w:style>
  <w:style w:type="character" w:customStyle="1" w:styleId="318">
    <w:name w:val="overflow-hidden"/>
    <w:basedOn w:val="9"/>
    <w:uiPriority w:val="0"/>
  </w:style>
  <w:style w:type="character" w:customStyle="1" w:styleId="319">
    <w:name w:val="mbin"/>
    <w:basedOn w:val="9"/>
    <w:uiPriority w:val="0"/>
  </w:style>
  <w:style w:type="character" w:customStyle="1" w:styleId="320">
    <w:name w:val="mrel"/>
    <w:basedOn w:val="9"/>
    <w:uiPriority w:val="0"/>
  </w:style>
  <w:style w:type="character" w:customStyle="1" w:styleId="321">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character" w:customStyle="1" w:styleId="326">
    <w:name w:val="mopen"/>
    <w:basedOn w:val="9"/>
    <w:uiPriority w:val="0"/>
  </w:style>
  <w:style w:type="character" w:customStyle="1" w:styleId="327">
    <w:name w:val="mclose"/>
    <w:basedOn w:val="9"/>
    <w:uiPriority w:val="0"/>
  </w:style>
  <w:style w:type="character" w:customStyle="1" w:styleId="328">
    <w:name w:val="delimsizing"/>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81"/>
    <customShpInfo spid="_x0000_s2080"/>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97FADB9-1819-4640-AF5B-F803F6E89DF8}">
  <ds:schemaRefs/>
</ds:datastoreItem>
</file>

<file path=docProps/app.xml><?xml version="1.0" encoding="utf-8"?>
<Properties xmlns="http://schemas.openxmlformats.org/officeDocument/2006/extended-properties" xmlns:vt="http://schemas.openxmlformats.org/officeDocument/2006/docPropsVTypes">
  <Template>Normal</Template>
  <Pages>12</Pages>
  <Words>1979</Words>
  <Characters>12547</Characters>
  <Lines>103</Lines>
  <Paragraphs>29</Paragraphs>
  <TotalTime>0</TotalTime>
  <ScaleCrop>false</ScaleCrop>
  <LinksUpToDate>false</LinksUpToDate>
  <CharactersWithSpaces>14312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2026-08-20T09:21:00Z</dcterms:created>
  <dc:creator>user</dc:creator>
  <cp:lastModifiedBy>Administrator</cp:lastModifiedBy>
  <cp:lastPrinted>2019-04-10T14:28:00Z</cp:lastPrinted>
  <dcterms:modified xsi:type="dcterms:W3CDTF">2026-09-10T06:16:44Z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6AFF10E7A93344E6A135D6C1F89A5F8C_13</vt:lpwstr>
  </property>
</Properties>
</file>