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491B7">
      <w:pPr>
        <w:pStyle w:val="54"/>
        <w:shd w:val="clear" w:color="auto" w:fill="auto"/>
        <w:spacing w:after="0" w:line="480" w:lineRule="auto"/>
        <w:rPr>
          <w:rFonts w:ascii="Times New Roman" w:hAnsi="Times New Roman" w:cs="Times New Roman"/>
          <w:sz w:val="24"/>
          <w:szCs w:val="24"/>
        </w:rPr>
      </w:pPr>
      <w:bookmarkStart w:id="0" w:name="bookmark48"/>
      <w:bookmarkStart w:id="11" w:name="_GoBack"/>
      <w:bookmarkEnd w:id="11"/>
      <w:r>
        <w:rPr>
          <w:rFonts w:ascii="Times New Roman" w:hAnsi="Times New Roman" w:cs="Times New Roman"/>
          <w:sz w:val="24"/>
          <w:szCs w:val="24"/>
        </w:rPr>
        <w:t>BAB III</w:t>
      </w:r>
      <w:bookmarkEnd w:id="0"/>
    </w:p>
    <w:p w14:paraId="6D4135C4">
      <w:pPr>
        <w:pStyle w:val="54"/>
        <w:shd w:val="clear" w:color="auto" w:fill="auto"/>
        <w:spacing w:after="0" w:line="480" w:lineRule="auto"/>
        <w:rPr>
          <w:rFonts w:ascii="Times New Roman" w:hAnsi="Times New Roman" w:cs="Times New Roman"/>
          <w:sz w:val="24"/>
          <w:szCs w:val="24"/>
        </w:rPr>
      </w:pPr>
      <w:bookmarkStart w:id="1" w:name="bookmark49"/>
      <w:r>
        <w:rPr>
          <w:rFonts w:ascii="Times New Roman" w:hAnsi="Times New Roman" w:cs="Times New Roman"/>
          <w:sz w:val="24"/>
          <w:szCs w:val="24"/>
        </w:rPr>
        <w:t>METODOLOGI PENELITIAN</w:t>
      </w:r>
      <w:bookmarkEnd w:id="1"/>
    </w:p>
    <w:p w14:paraId="71611807">
      <w:pPr>
        <w:widowControl w:val="0"/>
        <w:tabs>
          <w:tab w:val="left" w:pos="422"/>
        </w:tabs>
        <w:spacing w:after="0" w:line="480" w:lineRule="auto"/>
        <w:jc w:val="both"/>
        <w:rPr>
          <w:rFonts w:ascii="Times New Roman" w:hAnsi="Times New Roman" w:cs="Times New Roman"/>
          <w:sz w:val="24"/>
          <w:szCs w:val="24"/>
        </w:rPr>
      </w:pPr>
    </w:p>
    <w:p w14:paraId="37905D98">
      <w:pPr>
        <w:widowControl w:val="0"/>
        <w:spacing w:after="0" w:line="480" w:lineRule="auto"/>
        <w:jc w:val="both"/>
        <w:rPr>
          <w:rFonts w:ascii="Times New Roman" w:hAnsi="Times New Roman" w:eastAsia="Times New Roman" w:cs="Times New Roman"/>
          <w:sz w:val="24"/>
          <w:szCs w:val="24"/>
        </w:rPr>
      </w:pPr>
      <w:bookmarkStart w:id="2" w:name="_Hlk195552444"/>
      <w:r>
        <w:rPr>
          <w:rFonts w:ascii="Times New Roman" w:hAnsi="Times New Roman" w:eastAsia="Times New Roman" w:cs="Times New Roman"/>
          <w:b/>
          <w:bCs/>
          <w:sz w:val="24"/>
          <w:szCs w:val="24"/>
        </w:rPr>
        <w:t>3.1 Pendekatan Penelitian</w:t>
      </w:r>
    </w:p>
    <w:bookmarkEnd w:id="2"/>
    <w:p w14:paraId="38635202">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Pendekatan yang digunakan dalam penelitian ini adalah pendekatan kuantitatif. Pendekatan kuantitatif berlandaskan pada filsafat positivisme, yang sesuai untuk menguji pengaruh suatu perlakuan terhadap variabel tertentu secara terukur. Data penelitian yang digunakan berupa angka-angka hasil tes kemampuan membaca permulaan siswa, yang kemudian akan dianalisis secara statistik untuk menarik kesimpulan.</w:t>
      </w:r>
    </w:p>
    <w:p w14:paraId="554DDCA2">
      <w:pPr>
        <w:widowControl w:val="0"/>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Jenis penelitian yang digunakan adalah penelitian pra-eksperimen atau </w:t>
      </w:r>
      <w:r>
        <w:rPr>
          <w:rFonts w:ascii="Times New Roman" w:hAnsi="Times New Roman" w:eastAsia="Times New Roman" w:cs="Times New Roman"/>
          <w:i/>
          <w:iCs/>
          <w:sz w:val="24"/>
          <w:szCs w:val="24"/>
        </w:rPr>
        <w:t>pre-experiment</w:t>
      </w:r>
      <w:r>
        <w:rPr>
          <w:rFonts w:ascii="Times New Roman" w:hAnsi="Times New Roman" w:eastAsia="Times New Roman" w:cs="Times New Roman"/>
          <w:sz w:val="24"/>
          <w:szCs w:val="24"/>
        </w:rPr>
        <w:t xml:space="preserve"> dengan desain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Desain ini dipilih karena keterbatasan dalam membentuk kelompok kontrol yang ideal dalam setting kelas yang sudah ada. Dalam desain ini, satu kelompok siswa kelas I di SD Negeri 050 Malintang Julu akan diberikan perlakuan berupa penerapan metode bermain dalam pembelajaran membaca permulaan, dan perubahan kemampuan membaca mereka akan diukur sebelum dan sesudah perlakuan.</w:t>
      </w:r>
    </w:p>
    <w:p w14:paraId="0A1A96B7">
      <w:pPr>
        <w:widowControl w:val="0"/>
        <w:spacing w:after="0" w:line="480" w:lineRule="auto"/>
        <w:ind w:firstLine="567"/>
        <w:jc w:val="both"/>
        <w:rPr>
          <w:rFonts w:ascii="Times New Roman" w:hAnsi="Times New Roman" w:eastAsia="Times New Roman" w:cs="Times New Roman"/>
          <w:sz w:val="24"/>
          <w:szCs w:val="24"/>
        </w:rPr>
      </w:pPr>
    </w:p>
    <w:p w14:paraId="27161EC0">
      <w:pPr>
        <w:widowControl w:val="0"/>
        <w:spacing w:after="0" w:line="480" w:lineRule="auto"/>
        <w:jc w:val="both"/>
        <w:rPr>
          <w:rFonts w:ascii="Times New Roman" w:hAnsi="Times New Roman" w:eastAsia="Times New Roman" w:cs="Times New Roman"/>
          <w:sz w:val="24"/>
          <w:szCs w:val="24"/>
        </w:rPr>
      </w:pPr>
      <w:bookmarkStart w:id="3" w:name="_Hlk195552494"/>
      <w:r>
        <w:rPr>
          <w:rFonts w:ascii="Times New Roman" w:hAnsi="Times New Roman" w:eastAsia="Times New Roman" w:cs="Times New Roman"/>
          <w:b/>
          <w:bCs/>
          <w:sz w:val="24"/>
          <w:szCs w:val="24"/>
        </w:rPr>
        <w:t>3.2 Desain Penelitian</w:t>
      </w:r>
    </w:p>
    <w:bookmarkEnd w:id="3"/>
    <w:p w14:paraId="16A674CF">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Rancangan penelitian yang digunakan adalah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Dengan model rancangan ini, efektivitas perlakuan berupa penerapan metode bermain dalam mengembangkan kemampuan membaca permulaan dapat diketahui dengan membandingkan hasil pengukuran sebelum dan sesudah pemberian perlakuan. Pembelajaran kemampuan membaca permulaan siswa kelas I akan diukur sebelum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dan sesudah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penerapan metode bermain.</w:t>
      </w:r>
    </w:p>
    <w:p w14:paraId="0ADBE08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desain penelitian ini adalah sebagai berikut:</w:t>
      </w:r>
    </w:p>
    <w:p w14:paraId="4930512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304043ED">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Desain Penelitian </w:t>
      </w:r>
      <w:r>
        <w:rPr>
          <w:rFonts w:ascii="Times New Roman" w:hAnsi="Times New Roman" w:eastAsia="Times New Roman" w:cs="Times New Roman"/>
          <w:i/>
          <w:iCs/>
          <w:sz w:val="24"/>
          <w:szCs w:val="24"/>
        </w:rPr>
        <w:t>One Group Pretest-Posttest Design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36"/>
        <w:gridCol w:w="2596"/>
        <w:gridCol w:w="2090"/>
      </w:tblGrid>
      <w:tr w14:paraId="37EBA1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C7AA222">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Sebelum (Pretest)</w:t>
            </w:r>
          </w:p>
        </w:tc>
        <w:tc>
          <w:tcPr>
            <w:tcW w:w="0" w:type="auto"/>
          </w:tcPr>
          <w:p w14:paraId="77AAAD51">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Perlakuan (Treatment)</w:t>
            </w:r>
          </w:p>
        </w:tc>
        <w:tc>
          <w:tcPr>
            <w:tcW w:w="0" w:type="auto"/>
          </w:tcPr>
          <w:p w14:paraId="69C7FAC1">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Sesudah (Posttest)</w:t>
            </w:r>
          </w:p>
        </w:tc>
      </w:tr>
      <w:tr w14:paraId="3ABA38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5A12CC2">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T1</w:t>
            </w:r>
          </w:p>
        </w:tc>
        <w:tc>
          <w:tcPr>
            <w:tcW w:w="0" w:type="auto"/>
          </w:tcPr>
          <w:p w14:paraId="733EF174">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tcPr>
          <w:p w14:paraId="50C1ED52">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T2</w:t>
            </w:r>
          </w:p>
        </w:tc>
      </w:tr>
    </w:tbl>
    <w:p w14:paraId="796F32D7">
      <w:pPr>
        <w:widowControl w:val="0"/>
        <w:spacing w:after="0" w:line="480" w:lineRule="auto"/>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Sumber: Sugiyono, 2013</w:t>
      </w:r>
    </w:p>
    <w:p w14:paraId="39FE669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54E6EDA1">
      <w:pPr>
        <w:widowControl w:val="0"/>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T1 = Nilai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kemampuan membaca permulaan siswa kelas I (sebelum diberi perlakuan metode bermain) </w:t>
      </w:r>
    </w:p>
    <w:p w14:paraId="6F8B3C90">
      <w:pPr>
        <w:widowControl w:val="0"/>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T2 = Nilai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kemampuan membaca permulaan siswa kelas I (sesudah diberi perlakuan metode bermain) </w:t>
      </w:r>
    </w:p>
    <w:p w14:paraId="6FB21AFF">
      <w:pPr>
        <w:widowControl w:val="0"/>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Perlakuan pembelajaran membaca permulaan dengan menggunakan metode bermain</w:t>
      </w:r>
    </w:p>
    <w:p w14:paraId="1EC2A3A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Model eksperimen ini akan dilaksanakan melalui tiga langkah utama, yaitu:</w:t>
      </w:r>
    </w:p>
    <w:p w14:paraId="2C0DBADA">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(T1) kepada siswa kelas I SD Negeri 050 Malintang Julu untuk mengukur kemampuan membaca permulaan mereka sebelum penerapan metode bermain.</w:t>
      </w:r>
    </w:p>
    <w:p w14:paraId="25C60DF8">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Memberikan perlakuan (X) berupa pembelajaran membaca permulaan kepada kelompok siswa kelas I tersebut dengan menggunakan metode bermain selama periode waktu tertentu.</w:t>
      </w:r>
    </w:p>
    <w:p w14:paraId="3A12B597">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(T2) kepada kelompok siswa kelas I yang sama setelah pemberian perlakuan selesai untuk mengukur kembali kemampuan membaca permulaan mereka.</w:t>
      </w:r>
    </w:p>
    <w:p w14:paraId="7ACD3B2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Perbandingan antara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(T1)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(T2) akan digunakan untuk menganalisis efektivitas penerapan metode bermain dalam mengembangkan kemampuan membaca permulaan siswa kelas I SD Negeri 050 Malintang Julu Kabupaten Mandailing Natal Tahun Pembelajaran 2025-2026.</w:t>
      </w:r>
    </w:p>
    <w:p w14:paraId="14F7C4BA">
      <w:pPr>
        <w:pStyle w:val="19"/>
        <w:widowControl w:val="0"/>
        <w:spacing w:before="0" w:beforeAutospacing="0" w:after="0" w:afterAutospacing="0" w:line="480" w:lineRule="auto"/>
        <w:jc w:val="both"/>
      </w:pPr>
    </w:p>
    <w:p w14:paraId="65B2BF1B">
      <w:pPr>
        <w:widowControl w:val="0"/>
        <w:spacing w:after="0" w:line="480" w:lineRule="auto"/>
        <w:jc w:val="both"/>
        <w:rPr>
          <w:rFonts w:ascii="Times New Roman" w:hAnsi="Times New Roman" w:eastAsia="Times New Roman" w:cs="Times New Roman"/>
          <w:sz w:val="24"/>
          <w:szCs w:val="24"/>
        </w:rPr>
      </w:pPr>
      <w:bookmarkStart w:id="4" w:name="_Hlk195552507"/>
      <w:r>
        <w:rPr>
          <w:rFonts w:ascii="Times New Roman" w:hAnsi="Times New Roman" w:eastAsia="Times New Roman" w:cs="Times New Roman"/>
          <w:b/>
          <w:bCs/>
          <w:sz w:val="24"/>
          <w:szCs w:val="24"/>
        </w:rPr>
        <w:t>3.3 Populasi dan Sampel</w:t>
      </w:r>
    </w:p>
    <w:bookmarkEnd w:id="4"/>
    <w:p w14:paraId="155A497A">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Populasi</w:t>
      </w:r>
    </w:p>
    <w:p w14:paraId="43C1788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Nawawi (dalam Subana, 2000: 24) menyatakan bahwa: “Populasi adalah keseluruhan objek penelitian, digunakan sebagai sumber data yang mewakili karakteristik tertentu dalam suatu penelitian”. Populasi dalam penelitian ini adalah seluruh siswa kelas I SD Negeri 050 Malintang Julu Kabupaten Mandailing Natal Tahun Pembelajaran 2025-2026. Untuk memberikan gambaran, meskipun data spesifik tahun 2025-2026 belum tersedia, contoh populasi siswa kelas I pada tahun ajaran sebelumnya di sekolah tersebut dapat diilustrasikan dalam tabel berikut (tabel ini bersifat hipotetis dan perlu diganti dengan data yang relevan pada tahun penelitian)</w:t>
      </w:r>
    </w:p>
    <w:p w14:paraId="583C4803">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703AB201">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Jumlah Murid Kelas I SD Negeri 050 Malintang Julu</w:t>
      </w:r>
    </w:p>
    <w:tbl>
      <w:tblPr>
        <w:tblStyle w:val="22"/>
        <w:tblW w:w="60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155"/>
        <w:gridCol w:w="1601"/>
        <w:gridCol w:w="3319"/>
      </w:tblGrid>
      <w:tr w14:paraId="5B13AC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10" w:hRule="atLeast"/>
          <w:jc w:val="center"/>
        </w:trPr>
        <w:tc>
          <w:tcPr>
            <w:tcW w:w="0" w:type="auto"/>
            <w:vAlign w:val="center"/>
          </w:tcPr>
          <w:p w14:paraId="16CBC913">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22EDA95B">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1286DE87">
            <w:pPr>
              <w:widowControl w:val="0"/>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Siswa</w:t>
            </w:r>
          </w:p>
        </w:tc>
      </w:tr>
      <w:tr w14:paraId="487A3C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10" w:hRule="atLeast"/>
          <w:jc w:val="center"/>
        </w:trPr>
        <w:tc>
          <w:tcPr>
            <w:tcW w:w="0" w:type="auto"/>
            <w:vAlign w:val="center"/>
          </w:tcPr>
          <w:p w14:paraId="1CBC1B62">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77733BF7">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I-A</w:t>
            </w:r>
          </w:p>
        </w:tc>
        <w:tc>
          <w:tcPr>
            <w:tcW w:w="0" w:type="auto"/>
            <w:vAlign w:val="center"/>
          </w:tcPr>
          <w:p w14:paraId="1AD069DE">
            <w:pPr>
              <w:widowControl w:val="0"/>
              <w:spacing w:after="0" w:line="24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id-ID"/>
              </w:rPr>
              <w:t>2</w:t>
            </w:r>
            <w:r>
              <w:rPr>
                <w:rFonts w:ascii="Times New Roman" w:hAnsi="Times New Roman" w:eastAsia="Times New Roman" w:cs="Times New Roman"/>
                <w:sz w:val="24"/>
                <w:szCs w:val="24"/>
                <w:lang w:val="en-US"/>
              </w:rPr>
              <w:t>2</w:t>
            </w:r>
          </w:p>
        </w:tc>
      </w:tr>
      <w:tr w14:paraId="671BEF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0" w:hRule="atLeast"/>
          <w:jc w:val="center"/>
        </w:trPr>
        <w:tc>
          <w:tcPr>
            <w:tcW w:w="0" w:type="auto"/>
            <w:vAlign w:val="center"/>
          </w:tcPr>
          <w:p w14:paraId="1467F080">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72821D83">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I-B</w:t>
            </w:r>
          </w:p>
        </w:tc>
        <w:tc>
          <w:tcPr>
            <w:tcW w:w="0" w:type="auto"/>
            <w:vAlign w:val="center"/>
          </w:tcPr>
          <w:p w14:paraId="04B32194">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r>
      <w:tr w14:paraId="426083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0" w:hRule="atLeast"/>
          <w:jc w:val="center"/>
        </w:trPr>
        <w:tc>
          <w:tcPr>
            <w:tcW w:w="0" w:type="auto"/>
            <w:vAlign w:val="center"/>
          </w:tcPr>
          <w:p w14:paraId="1095D313">
            <w:pPr>
              <w:widowControl w:val="0"/>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ECF3F84">
            <w:pPr>
              <w:widowControl w:val="0"/>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Total</w:t>
            </w:r>
          </w:p>
        </w:tc>
        <w:tc>
          <w:tcPr>
            <w:tcW w:w="0" w:type="auto"/>
            <w:vAlign w:val="center"/>
          </w:tcPr>
          <w:p w14:paraId="4FC48CF5">
            <w:pPr>
              <w:widowControl w:val="0"/>
              <w:spacing w:after="0" w:line="24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45</w:t>
            </w:r>
          </w:p>
        </w:tc>
      </w:tr>
    </w:tbl>
    <w:p w14:paraId="58116253">
      <w:pPr>
        <w:widowControl w:val="0"/>
        <w:spacing w:after="0" w:line="480" w:lineRule="auto"/>
        <w:jc w:val="both"/>
        <w:rPr>
          <w:rFonts w:ascii="Times New Roman" w:hAnsi="Times New Roman" w:eastAsia="Times New Roman" w:cs="Times New Roman"/>
          <w:b/>
          <w:bCs/>
          <w:sz w:val="24"/>
          <w:szCs w:val="24"/>
        </w:rPr>
      </w:pPr>
    </w:p>
    <w:p w14:paraId="2A8E18A7">
      <w:pPr>
        <w:widowControl w:val="0"/>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Sampel</w:t>
      </w:r>
    </w:p>
    <w:p w14:paraId="285475B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Penarikan sampel pada penelitian ini menggunakan teknik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Sugiyono (2001: 61) menyatakan bahwa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adalah teknik penentuan sampel dengan pertimbangan tertentu. Menurut Margono (2004: 128), pemilihan sekelompok subjek dalam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didasarkan atas ciri-ciri tertentu yang dipandang mempunyai sangkut paut yang erat dengan ciri-ciri populasi yang sudah diketahui sebelumnya, dengan kata lain unit sampel yang dihubungi disesuaikan dengan kriteria-kriteria tertentu yang diterapkan berdasarkan tujuan penelitian.</w:t>
      </w:r>
    </w:p>
    <w:p w14:paraId="4B35C0E8">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penjelasan tersebut, maka penentuan sampel dalam penelitian ini adalah satu kelas I di SD Negeri 050 Malintang Julu Kabupaten Mandailing Natal Tahun Pembelajaran 2025-2026. Alasan pemilihan kelas ini adalah karena peneliti akan secara langsung memberikan perlakuan metode bermain dalam pembelajaran membaca permulaan di kelas tersebut. Pemilihan satu kelas juga mempertimbangkan kemudahan pengelolaan perlakuan dan pengumpulan data dalam penelitian pra-eksperimen dengan desain </w:t>
      </w:r>
      <w:r>
        <w:rPr>
          <w:rFonts w:ascii="Times New Roman" w:hAnsi="Times New Roman" w:eastAsia="Times New Roman" w:cs="Times New Roman"/>
          <w:i/>
          <w:iCs/>
          <w:sz w:val="24"/>
          <w:szCs w:val="24"/>
        </w:rPr>
        <w:t>one-group pretest-posttest</w:t>
      </w:r>
      <w:r>
        <w:rPr>
          <w:rFonts w:ascii="Times New Roman" w:hAnsi="Times New Roman" w:eastAsia="Times New Roman" w:cs="Times New Roman"/>
          <w:sz w:val="24"/>
          <w:szCs w:val="24"/>
        </w:rPr>
        <w:t>.</w:t>
      </w:r>
    </w:p>
    <w:p w14:paraId="683657A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Adapun sampel dalam penelitian ini adalah seluruh siswa kelas I-A SD Negeri 050 Malintang Julu Kabupaten Mandailing Natal Tahun Pembelajaran 2025-2026. </w:t>
      </w:r>
    </w:p>
    <w:p w14:paraId="44E4DEEB">
      <w:pPr>
        <w:widowControl w:val="0"/>
        <w:spacing w:after="0" w:line="480" w:lineRule="auto"/>
        <w:ind w:firstLine="709"/>
        <w:jc w:val="both"/>
        <w:rPr>
          <w:rFonts w:ascii="Times New Roman" w:hAnsi="Times New Roman" w:eastAsia="Times New Roman" w:cs="Times New Roman"/>
          <w:sz w:val="24"/>
          <w:szCs w:val="24"/>
        </w:rPr>
      </w:pPr>
    </w:p>
    <w:p w14:paraId="5221C7D6">
      <w:pPr>
        <w:widowControl w:val="0"/>
        <w:spacing w:after="0" w:line="480" w:lineRule="auto"/>
        <w:ind w:firstLine="709"/>
        <w:jc w:val="both"/>
        <w:rPr>
          <w:rFonts w:ascii="Times New Roman" w:hAnsi="Times New Roman" w:eastAsia="Times New Roman" w:cs="Times New Roman"/>
          <w:sz w:val="24"/>
          <w:szCs w:val="24"/>
        </w:rPr>
      </w:pPr>
    </w:p>
    <w:p w14:paraId="5CB398C1">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07CE680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Jumlah Sampel Siswa Kelas I-A SD Negeri 050 Malintang Julu </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677"/>
        <w:gridCol w:w="1637"/>
      </w:tblGrid>
      <w:tr w14:paraId="4A8761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47AC39F">
            <w:pPr>
              <w:widowControl w:val="0"/>
              <w:spacing w:after="0" w:line="480" w:lineRule="auto"/>
              <w:jc w:val="both"/>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44AF58C5">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Jenis Kelamin</w:t>
            </w:r>
          </w:p>
        </w:tc>
        <w:tc>
          <w:tcPr>
            <w:tcW w:w="0" w:type="auto"/>
          </w:tcPr>
          <w:p w14:paraId="15ED4547">
            <w:pPr>
              <w:widowControl w:val="0"/>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Siswa</w:t>
            </w:r>
          </w:p>
        </w:tc>
      </w:tr>
      <w:tr w14:paraId="564B01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46BDDBFD">
            <w:pPr>
              <w:widowControl w:val="0"/>
              <w:spacing w:after="0" w:line="48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7CAD5F8F">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Laki-laki</w:t>
            </w:r>
          </w:p>
        </w:tc>
        <w:tc>
          <w:tcPr>
            <w:tcW w:w="0" w:type="auto"/>
          </w:tcPr>
          <w:p w14:paraId="2237EB4F">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r>
      <w:tr w14:paraId="67394E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6724BE6">
            <w:pPr>
              <w:widowControl w:val="0"/>
              <w:spacing w:after="0" w:line="480" w:lineRule="auto"/>
              <w:jc w:val="both"/>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39D66370">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Perempuan</w:t>
            </w:r>
          </w:p>
        </w:tc>
        <w:tc>
          <w:tcPr>
            <w:tcW w:w="0" w:type="auto"/>
          </w:tcPr>
          <w:p w14:paraId="70B191F5">
            <w:pPr>
              <w:widowControl w:val="0"/>
              <w:spacing w:after="0" w:line="48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id-ID"/>
              </w:rPr>
              <w:t>1</w:t>
            </w:r>
            <w:r>
              <w:rPr>
                <w:rFonts w:ascii="Times New Roman" w:hAnsi="Times New Roman" w:eastAsia="Times New Roman" w:cs="Times New Roman"/>
                <w:sz w:val="24"/>
                <w:szCs w:val="24"/>
                <w:lang w:val="en-US"/>
              </w:rPr>
              <w:t>1</w:t>
            </w:r>
          </w:p>
        </w:tc>
      </w:tr>
      <w:tr w14:paraId="323C25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C8FFBFE">
            <w:pPr>
              <w:widowControl w:val="0"/>
              <w:spacing w:after="0" w:line="480" w:lineRule="auto"/>
              <w:jc w:val="both"/>
              <w:rPr>
                <w:rFonts w:ascii="Times New Roman" w:hAnsi="Times New Roman" w:eastAsia="Times New Roman" w:cs="Times New Roman"/>
                <w:sz w:val="24"/>
                <w:szCs w:val="24"/>
                <w:lang w:val="id-ID"/>
              </w:rPr>
            </w:pPr>
          </w:p>
        </w:tc>
        <w:tc>
          <w:tcPr>
            <w:tcW w:w="0" w:type="auto"/>
          </w:tcPr>
          <w:p w14:paraId="5AC2EEA0">
            <w:pPr>
              <w:widowControl w:val="0"/>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Total</w:t>
            </w:r>
          </w:p>
        </w:tc>
        <w:tc>
          <w:tcPr>
            <w:tcW w:w="0" w:type="auto"/>
          </w:tcPr>
          <w:p w14:paraId="0349688A">
            <w:pPr>
              <w:widowControl w:val="0"/>
              <w:spacing w:after="0" w:line="480" w:lineRule="auto"/>
              <w:jc w:val="center"/>
              <w:rPr>
                <w:rFonts w:ascii="Times New Roman" w:hAnsi="Times New Roman" w:eastAsia="Times New Roman" w:cs="Times New Roman"/>
                <w:sz w:val="24"/>
                <w:szCs w:val="24"/>
                <w:lang w:val="en-US"/>
              </w:rPr>
            </w:pPr>
            <w:r>
              <w:rPr>
                <w:rFonts w:ascii="Times New Roman" w:hAnsi="Times New Roman" w:eastAsia="Times New Roman" w:cs="Times New Roman"/>
                <w:b/>
                <w:bCs/>
                <w:sz w:val="24"/>
                <w:szCs w:val="24"/>
                <w:lang w:val="id-ID"/>
              </w:rPr>
              <w:t>2</w:t>
            </w:r>
            <w:r>
              <w:rPr>
                <w:rFonts w:ascii="Times New Roman" w:hAnsi="Times New Roman" w:eastAsia="Times New Roman" w:cs="Times New Roman"/>
                <w:b/>
                <w:bCs/>
                <w:sz w:val="24"/>
                <w:szCs w:val="24"/>
                <w:lang w:val="en-US"/>
              </w:rPr>
              <w:t>2</w:t>
            </w:r>
          </w:p>
        </w:tc>
      </w:tr>
    </w:tbl>
    <w:p w14:paraId="3E874FA5">
      <w:pPr>
        <w:widowControl w:val="0"/>
        <w:spacing w:after="0" w:line="480" w:lineRule="auto"/>
        <w:jc w:val="both"/>
        <w:rPr>
          <w:rFonts w:ascii="Times New Roman" w:hAnsi="Times New Roman" w:eastAsia="Times New Roman" w:cs="Times New Roman"/>
          <w:sz w:val="24"/>
          <w:szCs w:val="24"/>
        </w:rPr>
      </w:pPr>
    </w:p>
    <w:p w14:paraId="4215C933">
      <w:pPr>
        <w:widowControl w:val="0"/>
        <w:spacing w:after="0" w:line="480" w:lineRule="auto"/>
        <w:jc w:val="both"/>
        <w:rPr>
          <w:rFonts w:ascii="Times New Roman" w:hAnsi="Times New Roman" w:eastAsia="Times New Roman" w:cs="Times New Roman"/>
          <w:sz w:val="24"/>
          <w:szCs w:val="24"/>
        </w:rPr>
      </w:pPr>
      <w:bookmarkStart w:id="5" w:name="_Hlk195552523"/>
      <w:r>
        <w:rPr>
          <w:rFonts w:ascii="Times New Roman" w:hAnsi="Times New Roman" w:eastAsia="Times New Roman" w:cs="Times New Roman"/>
          <w:b/>
          <w:bCs/>
          <w:sz w:val="24"/>
          <w:szCs w:val="24"/>
        </w:rPr>
        <w:t>3.4 Lokasi Penelitian</w:t>
      </w:r>
    </w:p>
    <w:bookmarkEnd w:id="5"/>
    <w:p w14:paraId="58D4711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akan dilakukan di kelas I-A SD Negeri 050 Malintang Julu Kabupaten Mandailing Natal Tahun Pembelajaran 2025-2026.</w:t>
      </w:r>
    </w:p>
    <w:p w14:paraId="08C28B18">
      <w:pPr>
        <w:widowControl w:val="0"/>
        <w:spacing w:after="0" w:line="480" w:lineRule="auto"/>
        <w:jc w:val="both"/>
        <w:rPr>
          <w:rFonts w:ascii="Times New Roman" w:hAnsi="Times New Roman" w:eastAsia="Times New Roman" w:cs="Times New Roman"/>
          <w:b/>
          <w:bCs/>
          <w:sz w:val="24"/>
          <w:szCs w:val="24"/>
        </w:rPr>
      </w:pPr>
    </w:p>
    <w:p w14:paraId="69031E60">
      <w:pPr>
        <w:widowControl w:val="0"/>
        <w:spacing w:after="0" w:line="480" w:lineRule="auto"/>
        <w:jc w:val="both"/>
        <w:rPr>
          <w:rFonts w:ascii="Times New Roman" w:hAnsi="Times New Roman" w:eastAsia="Times New Roman" w:cs="Times New Roman"/>
          <w:sz w:val="24"/>
          <w:szCs w:val="24"/>
        </w:rPr>
      </w:pPr>
      <w:bookmarkStart w:id="6" w:name="_Hlk195552538"/>
      <w:r>
        <w:rPr>
          <w:rFonts w:ascii="Times New Roman" w:hAnsi="Times New Roman" w:eastAsia="Times New Roman" w:cs="Times New Roman"/>
          <w:b/>
          <w:bCs/>
          <w:sz w:val="24"/>
          <w:szCs w:val="24"/>
        </w:rPr>
        <w:t>3.5 Desain Operasional Variabel</w:t>
      </w:r>
    </w:p>
    <w:bookmarkEnd w:id="6"/>
    <w:p w14:paraId="37B12A5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Variabel penelitian pada dasarnya adalah segala sesuatu yang berbentuk apa saja yang ditetapkan oleh peneliti untuk dipelajari sehingga diperoleh informasi tentang hal tersebut, kemudian ditarik kesimpulannya. Berdasarkan pengertian-pengertian di atas, maka dapat dirumuskan di sini bahwa variabel penelitian adalah suatu atribut atau sifat atau nilai dari orang, objek, atau kegiatan yang mempunyai variasi tertentu yang ditetapkan oleh peneliti untuk dipelajari dan kemudian ditarik kesimpulannya.</w:t>
      </w:r>
    </w:p>
    <w:p w14:paraId="22B2CAF7">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variabel yang diselidiki pada penelitian ini terdiri dari dua jenis, yaitu variabel terikat dan variabel bebas. Dalam penelitian ini yang bertindak sebagai variabel bebas (X) adalah penerapan Metode Bermain. Metode bermain yang dimaksud dalam penelitian ini adalah penggunaan berbagai aktivitas permainan yang dirancang secara sistematis dan terstruktur untuk menstimulasi dan mengembangkan kemampuan membaca permulaan siswa kelas I. Contoh konkret dari metode bermain yang akan diterapkan dapat berupa permainan kartu huruf, permainan menyusun suku kata, permainan tebak kata, dan lain-lain yang relevan dengan tujuan pembelajaran membaca permulaan.</w:t>
      </w:r>
    </w:p>
    <w:p w14:paraId="27ED659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Sedangkan variabel terikat (Y) yang diberikan perlakuan adalah kemampuan Membaca Permulaan. Kemampuan membaca permulaan yang dimaksud dalam penelitian ini adalah tingkat penguasaan siswa kelas I dalam mengenali huruf, melafalkan bunyi huruf, merangkai suku kata menjadi kata, dan membaca kata-kata sederhana. Kemampuan ini akan diukur melalui tes membaca permulaan yang diberikan sebelum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dan sesudah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penerapan metode bermain. </w:t>
      </w:r>
    </w:p>
    <w:p w14:paraId="61805645">
      <w:pPr>
        <w:pStyle w:val="19"/>
        <w:widowControl w:val="0"/>
        <w:spacing w:before="0" w:beforeAutospacing="0" w:after="0" w:afterAutospacing="0" w:line="480" w:lineRule="auto"/>
        <w:jc w:val="both"/>
      </w:pPr>
    </w:p>
    <w:p w14:paraId="3E8E8900">
      <w:pPr>
        <w:widowControl w:val="0"/>
        <w:spacing w:after="0" w:line="480" w:lineRule="auto"/>
        <w:jc w:val="both"/>
        <w:rPr>
          <w:rFonts w:ascii="Times New Roman" w:hAnsi="Times New Roman" w:eastAsia="Times New Roman" w:cs="Times New Roman"/>
          <w:sz w:val="24"/>
          <w:szCs w:val="24"/>
        </w:rPr>
      </w:pPr>
      <w:bookmarkStart w:id="7" w:name="_Hlk195552554"/>
      <w:r>
        <w:rPr>
          <w:rFonts w:ascii="Times New Roman" w:hAnsi="Times New Roman" w:eastAsia="Times New Roman" w:cs="Times New Roman"/>
          <w:b/>
          <w:bCs/>
          <w:sz w:val="24"/>
          <w:szCs w:val="24"/>
        </w:rPr>
        <w:t>3.6 Instrumen Penelitian</w:t>
      </w:r>
    </w:p>
    <w:bookmarkEnd w:id="7"/>
    <w:p w14:paraId="7D2A9D5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Instrumen penelitian memegang peranan krusial dalam proses pengumpulan data yang akurat dan relevan untuk menjawab rumusan masalah penelitian. Dalam penelitian ini, dua jenis instrumen utama akan digunakan untuk mengukur variabel-variabel yang terlibat: tes kemampuan membaca permulaan (yang akan diadministrasikan sebagai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dan lembar observasi aktivitas siswa selama proses pembelajaran dengan metode bermain. Kedua instrumen ini dirancang untuk memberikan gambaran yang komprehensif mengenai dampak penerapan metode bermain terhadap kemampuan membaca permulaan siswa kelas I SD Negeri 050 Malintang Julu.</w:t>
      </w:r>
    </w:p>
    <w:p w14:paraId="01B03480">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Kemampuan Membaca Permulaan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w:t>
      </w:r>
    </w:p>
    <w:p w14:paraId="66E2F25D">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tes ini secara spesifik bertujuan untuk mengukur tingkat penguasaan siswa kelas I dalam keterampilan dasar membaca pada tahap awal. Tes akan diberikan sebanyak dua kali kepada kelompok sampel yang sama: sebelum dimulainya intervensi pembelajaran dengan metode bermain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dan setelah serangkaian sesi pembelajaran dengan metode bermain selesai dilaksanakan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Perbandingan hasil dari kedua tes ini akan menjadi data utama untuk menganalisis efektivitas metode bermain. Jenis-jenis soal yang akan digunakan dalam tes ini akan secara langsung mengukur indikator-indikator kemampuan membaca permulaan yang telah didefinisikan dalam desain operasional variabel, yaitu:</w:t>
      </w:r>
    </w:p>
    <w:p w14:paraId="2B78B905">
      <w:pPr>
        <w:pStyle w:val="28"/>
        <w:widowControl w:val="0"/>
        <w:numPr>
          <w:ilvl w:val="0"/>
          <w:numId w:val="3"/>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Mengenal Huruf: Soal-soal dalam bagian ini akan menguji kemampuan siswa dalam mengidentifikasi dan membedakan huruf-huruf alfabet, baik huruf vokal (a, i, u, e, o) maupun huruf konsonan, dalam bentuk huruf kapital dan huruf kecil. Bentuk soal dapat berupa menjodohkan huruf dengan namanya, melingkari huruf tertentu yang disebutkan, atau menuliskan huruf yang diperdengarkan.</w:t>
      </w:r>
    </w:p>
    <w:p w14:paraId="515EC97C">
      <w:pPr>
        <w:pStyle w:val="28"/>
        <w:widowControl w:val="0"/>
        <w:numPr>
          <w:ilvl w:val="0"/>
          <w:numId w:val="3"/>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Melafalkan Bunyi Huruf: Bagian ini akan mengukur kemampuan siswa dalam mengucapkan bunyi-bunyi yang sesuai dengan huruf-huruf alfabet. Bentuk soal dapat berupa siswa diminta melafalkan bunyi huruf yang ditunjuk atau mengikuti pelafalan yang dicontohkan oleh guru.</w:t>
      </w:r>
    </w:p>
    <w:p w14:paraId="3C647DA1">
      <w:pPr>
        <w:pStyle w:val="28"/>
        <w:widowControl w:val="0"/>
        <w:numPr>
          <w:ilvl w:val="0"/>
          <w:numId w:val="3"/>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Membaca Suku Kata: Soal-soal ini akan menguji kemampuan siswa dalam menggabungkan huruf menjadi suku kata, baik suku kata terbuka (konsonan-vokal, seperti "ba", "ki", "su") maupun suku kata tertutup (konsonan-vokal-konsonan, seperti "ban", "kin", "sup"). Bentuk soal dapat berupa siswa diminta membaca suku kata yang tertulis atau melengkapi suku kata yang hilang.</w:t>
      </w:r>
    </w:p>
    <w:p w14:paraId="76344C52">
      <w:pPr>
        <w:pStyle w:val="28"/>
        <w:widowControl w:val="0"/>
        <w:numPr>
          <w:ilvl w:val="0"/>
          <w:numId w:val="3"/>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Membaca Kata Sederhana: Bagian ini akan mengukur kemampuan siswa dalam merangkai suku kata menjadi kata-kata sederhana yang bermakna dan membacanya dengan lancar. Kata-kata yang dipilih akan familiar bagi siswa kelas I dan memiliki pola suku kata yang sederhana (misalnya, KV-KV, KVK-KV). Bentuk soal dapat berupa siswa diminta membaca kata-kata yang tertulis atau memilih gambar yang sesuai dengan kata yang dibacanya.</w:t>
      </w:r>
    </w:p>
    <w:p w14:paraId="2BFD515C">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memastikan validitas isi tes, soal-soal akan dikembangkan berdasarkan kurikulum bahasa Indonesia kelas I yang berlaku dan indikator-indikator kemampuan membaca permulaan yang relevan. Tingkat kesulitan soal akan disesuaikan dengan kemampuan siswa kelas I. Reliabilitas tes juga akan dipertimbangkan melalui perencanaan soal yang jelas dan pemberian instruksi yang konsisten.</w:t>
      </w:r>
    </w:p>
    <w:p w14:paraId="60C2D584">
      <w:pPr>
        <w:widowControl w:val="0"/>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Aktivitas Siswa</w:t>
      </w:r>
    </w:p>
    <w:p w14:paraId="53869178">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Instrumen ini dirancang untuk mengumpulkan data kualitatif mengenai perilaku dan tingkat keterlibatan siswa selama sesi pembelajaran membaca permulaan yang menggunakan metode bermain. Observasi akan dilakukan secara sistematis oleh peneliti (atau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xml:space="preserve"> terlatih) selama proses pembelajaran berlangsung. Item-item yang akan diamati dalam lembar observasi mencakup aspek-aspek penting yang dapat mengindikasikan efektivitas metode bermain dalam meningkatkan minat dan partisipasi siswa dalam belajar membaca:</w:t>
      </w:r>
    </w:p>
    <w:p w14:paraId="6C877DDC">
      <w:pPr>
        <w:widowControl w:val="0"/>
        <w:numPr>
          <w:ilvl w:val="1"/>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Partisipasi siswa dalam kegiatan bermain yang berkaitan dengan membaca: Mengamati tingkat keaktifan siswa dalam mengikuti instruksi permainan, keterlibatan dalam tugas-tugas yang diberikan dalam konteks bermain (misalnya, menyusun huruf dalam permainan kartu, bergerak sesuai aba-aba dalam permainan gerak dan bunyi).</w:t>
      </w:r>
    </w:p>
    <w:p w14:paraId="24F455E3">
      <w:pPr>
        <w:widowControl w:val="0"/>
        <w:numPr>
          <w:ilvl w:val="1"/>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Interaksi siswa dengan teman dan guru selama kegiatan: Mengamati kualitas dan frekuensi interaksi siswa dengan teman sebaya (misalnya, bekerja sama dalam kelompok, berbagi ide dalam permainan) dan dengan guru (misalnya, bertanya, merespons pertanyaan guru).</w:t>
      </w:r>
    </w:p>
    <w:p w14:paraId="4C8FADC5">
      <w:pPr>
        <w:widowControl w:val="0"/>
        <w:numPr>
          <w:ilvl w:val="1"/>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Fokus dan perhatian siswa selama pembelajaran: Mengamati tingkat konsentrasi siswa pada tugas-tugas bermain yang mengandung unsur pembelajaran membaca, kemampuan untuk tidak terdistraksi, dan ketekunan dalam menyelesaikan kegiatan.</w:t>
      </w:r>
    </w:p>
    <w:p w14:paraId="3F0A4345">
      <w:pPr>
        <w:widowControl w:val="0"/>
        <w:numPr>
          <w:ilvl w:val="1"/>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Respons siswa terhadap metode bermain yang diterapkan: Mencatat reaksi emosional siswa terhadap kegiatan bermain (misalnya, menunjukkan kegembiraan, antusiasme, minat) dan respons verbal atau nonverbal yang mengindikasikan penerimaan atau penolakan terhadap metode tersebut.</w:t>
      </w:r>
    </w:p>
    <w:p w14:paraId="07C38CB4">
      <w:pPr>
        <w:widowControl w:val="0"/>
        <w:numPr>
          <w:ilvl w:val="1"/>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Antusiasme dan motivasi siswa dalam belajar membaca melalui bermain: Mengamati tingkat semangat siswa dalam mengikuti kegiatan membaca yang disajikan dalam bentuk permainan, inisiatif untuk berpartisipasi aktif, dan indikasi motivasi intrinsik untuk belajar membaca.</w:t>
      </w:r>
    </w:p>
    <w:p w14:paraId="73F998AC">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dapat menggunakan skala penilaian (misalnya, skala Likert untuk mengukur tingkat partisipasi atau antusiasme) dan/atau kolom catatan deskriptif untuk merekam perilaku spesifik siswa yang relevan dengan fokus penelitian. Data observasi ini akan melengkapi data kuantitatif dari tes dan memberikan pemahaman yang lebih mendalam mengenai proses pembelajaran yang terjadi.</w:t>
      </w:r>
    </w:p>
    <w:p w14:paraId="0B33FFC1">
      <w:pPr>
        <w:widowControl w:val="0"/>
        <w:spacing w:after="0" w:line="480" w:lineRule="auto"/>
        <w:ind w:left="720" w:firstLine="720"/>
        <w:jc w:val="both"/>
        <w:rPr>
          <w:rFonts w:ascii="Times New Roman" w:hAnsi="Times New Roman" w:eastAsia="Times New Roman" w:cs="Times New Roman"/>
          <w:sz w:val="24"/>
          <w:szCs w:val="24"/>
        </w:rPr>
      </w:pPr>
    </w:p>
    <w:p w14:paraId="49630308">
      <w:pPr>
        <w:widowControl w:val="0"/>
        <w:spacing w:after="0" w:line="480" w:lineRule="auto"/>
        <w:jc w:val="both"/>
        <w:rPr>
          <w:rFonts w:ascii="Times New Roman" w:hAnsi="Times New Roman" w:eastAsia="Times New Roman" w:cs="Times New Roman"/>
          <w:sz w:val="24"/>
          <w:szCs w:val="24"/>
        </w:rPr>
      </w:pPr>
      <w:bookmarkStart w:id="8" w:name="_Hlk195552570"/>
      <w:r>
        <w:rPr>
          <w:rFonts w:ascii="Times New Roman" w:hAnsi="Times New Roman" w:eastAsia="Times New Roman" w:cs="Times New Roman"/>
          <w:b/>
          <w:bCs/>
          <w:sz w:val="24"/>
          <w:szCs w:val="24"/>
        </w:rPr>
        <w:t>3.7 Teknik Pengumpulan Data</w:t>
      </w:r>
    </w:p>
    <w:bookmarkEnd w:id="8"/>
    <w:p w14:paraId="7678302E">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Pengumpulan data dalam penelitian ini akan dilakukan melalui serangkaian tahapan yang dirancang untuk memperoleh data yang valid dan reliabel mengenai kemampuan membaca permulaan siswa sebelum dan sesudah penerapan metode bermain, serta observasi terhadap aktivitas siswa selama proses pembelajaran.</w:t>
      </w:r>
    </w:p>
    <w:p w14:paraId="087DCCBA">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Awal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w:t>
      </w:r>
    </w:p>
    <w:p w14:paraId="7BDD529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Sebelum dimulainya intervensi pembelajaran dengan metode bermain, seluruh siswa kelas I yang terpilih sebagai sampel penelitian akan diberikan tes kemampuan membaca permulaan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Pelaksanaan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akan dilakukan dalam satu sesi waktu yang dialokasikan khusus, dengan pengawasan yang memadai untuk memastikan siswa mengerjakan secara mandiri dan sesuai dengan instruksi yang diberikan. Tujuan utama dari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adalah untuk mendapatkan data dasar (</w:t>
      </w:r>
      <w:r>
        <w:rPr>
          <w:rFonts w:ascii="Times New Roman" w:hAnsi="Times New Roman" w:eastAsia="Times New Roman" w:cs="Times New Roman"/>
          <w:i/>
          <w:iCs/>
          <w:sz w:val="24"/>
          <w:szCs w:val="24"/>
        </w:rPr>
        <w:t>baseline data</w:t>
      </w:r>
      <w:r>
        <w:rPr>
          <w:rFonts w:ascii="Times New Roman" w:hAnsi="Times New Roman" w:eastAsia="Times New Roman" w:cs="Times New Roman"/>
          <w:sz w:val="24"/>
          <w:szCs w:val="24"/>
        </w:rPr>
        <w:t xml:space="preserve">) mengenai tingkat kemampuan awal siswa dalam membaca permulaan sebelum terpapar pada metode bermain.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ini akan digunakan sebagai titik awal perbandingan dengan hasil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w:t>
      </w:r>
    </w:p>
    <w:p w14:paraId="5136C990">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Perlakuan (</w:t>
      </w:r>
      <w:r>
        <w:rPr>
          <w:rFonts w:ascii="Times New Roman" w:hAnsi="Times New Roman" w:eastAsia="Times New Roman" w:cs="Times New Roman"/>
          <w:i/>
          <w:iCs/>
          <w:sz w:val="24"/>
          <w:szCs w:val="24"/>
        </w:rPr>
        <w:t>Treatment</w:t>
      </w:r>
      <w:r>
        <w:rPr>
          <w:rFonts w:ascii="Times New Roman" w:hAnsi="Times New Roman" w:eastAsia="Times New Roman" w:cs="Times New Roman"/>
          <w:sz w:val="24"/>
          <w:szCs w:val="24"/>
        </w:rPr>
        <w:t>)</w:t>
      </w:r>
    </w:p>
    <w:p w14:paraId="74B64AB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Tahap perlakuan merupakan inti dari penelitian ini, di mana metode bermain akan diimplementasikan sebagai strategi pembelajaran membaca permulaan. Perlakuan akan dilaksanakan selama beberapa sesi pembelajaran bahasa Indonesia di kelas I yang menjadi sampel. Setiap sesi akan dirancang dengan menggunakan Rencana Pelaksanaan Pembelajaran (RPP) yang telah dikembangkan, yang secara spesifik mengintegrasikan berbagai aktivitas bermain yang relevan dengan tujuan pembelajaran membaca permulaan. Peneliti akan berperan sebagai fasilitator dalam setiap sesi, memastikan kegiatan bermain berjalan sesuai rencana dan tetap fokus pada pengembangan kemampuan membaca siswa. Selama tahap perlakuan ini, peneliti (dan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jika ada) akan melakukan observasi sistematis terhadap aktivitas dan keterlibatan siswa menggunakan lembar observasi yang telah disiapkan. Catatan observasi akan mencakup aspek-aspek yang telah disebutkan sebelumnya, memberikan gambaran kualitatif tentang bagaimana siswa berinteraksi dengan metode bermain dan materi pembelajaran.</w:t>
      </w:r>
    </w:p>
    <w:p w14:paraId="1D3C6F54">
      <w:pPr>
        <w:widowControl w:val="0"/>
        <w:numPr>
          <w:ilvl w:val="0"/>
          <w:numId w:val="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Akhir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w:t>
      </w:r>
    </w:p>
    <w:p w14:paraId="105C2811">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Setelah periode perlakuan selesai, siswa yang sama akan diberikan tes kemampuan membaca permulaan kembali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Instrumen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memiliki format dan tingkat kesulitan yang setara dengan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(paralel) untuk memastikan bahwa perubahan yang diukur memang disebabkan oleh perlakuan dan bukan oleh perbedaan instrumen. Pelaksanaan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dilakukan dalam kondisi yang serupa dengan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Tujuan dari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adalah untuk mengukur tingkat kemampuan membaca permulaan siswa setelah mereka mengalami pembelajaran dengan metode bermain. Perbandingan antara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menjadi dasar utama dalam menganalisis pengaruh penerapan metode bermain.</w:t>
      </w:r>
    </w:p>
    <w:p w14:paraId="18E07F77">
      <w:pPr>
        <w:widowControl w:val="0"/>
        <w:spacing w:after="0" w:line="480" w:lineRule="auto"/>
        <w:ind w:left="720" w:firstLine="720"/>
        <w:jc w:val="both"/>
        <w:rPr>
          <w:rFonts w:ascii="Times New Roman" w:hAnsi="Times New Roman" w:eastAsia="Times New Roman" w:cs="Times New Roman"/>
          <w:sz w:val="24"/>
          <w:szCs w:val="24"/>
        </w:rPr>
      </w:pPr>
    </w:p>
    <w:p w14:paraId="3A79DDD5">
      <w:pPr>
        <w:widowControl w:val="0"/>
        <w:spacing w:after="0" w:line="480" w:lineRule="auto"/>
        <w:jc w:val="both"/>
        <w:rPr>
          <w:rFonts w:ascii="Times New Roman" w:hAnsi="Times New Roman" w:eastAsia="Times New Roman" w:cs="Times New Roman"/>
          <w:sz w:val="24"/>
          <w:szCs w:val="24"/>
        </w:rPr>
      </w:pPr>
      <w:bookmarkStart w:id="9" w:name="_Hlk195552583"/>
      <w:r>
        <w:rPr>
          <w:rFonts w:ascii="Times New Roman" w:hAnsi="Times New Roman" w:eastAsia="Times New Roman" w:cs="Times New Roman"/>
          <w:b/>
          <w:bCs/>
          <w:sz w:val="24"/>
          <w:szCs w:val="24"/>
        </w:rPr>
        <w:t>3.8 Prosedur Penelitian</w:t>
      </w:r>
    </w:p>
    <w:bookmarkEnd w:id="9"/>
    <w:p w14:paraId="703FFD0F">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Prosedur penelitian ini akan dilaksanakan melalui serangkaian tahapan yang terstruktur untuk memastikan kelancaran proses penelitian dan kualitas data yang terkumpul:</w:t>
      </w:r>
    </w:p>
    <w:p w14:paraId="61DC09A1">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Persiapan</w:t>
      </w:r>
    </w:p>
    <w:p w14:paraId="516A55F4">
      <w:pPr>
        <w:widowControl w:val="0"/>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mengajukan surat permohonan izin penelitian kepada kepala sekolah SD Negeri 050 Malintang Julu dan instansi pendidikan terkait di Kabupaten Mandailing Natal sesuai dengan prosedur yang berlaku.</w:t>
      </w:r>
    </w:p>
    <w:p w14:paraId="77706421">
      <w:pPr>
        <w:widowControl w:val="0"/>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melakukan konsultasi mendalam dengan dosen pembimbing skripsi untuk mendapatkan arahan dan masukan terkait desain penelitian, instrumen, dan prosedur pelaksanaan. Diskusi juga akan dilakukan dengan kepala sekolah dan guru kelas I yang bersangkutan untuk membahas jadwal pelaksanaan dan teknis implementasi di kelas.</w:t>
      </w:r>
    </w:p>
    <w:p w14:paraId="2DBE34CF">
      <w:pPr>
        <w:widowControl w:val="0"/>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melakukan telaah komprehensif terhadap materi pembelajaran bahasa Indonesia kelas I yang relevan dengan kompetensi dasar membaca permulaan sesuai dengan kurikulum yang berlaku.</w:t>
      </w:r>
    </w:p>
    <w:p w14:paraId="74FCB58C">
      <w:pPr>
        <w:widowControl w:val="0"/>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mengembangkan Rencana Pelaksanaan Pembelajaran (RPP) yang secara rinci mengintegrasikan metode bermain dalam setiap kegiatan pembelajaran membaca permulaan. RPP ini akan mencakup tujuan pembelajaran yang spesifik, langkah-langkah kegiatan bermain yang mendukung pengembangan kemampuan membaca (misalnya, jenis permainan, aturan, dan fokus pembelajaran), materi ajar yang digunakan dalam permainan (misalnya, kartu huruf, kartu kata), alokasi waktu untuk setiap kegiatan, dan metode penilaian.</w:t>
      </w:r>
    </w:p>
    <w:p w14:paraId="1DCDBF96">
      <w:pPr>
        <w:widowControl w:val="0"/>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 akan menyusun instrumen penelitian, yaitu tes kemampuan membaca permulaan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yang valid dan reliabel, serta lembar observasi aktivitas siswa yang jelas dan terstruktur. Proses validasi instrumen tes dapat melibatkan экспертная оценка (expert judgment) dari guru senior atau ahli pendidikan bahasa. Uji coba instrumen tes (jika memungkinkan dengan kelompok siswa yang memiliki karakteristik serupa namun tidak termasuk sampel penelitian) dapat dilakukan untuk mengidentifikasi potensi masalah dan memastikan reliabilitasnya.</w:t>
      </w:r>
    </w:p>
    <w:p w14:paraId="793B9D8D">
      <w:pPr>
        <w:widowControl w:val="0"/>
        <w:numPr>
          <w:ilvl w:val="1"/>
          <w:numId w:val="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Jika diperlukan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xml:space="preserve"> untuk membantu dalam pengumpulan data observasi, peneliti akan memilih individu yang kompeten dan memberikan pelatihan yang memadai mengenai tujuan observasi, aspek-aspek yang perlu diamati, dan cara menggunakan lembar observasi secara objektif dan konsisten.</w:t>
      </w:r>
    </w:p>
    <w:p w14:paraId="7F183609">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Pelaksanaan</w:t>
      </w:r>
    </w:p>
    <w:p w14:paraId="5EDDF55F">
      <w:pPr>
        <w:widowControl w:val="0"/>
        <w:numPr>
          <w:ilvl w:val="1"/>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Sebelum pelaksanaan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peneliti akan memberikan penjelasan singkat kepada siswa kelas I mengenai tujuan penelitian secara umum (tanpa mengungkapkan hipotesis secara spesifik) dan prosedur pelaksanaan tes untuk memotivasi siswa dan mengurangi potensi kecemasan.</w:t>
      </w:r>
    </w:p>
    <w:p w14:paraId="041B3254">
      <w:pPr>
        <w:widowControl w:val="0"/>
        <w:numPr>
          <w:ilvl w:val="1"/>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Pelaksanaan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akan dilakukan dalam kondisi yang tenang dan kondusif di ruang kelas, dengan waktu yang cukup bagi siswa untuk menyelesaikan semua soal. Peneliti akan memastikan siswa memahami instruksi dan mengerjakan tes secara mandiri.</w:t>
      </w:r>
    </w:p>
    <w:p w14:paraId="22667AD0">
      <w:pPr>
        <w:widowControl w:val="0"/>
        <w:numPr>
          <w:ilvl w:val="1"/>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Implementasi perlakuan (pembelajaran membaca permulaan dengan metode bermain) akan dilaksanakan dalam beberapa sesi pembelajaran bahasa Indonesia yang telah dijadwalkan. Setiap sesi akan mengikuti RPP yang telah disusun, dengan peneliti memfasilitasi kegiatan bermain dan memastikan keterkaitan antara aktivitas bermain dengan tujuan pembelajaran membaca permulaan. Peneliti akan menciptakan suasana belajar yang menyenangkan dan interaktif.</w:t>
      </w:r>
    </w:p>
    <w:p w14:paraId="50823D2D">
      <w:pPr>
        <w:widowControl w:val="0"/>
        <w:numPr>
          <w:ilvl w:val="1"/>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Selama sesi pembelajaran dengan metode bermain, peneliti (atau </w:t>
      </w:r>
      <w:r>
        <w:rPr>
          <w:rFonts w:ascii="Times New Roman" w:hAnsi="Times New Roman" w:eastAsia="Times New Roman" w:cs="Times New Roman"/>
          <w:i/>
          <w:iCs/>
          <w:sz w:val="24"/>
          <w:szCs w:val="24"/>
        </w:rPr>
        <w:t>observer</w:t>
      </w:r>
      <w:r>
        <w:rPr>
          <w:rFonts w:ascii="Times New Roman" w:hAnsi="Times New Roman" w:eastAsia="Times New Roman" w:cs="Times New Roman"/>
          <w:sz w:val="24"/>
          <w:szCs w:val="24"/>
        </w:rPr>
        <w:t>) akan melakukan pengamatan sistematis terhadap aktivitas dan keterlibatan siswa menggunakan lembar observasi. Catatan akan dibuat mengenai partisipasi siswa, interaksi sosial, tingkat fokus, respons terhadap metode, dan antusiasme dalam belajar membaca melalui bermain.</w:t>
      </w:r>
    </w:p>
    <w:p w14:paraId="2F71C95B">
      <w:pPr>
        <w:widowControl w:val="0"/>
        <w:numPr>
          <w:ilvl w:val="1"/>
          <w:numId w:val="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Setelah seluruh sesi perlakuan selesai,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diberikan kepada siswa dalam kondisi yang serupa dengan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Peneliti akan kembali memberikan instruksi yang jelas dan memastikan siswa mengerjakan tes secara mandiri.</w:t>
      </w:r>
    </w:p>
    <w:p w14:paraId="3B467203">
      <w:pPr>
        <w:widowControl w:val="0"/>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 Akhir</w:t>
      </w:r>
    </w:p>
    <w:p w14:paraId="1890C1A5">
      <w:pPr>
        <w:widowControl w:val="0"/>
        <w:numPr>
          <w:ilvl w:val="1"/>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 akan mengumpulkan seluruh lembar jawaban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serta lembar observasi.</w:t>
      </w:r>
    </w:p>
    <w:p w14:paraId="0461A7A5">
      <w:pPr>
        <w:widowControl w:val="0"/>
        <w:numPr>
          <w:ilvl w:val="1"/>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tes akan diperiksa dan diberi skor secara objektif berdasarkan pedoman penskoran yang telah ditentukan.</w:t>
      </w:r>
    </w:p>
    <w:p w14:paraId="31690A1B">
      <w:pPr>
        <w:widowControl w:val="0"/>
        <w:numPr>
          <w:ilvl w:val="1"/>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Data kuantitatif dari hasil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akan diolah menggunakan perangkat lunak statistik (misalnya, SPSS) untuk melakukan analisis statistik inferensial. Uji </w:t>
      </w:r>
      <w:r>
        <w:rPr>
          <w:rFonts w:ascii="Times New Roman" w:hAnsi="Times New Roman" w:eastAsia="Times New Roman" w:cs="Times New Roman"/>
          <w:i/>
          <w:iCs/>
          <w:sz w:val="24"/>
          <w:szCs w:val="24"/>
        </w:rPr>
        <w:t>paired t-test</w:t>
      </w:r>
      <w:r>
        <w:rPr>
          <w:rFonts w:ascii="Times New Roman" w:hAnsi="Times New Roman" w:eastAsia="Times New Roman" w:cs="Times New Roman"/>
          <w:sz w:val="24"/>
          <w:szCs w:val="24"/>
        </w:rPr>
        <w:t xml:space="preserve"> akan digunakan untuk membandingkan rata-rata skor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dari kelompok yang sama dan menentukan apakah terdapat perbedaan yang signifikan secara statistik setelah pemberian perlakuan metode bermain. Tingkat signifikansi (p-value) akan dibandingkan dengan tingkat alpha yang telah ditetapkan (misalnya, 0.05) untuk menarik kesimpulan mengenai hipotesis penelitian.</w:t>
      </w:r>
    </w:p>
    <w:p w14:paraId="25B58B3F">
      <w:pPr>
        <w:widowControl w:val="0"/>
        <w:numPr>
          <w:ilvl w:val="1"/>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kualitatif dari lembar observasi akan dianalisis secara deskriptif. Peneliti akan merangkum pola-pola perilaku siswa, tingkat keterlibatan, dan respons mereka terhadap metode bermain selama proses pembelajaran. Kutipan-kutipan observasi yang relevan dapat digunakan untuk memperkuat interpretasi hasil kuantitatif.</w:t>
      </w:r>
    </w:p>
    <w:p w14:paraId="40ABB6C5">
      <w:pPr>
        <w:widowControl w:val="0"/>
        <w:numPr>
          <w:ilvl w:val="1"/>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analisis data kuantitatif dan kualitatif, peneliti akan menarik kesimpulan mengenai efektivitas penerapan metode bermain dalam mengembangkan kemampuan membaca permulaan siswa kelas I SD Negeri 050 Malintang Julu Kabupaten Mandailing Natal Tahun Pembelajaran 2025-2026. Kesimpulan akan didasarkan pada jawaban terhadap rumusan masalah penelitian dan pengujian hipotesis.</w:t>
      </w:r>
    </w:p>
    <w:p w14:paraId="168F76F7">
      <w:pPr>
        <w:widowControl w:val="0"/>
        <w:numPr>
          <w:ilvl w:val="1"/>
          <w:numId w:val="9"/>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Akhirnya, peneliti akan menyusun laporan hasil penelitian dalam bentuk skripsi, yang akan mencakup seluruh tahapan penelitian, deskripsi data yang terkumpul, hasil analisis statistik dan deskriptif, interpretasi hasil, pembahasan yang mengaitkan temuan dengan teori dan penelitian sebelumnya, serta implikasi dan saran untuk penelitian selanjutnya.</w:t>
      </w:r>
    </w:p>
    <w:p w14:paraId="649DCA13">
      <w:pPr>
        <w:pStyle w:val="19"/>
        <w:widowControl w:val="0"/>
        <w:spacing w:before="0" w:beforeAutospacing="0" w:after="0" w:afterAutospacing="0" w:line="480" w:lineRule="auto"/>
        <w:jc w:val="both"/>
      </w:pPr>
    </w:p>
    <w:p w14:paraId="439C4A73">
      <w:pPr>
        <w:widowControl w:val="0"/>
        <w:spacing w:after="0" w:line="480" w:lineRule="auto"/>
        <w:jc w:val="both"/>
        <w:rPr>
          <w:rFonts w:ascii="Times New Roman" w:hAnsi="Times New Roman" w:eastAsia="Times New Roman" w:cs="Times New Roman"/>
          <w:sz w:val="24"/>
          <w:szCs w:val="24"/>
        </w:rPr>
      </w:pPr>
      <w:bookmarkStart w:id="10" w:name="_Hlk195552597"/>
      <w:r>
        <w:rPr>
          <w:rFonts w:ascii="Times New Roman" w:hAnsi="Times New Roman" w:eastAsia="Times New Roman" w:cs="Times New Roman"/>
          <w:b/>
          <w:bCs/>
          <w:sz w:val="24"/>
          <w:szCs w:val="24"/>
        </w:rPr>
        <w:t>3.9 Teknik Analisis Data</w:t>
      </w:r>
    </w:p>
    <w:bookmarkEnd w:id="10"/>
    <w:p w14:paraId="5DE0E84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Untuk menganalisis data yang diperoleh dari penelitian ini, akan digunakan kombinasi analisis statistik deskriptif dan inferensial. Data utama yang akan dianalisis adalah skor kemampuan membaca permulaan siswa yang diperoleh dari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(sebelum perlakuan)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(setelah perlakuan). Tujuan utama dari analisis ini adalah untuk menentukan apakah terdapat perbedaan yang signifikan antara kemampuan membaca permulaan siswa sebelum dan sesudah diterapkannya metode bermain sebagai strategi pembelajaran. Pertanyaan sentral yang akan dijawab melalui analisis ini adalah apakah penerapan metode bermain memberikan pengaruh yang positif terhadap pengembangan kemampuan membaca permulaan siswa kelas I SD Negeri 050 Malintang Julu.</w:t>
      </w:r>
    </w:p>
    <w:p w14:paraId="183B0B96">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Pengujian perbedaan kemampuan membaca permulaan akan difokuskan pada perbandingan nilai rata-rata (</w:t>
      </w:r>
      <w:r>
        <w:rPr>
          <w:rFonts w:ascii="Times New Roman" w:hAnsi="Times New Roman" w:eastAsia="Times New Roman" w:cs="Times New Roman"/>
          <w:i/>
          <w:iCs/>
          <w:sz w:val="24"/>
          <w:szCs w:val="24"/>
        </w:rPr>
        <w:t>mean</w:t>
      </w:r>
      <w:r>
        <w:rPr>
          <w:rFonts w:ascii="Times New Roman" w:hAnsi="Times New Roman" w:eastAsia="Times New Roman" w:cs="Times New Roman"/>
          <w:sz w:val="24"/>
          <w:szCs w:val="24"/>
        </w:rPr>
        <w:t xml:space="preserve">) yang diperoleh siswa pada </w:t>
      </w:r>
      <w:r>
        <w:rPr>
          <w:rFonts w:ascii="Times New Roman" w:hAnsi="Times New Roman" w:eastAsia="Times New Roman" w:cs="Times New Roman"/>
          <w:i/>
          <w:iCs/>
          <w:sz w:val="24"/>
          <w:szCs w:val="24"/>
        </w:rPr>
        <w:t>pretest</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posttest</w:t>
      </w:r>
      <w:r>
        <w:rPr>
          <w:rFonts w:ascii="Times New Roman" w:hAnsi="Times New Roman" w:eastAsia="Times New Roman" w:cs="Times New Roman"/>
          <w:sz w:val="24"/>
          <w:szCs w:val="24"/>
        </w:rPr>
        <w:t xml:space="preserve">. Untuk keperluan pengujian perbedaan ini, teknik statistik inferensial yang akan digunakan adalah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berpasangan (</w:t>
      </w:r>
      <w:r>
        <w:rPr>
          <w:rFonts w:ascii="Times New Roman" w:hAnsi="Times New Roman" w:eastAsia="Times New Roman" w:cs="Times New Roman"/>
          <w:i/>
          <w:iCs/>
          <w:sz w:val="24"/>
          <w:szCs w:val="24"/>
        </w:rPr>
        <w:t>paired t-test</w:t>
      </w:r>
      <w:r>
        <w:rPr>
          <w:rFonts w:ascii="Times New Roman" w:hAnsi="Times New Roman" w:eastAsia="Times New Roman" w:cs="Times New Roman"/>
          <w:sz w:val="24"/>
          <w:szCs w:val="24"/>
        </w:rPr>
        <w:t xml:space="preserve">). Uji ini dipilih karena data yang dibandingkan berasal dari kelompok sampel yang sama yang diukur pada dua waktu yang berbeda (sebelum dan sesudah perlakuan). Dengan demikian, langkah-langkah analisis data eksperimen dengan desain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xml:space="preserve"> adalah sebagai berikut:</w:t>
      </w:r>
    </w:p>
    <w:p w14:paraId="2C384AA4">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Statistik Deskriptif</w:t>
      </w:r>
    </w:p>
    <w:p w14:paraId="0694448E">
      <w:pPr>
        <w:widowControl w:val="0"/>
        <w:spacing w:after="0" w:line="480" w:lineRule="auto"/>
        <w:ind w:left="720"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Statistik deskriptif akan digunakan untuk memberikan gambaran umum mengenai karakteristik data yang terkumpul selama proses penelitian. Analisis ini akan menyajikan ringkasan data kuantitatif dalam bentuk yang mudah dipahami. Langkah-langkah dalam analisis deskriptif ini adalah sebagai berikut:</w:t>
      </w:r>
    </w:p>
    <w:p w14:paraId="17C53890">
      <w:pPr>
        <w:widowControl w:val="0"/>
        <w:numPr>
          <w:ilvl w:val="1"/>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Menghitung Rata-rata (</w:t>
      </w:r>
      <w:r>
        <w:rPr>
          <w:rFonts w:ascii="Times New Roman" w:hAnsi="Times New Roman" w:eastAsia="Times New Roman" w:cs="Times New Roman"/>
          <w:i/>
          <w:iCs/>
          <w:sz w:val="24"/>
          <w:szCs w:val="24"/>
        </w:rPr>
        <w:t>Mean</w:t>
      </w:r>
      <w:r>
        <w:rPr>
          <w:rFonts w:ascii="Times New Roman" w:hAnsi="Times New Roman" w:eastAsia="Times New Roman" w:cs="Times New Roman"/>
          <w:sz w:val="24"/>
          <w:szCs w:val="24"/>
        </w:rPr>
        <w:t>)</w:t>
      </w:r>
    </w:p>
    <w:p w14:paraId="12CCF78A">
      <w:pPr>
        <w:widowControl w:val="0"/>
        <w:spacing w:after="0" w:line="480" w:lineRule="auto"/>
        <w:ind w:left="1418" w:firstLine="425"/>
        <w:jc w:val="both"/>
        <w:rPr>
          <w:rFonts w:ascii="Times New Roman" w:hAnsi="Times New Roman" w:eastAsia="Times New Roman"/>
          <w:sz w:val="24"/>
          <w:szCs w:val="24"/>
        </w:rPr>
      </w:pPr>
      <w:r>
        <w:rPr>
          <w:rFonts w:ascii="Times New Roman" w:hAnsi="Times New Roman" w:eastAsia="Times New Roman"/>
          <w:sz w:val="24"/>
          <w:szCs w:val="24"/>
        </w:rPr>
        <w:t xml:space="preserve">Rata-rata skor </w:t>
      </w:r>
      <w:r>
        <w:rPr>
          <w:rFonts w:ascii="Times New Roman" w:hAnsi="Times New Roman" w:eastAsia="Times New Roman"/>
          <w:i/>
          <w:iCs/>
          <w:sz w:val="24"/>
          <w:szCs w:val="24"/>
        </w:rPr>
        <w:t>pretest</w:t>
      </w:r>
      <w:r>
        <w:rPr>
          <w:rFonts w:ascii="Times New Roman" w:hAnsi="Times New Roman" w:eastAsia="Times New Roman"/>
          <w:sz w:val="24"/>
          <w:szCs w:val="24"/>
        </w:rPr>
        <w:t xml:space="preserve"> dan </w:t>
      </w:r>
      <w:r>
        <w:rPr>
          <w:rFonts w:ascii="Times New Roman" w:hAnsi="Times New Roman" w:eastAsia="Times New Roman"/>
          <w:i/>
          <w:iCs/>
          <w:sz w:val="24"/>
          <w:szCs w:val="24"/>
        </w:rPr>
        <w:t>posttest</w:t>
      </w:r>
      <w:r>
        <w:rPr>
          <w:rFonts w:ascii="Times New Roman" w:hAnsi="Times New Roman" w:eastAsia="Times New Roman"/>
          <w:sz w:val="24"/>
          <w:szCs w:val="24"/>
        </w:rPr>
        <w:t xml:space="preserve"> akan dihitung untuk mengetahui tendensi sentral dari kemampuan membaca permulaan siswa sebelum dan sesudah perlakuan. Rumus rata-rata (</w:t>
      </w:r>
      <w:r>
        <w:rPr>
          <w:rFonts w:ascii="Times New Roman" w:hAnsi="Times New Roman" w:eastAsia="Times New Roman"/>
          <w:i/>
          <w:iCs/>
          <w:sz w:val="24"/>
          <w:szCs w:val="24"/>
        </w:rPr>
        <w:t>mean</w:t>
      </w:r>
      <w:r>
        <w:rPr>
          <w:rFonts w:ascii="Times New Roman" w:hAnsi="Times New Roman" w:eastAsia="Times New Roman"/>
          <w:sz w:val="24"/>
          <w:szCs w:val="24"/>
        </w:rPr>
        <w:t xml:space="preserve">) adalah: </w:t>
      </w:r>
    </w:p>
    <w:p w14:paraId="56770710">
      <w:pPr>
        <w:widowControl w:val="0"/>
        <w:spacing w:after="0" w:line="480" w:lineRule="auto"/>
        <w:ind w:left="1418" w:firstLine="425"/>
        <w:jc w:val="both"/>
        <w:rPr>
          <w:rFonts w:ascii="Times New Roman" w:hAnsi="Times New Roman" w:eastAsia="Times New Roman"/>
          <w:sz w:val="24"/>
          <w:szCs w:val="24"/>
        </w:rPr>
      </w:pPr>
      <m:oMathPara>
        <m:oMath>
          <m:acc>
            <m:accPr>
              <m:chr m:val="̅"/>
              <m:ctrlPr>
                <w:rPr>
                  <w:rFonts w:ascii="Cambria Math" w:hAnsi="Cambria Math" w:eastAsia="Times New Roman"/>
                  <w:i/>
                  <w:sz w:val="24"/>
                  <w:szCs w:val="24"/>
                </w:rPr>
              </m:ctrlPr>
            </m:accPr>
            <m:e>
              <m:r>
                <m:rPr/>
                <w:rPr>
                  <w:rFonts w:ascii="Cambria Math" w:hAnsi="Cambria Math" w:eastAsia="Times New Roman"/>
                  <w:sz w:val="24"/>
                  <w:szCs w:val="24"/>
                </w:rPr>
                <m:t>x</m:t>
              </m:r>
              <m:ctrlPr>
                <w:rPr>
                  <w:rFonts w:ascii="Cambria Math" w:hAnsi="Cambria Math" w:eastAsia="Times New Roman"/>
                  <w:i/>
                  <w:sz w:val="24"/>
                  <w:szCs w:val="24"/>
                </w:rPr>
              </m:ctrlPr>
            </m:e>
          </m:acc>
          <m:r>
            <m:rPr/>
            <w:rPr>
              <w:rFonts w:ascii="Cambria Math" w:hAnsi="Cambria Math" w:eastAsia="Times New Roman"/>
              <w:sz w:val="24"/>
              <w:szCs w:val="24"/>
            </w:rPr>
            <m:t>=</m:t>
          </m:r>
          <m:f>
            <m:fPr>
              <m:ctrlPr>
                <w:rPr>
                  <w:rFonts w:ascii="Cambria Math" w:hAnsi="Cambria Math" w:eastAsia="Times New Roman"/>
                  <w:i/>
                  <w:sz w:val="24"/>
                  <w:szCs w:val="24"/>
                </w:rPr>
              </m:ctrlPr>
            </m:fPr>
            <m:num>
              <m:nary>
                <m:naryPr>
                  <m:chr m:val="∑"/>
                  <m:grow m:val="1"/>
                  <m:limLoc m:val="subSup"/>
                  <m:ctrlPr>
                    <w:rPr>
                      <w:rFonts w:ascii="Cambria Math" w:hAnsi="Cambria Math" w:eastAsia="Times New Roman"/>
                      <w:i/>
                      <w:sz w:val="24"/>
                      <w:szCs w:val="24"/>
                    </w:rPr>
                  </m:ctrlPr>
                </m:naryPr>
                <m:sub>
                  <m:r>
                    <m:rPr/>
                    <w:rPr>
                      <w:rFonts w:ascii="Cambria Math" w:hAnsi="Cambria Math" w:eastAsia="Times New Roman"/>
                      <w:sz w:val="24"/>
                      <w:szCs w:val="24"/>
                    </w:rPr>
                    <m:t>i=1</m:t>
                  </m:r>
                  <m:ctrlPr>
                    <w:rPr>
                      <w:rFonts w:ascii="Cambria Math" w:hAnsi="Cambria Math" w:eastAsia="Times New Roman"/>
                      <w:i/>
                      <w:sz w:val="24"/>
                      <w:szCs w:val="24"/>
                    </w:rPr>
                  </m:ctrlPr>
                </m:sub>
                <m:sup>
                  <m:r>
                    <m:rPr/>
                    <w:rPr>
                      <w:rFonts w:ascii="Cambria Math" w:hAnsi="Cambria Math" w:eastAsia="Times New Roman"/>
                      <w:sz w:val="24"/>
                      <w:szCs w:val="24"/>
                    </w:rPr>
                    <m:t>n</m:t>
                  </m:r>
                  <m:ctrlPr>
                    <w:rPr>
                      <w:rFonts w:ascii="Cambria Math" w:hAnsi="Cambria Math" w:eastAsia="Times New Roman"/>
                      <w:i/>
                      <w:sz w:val="24"/>
                      <w:szCs w:val="24"/>
                    </w:rPr>
                  </m:ctrlPr>
                </m:sup>
                <m:e>
                  <m:sSub>
                    <m:sSubPr>
                      <m:ctrlPr>
                        <w:rPr>
                          <w:rFonts w:ascii="Cambria Math" w:hAnsi="Cambria Math" w:eastAsia="Times New Roman"/>
                          <w:i/>
                          <w:sz w:val="24"/>
                          <w:szCs w:val="24"/>
                        </w:rPr>
                      </m:ctrlPr>
                    </m:sSubPr>
                    <m:e>
                      <m:r>
                        <m:rPr/>
                        <w:rPr>
                          <w:rFonts w:ascii="Cambria Math" w:hAnsi="Cambria Math" w:eastAsia="Times New Roman"/>
                          <w:sz w:val="24"/>
                          <w:szCs w:val="24"/>
                        </w:rPr>
                        <m:t>x</m:t>
                      </m:r>
                      <m:ctrlPr>
                        <w:rPr>
                          <w:rFonts w:ascii="Cambria Math" w:hAnsi="Cambria Math" w:eastAsia="Times New Roman"/>
                          <w:i/>
                          <w:sz w:val="24"/>
                          <w:szCs w:val="24"/>
                        </w:rPr>
                      </m:ctrlPr>
                    </m:e>
                    <m:sub>
                      <m:r>
                        <m:rPr/>
                        <w:rPr>
                          <w:rFonts w:ascii="Cambria Math" w:hAnsi="Cambria Math" w:eastAsia="Times New Roman"/>
                          <w:sz w:val="24"/>
                          <w:szCs w:val="24"/>
                        </w:rPr>
                        <m:t>i</m:t>
                      </m:r>
                      <m:ctrlPr>
                        <w:rPr>
                          <w:rFonts w:ascii="Cambria Math" w:hAnsi="Cambria Math" w:eastAsia="Times New Roman"/>
                          <w:i/>
                          <w:sz w:val="24"/>
                          <w:szCs w:val="24"/>
                        </w:rPr>
                      </m:ctrlPr>
                    </m:sub>
                  </m:sSub>
                  <m:ctrlPr>
                    <w:rPr>
                      <w:rFonts w:ascii="Cambria Math" w:hAnsi="Cambria Math" w:eastAsia="Times New Roman"/>
                      <w:i/>
                      <w:sz w:val="24"/>
                      <w:szCs w:val="24"/>
                    </w:rPr>
                  </m:ctrlPr>
                </m:e>
              </m:nary>
              <m:ctrlPr>
                <w:rPr>
                  <w:rFonts w:ascii="Cambria Math" w:hAnsi="Cambria Math" w:eastAsia="Times New Roman"/>
                  <w:i/>
                  <w:sz w:val="24"/>
                  <w:szCs w:val="24"/>
                </w:rPr>
              </m:ctrlPr>
            </m:num>
            <m:den>
              <m:r>
                <m:rPr/>
                <w:rPr>
                  <w:rFonts w:ascii="Cambria Math" w:hAnsi="Cambria Math" w:eastAsia="Times New Roman"/>
                  <w:sz w:val="24"/>
                  <w:szCs w:val="24"/>
                </w:rPr>
                <m:t>n</m:t>
              </m:r>
              <m:ctrlPr>
                <w:rPr>
                  <w:rFonts w:ascii="Cambria Math" w:hAnsi="Cambria Math" w:eastAsia="Times New Roman"/>
                  <w:i/>
                  <w:sz w:val="24"/>
                  <w:szCs w:val="24"/>
                </w:rPr>
              </m:ctrlPr>
            </m:den>
          </m:f>
        </m:oMath>
      </m:oMathPara>
    </w:p>
    <w:p w14:paraId="05FB66D4">
      <w:pPr>
        <w:widowControl w:val="0"/>
        <w:spacing w:after="0" w:line="480" w:lineRule="auto"/>
        <w:ind w:left="1418" w:firstLine="425"/>
        <w:jc w:val="right"/>
        <w:rPr>
          <w:rFonts w:ascii="Times New Roman" w:hAnsi="Times New Roman" w:eastAsia="Times New Roman"/>
          <w:sz w:val="24"/>
          <w:szCs w:val="24"/>
        </w:rPr>
      </w:pPr>
      <w:r>
        <w:rPr>
          <w:rFonts w:ascii="Times New Roman" w:hAnsi="Times New Roman" w:eastAsia="Times New Roman"/>
          <w:sz w:val="24"/>
          <w:szCs w:val="24"/>
        </w:rPr>
        <w:t xml:space="preserve">(Arif Tiro, 2008: 120) </w:t>
      </w:r>
      <w:r>
        <w:rPr>
          <w:rFonts w:ascii="Times New Roman" w:hAnsi="Times New Roman" w:eastAsia="Times New Roman"/>
          <w:sz w:val="24"/>
          <w:szCs w:val="24"/>
        </w:rPr>
        <w:tab/>
      </w:r>
    </w:p>
    <w:p w14:paraId="60DBECBD">
      <w:pPr>
        <w:widowControl w:val="0"/>
        <w:spacing w:after="0" w:line="480" w:lineRule="auto"/>
        <w:ind w:left="1440" w:firstLine="545"/>
        <w:jc w:val="both"/>
        <w:rPr>
          <w:rFonts w:ascii="Times New Roman" w:hAnsi="Times New Roman" w:eastAsia="Times New Roman"/>
          <w:sz w:val="24"/>
          <w:szCs w:val="24"/>
        </w:rPr>
      </w:pPr>
      <w:r>
        <w:rPr>
          <w:rFonts w:ascii="Times New Roman" w:hAnsi="Times New Roman" w:eastAsia="Times New Roman"/>
          <w:sz w:val="24"/>
          <w:szCs w:val="24"/>
        </w:rPr>
        <w:t>Menurut Arif Tiro (2008: 120), rata-rata merupakan ukuran pemusatan data yang paling sering digunakan dan memberikan gambaran umum nilai tipikal dalam suatu kelompok data.</w:t>
      </w:r>
    </w:p>
    <w:p w14:paraId="58AE4DBE">
      <w:pPr>
        <w:widowControl w:val="0"/>
        <w:spacing w:after="0" w:line="480" w:lineRule="auto"/>
        <w:ind w:left="1440" w:firstLine="545"/>
        <w:jc w:val="both"/>
        <w:rPr>
          <w:rFonts w:ascii="Times New Roman" w:hAnsi="Times New Roman" w:eastAsia="Times New Roman"/>
          <w:sz w:val="24"/>
          <w:szCs w:val="24"/>
        </w:rPr>
      </w:pPr>
    </w:p>
    <w:p w14:paraId="02F2E1AA">
      <w:pPr>
        <w:widowControl w:val="0"/>
        <w:numPr>
          <w:ilvl w:val="1"/>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Menghitung Persentase Peningkatan Nilai Rata-rata</w:t>
      </w:r>
    </w:p>
    <w:p w14:paraId="635B52C6">
      <w:pPr>
        <w:widowControl w:val="0"/>
        <w:spacing w:after="0" w:line="480" w:lineRule="auto"/>
        <w:ind w:left="1418" w:firstLine="425"/>
        <w:jc w:val="both"/>
        <w:rPr>
          <w:rFonts w:ascii="Times New Roman" w:hAnsi="Times New Roman" w:eastAsia="Times New Roman"/>
          <w:sz w:val="24"/>
          <w:szCs w:val="24"/>
        </w:rPr>
      </w:pPr>
      <w:r>
        <w:rPr>
          <w:rFonts w:ascii="Times New Roman" w:hAnsi="Times New Roman" w:eastAsia="Times New Roman"/>
          <w:sz w:val="24"/>
          <w:szCs w:val="24"/>
        </w:rPr>
        <w:t xml:space="preserve">Untuk melihat secara proporsional peningkatan kemampuan membaca permulaan, persentase peningkatan nilai rata-rata dari </w:t>
      </w:r>
      <w:r>
        <w:rPr>
          <w:rFonts w:ascii="Times New Roman" w:hAnsi="Times New Roman" w:eastAsia="Times New Roman"/>
          <w:i/>
          <w:iCs/>
          <w:sz w:val="24"/>
          <w:szCs w:val="24"/>
        </w:rPr>
        <w:t>pretest</w:t>
      </w:r>
      <w:r>
        <w:rPr>
          <w:rFonts w:ascii="Times New Roman" w:hAnsi="Times New Roman" w:eastAsia="Times New Roman"/>
          <w:sz w:val="24"/>
          <w:szCs w:val="24"/>
        </w:rPr>
        <w:t xml:space="preserve"> ke </w:t>
      </w:r>
      <w:r>
        <w:rPr>
          <w:rFonts w:ascii="Times New Roman" w:hAnsi="Times New Roman" w:eastAsia="Times New Roman"/>
          <w:i/>
          <w:iCs/>
          <w:sz w:val="24"/>
          <w:szCs w:val="24"/>
        </w:rPr>
        <w:t>posttest</w:t>
      </w:r>
      <w:r>
        <w:rPr>
          <w:rFonts w:ascii="Times New Roman" w:hAnsi="Times New Roman" w:eastAsia="Times New Roman"/>
          <w:sz w:val="24"/>
          <w:szCs w:val="24"/>
        </w:rPr>
        <w:t xml:space="preserve"> akan dihitung menggunakan rumus: </w:t>
      </w:r>
    </w:p>
    <w:p w14:paraId="6B046BC6">
      <w:pPr>
        <w:widowControl w:val="0"/>
        <w:spacing w:after="0" w:line="480" w:lineRule="auto"/>
        <w:ind w:left="1418" w:firstLine="425"/>
        <w:jc w:val="both"/>
        <w:rPr>
          <w:rFonts w:ascii="Times New Roman" w:hAnsi="Times New Roman" w:eastAsia="Times New Roman"/>
          <w:sz w:val="24"/>
          <w:szCs w:val="24"/>
        </w:rPr>
      </w:pPr>
      <m:oMathPara>
        <m:oMath>
          <m:r>
            <m:rPr/>
            <w:rPr>
              <w:rFonts w:ascii="Cambria Math" w:hAnsi="Cambria Math" w:eastAsia="Times New Roman"/>
              <w:sz w:val="24"/>
              <w:szCs w:val="24"/>
            </w:rPr>
            <m:t>P=</m:t>
          </m:r>
          <m:f>
            <m:fPr>
              <m:ctrlPr>
                <w:rPr>
                  <w:rFonts w:ascii="Cambria Math" w:hAnsi="Cambria Math" w:eastAsia="Times New Roman"/>
                  <w:i/>
                  <w:sz w:val="24"/>
                  <w:szCs w:val="24"/>
                </w:rPr>
              </m:ctrlPr>
            </m:fPr>
            <m:num>
              <m:r>
                <m:rPr/>
                <w:rPr>
                  <w:rFonts w:ascii="Cambria Math" w:hAnsi="Cambria Math" w:eastAsia="Times New Roman"/>
                  <w:sz w:val="24"/>
                  <w:szCs w:val="24"/>
                </w:rPr>
                <m:t>f</m:t>
              </m:r>
              <m:ctrlPr>
                <w:rPr>
                  <w:rFonts w:ascii="Cambria Math" w:hAnsi="Cambria Math" w:eastAsia="Times New Roman"/>
                  <w:i/>
                  <w:sz w:val="24"/>
                  <w:szCs w:val="24"/>
                </w:rPr>
              </m:ctrlPr>
            </m:num>
            <m:den>
              <m:r>
                <m:rPr/>
                <w:rPr>
                  <w:rFonts w:ascii="Cambria Math" w:hAnsi="Cambria Math" w:eastAsia="Times New Roman"/>
                  <w:sz w:val="24"/>
                  <w:szCs w:val="24"/>
                </w:rPr>
                <m:t>N×100%</m:t>
              </m:r>
              <m:ctrlPr>
                <w:rPr>
                  <w:rFonts w:ascii="Cambria Math" w:hAnsi="Cambria Math" w:eastAsia="Times New Roman"/>
                  <w:i/>
                  <w:sz w:val="24"/>
                  <w:szCs w:val="24"/>
                </w:rPr>
              </m:ctrlPr>
            </m:den>
          </m:f>
        </m:oMath>
      </m:oMathPara>
    </w:p>
    <w:p w14:paraId="1D9E7756">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Dimana: </w:t>
      </w:r>
    </w:p>
    <w:p w14:paraId="15FA6AB2">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P = Persentase peningkatan </w:t>
      </w:r>
    </w:p>
    <w:p w14:paraId="027ADBDC">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f  = frekuensi yang dicari persentasenya </w:t>
      </w:r>
    </w:p>
    <w:p w14:paraId="7015F34A">
      <w:pPr>
        <w:widowControl w:val="0"/>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ab/>
      </w:r>
      <w:r>
        <w:rPr>
          <w:rFonts w:ascii="Times New Roman" w:hAnsi="Times New Roman" w:eastAsia="Times New Roman"/>
          <w:sz w:val="24"/>
          <w:szCs w:val="24"/>
        </w:rPr>
        <w:t>N = Banyaknya sampel responden.</w:t>
      </w:r>
    </w:p>
    <w:p w14:paraId="6746DF2D">
      <w:pPr>
        <w:widowControl w:val="0"/>
        <w:spacing w:after="0" w:line="480" w:lineRule="auto"/>
        <w:ind w:left="1418"/>
        <w:jc w:val="both"/>
        <w:rPr>
          <w:rFonts w:ascii="Times New Roman" w:hAnsi="Times New Roman" w:eastAsia="Times New Roman"/>
          <w:sz w:val="24"/>
          <w:szCs w:val="24"/>
        </w:rPr>
      </w:pPr>
    </w:p>
    <w:p w14:paraId="299D1882">
      <w:pPr>
        <w:widowControl w:val="0"/>
        <w:numPr>
          <w:ilvl w:val="1"/>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Mengategorikan Tingkat Penguasaan Materi</w:t>
      </w:r>
    </w:p>
    <w:p w14:paraId="053A1292">
      <w:pPr>
        <w:widowControl w:val="0"/>
        <w:spacing w:after="0" w:line="480" w:lineRule="auto"/>
        <w:ind w:left="1418" w:firstLine="567"/>
        <w:jc w:val="both"/>
        <w:rPr>
          <w:rFonts w:ascii="Times New Roman" w:hAnsi="Times New Roman" w:eastAsia="Times New Roman"/>
          <w:sz w:val="24"/>
          <w:szCs w:val="24"/>
        </w:rPr>
      </w:pPr>
      <w:r>
        <w:rPr>
          <w:rFonts w:ascii="Times New Roman" w:hAnsi="Times New Roman" w:eastAsia="Times New Roman"/>
          <w:sz w:val="24"/>
          <w:szCs w:val="24"/>
        </w:rPr>
        <w:t xml:space="preserve">Untuk memberikan interpretasi terhadap tingkat kemampuan membaca permulaan siswa, nilai rata-rata </w:t>
      </w:r>
      <w:r>
        <w:rPr>
          <w:rFonts w:ascii="Times New Roman" w:hAnsi="Times New Roman" w:eastAsia="Times New Roman"/>
          <w:i/>
          <w:iCs/>
          <w:sz w:val="24"/>
          <w:szCs w:val="24"/>
        </w:rPr>
        <w:t>pretest</w:t>
      </w:r>
      <w:r>
        <w:rPr>
          <w:rFonts w:ascii="Times New Roman" w:hAnsi="Times New Roman" w:eastAsia="Times New Roman"/>
          <w:sz w:val="24"/>
          <w:szCs w:val="24"/>
        </w:rPr>
        <w:t xml:space="preserve"> dan </w:t>
      </w:r>
      <w:r>
        <w:rPr>
          <w:rFonts w:ascii="Times New Roman" w:hAnsi="Times New Roman" w:eastAsia="Times New Roman"/>
          <w:i/>
          <w:iCs/>
          <w:sz w:val="24"/>
          <w:szCs w:val="24"/>
        </w:rPr>
        <w:t>posttest</w:t>
      </w:r>
      <w:r>
        <w:rPr>
          <w:rFonts w:ascii="Times New Roman" w:hAnsi="Times New Roman" w:eastAsia="Times New Roman"/>
          <w:sz w:val="24"/>
          <w:szCs w:val="24"/>
        </w:rPr>
        <w:t xml:space="preserve"> akan dikategorikan berdasarkan kriteria tingkat penguasaan materi yang dicanangkan oleh Depdikbud (2003) yang disajikan dalam tabel berikut:</w:t>
      </w:r>
    </w:p>
    <w:p w14:paraId="77EE10AB">
      <w:pPr>
        <w:widowControl w:val="0"/>
        <w:spacing w:after="0" w:line="480" w:lineRule="auto"/>
        <w:jc w:val="center"/>
        <w:rPr>
          <w:rFonts w:ascii="Times New Roman" w:hAnsi="Times New Roman" w:eastAsia="Times New Roman"/>
          <w:sz w:val="24"/>
          <w:szCs w:val="24"/>
        </w:rPr>
      </w:pPr>
      <w:r>
        <w:rPr>
          <w:rFonts w:ascii="Times New Roman" w:hAnsi="Times New Roman" w:eastAsia="Times New Roman"/>
          <w:sz w:val="24"/>
          <w:szCs w:val="24"/>
        </w:rPr>
        <w:t>Tabel 4</w:t>
      </w:r>
    </w:p>
    <w:p w14:paraId="0481F5EC">
      <w:pPr>
        <w:widowControl w:val="0"/>
        <w:spacing w:after="0" w:line="480" w:lineRule="auto"/>
        <w:jc w:val="center"/>
        <w:rPr>
          <w:rFonts w:ascii="Times New Roman" w:hAnsi="Times New Roman" w:eastAsia="Times New Roman"/>
          <w:sz w:val="24"/>
          <w:szCs w:val="24"/>
        </w:rPr>
      </w:pPr>
      <w:r>
        <w:rPr>
          <w:rFonts w:ascii="Times New Roman" w:hAnsi="Times New Roman" w:eastAsia="Times New Roman"/>
          <w:sz w:val="24"/>
          <w:szCs w:val="24"/>
        </w:rPr>
        <w:t>Tingkat Penguasaan Materi</w:t>
      </w:r>
    </w:p>
    <w:tbl>
      <w:tblPr>
        <w:tblStyle w:val="348"/>
        <w:tblW w:w="6465" w:type="dxa"/>
        <w:jc w:val="center"/>
        <w:tblLayout w:type="autofit"/>
        <w:tblCellMar>
          <w:top w:w="21" w:type="dxa"/>
          <w:left w:w="108" w:type="dxa"/>
          <w:bottom w:w="0" w:type="dxa"/>
          <w:right w:w="115" w:type="dxa"/>
        </w:tblCellMar>
      </w:tblPr>
      <w:tblGrid>
        <w:gridCol w:w="3671"/>
        <w:gridCol w:w="2794"/>
      </w:tblGrid>
      <w:tr w14:paraId="0D4EEFFE">
        <w:tblPrEx>
          <w:tblCellMar>
            <w:top w:w="21" w:type="dxa"/>
            <w:left w:w="108" w:type="dxa"/>
            <w:bottom w:w="0" w:type="dxa"/>
            <w:right w:w="115" w:type="dxa"/>
          </w:tblCellMar>
        </w:tblPrEx>
        <w:trPr>
          <w:trHeight w:val="617"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22C5C2D0">
            <w:pPr>
              <w:spacing w:after="0" w:line="259" w:lineRule="auto"/>
              <w:jc w:val="center"/>
              <w:rPr>
                <w:rFonts w:ascii="Times New Roman" w:hAnsi="Times New Roman" w:cs="Times New Roman"/>
                <w:sz w:val="24"/>
                <w:szCs w:val="24"/>
              </w:rPr>
            </w:pPr>
            <w:r>
              <w:rPr>
                <w:rFonts w:ascii="Times New Roman" w:hAnsi="Times New Roman" w:cs="Times New Roman"/>
                <w:b/>
                <w:sz w:val="24"/>
                <w:szCs w:val="24"/>
              </w:rPr>
              <w:t>Tingkat Penguasaan %</w:t>
            </w:r>
          </w:p>
        </w:tc>
        <w:tc>
          <w:tcPr>
            <w:tcW w:w="2794" w:type="dxa"/>
            <w:tcBorders>
              <w:top w:val="single" w:color="000000" w:sz="4" w:space="0"/>
              <w:left w:val="single" w:color="000000" w:sz="4" w:space="0"/>
              <w:bottom w:val="single" w:color="000000" w:sz="4" w:space="0"/>
              <w:right w:val="single" w:color="000000" w:sz="4" w:space="0"/>
            </w:tcBorders>
            <w:vAlign w:val="center"/>
          </w:tcPr>
          <w:p w14:paraId="17CF7883">
            <w:pPr>
              <w:spacing w:after="0" w:line="259" w:lineRule="auto"/>
              <w:ind w:left="2"/>
              <w:jc w:val="center"/>
              <w:rPr>
                <w:rFonts w:ascii="Times New Roman" w:hAnsi="Times New Roman" w:cs="Times New Roman"/>
                <w:sz w:val="24"/>
                <w:szCs w:val="24"/>
              </w:rPr>
            </w:pPr>
            <w:r>
              <w:rPr>
                <w:rFonts w:ascii="Times New Roman" w:hAnsi="Times New Roman" w:cs="Times New Roman"/>
                <w:b/>
                <w:sz w:val="24"/>
                <w:szCs w:val="24"/>
              </w:rPr>
              <w:t>Kategori Hasil Belajar</w:t>
            </w:r>
          </w:p>
        </w:tc>
      </w:tr>
      <w:tr w14:paraId="73905CD6">
        <w:tblPrEx>
          <w:tblCellMar>
            <w:top w:w="21" w:type="dxa"/>
            <w:left w:w="108" w:type="dxa"/>
            <w:bottom w:w="0" w:type="dxa"/>
            <w:right w:w="115" w:type="dxa"/>
          </w:tblCellMar>
        </w:tblPrEx>
        <w:trPr>
          <w:trHeight w:val="550"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285991CE">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0-40</w:t>
            </w:r>
          </w:p>
        </w:tc>
        <w:tc>
          <w:tcPr>
            <w:tcW w:w="2794" w:type="dxa"/>
            <w:tcBorders>
              <w:top w:val="single" w:color="000000" w:sz="4" w:space="0"/>
              <w:left w:val="single" w:color="000000" w:sz="4" w:space="0"/>
              <w:bottom w:val="single" w:color="000000" w:sz="4" w:space="0"/>
              <w:right w:val="single" w:color="000000" w:sz="4" w:space="0"/>
            </w:tcBorders>
            <w:vAlign w:val="center"/>
          </w:tcPr>
          <w:p w14:paraId="0F3B5DF6">
            <w:pPr>
              <w:spacing w:after="0" w:line="259" w:lineRule="auto"/>
              <w:ind w:left="1"/>
              <w:jc w:val="center"/>
              <w:rPr>
                <w:rFonts w:ascii="Times New Roman" w:hAnsi="Times New Roman" w:cs="Times New Roman"/>
                <w:sz w:val="24"/>
                <w:szCs w:val="24"/>
              </w:rPr>
            </w:pPr>
            <w:r>
              <w:rPr>
                <w:rFonts w:ascii="Times New Roman" w:hAnsi="Times New Roman" w:cs="Times New Roman"/>
                <w:sz w:val="24"/>
                <w:szCs w:val="24"/>
              </w:rPr>
              <w:t>Sangat rendah</w:t>
            </w:r>
          </w:p>
        </w:tc>
      </w:tr>
      <w:tr w14:paraId="0F2A04AD">
        <w:tblPrEx>
          <w:tblCellMar>
            <w:top w:w="21" w:type="dxa"/>
            <w:left w:w="108" w:type="dxa"/>
            <w:bottom w:w="0" w:type="dxa"/>
            <w:right w:w="115" w:type="dxa"/>
          </w:tblCellMar>
        </w:tblPrEx>
        <w:trPr>
          <w:trHeight w:val="504"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04467FF9">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45-55</w:t>
            </w:r>
          </w:p>
        </w:tc>
        <w:tc>
          <w:tcPr>
            <w:tcW w:w="2794" w:type="dxa"/>
            <w:tcBorders>
              <w:top w:val="single" w:color="000000" w:sz="4" w:space="0"/>
              <w:left w:val="single" w:color="000000" w:sz="4" w:space="0"/>
              <w:bottom w:val="single" w:color="000000" w:sz="4" w:space="0"/>
              <w:right w:val="single" w:color="000000" w:sz="4" w:space="0"/>
            </w:tcBorders>
            <w:vAlign w:val="center"/>
          </w:tcPr>
          <w:p w14:paraId="1FA81B3F">
            <w:pPr>
              <w:spacing w:after="0" w:line="259" w:lineRule="auto"/>
              <w:ind w:left="4"/>
              <w:jc w:val="center"/>
              <w:rPr>
                <w:rFonts w:ascii="Times New Roman" w:hAnsi="Times New Roman" w:cs="Times New Roman"/>
                <w:sz w:val="24"/>
                <w:szCs w:val="24"/>
              </w:rPr>
            </w:pPr>
            <w:r>
              <w:rPr>
                <w:rFonts w:ascii="Times New Roman" w:hAnsi="Times New Roman" w:cs="Times New Roman"/>
                <w:sz w:val="24"/>
                <w:szCs w:val="24"/>
              </w:rPr>
              <w:t>Rendah</w:t>
            </w:r>
          </w:p>
        </w:tc>
      </w:tr>
      <w:tr w14:paraId="53A30341">
        <w:tblPrEx>
          <w:tblCellMar>
            <w:top w:w="21" w:type="dxa"/>
            <w:left w:w="108" w:type="dxa"/>
            <w:bottom w:w="0" w:type="dxa"/>
            <w:right w:w="115" w:type="dxa"/>
          </w:tblCellMar>
        </w:tblPrEx>
        <w:trPr>
          <w:trHeight w:val="584"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5A020A95">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60-69</w:t>
            </w:r>
          </w:p>
        </w:tc>
        <w:tc>
          <w:tcPr>
            <w:tcW w:w="2794" w:type="dxa"/>
            <w:tcBorders>
              <w:top w:val="single" w:color="000000" w:sz="4" w:space="0"/>
              <w:left w:val="single" w:color="000000" w:sz="4" w:space="0"/>
              <w:bottom w:val="single" w:color="000000" w:sz="4" w:space="0"/>
              <w:right w:val="single" w:color="000000" w:sz="4" w:space="0"/>
            </w:tcBorders>
            <w:vAlign w:val="center"/>
          </w:tcPr>
          <w:p w14:paraId="1B5CD6A4">
            <w:pPr>
              <w:spacing w:after="0" w:line="259" w:lineRule="auto"/>
              <w:ind w:left="6"/>
              <w:jc w:val="center"/>
              <w:rPr>
                <w:rFonts w:ascii="Times New Roman" w:hAnsi="Times New Roman" w:cs="Times New Roman"/>
                <w:sz w:val="24"/>
                <w:szCs w:val="24"/>
              </w:rPr>
            </w:pPr>
            <w:r>
              <w:rPr>
                <w:rFonts w:ascii="Times New Roman" w:hAnsi="Times New Roman" w:cs="Times New Roman"/>
                <w:sz w:val="24"/>
                <w:szCs w:val="24"/>
              </w:rPr>
              <w:t>Sedang</w:t>
            </w:r>
          </w:p>
        </w:tc>
      </w:tr>
      <w:tr w14:paraId="57B1C002">
        <w:tblPrEx>
          <w:tblCellMar>
            <w:top w:w="21" w:type="dxa"/>
            <w:left w:w="108" w:type="dxa"/>
            <w:bottom w:w="0" w:type="dxa"/>
            <w:right w:w="115" w:type="dxa"/>
          </w:tblCellMar>
        </w:tblPrEx>
        <w:trPr>
          <w:trHeight w:val="454"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2FC0BEDD">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70-80</w:t>
            </w:r>
          </w:p>
        </w:tc>
        <w:tc>
          <w:tcPr>
            <w:tcW w:w="2794" w:type="dxa"/>
            <w:tcBorders>
              <w:top w:val="single" w:color="000000" w:sz="4" w:space="0"/>
              <w:left w:val="single" w:color="000000" w:sz="4" w:space="0"/>
              <w:bottom w:val="single" w:color="000000" w:sz="4" w:space="0"/>
              <w:right w:val="single" w:color="000000" w:sz="4" w:space="0"/>
            </w:tcBorders>
            <w:vAlign w:val="center"/>
          </w:tcPr>
          <w:p w14:paraId="1066ED7E">
            <w:pPr>
              <w:spacing w:after="0" w:line="259" w:lineRule="auto"/>
              <w:ind w:left="1"/>
              <w:jc w:val="center"/>
              <w:rPr>
                <w:rFonts w:ascii="Times New Roman" w:hAnsi="Times New Roman" w:cs="Times New Roman"/>
                <w:sz w:val="24"/>
                <w:szCs w:val="24"/>
              </w:rPr>
            </w:pPr>
            <w:r>
              <w:rPr>
                <w:rFonts w:ascii="Times New Roman" w:hAnsi="Times New Roman" w:cs="Times New Roman"/>
                <w:sz w:val="24"/>
                <w:szCs w:val="24"/>
              </w:rPr>
              <w:t>Tinggi</w:t>
            </w:r>
          </w:p>
        </w:tc>
      </w:tr>
      <w:tr w14:paraId="092DE2E9">
        <w:tblPrEx>
          <w:tblCellMar>
            <w:top w:w="21" w:type="dxa"/>
            <w:left w:w="108" w:type="dxa"/>
            <w:bottom w:w="0" w:type="dxa"/>
            <w:right w:w="115" w:type="dxa"/>
          </w:tblCellMar>
        </w:tblPrEx>
        <w:trPr>
          <w:trHeight w:val="446" w:hRule="atLeast"/>
          <w:jc w:val="center"/>
        </w:trPr>
        <w:tc>
          <w:tcPr>
            <w:tcW w:w="3671" w:type="dxa"/>
            <w:tcBorders>
              <w:top w:val="single" w:color="000000" w:sz="4" w:space="0"/>
              <w:left w:val="single" w:color="000000" w:sz="4" w:space="0"/>
              <w:bottom w:val="single" w:color="000000" w:sz="4" w:space="0"/>
              <w:right w:val="single" w:color="000000" w:sz="4" w:space="0"/>
            </w:tcBorders>
            <w:vAlign w:val="center"/>
          </w:tcPr>
          <w:p w14:paraId="591FE045">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85-100</w:t>
            </w:r>
          </w:p>
        </w:tc>
        <w:tc>
          <w:tcPr>
            <w:tcW w:w="2794" w:type="dxa"/>
            <w:tcBorders>
              <w:top w:val="single" w:color="000000" w:sz="4" w:space="0"/>
              <w:left w:val="single" w:color="000000" w:sz="4" w:space="0"/>
              <w:bottom w:val="single" w:color="000000" w:sz="4" w:space="0"/>
              <w:right w:val="single" w:color="000000" w:sz="4" w:space="0"/>
            </w:tcBorders>
            <w:vAlign w:val="center"/>
          </w:tcPr>
          <w:p w14:paraId="36EBA536">
            <w:pPr>
              <w:spacing w:after="0" w:line="259" w:lineRule="auto"/>
              <w:ind w:left="3"/>
              <w:jc w:val="center"/>
              <w:rPr>
                <w:rFonts w:ascii="Times New Roman" w:hAnsi="Times New Roman" w:cs="Times New Roman"/>
                <w:sz w:val="24"/>
                <w:szCs w:val="24"/>
              </w:rPr>
            </w:pPr>
            <w:r>
              <w:rPr>
                <w:rFonts w:ascii="Times New Roman" w:hAnsi="Times New Roman" w:cs="Times New Roman"/>
                <w:sz w:val="24"/>
                <w:szCs w:val="24"/>
              </w:rPr>
              <w:t>Sangat Tinggi</w:t>
            </w:r>
          </w:p>
        </w:tc>
      </w:tr>
    </w:tbl>
    <w:p w14:paraId="641E1D3F">
      <w:pPr>
        <w:widowControl w:val="0"/>
        <w:spacing w:after="0" w:line="480" w:lineRule="auto"/>
        <w:ind w:left="1418" w:firstLine="567"/>
        <w:jc w:val="right"/>
        <w:rPr>
          <w:rFonts w:ascii="Times New Roman" w:hAnsi="Times New Roman" w:eastAsia="Times New Roman"/>
          <w:sz w:val="24"/>
          <w:szCs w:val="24"/>
        </w:rPr>
      </w:pPr>
      <w:r>
        <w:rPr>
          <w:rFonts w:ascii="Times New Roman" w:hAnsi="Times New Roman" w:eastAsia="Times New Roman"/>
          <w:sz w:val="24"/>
          <w:szCs w:val="24"/>
        </w:rPr>
        <w:t>Sumber: Depdiknas, 2006</w:t>
      </w:r>
    </w:p>
    <w:p w14:paraId="7254DDB0">
      <w:pPr>
        <w:widowControl w:val="0"/>
        <w:spacing w:after="0" w:line="480" w:lineRule="auto"/>
        <w:ind w:firstLine="851"/>
        <w:jc w:val="both"/>
        <w:rPr>
          <w:rFonts w:ascii="Times New Roman" w:hAnsi="Times New Roman" w:eastAsia="Times New Roman"/>
          <w:sz w:val="24"/>
          <w:szCs w:val="24"/>
        </w:rPr>
      </w:pPr>
      <w:r>
        <w:rPr>
          <w:rFonts w:ascii="Times New Roman" w:hAnsi="Times New Roman" w:eastAsia="Times New Roman"/>
          <w:sz w:val="24"/>
          <w:szCs w:val="24"/>
        </w:rPr>
        <w:t>Kategori ini akan membantu dalam memahami posisi kemampuan membaca permulaan siswa sebelum dan sesudah intervensi.</w:t>
      </w:r>
    </w:p>
    <w:p w14:paraId="13D2FA19">
      <w:pPr>
        <w:widowControl w:val="0"/>
        <w:spacing w:after="0" w:line="480" w:lineRule="auto"/>
        <w:ind w:firstLine="851"/>
        <w:jc w:val="both"/>
        <w:rPr>
          <w:rFonts w:ascii="Times New Roman" w:hAnsi="Times New Roman" w:eastAsia="Times New Roman"/>
          <w:sz w:val="24"/>
          <w:szCs w:val="24"/>
        </w:rPr>
      </w:pPr>
    </w:p>
    <w:p w14:paraId="3CC9A70B">
      <w:pPr>
        <w:widowControl w:val="0"/>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Statistik Inferensial</w:t>
      </w:r>
    </w:p>
    <w:p w14:paraId="1F1A1F7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Analisis statistik inferensial akan digunakan untuk menguji hipotesis penelitian secara statistik, yaitu apakah terdapat pengaruh yang signifikan dari penerapan metode bermain terhadap kemampuan membaca permulaan siswa. Teknik statistik yang akan digunakan adalah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berpasangan (</w:t>
      </w:r>
      <w:r>
        <w:rPr>
          <w:rFonts w:ascii="Times New Roman" w:hAnsi="Times New Roman" w:eastAsia="Times New Roman" w:cs="Times New Roman"/>
          <w:i/>
          <w:iCs/>
          <w:sz w:val="24"/>
          <w:szCs w:val="24"/>
        </w:rPr>
        <w:t>paired t-test</w:t>
      </w:r>
      <w:r>
        <w:rPr>
          <w:rFonts w:ascii="Times New Roman" w:hAnsi="Times New Roman" w:eastAsia="Times New Roman" w:cs="Times New Roman"/>
          <w:sz w:val="24"/>
          <w:szCs w:val="24"/>
        </w:rPr>
        <w:t>). Uji ini sesuai karena kita membandingkan dua set data yang berasal dari kelompok sampel yang sama pada waktu yang berbeda.</w:t>
      </w:r>
    </w:p>
    <w:p w14:paraId="0AB30A9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Analisis statistika inferensial digunakan untuk menguji hipotesis penelitian dengan menggunakan uji-t. Dalam penggunaan statistik inferensial ini peneliti menggunakan teknik statistik t (uji t).Dengan tahapan sebagai berikut : </w:t>
      </w:r>
    </w:p>
    <w:p w14:paraId="11A9ED58">
      <w:pPr>
        <w:widowControl w:val="0"/>
        <w:spacing w:after="0" w:line="240" w:lineRule="auto"/>
        <w:ind w:left="720"/>
        <w:jc w:val="both"/>
        <w:rPr>
          <w:rFonts w:ascii="Times New Roman" w:hAnsi="Times New Roman" w:eastAsia="Times New Roman" w:cs="Times New Roman"/>
          <w:sz w:val="28"/>
          <w:szCs w:val="28"/>
        </w:rPr>
      </w:pPr>
      <m:oMathPara>
        <m:oMath>
          <m:r>
            <m:rPr/>
            <w:rPr>
              <w:rFonts w:ascii="Cambria Math" w:hAnsi="Cambria Math" w:eastAsia="Times New Roman" w:cs="Times New Roman"/>
              <w:sz w:val="28"/>
              <w:szCs w:val="28"/>
            </w:rPr>
            <m:t>t=</m:t>
          </m:r>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Mⅆ</m:t>
              </m:r>
              <m:ctrlPr>
                <w:rPr>
                  <w:rFonts w:ascii="Cambria Math" w:hAnsi="Cambria Math" w:eastAsia="Times New Roman" w:cs="Times New Roman"/>
                  <w:i/>
                  <w:sz w:val="28"/>
                  <w:szCs w:val="28"/>
                </w:rPr>
              </m:ctrlPr>
            </m:num>
            <m:den>
              <m:rad>
                <m:radPr>
                  <m:degHide m:val="1"/>
                  <m:ctrlPr>
                    <w:rPr>
                      <w:rFonts w:ascii="Cambria Math" w:hAnsi="Cambria Math" w:eastAsia="Times New Roman" w:cs="Times New Roman"/>
                      <w:i/>
                      <w:sz w:val="28"/>
                      <w:szCs w:val="28"/>
                    </w:rPr>
                  </m:ctrlPr>
                </m:radPr>
                <m:deg>
                  <m:ctrlPr>
                    <w:rPr>
                      <w:rFonts w:ascii="Cambria Math" w:hAnsi="Cambria Math" w:eastAsia="Times New Roman" w:cs="Times New Roman"/>
                      <w:i/>
                      <w:sz w:val="28"/>
                      <w:szCs w:val="28"/>
                    </w:rPr>
                  </m:ctrlPr>
                </m:deg>
                <m:e>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t>
                      </m:r>
                      <m:sSup>
                        <m:sSupPr>
                          <m:ctrlPr>
                            <w:rPr>
                              <w:rFonts w:ascii="Cambria Math" w:hAnsi="Cambria Math" w:eastAsia="Times New Roman" w:cs="Times New Roman"/>
                              <w:i/>
                              <w:sz w:val="28"/>
                              <w:szCs w:val="28"/>
                            </w:rPr>
                          </m:ctrlPr>
                        </m:sSupPr>
                        <m:e>
                          <m:r>
                            <m:rPr/>
                            <w:rPr>
                              <w:rFonts w:ascii="Cambria Math" w:hAnsi="Cambria Math" w:eastAsia="Times New Roman" w:cs="Times New Roman"/>
                              <w:sz w:val="28"/>
                              <w:szCs w:val="28"/>
                            </w:rPr>
                            <m:t>x</m:t>
                          </m:r>
                          <m:ctrlPr>
                            <w:rPr>
                              <w:rFonts w:ascii="Cambria Math" w:hAnsi="Cambria Math" w:eastAsia="Times New Roman" w:cs="Times New Roman"/>
                              <w:i/>
                              <w:sz w:val="28"/>
                              <w:szCs w:val="28"/>
                            </w:rPr>
                          </m:ctrlPr>
                        </m:e>
                        <m:sup>
                          <m:r>
                            <m:rPr/>
                            <w:rPr>
                              <w:rFonts w:ascii="Cambria Math" w:hAnsi="Cambria Math" w:eastAsia="Times New Roman" w:cs="Times New Roman"/>
                              <w:sz w:val="28"/>
                              <w:szCs w:val="28"/>
                            </w:rPr>
                            <m:t>2</m:t>
                          </m:r>
                          <m:ctrlPr>
                            <w:rPr>
                              <w:rFonts w:ascii="Cambria Math" w:hAnsi="Cambria Math" w:eastAsia="Times New Roman" w:cs="Times New Roman"/>
                              <w:i/>
                              <w:sz w:val="28"/>
                              <w:szCs w:val="28"/>
                            </w:rPr>
                          </m:ctrlPr>
                        </m:sup>
                      </m:sSup>
                      <m:r>
                        <m:rPr/>
                        <w:rPr>
                          <w:rFonts w:ascii="Cambria Math" w:hAnsi="Cambria Math" w:eastAsia="Times New Roman" w:cs="Times New Roman"/>
                          <w:sz w:val="28"/>
                          <w:szCs w:val="28"/>
                        </w:rPr>
                        <m:t>d</m:t>
                      </m:r>
                      <m:ctrlPr>
                        <w:rPr>
                          <w:rFonts w:ascii="Cambria Math" w:hAnsi="Cambria Math" w:eastAsia="Times New Roman" w:cs="Times New Roman"/>
                          <w:i/>
                          <w:sz w:val="28"/>
                          <w:szCs w:val="28"/>
                        </w:rPr>
                      </m:ctrlPr>
                    </m:num>
                    <m:den>
                      <m:r>
                        <m:rPr/>
                        <w:rPr>
                          <w:rFonts w:ascii="Cambria Math" w:hAnsi="Cambria Math" w:eastAsia="Times New Roman" w:cs="Times New Roman"/>
                          <w:sz w:val="28"/>
                          <w:szCs w:val="28"/>
                        </w:rPr>
                        <m:t>N</m:t>
                      </m:r>
                      <m:d>
                        <m:dPr>
                          <m:ctrlPr>
                            <w:rPr>
                              <w:rFonts w:ascii="Cambria Math" w:hAnsi="Cambria Math" w:eastAsia="Times New Roman" w:cs="Times New Roman"/>
                              <w:i/>
                              <w:sz w:val="28"/>
                              <w:szCs w:val="28"/>
                            </w:rPr>
                          </m:ctrlPr>
                        </m:dPr>
                        <m:e>
                          <m:r>
                            <m:rPr/>
                            <w:rPr>
                              <w:rFonts w:ascii="Cambria Math" w:hAnsi="Cambria Math" w:eastAsia="Times New Roman" w:cs="Times New Roman"/>
                              <w:sz w:val="28"/>
                              <w:szCs w:val="28"/>
                            </w:rPr>
                            <m:t>N−1</m:t>
                          </m:r>
                          <m:ctrlPr>
                            <w:rPr>
                              <w:rFonts w:ascii="Cambria Math" w:hAnsi="Cambria Math" w:eastAsia="Times New Roman" w:cs="Times New Roman"/>
                              <w:i/>
                              <w:sz w:val="28"/>
                              <w:szCs w:val="28"/>
                            </w:rPr>
                          </m:ctrlPr>
                        </m:e>
                      </m:d>
                      <m:r>
                        <m:rPr/>
                        <w:rPr>
                          <w:rFonts w:ascii="Cambria Math" w:hAnsi="Cambria Math" w:eastAsia="Times New Roman" w:cs="Times New Roman"/>
                          <w:sz w:val="28"/>
                          <w:szCs w:val="28"/>
                        </w:rPr>
                        <m:t xml:space="preserve"> </m:t>
                      </m:r>
                      <m:r>
                        <m:rPr>
                          <m:sty m:val="p"/>
                        </m:rPr>
                        <w:rPr>
                          <w:rFonts w:ascii="Cambria Math" w:hAnsi="Cambria Math" w:eastAsia="Times New Roman" w:cs="Times New Roman"/>
                          <w:sz w:val="28"/>
                          <w:szCs w:val="28"/>
                        </w:rPr>
                        <m:t>t</m:t>
                      </m:r>
                      <m:ctrlPr>
                        <w:rPr>
                          <w:rFonts w:ascii="Cambria Math" w:hAnsi="Cambria Math" w:eastAsia="Times New Roman" w:cs="Times New Roman"/>
                          <w:i/>
                          <w:sz w:val="28"/>
                          <w:szCs w:val="28"/>
                        </w:rPr>
                      </m:ctrlPr>
                    </m:den>
                  </m:f>
                  <m:ctrlPr>
                    <w:rPr>
                      <w:rFonts w:ascii="Cambria Math" w:hAnsi="Cambria Math" w:eastAsia="Times New Roman" w:cs="Times New Roman"/>
                      <w:i/>
                      <w:sz w:val="28"/>
                      <w:szCs w:val="28"/>
                    </w:rPr>
                  </m:ctrlPr>
                </m:e>
              </m:rad>
              <m:ctrlPr>
                <w:rPr>
                  <w:rFonts w:ascii="Cambria Math" w:hAnsi="Cambria Math" w:eastAsia="Times New Roman" w:cs="Times New Roman"/>
                  <w:i/>
                  <w:sz w:val="28"/>
                  <w:szCs w:val="28"/>
                </w:rPr>
              </m:ctrlPr>
            </m:den>
          </m:f>
        </m:oMath>
      </m:oMathPara>
    </w:p>
    <w:p w14:paraId="54758964">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 </w:t>
      </w:r>
    </w:p>
    <w:p w14:paraId="3C24AB5A">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Mean dari perbedaan pretest dan posttest </w:t>
      </w:r>
    </w:p>
    <w:p w14:paraId="65CE765B">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X1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sebelum perlakuan (pretest) </w:t>
      </w:r>
    </w:p>
    <w:p w14:paraId="3C9F7905">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X2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setelah perlakuan (posttest) </w:t>
      </w:r>
    </w:p>
    <w:p w14:paraId="4CF2873D">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Deviasi masing-masing subjek </w:t>
      </w:r>
    </w:p>
    <w:p w14:paraId="0F3B0182">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eastAsia="Times New Roman" w:cs="Times New Roman"/>
            <w:sz w:val="24"/>
            <w:szCs w:val="24"/>
          </w:rPr>
          <m:t>∑</m:t>
        </m:r>
        <m:sSup>
          <m:sSupPr>
            <m:ctrlPr>
              <w:rPr>
                <w:rFonts w:ascii="Cambria Math" w:hAnsi="Cambria Math" w:eastAsia="Times New Roman" w:cs="Times New Roman"/>
                <w:i/>
                <w:sz w:val="24"/>
                <w:szCs w:val="24"/>
              </w:rPr>
            </m:ctrlPr>
          </m:sSup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p>
        <m:r>
          <m:rPr/>
          <w:rPr>
            <w:rFonts w:ascii="Cambria Math" w:hAnsi="Cambria Math" w:eastAsia="Times New Roman" w:cs="Times New Roman"/>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kuadrat deviasi </w:t>
      </w:r>
    </w:p>
    <w:p w14:paraId="65B5A39A">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Subjek pada sampel</w:t>
      </w:r>
    </w:p>
    <w:p w14:paraId="4652F87F">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Langkah-langkah dalam pengujian hipotesis adalah sebagai berikut : </w:t>
      </w:r>
    </w:p>
    <w:p w14:paraId="78140058">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Mencari harga “Md” dengan menggunakan rumus: </w:t>
      </w:r>
    </w:p>
    <w:p w14:paraId="325E2981">
      <w:pPr>
        <w:widowControl w:val="0"/>
        <w:spacing w:after="0" w:line="240" w:lineRule="auto"/>
        <w:ind w:left="720"/>
        <w:jc w:val="center"/>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Md=</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∑d</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oMath>
      </m:oMathPara>
    </w:p>
    <w:p w14:paraId="616B0550">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w:t>
      </w:r>
    </w:p>
    <w:p w14:paraId="61B7CAE4">
      <w:pPr>
        <w:widowControl w:val="0"/>
        <w:tabs>
          <w:tab w:val="left" w:pos="1276"/>
        </w:tabs>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Mean dari perbedaan pretest dengan posttest </w:t>
      </w:r>
    </w:p>
    <w:p w14:paraId="62EF7E31">
      <w:pPr>
        <w:widowControl w:val="0"/>
        <w:tabs>
          <w:tab w:val="left" w:pos="1276"/>
        </w:tabs>
        <w:spacing w:after="0" w:line="480" w:lineRule="auto"/>
        <w:ind w:left="720"/>
        <w:jc w:val="both"/>
        <w:rPr>
          <w:rFonts w:ascii="Times New Roman" w:hAnsi="Times New Roman" w:eastAsia="Times New Roman" w:cs="Times New Roman"/>
          <w:sz w:val="24"/>
          <w:szCs w:val="24"/>
        </w:rPr>
      </w:pPr>
      <m:oMath>
        <m:r>
          <m:rPr/>
          <w:rPr>
            <w:rFonts w:ascii="Cambria Math" w:hAnsi="Cambria Math" w:eastAsia="Times New Roman" w:cs="Times New Roman"/>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dari gain (posttest – pretest) </w:t>
      </w:r>
    </w:p>
    <w:p w14:paraId="18C91730">
      <w:pPr>
        <w:widowControl w:val="0"/>
        <w:tabs>
          <w:tab w:val="left" w:pos="1276"/>
        </w:tabs>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Subjek pada sampel. </w:t>
      </w:r>
    </w:p>
    <w:p w14:paraId="300BB44D">
      <w:pPr>
        <w:widowControl w:val="0"/>
        <w:spacing w:after="0" w:line="480" w:lineRule="auto"/>
        <w:ind w:left="720"/>
        <w:jc w:val="both"/>
        <w:rPr>
          <w:rFonts w:ascii="Times New Roman" w:hAnsi="Times New Roman" w:eastAsia="Times New Roman" w:cs="Times New Roman"/>
          <w:sz w:val="24"/>
          <w:szCs w:val="24"/>
        </w:rPr>
      </w:pPr>
    </w:p>
    <w:p w14:paraId="758B49CD">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 Mencari harga “ </w:t>
      </w:r>
      <m:oMath>
        <m:r>
          <m:rPr/>
          <w:rPr>
            <w:rFonts w:ascii="Cambria Math" w:hAnsi="Cambria Math"/>
            <w:sz w:val="28"/>
            <w:szCs w:val="24"/>
          </w:rPr>
          <m:t>∑</m:t>
        </m:r>
        <m:sSup>
          <m:sSupPr>
            <m:ctrlPr>
              <w:rPr>
                <w:rFonts w:ascii="Cambria Math" w:hAnsi="Cambria Math" w:eastAsia="Times New Roman" w:cs="Times New Roman"/>
                <w:i/>
                <w:color w:val="000000"/>
                <w:sz w:val="28"/>
                <w:szCs w:val="24"/>
              </w:rPr>
            </m:ctrlPr>
          </m:sSupPr>
          <m:e>
            <m:r>
              <m:rPr/>
              <w:rPr>
                <w:rFonts w:ascii="Cambria Math" w:hAnsi="Cambria Math"/>
                <w:sz w:val="28"/>
                <w:szCs w:val="24"/>
              </w:rPr>
              <m:t>X</m:t>
            </m:r>
            <m:ctrlPr>
              <w:rPr>
                <w:rFonts w:ascii="Cambria Math" w:hAnsi="Cambria Math" w:eastAsia="Times New Roman" w:cs="Times New Roman"/>
                <w:i/>
                <w:color w:val="000000"/>
                <w:sz w:val="28"/>
                <w:szCs w:val="24"/>
              </w:rPr>
            </m:ctrlPr>
          </m:e>
          <m:sup>
            <m:r>
              <m:rPr/>
              <w:rPr>
                <w:rFonts w:ascii="Cambria Math" w:hAnsi="Cambria Math"/>
                <w:sz w:val="28"/>
                <w:szCs w:val="24"/>
              </w:rPr>
              <m:t>2</m:t>
            </m:r>
            <m:ctrlPr>
              <w:rPr>
                <w:rFonts w:ascii="Cambria Math" w:hAnsi="Cambria Math" w:eastAsia="Times New Roman" w:cs="Times New Roman"/>
                <w:i/>
                <w:color w:val="000000"/>
                <w:sz w:val="28"/>
                <w:szCs w:val="24"/>
              </w:rPr>
            </m:ctrlPr>
          </m:sup>
        </m:sSup>
        <m:r>
          <m:rPr/>
          <w:rPr>
            <w:rFonts w:ascii="Cambria Math" w:hAnsi="Cambria Math"/>
            <w:sz w:val="28"/>
            <w:szCs w:val="24"/>
          </w:rPr>
          <m:t>d</m:t>
        </m:r>
      </m:oMath>
      <w:r>
        <w:rPr>
          <w:rFonts w:ascii="Times New Roman" w:hAnsi="Times New Roman" w:eastAsia="Times New Roman" w:cs="Times New Roman"/>
          <w:sz w:val="24"/>
          <w:szCs w:val="24"/>
        </w:rPr>
        <w:t xml:space="preserve">” dengan menggunakan rumus: </w:t>
      </w:r>
    </w:p>
    <w:p w14:paraId="67CFDA73">
      <w:pPr>
        <w:spacing w:after="0" w:line="240" w:lineRule="auto"/>
        <w:ind w:right="994"/>
        <w:jc w:val="center"/>
        <w:rPr>
          <w:sz w:val="28"/>
          <w:szCs w:val="24"/>
        </w:rPr>
      </w:pPr>
      <w:r>
        <w:rPr>
          <w:rFonts w:ascii="Times New Roman" w:hAnsi="Times New Roman" w:eastAsia="Times New Roman" w:cs="Times New Roman"/>
          <w:sz w:val="24"/>
          <w:szCs w:val="24"/>
        </w:rPr>
        <w:t xml:space="preserve">  </w:t>
      </w:r>
      <w:r>
        <w:rPr>
          <w:rFonts w:ascii="Cambria Math" w:hAnsi="Cambria Math"/>
          <w:i/>
          <w:sz w:val="28"/>
          <w:szCs w:val="24"/>
        </w:rPr>
        <w:br w:type="textWrapping"/>
      </w:r>
      <m:oMathPara>
        <m:oMath>
          <m:r>
            <m:rPr/>
            <w:rPr>
              <w:rFonts w:ascii="Cambria Math" w:hAnsi="Cambria Math"/>
              <w:sz w:val="28"/>
              <w:szCs w:val="24"/>
            </w:rPr>
            <m:t>∑</m:t>
          </m:r>
          <m:sSup>
            <m:sSupPr>
              <m:ctrlPr>
                <w:rPr>
                  <w:rFonts w:ascii="Cambria Math" w:hAnsi="Cambria Math" w:eastAsia="Times New Roman" w:cs="Times New Roman"/>
                  <w:i/>
                  <w:color w:val="000000"/>
                  <w:sz w:val="28"/>
                  <w:szCs w:val="24"/>
                </w:rPr>
              </m:ctrlPr>
            </m:sSupPr>
            <m:e>
              <m:r>
                <m:rPr/>
                <w:rPr>
                  <w:rFonts w:ascii="Cambria Math" w:hAnsi="Cambria Math"/>
                  <w:sz w:val="28"/>
                  <w:szCs w:val="24"/>
                </w:rPr>
                <m:t>X</m:t>
              </m:r>
              <m:ctrlPr>
                <w:rPr>
                  <w:rFonts w:ascii="Cambria Math" w:hAnsi="Cambria Math" w:eastAsia="Times New Roman" w:cs="Times New Roman"/>
                  <w:i/>
                  <w:color w:val="000000"/>
                  <w:sz w:val="28"/>
                  <w:szCs w:val="24"/>
                </w:rPr>
              </m:ctrlPr>
            </m:e>
            <m:sup>
              <m:r>
                <m:rPr/>
                <w:rPr>
                  <w:rFonts w:ascii="Cambria Math" w:hAnsi="Cambria Math"/>
                  <w:sz w:val="28"/>
                  <w:szCs w:val="24"/>
                </w:rPr>
                <m:t>2</m:t>
              </m:r>
              <m:ctrlPr>
                <w:rPr>
                  <w:rFonts w:ascii="Cambria Math" w:hAnsi="Cambria Math" w:eastAsia="Times New Roman" w:cs="Times New Roman"/>
                  <w:i/>
                  <w:color w:val="000000"/>
                  <w:sz w:val="28"/>
                  <w:szCs w:val="24"/>
                </w:rPr>
              </m:ctrlPr>
            </m:sup>
          </m:sSup>
          <m:r>
            <m:rPr/>
            <w:rPr>
              <w:rFonts w:ascii="Cambria Math" w:hAnsi="Cambria Math"/>
              <w:sz w:val="28"/>
              <w:szCs w:val="24"/>
            </w:rPr>
            <m:t>d=∑d−</m:t>
          </m:r>
          <m:f>
            <m:fPr>
              <m:ctrlPr>
                <w:rPr>
                  <w:rFonts w:ascii="Cambria Math" w:hAnsi="Cambria Math" w:eastAsia="Times New Roman" w:cs="Times New Roman"/>
                  <w:i/>
                  <w:color w:val="000000"/>
                  <w:sz w:val="28"/>
                  <w:szCs w:val="24"/>
                </w:rPr>
              </m:ctrlPr>
            </m:fPr>
            <m:num>
              <m:sSup>
                <m:sSupPr>
                  <m:ctrlPr>
                    <w:rPr>
                      <w:rFonts w:ascii="Cambria Math" w:hAnsi="Cambria Math" w:eastAsia="Times New Roman" w:cs="Times New Roman"/>
                      <w:i/>
                      <w:color w:val="000000"/>
                      <w:sz w:val="28"/>
                      <w:szCs w:val="24"/>
                    </w:rPr>
                  </m:ctrlPr>
                </m:sSupPr>
                <m:e>
                  <m:d>
                    <m:dPr>
                      <m:ctrlPr>
                        <w:rPr>
                          <w:rFonts w:ascii="Cambria Math" w:hAnsi="Cambria Math" w:eastAsia="Times New Roman" w:cs="Times New Roman"/>
                          <w:i/>
                          <w:color w:val="000000"/>
                          <w:sz w:val="28"/>
                          <w:szCs w:val="24"/>
                        </w:rPr>
                      </m:ctrlPr>
                    </m:dPr>
                    <m:e>
                      <m:r>
                        <m:rPr/>
                        <w:rPr>
                          <w:rFonts w:ascii="Cambria Math" w:hAnsi="Cambria Math"/>
                          <w:sz w:val="28"/>
                          <w:szCs w:val="24"/>
                        </w:rPr>
                        <m:t>∑d</m:t>
                      </m:r>
                      <m:ctrlPr>
                        <w:rPr>
                          <w:rFonts w:ascii="Cambria Math" w:hAnsi="Cambria Math" w:eastAsia="Times New Roman" w:cs="Times New Roman"/>
                          <w:i/>
                          <w:color w:val="000000"/>
                          <w:sz w:val="28"/>
                          <w:szCs w:val="24"/>
                        </w:rPr>
                      </m:ctrlPr>
                    </m:e>
                  </m:d>
                  <m:ctrlPr>
                    <w:rPr>
                      <w:rFonts w:ascii="Cambria Math" w:hAnsi="Cambria Math" w:eastAsia="Times New Roman" w:cs="Times New Roman"/>
                      <w:i/>
                      <w:color w:val="000000"/>
                      <w:sz w:val="28"/>
                      <w:szCs w:val="24"/>
                    </w:rPr>
                  </m:ctrlPr>
                </m:e>
                <m:sup>
                  <m:r>
                    <m:rPr/>
                    <w:rPr>
                      <w:rFonts w:ascii="Cambria Math" w:hAnsi="Cambria Math"/>
                      <w:sz w:val="28"/>
                      <w:szCs w:val="24"/>
                    </w:rPr>
                    <m:t>2</m:t>
                  </m:r>
                  <m:ctrlPr>
                    <w:rPr>
                      <w:rFonts w:ascii="Cambria Math" w:hAnsi="Cambria Math" w:eastAsia="Times New Roman" w:cs="Times New Roman"/>
                      <w:i/>
                      <w:color w:val="000000"/>
                      <w:sz w:val="28"/>
                      <w:szCs w:val="24"/>
                    </w:rPr>
                  </m:ctrlPr>
                </m:sup>
              </m:sSup>
              <m:ctrlPr>
                <w:rPr>
                  <w:rFonts w:ascii="Cambria Math" w:hAnsi="Cambria Math" w:eastAsia="Times New Roman" w:cs="Times New Roman"/>
                  <w:i/>
                  <w:color w:val="000000"/>
                  <w:sz w:val="28"/>
                  <w:szCs w:val="24"/>
                </w:rPr>
              </m:ctrlPr>
            </m:num>
            <m:den>
              <m:r>
                <m:rPr/>
                <w:rPr>
                  <w:rFonts w:ascii="Cambria Math" w:hAnsi="Cambria Math"/>
                  <w:sz w:val="28"/>
                  <w:szCs w:val="24"/>
                </w:rPr>
                <m:t>N</m:t>
              </m:r>
              <m:ctrlPr>
                <w:rPr>
                  <w:rFonts w:ascii="Cambria Math" w:hAnsi="Cambria Math" w:eastAsia="Times New Roman" w:cs="Times New Roman"/>
                  <w:i/>
                  <w:color w:val="000000"/>
                  <w:sz w:val="28"/>
                  <w:szCs w:val="24"/>
                </w:rPr>
              </m:ctrlPr>
            </m:den>
          </m:f>
        </m:oMath>
      </m:oMathPara>
    </w:p>
    <w:p w14:paraId="7B9B349B">
      <w:pPr>
        <w:widowControl w:val="0"/>
        <w:spacing w:after="0" w:line="480" w:lineRule="auto"/>
        <w:ind w:left="720"/>
        <w:jc w:val="both"/>
        <w:rPr>
          <w:rFonts w:ascii="Times New Roman" w:hAnsi="Times New Roman" w:eastAsia="Times New Roman" w:cs="Times New Roman"/>
          <w:sz w:val="24"/>
          <w:szCs w:val="24"/>
        </w:rPr>
      </w:pPr>
    </w:p>
    <w:p w14:paraId="0C3E1752">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 </w:t>
      </w:r>
    </w:p>
    <w:p w14:paraId="451165C0">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sz w:val="24"/>
            <w:szCs w:val="24"/>
          </w:rPr>
          <m:t>∑</m:t>
        </m:r>
        <m:sSup>
          <m:sSupPr>
            <m:ctrlPr>
              <w:rPr>
                <w:rFonts w:ascii="Cambria Math" w:hAnsi="Cambria Math" w:eastAsia="Times New Roman" w:cs="Times New Roman"/>
                <w:i/>
                <w:color w:val="000000"/>
                <w:sz w:val="24"/>
                <w:szCs w:val="24"/>
              </w:rPr>
            </m:ctrlPr>
          </m:sSupPr>
          <m:e>
            <m:r>
              <m:rPr/>
              <w:rPr>
                <w:rFonts w:ascii="Cambria Math" w:hAnsi="Cambria Math"/>
                <w:sz w:val="24"/>
                <w:szCs w:val="24"/>
              </w:rPr>
              <m:t>X</m:t>
            </m:r>
            <m:ctrlPr>
              <w:rPr>
                <w:rFonts w:ascii="Cambria Math" w:hAnsi="Cambria Math" w:eastAsia="Times New Roman" w:cs="Times New Roman"/>
                <w:i/>
                <w:color w:val="000000"/>
                <w:sz w:val="24"/>
                <w:szCs w:val="24"/>
              </w:rPr>
            </m:ctrlPr>
          </m:e>
          <m:sup>
            <m:r>
              <m:rPr/>
              <w:rPr>
                <w:rFonts w:ascii="Cambria Math" w:hAnsi="Cambria Math"/>
                <w:sz w:val="24"/>
                <w:szCs w:val="24"/>
              </w:rPr>
              <m:t>2</m:t>
            </m:r>
            <m:ctrlPr>
              <w:rPr>
                <w:rFonts w:ascii="Cambria Math" w:hAnsi="Cambria Math" w:eastAsia="Times New Roman" w:cs="Times New Roman"/>
                <w:i/>
                <w:color w:val="000000"/>
                <w:sz w:val="24"/>
                <w:szCs w:val="24"/>
              </w:rPr>
            </m:ctrlPr>
          </m:sup>
        </m:sSup>
        <m:r>
          <m:rPr/>
          <w:rPr>
            <w:rFonts w:ascii="Cambria Math" w:hAnsi="Cambria Math"/>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kuadrat deviasi </w:t>
      </w:r>
    </w:p>
    <w:p w14:paraId="47796319">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dari gain (post test – pre test) </w:t>
      </w:r>
    </w:p>
    <w:p w14:paraId="16C4D28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subjek pada sampel. </w:t>
      </w:r>
      <w:r>
        <w:rPr>
          <w:rFonts w:ascii="Times New Roman" w:hAnsi="Times New Roman" w:eastAsia="Times New Roman" w:cs="Times New Roman"/>
          <w:sz w:val="24"/>
          <w:szCs w:val="24"/>
        </w:rPr>
        <w:tab/>
      </w:r>
    </w:p>
    <w:p w14:paraId="17C5917A">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 Mentukan harga t Hitung  dengan menggunakan rumus: </w:t>
      </w:r>
    </w:p>
    <w:p w14:paraId="6AF4DB8D">
      <w:pPr>
        <w:widowControl w:val="0"/>
        <w:spacing w:after="0" w:line="240" w:lineRule="auto"/>
        <w:ind w:left="720"/>
        <w:jc w:val="both"/>
        <w:rPr>
          <w:rFonts w:ascii="Times New Roman" w:hAnsi="Times New Roman" w:eastAsia="Times New Roman" w:cs="Times New Roman"/>
          <w:sz w:val="28"/>
          <w:szCs w:val="28"/>
        </w:rPr>
      </w:pPr>
      <m:oMathPara>
        <m:oMath>
          <m:r>
            <m:rPr/>
            <w:rPr>
              <w:rFonts w:ascii="Cambria Math" w:hAnsi="Cambria Math" w:eastAsia="Times New Roman" w:cs="Times New Roman"/>
              <w:sz w:val="28"/>
              <w:szCs w:val="28"/>
            </w:rPr>
            <m:t>t=</m:t>
          </m:r>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Mⅆ</m:t>
              </m:r>
              <m:ctrlPr>
                <w:rPr>
                  <w:rFonts w:ascii="Cambria Math" w:hAnsi="Cambria Math" w:eastAsia="Times New Roman" w:cs="Times New Roman"/>
                  <w:i/>
                  <w:sz w:val="28"/>
                  <w:szCs w:val="28"/>
                </w:rPr>
              </m:ctrlPr>
            </m:num>
            <m:den>
              <m:rad>
                <m:radPr>
                  <m:degHide m:val="1"/>
                  <m:ctrlPr>
                    <w:rPr>
                      <w:rFonts w:ascii="Cambria Math" w:hAnsi="Cambria Math" w:eastAsia="Times New Roman" w:cs="Times New Roman"/>
                      <w:i/>
                      <w:sz w:val="28"/>
                      <w:szCs w:val="28"/>
                    </w:rPr>
                  </m:ctrlPr>
                </m:radPr>
                <m:deg>
                  <m:ctrlPr>
                    <w:rPr>
                      <w:rFonts w:ascii="Cambria Math" w:hAnsi="Cambria Math" w:eastAsia="Times New Roman" w:cs="Times New Roman"/>
                      <w:i/>
                      <w:sz w:val="28"/>
                      <w:szCs w:val="28"/>
                    </w:rPr>
                  </m:ctrlPr>
                </m:deg>
                <m:e>
                  <m:f>
                    <m:fPr>
                      <m:ctrlPr>
                        <w:rPr>
                          <w:rFonts w:ascii="Cambria Math" w:hAnsi="Cambria Math" w:eastAsia="Times New Roman" w:cs="Times New Roman"/>
                          <w:i/>
                          <w:sz w:val="28"/>
                          <w:szCs w:val="28"/>
                        </w:rPr>
                      </m:ctrlPr>
                    </m:fPr>
                    <m:num>
                      <m:r>
                        <m:rPr/>
                        <w:rPr>
                          <w:rFonts w:ascii="Cambria Math" w:hAnsi="Cambria Math" w:eastAsia="Times New Roman" w:cs="Times New Roman"/>
                          <w:sz w:val="28"/>
                          <w:szCs w:val="28"/>
                        </w:rPr>
                        <m:t>∑</m:t>
                      </m:r>
                      <m:sSup>
                        <m:sSupPr>
                          <m:ctrlPr>
                            <w:rPr>
                              <w:rFonts w:ascii="Cambria Math" w:hAnsi="Cambria Math" w:eastAsia="Times New Roman" w:cs="Times New Roman"/>
                              <w:i/>
                              <w:sz w:val="28"/>
                              <w:szCs w:val="28"/>
                            </w:rPr>
                          </m:ctrlPr>
                        </m:sSupPr>
                        <m:e>
                          <m:r>
                            <m:rPr/>
                            <w:rPr>
                              <w:rFonts w:ascii="Cambria Math" w:hAnsi="Cambria Math" w:eastAsia="Times New Roman" w:cs="Times New Roman"/>
                              <w:sz w:val="28"/>
                              <w:szCs w:val="28"/>
                            </w:rPr>
                            <m:t>x</m:t>
                          </m:r>
                          <m:ctrlPr>
                            <w:rPr>
                              <w:rFonts w:ascii="Cambria Math" w:hAnsi="Cambria Math" w:eastAsia="Times New Roman" w:cs="Times New Roman"/>
                              <w:i/>
                              <w:sz w:val="28"/>
                              <w:szCs w:val="28"/>
                            </w:rPr>
                          </m:ctrlPr>
                        </m:e>
                        <m:sup>
                          <m:r>
                            <m:rPr/>
                            <w:rPr>
                              <w:rFonts w:ascii="Cambria Math" w:hAnsi="Cambria Math" w:eastAsia="Times New Roman" w:cs="Times New Roman"/>
                              <w:sz w:val="28"/>
                              <w:szCs w:val="28"/>
                            </w:rPr>
                            <m:t>2</m:t>
                          </m:r>
                          <m:ctrlPr>
                            <w:rPr>
                              <w:rFonts w:ascii="Cambria Math" w:hAnsi="Cambria Math" w:eastAsia="Times New Roman" w:cs="Times New Roman"/>
                              <w:i/>
                              <w:sz w:val="28"/>
                              <w:szCs w:val="28"/>
                            </w:rPr>
                          </m:ctrlPr>
                        </m:sup>
                      </m:sSup>
                      <m:r>
                        <m:rPr/>
                        <w:rPr>
                          <w:rFonts w:ascii="Cambria Math" w:hAnsi="Cambria Math" w:eastAsia="Times New Roman" w:cs="Times New Roman"/>
                          <w:sz w:val="28"/>
                          <w:szCs w:val="28"/>
                        </w:rPr>
                        <m:t>d</m:t>
                      </m:r>
                      <m:ctrlPr>
                        <w:rPr>
                          <w:rFonts w:ascii="Cambria Math" w:hAnsi="Cambria Math" w:eastAsia="Times New Roman" w:cs="Times New Roman"/>
                          <w:i/>
                          <w:sz w:val="28"/>
                          <w:szCs w:val="28"/>
                        </w:rPr>
                      </m:ctrlPr>
                    </m:num>
                    <m:den>
                      <m:r>
                        <m:rPr/>
                        <w:rPr>
                          <w:rFonts w:ascii="Cambria Math" w:hAnsi="Cambria Math" w:eastAsia="Times New Roman" w:cs="Times New Roman"/>
                          <w:sz w:val="28"/>
                          <w:szCs w:val="28"/>
                        </w:rPr>
                        <m:t>N</m:t>
                      </m:r>
                      <m:d>
                        <m:dPr>
                          <m:ctrlPr>
                            <w:rPr>
                              <w:rFonts w:ascii="Cambria Math" w:hAnsi="Cambria Math" w:eastAsia="Times New Roman" w:cs="Times New Roman"/>
                              <w:i/>
                              <w:sz w:val="28"/>
                              <w:szCs w:val="28"/>
                            </w:rPr>
                          </m:ctrlPr>
                        </m:dPr>
                        <m:e>
                          <m:r>
                            <m:rPr/>
                            <w:rPr>
                              <w:rFonts w:ascii="Cambria Math" w:hAnsi="Cambria Math" w:eastAsia="Times New Roman" w:cs="Times New Roman"/>
                              <w:sz w:val="28"/>
                              <w:szCs w:val="28"/>
                            </w:rPr>
                            <m:t>N−1</m:t>
                          </m:r>
                          <m:ctrlPr>
                            <w:rPr>
                              <w:rFonts w:ascii="Cambria Math" w:hAnsi="Cambria Math" w:eastAsia="Times New Roman" w:cs="Times New Roman"/>
                              <w:i/>
                              <w:sz w:val="28"/>
                              <w:szCs w:val="28"/>
                            </w:rPr>
                          </m:ctrlPr>
                        </m:e>
                      </m:d>
                      <m:r>
                        <m:rPr/>
                        <w:rPr>
                          <w:rFonts w:ascii="Cambria Math" w:hAnsi="Cambria Math" w:eastAsia="Times New Roman" w:cs="Times New Roman"/>
                          <w:sz w:val="28"/>
                          <w:szCs w:val="28"/>
                        </w:rPr>
                        <m:t xml:space="preserve"> </m:t>
                      </m:r>
                      <m:r>
                        <m:rPr>
                          <m:sty m:val="p"/>
                        </m:rPr>
                        <w:rPr>
                          <w:rFonts w:ascii="Cambria Math" w:hAnsi="Cambria Math" w:eastAsia="Times New Roman" w:cs="Times New Roman"/>
                          <w:sz w:val="28"/>
                          <w:szCs w:val="28"/>
                        </w:rPr>
                        <m:t>t</m:t>
                      </m:r>
                      <m:ctrlPr>
                        <w:rPr>
                          <w:rFonts w:ascii="Cambria Math" w:hAnsi="Cambria Math" w:eastAsia="Times New Roman" w:cs="Times New Roman"/>
                          <w:i/>
                          <w:sz w:val="28"/>
                          <w:szCs w:val="28"/>
                        </w:rPr>
                      </m:ctrlPr>
                    </m:den>
                  </m:f>
                  <m:ctrlPr>
                    <w:rPr>
                      <w:rFonts w:ascii="Cambria Math" w:hAnsi="Cambria Math" w:eastAsia="Times New Roman" w:cs="Times New Roman"/>
                      <w:i/>
                      <w:sz w:val="28"/>
                      <w:szCs w:val="28"/>
                    </w:rPr>
                  </m:ctrlPr>
                </m:e>
              </m:rad>
              <m:ctrlPr>
                <w:rPr>
                  <w:rFonts w:ascii="Cambria Math" w:hAnsi="Cambria Math" w:eastAsia="Times New Roman" w:cs="Times New Roman"/>
                  <w:i/>
                  <w:sz w:val="28"/>
                  <w:szCs w:val="28"/>
                </w:rPr>
              </m:ctrlPr>
            </m:den>
          </m:f>
        </m:oMath>
      </m:oMathPara>
    </w:p>
    <w:p w14:paraId="280A71CD">
      <w:pPr>
        <w:widowControl w:val="0"/>
        <w:spacing w:after="0" w:line="480" w:lineRule="auto"/>
        <w:ind w:left="720"/>
        <w:jc w:val="both"/>
        <w:rPr>
          <w:rFonts w:ascii="Times New Roman" w:hAnsi="Times New Roman" w:eastAsia="Times New Roman" w:cs="Times New Roman"/>
          <w:sz w:val="24"/>
          <w:szCs w:val="24"/>
        </w:rPr>
      </w:pPr>
    </w:p>
    <w:p w14:paraId="4E97B24C">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 </w:t>
      </w:r>
    </w:p>
    <w:p w14:paraId="2C9FFF94">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Mean dari perbedaan pretest dan posttest </w:t>
      </w:r>
    </w:p>
    <w:p w14:paraId="111C8ECF">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X1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sebelum perlakuan (pretest) </w:t>
      </w:r>
    </w:p>
    <w:p w14:paraId="0F9F5DF7">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X2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Hasil belajar setelah perlakuan (posttest) </w:t>
      </w:r>
    </w:p>
    <w:p w14:paraId="6FE47A22">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Deviasi masing-masing subjek </w:t>
      </w:r>
    </w:p>
    <w:p w14:paraId="101E5CEB">
      <w:pPr>
        <w:widowControl w:val="0"/>
        <w:spacing w:after="0" w:line="480" w:lineRule="auto"/>
        <w:ind w:left="720"/>
        <w:jc w:val="both"/>
        <w:rPr>
          <w:rFonts w:ascii="Times New Roman" w:hAnsi="Times New Roman" w:eastAsia="Times New Roman" w:cs="Times New Roman"/>
          <w:sz w:val="24"/>
          <w:szCs w:val="24"/>
        </w:rPr>
      </w:pPr>
      <m:oMath>
        <m:r>
          <m:rPr/>
          <w:rPr>
            <w:rFonts w:ascii="Cambria Math" w:hAnsi="Cambria Math" w:eastAsia="Times New Roman" w:cs="Times New Roman"/>
            <w:sz w:val="24"/>
            <w:szCs w:val="24"/>
          </w:rPr>
          <m:t>∑</m:t>
        </m:r>
        <m:sSup>
          <m:sSupPr>
            <m:ctrlPr>
              <w:rPr>
                <w:rFonts w:ascii="Cambria Math" w:hAnsi="Cambria Math" w:eastAsia="Times New Roman" w:cs="Times New Roman"/>
                <w:i/>
                <w:sz w:val="24"/>
                <w:szCs w:val="24"/>
              </w:rPr>
            </m:ctrlPr>
          </m:sSupPr>
          <m:e>
            <m:r>
              <m:rPr/>
              <w:rPr>
                <w:rFonts w:ascii="Cambria Math" w:hAnsi="Cambria Math" w:eastAsia="Times New Roman" w:cs="Times New Roman"/>
                <w:sz w:val="24"/>
                <w:szCs w:val="24"/>
              </w:rPr>
              <m:t>x</m:t>
            </m:r>
            <m:ctrlPr>
              <w:rPr>
                <w:rFonts w:ascii="Cambria Math" w:hAnsi="Cambria Math" w:eastAsia="Times New Roman" w:cs="Times New Roman"/>
                <w:i/>
                <w:sz w:val="24"/>
                <w:szCs w:val="24"/>
              </w:rPr>
            </m:ctrlPr>
          </m:e>
          <m:sup>
            <m:r>
              <m:rPr/>
              <w:rPr>
                <w:rFonts w:ascii="Cambria Math" w:hAnsi="Cambria Math" w:eastAsia="Times New Roman" w:cs="Times New Roman"/>
                <w:sz w:val="24"/>
                <w:szCs w:val="24"/>
              </w:rPr>
              <m:t>2</m:t>
            </m:r>
            <m:ctrlPr>
              <w:rPr>
                <w:rFonts w:ascii="Cambria Math" w:hAnsi="Cambria Math" w:eastAsia="Times New Roman" w:cs="Times New Roman"/>
                <w:i/>
                <w:sz w:val="24"/>
                <w:szCs w:val="24"/>
              </w:rPr>
            </m:ctrlPr>
          </m:sup>
        </m:sSup>
        <m:r>
          <m:rPr/>
          <w:rPr>
            <w:rFonts w:ascii="Cambria Math" w:hAnsi="Cambria Math" w:eastAsia="Times New Roman" w:cs="Times New Roman"/>
            <w:sz w:val="24"/>
            <w:szCs w:val="24"/>
          </w:rPr>
          <m:t>d</m:t>
        </m:r>
      </m:oMath>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Jumlah kuadrat deviasi </w:t>
      </w:r>
    </w:p>
    <w:p w14:paraId="2F1935B8">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Subjek pada sampel</w:t>
      </w:r>
    </w:p>
    <w:p w14:paraId="60209EAE">
      <w:pPr>
        <w:widowControl w:val="0"/>
        <w:spacing w:after="0" w:line="480" w:lineRule="auto"/>
        <w:ind w:left="720"/>
        <w:jc w:val="both"/>
        <w:rPr>
          <w:rFonts w:ascii="Times New Roman" w:hAnsi="Times New Roman" w:eastAsia="Times New Roman" w:cs="Times New Roman"/>
          <w:sz w:val="24"/>
          <w:szCs w:val="24"/>
        </w:rPr>
      </w:pPr>
    </w:p>
    <w:p w14:paraId="4EDB6942">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 Menentukan Derajat Kebebasan (</w:t>
      </w:r>
      <w:r>
        <w:rPr>
          <w:rFonts w:ascii="Times New Roman" w:hAnsi="Times New Roman" w:eastAsia="Times New Roman" w:cs="Times New Roman"/>
          <w:i/>
          <w:iCs/>
          <w:sz w:val="24"/>
          <w:szCs w:val="24"/>
        </w:rPr>
        <w:t>Degrees of Freedom</w:t>
      </w:r>
      <w:r>
        <w:rPr>
          <w:rFonts w:ascii="Times New Roman" w:hAnsi="Times New Roman" w:eastAsia="Times New Roman" w:cs="Times New Roman"/>
          <w:sz w:val="24"/>
          <w:szCs w:val="24"/>
        </w:rPr>
        <w:t xml:space="preserve"> / df)</w:t>
      </w:r>
    </w:p>
    <w:p w14:paraId="2D0AFFD1">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Derajat kebebasan untuk uji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berpasangan adalah df=N−1, dimana N adalah jumlah siswa dalam sampel.</w:t>
      </w:r>
    </w:p>
    <w:p w14:paraId="5D430A59">
      <w:pPr>
        <w:widowControl w:val="0"/>
        <w:spacing w:after="0" w:line="480" w:lineRule="auto"/>
        <w:ind w:left="720"/>
        <w:jc w:val="both"/>
        <w:rPr>
          <w:rFonts w:ascii="Times New Roman" w:hAnsi="Times New Roman" w:eastAsia="Times New Roman" w:cs="Times New Roman"/>
          <w:sz w:val="24"/>
          <w:szCs w:val="24"/>
        </w:rPr>
      </w:pPr>
    </w:p>
    <w:p w14:paraId="21853BFE">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 Menentukan Nilai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Tabel (</w:t>
      </w:r>
      <w:r>
        <w:rPr>
          <w:rFonts w:ascii="Times New Roman" w:hAnsi="Times New Roman" w:eastAsia="Times New Roman" w:cs="Times New Roman"/>
          <w:i/>
          <w:iCs/>
          <w:sz w:val="24"/>
          <w:szCs w:val="24"/>
        </w:rPr>
        <w:t>t-table</w:t>
      </w:r>
      <w:r>
        <w:rPr>
          <w:rFonts w:ascii="Times New Roman" w:hAnsi="Times New Roman" w:eastAsia="Times New Roman" w:cs="Times New Roman"/>
          <w:sz w:val="24"/>
          <w:szCs w:val="24"/>
        </w:rPr>
        <w:t>)</w:t>
      </w:r>
    </w:p>
    <w:p w14:paraId="1A04CE6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Nilai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diperoleh dari tabel distribusi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dengan taraf signifikansi (α) yang telah ditetapkan (misalnya, 0.05) dan derajat kebebasan yang telah dihitung. Taraf signifikansi menunjukkan probabilitas kesalahan dalam menolak hipotesis nol ketika hipotesis nol sebenarnya benar.</w:t>
      </w:r>
    </w:p>
    <w:p w14:paraId="004A6D95">
      <w:pPr>
        <w:widowControl w:val="0"/>
        <w:spacing w:after="0" w:line="480" w:lineRule="auto"/>
        <w:ind w:left="720" w:hanging="11"/>
        <w:jc w:val="center"/>
        <w:rPr>
          <w:rFonts w:ascii="Times New Roman" w:hAnsi="Times New Roman" w:eastAsia="Times New Roman" w:cs="Times New Roman"/>
          <w:sz w:val="24"/>
          <w:szCs w:val="24"/>
        </w:rPr>
      </w:pPr>
      <w:r>
        <w:rPr>
          <w:rFonts w:ascii="Times New Roman" w:hAnsi="Times New Roman" w:eastAsia="Times New Roman" w:cs="Times New Roman"/>
          <w:i/>
          <w:iCs/>
          <w:sz w:val="24"/>
          <w:szCs w:val="24"/>
        </w:rPr>
        <w:t>α</w:t>
      </w:r>
      <w:r>
        <w:rPr>
          <w:rFonts w:ascii="Times New Roman" w:hAnsi="Times New Roman" w:eastAsia="Times New Roman" w:cs="Times New Roman"/>
          <w:sz w:val="24"/>
          <w:szCs w:val="24"/>
        </w:rPr>
        <w:t xml:space="preserve"> = 0,05 dan </w:t>
      </w:r>
      <w:r>
        <w:rPr>
          <w:rFonts w:ascii="Times New Roman" w:hAnsi="Times New Roman" w:eastAsia="Times New Roman" w:cs="Times New Roman"/>
          <w:i/>
          <w:iCs/>
          <w:sz w:val="24"/>
          <w:szCs w:val="24"/>
        </w:rPr>
        <w:t>dk = N-1</w:t>
      </w:r>
    </w:p>
    <w:p w14:paraId="3A2E646C">
      <w:pPr>
        <w:widowControl w:val="0"/>
        <w:spacing w:after="0" w:line="480" w:lineRule="auto"/>
        <w:ind w:left="720"/>
        <w:jc w:val="both"/>
        <w:rPr>
          <w:rFonts w:ascii="Times New Roman" w:hAnsi="Times New Roman" w:eastAsia="Times New Roman" w:cs="Times New Roman"/>
          <w:sz w:val="24"/>
          <w:szCs w:val="24"/>
        </w:rPr>
      </w:pPr>
    </w:p>
    <w:p w14:paraId="352AF870">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 Menentukan Kriteria Pengambilan Keputusan</w:t>
      </w:r>
    </w:p>
    <w:p w14:paraId="456EA786">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Hipotesis nol (tidak ada perbedaan signifikan antara kemampuan membaca permulaan sebelum dan sesudah penerapan metode bermain) akan ditolak jika nilai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hitung berada di luar nilai kritis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tabel (yaitu,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​&gt;t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Jika hipotesis nol ditolak, maka hipotesis alternatif (ada pengaruh signifikan dari penerapan metode bermain terhadap kemampuan membaca permulaan siswa) diterima. Sebaliknya, jika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hipotesis nol diterima.</w:t>
      </w:r>
    </w:p>
    <w:p w14:paraId="299F4E2F">
      <w:pPr>
        <w:widowControl w:val="0"/>
        <w:spacing w:after="0" w:line="480" w:lineRule="auto"/>
        <w:ind w:left="720" w:firstLine="720"/>
        <w:jc w:val="both"/>
        <w:rPr>
          <w:rFonts w:ascii="Times New Roman" w:hAnsi="Times New Roman" w:eastAsia="Times New Roman" w:cs="Times New Roman"/>
          <w:sz w:val="24"/>
          <w:szCs w:val="24"/>
        </w:rPr>
      </w:pPr>
    </w:p>
    <w:p w14:paraId="202E8861">
      <w:pPr>
        <w:widowControl w:val="0"/>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 Membuat Kesimpulan</w:t>
      </w:r>
    </w:p>
    <w:p w14:paraId="411D875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hasil perbandingan antara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hitung dan </w:t>
      </w:r>
      <w:r>
        <w:rPr>
          <w:rFonts w:ascii="Times New Roman" w:hAnsi="Times New Roman" w:eastAsia="Times New Roman" w:cs="Times New Roman"/>
          <w:i/>
          <w:iCs/>
          <w:sz w:val="24"/>
          <w:szCs w:val="24"/>
        </w:rPr>
        <w:t>t</w:t>
      </w:r>
      <w:r>
        <w:rPr>
          <w:rFonts w:ascii="Times New Roman" w:hAnsi="Times New Roman" w:eastAsia="Times New Roman" w:cs="Times New Roman"/>
          <w:sz w:val="24"/>
          <w:szCs w:val="24"/>
        </w:rPr>
        <w:t xml:space="preserve"> tabel, akan dibuat kesimpulan mengenai apakah penerapan metode bermain memiliki pengaruh yang signifikan terhadap pengembangan kemampuan membaca permulaan siswa kelas I SD Negeri 050 Malintang Julu Kabupaten Mandailing Natal Tahun Pembelajaran 2025-2026.</w:t>
      </w:r>
    </w:p>
    <w:p w14:paraId="54DB0AA4">
      <w:pPr>
        <w:widowControl w:val="0"/>
        <w:spacing w:after="0" w:line="480" w:lineRule="auto"/>
        <w:ind w:left="720" w:firstLine="720"/>
        <w:jc w:val="both"/>
        <w:rPr>
          <w:rFonts w:ascii="Times New Roman" w:hAnsi="Times New Roman" w:eastAsia="Times New Roman" w:cs="Times New Roman"/>
          <w:sz w:val="24"/>
          <w:szCs w:val="24"/>
        </w:rPr>
      </w:pPr>
    </w:p>
    <w:p w14:paraId="24DCD46B">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menggunakan kombinasi analisis deskriptif dan inferensial ini, penelitian ini diharapkan dapat memberikan jawaban yang komprehensif dan valid mengenai efektivitas penerapan metode bermain sebagai strategi pembelajaran dalam mengembangkan kemampuan membaca permulaan siswa kelas I.</w:t>
      </w:r>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56520643"/>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9" o:spt="75" type="#_x0000_t75" style="position:absolute;left:0pt;height:419.35pt;width:42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9F240F"/>
    <w:multiLevelType w:val="multilevel"/>
    <w:tmpl w:val="069F240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C780723"/>
    <w:multiLevelType w:val="multilevel"/>
    <w:tmpl w:val="0C780723"/>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0"/>
      <w:numFmt w:val="bullet"/>
      <w:lvlText w:val=""/>
      <w:lvlJc w:val="left"/>
      <w:pPr>
        <w:ind w:left="2160" w:hanging="360"/>
      </w:pPr>
      <w:rPr>
        <w:rFonts w:hint="default" w:ascii="Symbol" w:hAnsi="Symbol" w:eastAsia="Times New Roman"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C7F14D9"/>
    <w:multiLevelType w:val="multilevel"/>
    <w:tmpl w:val="0C7F14D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2B96FE6"/>
    <w:multiLevelType w:val="multilevel"/>
    <w:tmpl w:val="12B96FE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CFF19DE"/>
    <w:multiLevelType w:val="multilevel"/>
    <w:tmpl w:val="1CFF19DE"/>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2"/>
        <w:szCs w:val="28"/>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36B44831"/>
    <w:multiLevelType w:val="multilevel"/>
    <w:tmpl w:val="36B44831"/>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4AA43160"/>
    <w:multiLevelType w:val="multilevel"/>
    <w:tmpl w:val="4AA43160"/>
    <w:lvl w:ilvl="0" w:tentative="0">
      <w:start w:val="1"/>
      <w:numFmt w:val="lowerLetter"/>
      <w:lvlText w:val="%1)"/>
      <w:lvlJc w:val="lef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7">
    <w:nsid w:val="4B7100F0"/>
    <w:multiLevelType w:val="multilevel"/>
    <w:tmpl w:val="4B7100F0"/>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4E345BC2"/>
    <w:multiLevelType w:val="multilevel"/>
    <w:tmpl w:val="4E345BC2"/>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973281D"/>
    <w:multiLevelType w:val="multilevel"/>
    <w:tmpl w:val="6973281D"/>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6BA854B9"/>
    <w:multiLevelType w:val="multilevel"/>
    <w:tmpl w:val="6BA854B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0"/>
  </w:num>
  <w:num w:numId="2">
    <w:abstractNumId w:val="7"/>
  </w:num>
  <w:num w:numId="3">
    <w:abstractNumId w:val="6"/>
  </w:num>
  <w:num w:numId="4">
    <w:abstractNumId w:val="5"/>
  </w:num>
  <w:num w:numId="5">
    <w:abstractNumId w:val="2"/>
  </w:num>
  <w:num w:numId="6">
    <w:abstractNumId w:val="1"/>
  </w:num>
  <w:num w:numId="7">
    <w:abstractNumId w:val="0"/>
  </w:num>
  <w:num w:numId="8">
    <w:abstractNumId w:val="4"/>
  </w:num>
  <w:num w:numId="9">
    <w:abstractNumId w:val="8"/>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PPxE8bhGEnDrNmorh9bNGrwf/XM=" w:salt="+j6/GqQC0RDmGoQtxXWJ8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2DC0"/>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0903"/>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07E"/>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179E"/>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D710B"/>
    <w:rsid w:val="007E2F81"/>
    <w:rsid w:val="007F5A50"/>
    <w:rsid w:val="007F6F30"/>
    <w:rsid w:val="007F6F48"/>
    <w:rsid w:val="00814E0C"/>
    <w:rsid w:val="00823CD9"/>
    <w:rsid w:val="0082669A"/>
    <w:rsid w:val="008311FE"/>
    <w:rsid w:val="00832D29"/>
    <w:rsid w:val="008351FC"/>
    <w:rsid w:val="008404AD"/>
    <w:rsid w:val="0084078A"/>
    <w:rsid w:val="00841465"/>
    <w:rsid w:val="00843DBE"/>
    <w:rsid w:val="00846721"/>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3DEE"/>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1D7E"/>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4493F"/>
    <w:rsid w:val="00E47058"/>
    <w:rsid w:val="00E5637C"/>
    <w:rsid w:val="00E60570"/>
    <w:rsid w:val="00E61028"/>
    <w:rsid w:val="00E803D0"/>
    <w:rsid w:val="00E844BB"/>
    <w:rsid w:val="00E85B4E"/>
    <w:rsid w:val="00E866C0"/>
    <w:rsid w:val="00E90E13"/>
    <w:rsid w:val="00E9190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2B80518A"/>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qFormat/>
    <w:uiPriority w:val="0"/>
  </w:style>
  <w:style w:type="character" w:customStyle="1" w:styleId="328">
    <w:name w:val="citation-2"/>
    <w:basedOn w:val="9"/>
    <w:qFormat/>
    <w:uiPriority w:val="0"/>
  </w:style>
  <w:style w:type="character" w:customStyle="1" w:styleId="329">
    <w:name w:val="citation-3"/>
    <w:basedOn w:val="9"/>
    <w:qFormat/>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uiPriority w:val="0"/>
  </w:style>
  <w:style w:type="character" w:customStyle="1" w:styleId="344">
    <w:name w:val="citation-18"/>
    <w:basedOn w:val="9"/>
    <w:uiPriority w:val="0"/>
  </w:style>
  <w:style w:type="character" w:customStyle="1" w:styleId="345">
    <w:name w:val="citation-19"/>
    <w:basedOn w:val="9"/>
    <w:qFormat/>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E1E6BC-596F-44B4-9447-D5CDB8EF5624}">
  <ds:schemaRefs/>
</ds:datastoreItem>
</file>

<file path=docProps/app.xml><?xml version="1.0" encoding="utf-8"?>
<Properties xmlns="http://schemas.openxmlformats.org/officeDocument/2006/extended-properties" xmlns:vt="http://schemas.openxmlformats.org/officeDocument/2006/docPropsVTypes">
  <Template>Normal</Template>
  <Pages>23</Pages>
  <Words>3543</Words>
  <Characters>23435</Characters>
  <Lines>192</Lines>
  <Paragraphs>54</Paragraphs>
  <TotalTime>0</TotalTime>
  <ScaleCrop>false</ScaleCrop>
  <LinksUpToDate>false</LinksUpToDate>
  <CharactersWithSpaces>26794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2026-09-03T06:42:00Z</dcterms:created>
  <dc:creator>user</dc:creator>
  <cp:lastModifiedBy>Administrator</cp:lastModifiedBy>
  <cp:lastPrinted>2026-08-31T03:20:00Z</cp:lastPrinted>
  <dcterms:modified xsi:type="dcterms:W3CDTF">2026-09-11T08:31:18Z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EF8F39BEFBFE484F8AD18AD22AFDB583_13</vt:lpwstr>
  </property>
</Properties>
</file>