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1B068">
      <w:pPr>
        <w:pStyle w:val="19"/>
        <w:spacing w:before="0" w:beforeAutospacing="0" w:after="0" w:afterAutospacing="0" w:line="480" w:lineRule="auto"/>
        <w:jc w:val="center"/>
        <w:rPr>
          <w:b/>
          <w:bCs/>
        </w:rPr>
      </w:pPr>
      <w:bookmarkStart w:id="0" w:name="_GoBack"/>
      <w:bookmarkEnd w:id="0"/>
      <w:r>
        <w:rPr>
          <w:b/>
          <w:bCs/>
        </w:rPr>
        <w:t>BAB IV</w:t>
      </w:r>
    </w:p>
    <w:p w14:paraId="54096F6E">
      <w:pPr>
        <w:pStyle w:val="19"/>
        <w:spacing w:before="0" w:beforeAutospacing="0" w:after="0" w:afterAutospacing="0" w:line="480" w:lineRule="auto"/>
        <w:jc w:val="center"/>
        <w:rPr>
          <w:b/>
          <w:bCs/>
        </w:rPr>
      </w:pPr>
      <w:r>
        <w:rPr>
          <w:b/>
          <w:bCs/>
        </w:rPr>
        <w:t>HASIL PENELITIAN DAN PEMBAHASAN</w:t>
      </w:r>
    </w:p>
    <w:p w14:paraId="14AE8F17">
      <w:pPr>
        <w:pStyle w:val="19"/>
        <w:spacing w:before="0" w:beforeAutospacing="0" w:after="0" w:afterAutospacing="0" w:line="480" w:lineRule="auto"/>
        <w:jc w:val="center"/>
        <w:rPr>
          <w:b/>
          <w:bCs/>
        </w:rPr>
      </w:pPr>
    </w:p>
    <w:p w14:paraId="63947BBB">
      <w:pPr>
        <w:pStyle w:val="19"/>
        <w:spacing w:before="0" w:beforeAutospacing="0" w:after="0" w:afterAutospacing="0" w:line="480" w:lineRule="auto"/>
        <w:jc w:val="both"/>
        <w:rPr>
          <w:b/>
          <w:bCs/>
        </w:rPr>
      </w:pPr>
      <w:r>
        <w:rPr>
          <w:b/>
          <w:bCs/>
        </w:rPr>
        <w:t>4.1 Hasil Penelitian</w:t>
      </w:r>
    </w:p>
    <w:p w14:paraId="0904AD4D">
      <w:pPr>
        <w:pStyle w:val="19"/>
        <w:spacing w:before="0" w:beforeAutospacing="0" w:after="0" w:afterAutospacing="0" w:line="480" w:lineRule="auto"/>
        <w:jc w:val="both"/>
        <w:rPr>
          <w:b/>
          <w:bCs/>
        </w:rPr>
      </w:pPr>
      <w:r>
        <w:rPr>
          <w:b/>
          <w:bCs/>
        </w:rPr>
        <w:t>4.1.1 Deskripsi Hasil Belajar Pretest</w:t>
      </w:r>
    </w:p>
    <w:p w14:paraId="4AA3DAEB">
      <w:pPr>
        <w:pStyle w:val="19"/>
        <w:spacing w:before="0" w:beforeAutospacing="0" w:after="0" w:afterAutospacing="0" w:line="480" w:lineRule="auto"/>
        <w:ind w:firstLine="709"/>
        <w:jc w:val="both"/>
      </w:pPr>
      <w:r>
        <w:t>Penelitian ini dilaksanakan di SD Negeri 050 Malintang Julu, dengan jumlah subjek penelitian sebanyak 22 siswa yang berasal dari kelas I pada tahun pembelajaran 2025/2026. Penelitian ini bertujuan untuk mengetahui efektivitas penerapan metode bermain sebagai strategi pembelajaran dalam mengembangkan kemampuan membaca permulaan siswa.</w:t>
      </w:r>
    </w:p>
    <w:p w14:paraId="0B125918">
      <w:pPr>
        <w:pStyle w:val="19"/>
        <w:spacing w:before="0" w:beforeAutospacing="0" w:after="0" w:afterAutospacing="0" w:line="480" w:lineRule="auto"/>
        <w:ind w:firstLine="709"/>
        <w:jc w:val="both"/>
      </w:pPr>
      <w:r>
        <w:t>Berdasarkan hasil perhitungan pretest sebelum diberi perlakuan pembelajaran dengan metode bermain, diperoleh rata-rata hasil belajar siswa sebesar 51,30, dengan varian sebesar 69,719 dan standar deviasi 8,34. Data selengkapnya dapat dilihat pada tabel berikut:</w:t>
      </w:r>
    </w:p>
    <w:p w14:paraId="54B4ECD3">
      <w:pPr>
        <w:pStyle w:val="19"/>
        <w:spacing w:before="0" w:beforeAutospacing="0" w:after="0" w:afterAutospacing="0" w:line="480" w:lineRule="auto"/>
        <w:jc w:val="center"/>
      </w:pPr>
      <w:r>
        <w:t>Tabel 5</w:t>
      </w:r>
    </w:p>
    <w:p w14:paraId="59F09A86">
      <w:pPr>
        <w:pStyle w:val="19"/>
        <w:spacing w:before="0" w:beforeAutospacing="0" w:after="0" w:afterAutospacing="0" w:line="480" w:lineRule="auto"/>
        <w:jc w:val="center"/>
      </w:pPr>
      <w:r>
        <w:t>Statistik Hasil Belajar Pretest Siswa Kelas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603"/>
        <w:gridCol w:w="1876"/>
      </w:tblGrid>
      <w:tr w14:paraId="247D8F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E64F858">
            <w:pPr>
              <w:pStyle w:val="19"/>
              <w:spacing w:before="0" w:beforeAutospacing="0" w:after="0" w:afterAutospacing="0" w:line="360" w:lineRule="auto"/>
              <w:jc w:val="center"/>
              <w:rPr>
                <w:b/>
                <w:bCs/>
                <w:lang w:val="id-ID"/>
              </w:rPr>
            </w:pPr>
            <w:r>
              <w:rPr>
                <w:b/>
                <w:bCs/>
                <w:lang w:val="id-ID"/>
              </w:rPr>
              <w:t>Keterangan</w:t>
            </w:r>
          </w:p>
        </w:tc>
        <w:tc>
          <w:tcPr>
            <w:tcW w:w="0" w:type="auto"/>
            <w:vAlign w:val="center"/>
          </w:tcPr>
          <w:p w14:paraId="029836DE">
            <w:pPr>
              <w:pStyle w:val="19"/>
              <w:spacing w:before="0" w:beforeAutospacing="0" w:after="0" w:afterAutospacing="0" w:line="360" w:lineRule="auto"/>
              <w:jc w:val="center"/>
              <w:rPr>
                <w:b/>
                <w:bCs/>
                <w:lang w:val="id-ID"/>
              </w:rPr>
            </w:pPr>
            <w:r>
              <w:rPr>
                <w:b/>
                <w:bCs/>
                <w:lang w:val="id-ID"/>
              </w:rPr>
              <w:t>Pre Eksperimen</w:t>
            </w:r>
          </w:p>
        </w:tc>
      </w:tr>
      <w:tr w14:paraId="478110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F826AD">
            <w:pPr>
              <w:pStyle w:val="19"/>
              <w:spacing w:before="0" w:beforeAutospacing="0" w:after="0" w:afterAutospacing="0" w:line="360" w:lineRule="auto"/>
              <w:jc w:val="center"/>
              <w:rPr>
                <w:lang w:val="id-ID"/>
              </w:rPr>
            </w:pPr>
            <w:r>
              <w:rPr>
                <w:lang w:val="id-ID"/>
              </w:rPr>
              <w:t>N Valid</w:t>
            </w:r>
          </w:p>
        </w:tc>
        <w:tc>
          <w:tcPr>
            <w:tcW w:w="0" w:type="auto"/>
            <w:vAlign w:val="center"/>
          </w:tcPr>
          <w:p w14:paraId="6DF0BC9F">
            <w:pPr>
              <w:pStyle w:val="19"/>
              <w:spacing w:before="0" w:beforeAutospacing="0" w:after="0" w:afterAutospacing="0" w:line="360" w:lineRule="auto"/>
              <w:jc w:val="center"/>
              <w:rPr>
                <w:lang w:val="id-ID"/>
              </w:rPr>
            </w:pPr>
            <w:r>
              <w:rPr>
                <w:lang w:val="id-ID"/>
              </w:rPr>
              <w:t>22</w:t>
            </w:r>
          </w:p>
        </w:tc>
      </w:tr>
      <w:tr w14:paraId="56B753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D69B2DC">
            <w:pPr>
              <w:pStyle w:val="19"/>
              <w:spacing w:before="0" w:beforeAutospacing="0" w:after="0" w:afterAutospacing="0" w:line="360" w:lineRule="auto"/>
              <w:jc w:val="center"/>
              <w:rPr>
                <w:lang w:val="id-ID"/>
              </w:rPr>
            </w:pPr>
            <w:r>
              <w:rPr>
                <w:lang w:val="id-ID"/>
              </w:rPr>
              <w:t>Mean</w:t>
            </w:r>
          </w:p>
        </w:tc>
        <w:tc>
          <w:tcPr>
            <w:tcW w:w="0" w:type="auto"/>
            <w:vAlign w:val="center"/>
          </w:tcPr>
          <w:p w14:paraId="1AFF7EFC">
            <w:pPr>
              <w:pStyle w:val="19"/>
              <w:spacing w:before="0" w:beforeAutospacing="0" w:after="0" w:afterAutospacing="0" w:line="360" w:lineRule="auto"/>
              <w:jc w:val="center"/>
              <w:rPr>
                <w:lang w:val="id-ID"/>
              </w:rPr>
            </w:pPr>
            <w:r>
              <w:rPr>
                <w:lang w:val="id-ID"/>
              </w:rPr>
              <w:t>51,30</w:t>
            </w:r>
          </w:p>
        </w:tc>
      </w:tr>
      <w:tr w14:paraId="3497FA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1C7947">
            <w:pPr>
              <w:pStyle w:val="19"/>
              <w:spacing w:before="0" w:beforeAutospacing="0" w:after="0" w:afterAutospacing="0" w:line="360" w:lineRule="auto"/>
              <w:jc w:val="center"/>
              <w:rPr>
                <w:lang w:val="id-ID"/>
              </w:rPr>
            </w:pPr>
            <w:r>
              <w:rPr>
                <w:lang w:val="id-ID"/>
              </w:rPr>
              <w:t>Median</w:t>
            </w:r>
          </w:p>
        </w:tc>
        <w:tc>
          <w:tcPr>
            <w:tcW w:w="0" w:type="auto"/>
            <w:vAlign w:val="center"/>
          </w:tcPr>
          <w:p w14:paraId="29657721">
            <w:pPr>
              <w:pStyle w:val="19"/>
              <w:spacing w:before="0" w:beforeAutospacing="0" w:after="0" w:afterAutospacing="0" w:line="360" w:lineRule="auto"/>
              <w:jc w:val="center"/>
              <w:rPr>
                <w:lang w:val="id-ID"/>
              </w:rPr>
            </w:pPr>
            <w:r>
              <w:rPr>
                <w:lang w:val="id-ID"/>
              </w:rPr>
              <w:t>54,54</w:t>
            </w:r>
          </w:p>
        </w:tc>
      </w:tr>
      <w:tr w14:paraId="20388D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7BF982">
            <w:pPr>
              <w:pStyle w:val="19"/>
              <w:spacing w:before="0" w:beforeAutospacing="0" w:after="0" w:afterAutospacing="0" w:line="360" w:lineRule="auto"/>
              <w:jc w:val="center"/>
              <w:rPr>
                <w:lang w:val="id-ID"/>
              </w:rPr>
            </w:pPr>
            <w:r>
              <w:rPr>
                <w:lang w:val="id-ID"/>
              </w:rPr>
              <w:t>Mode</w:t>
            </w:r>
          </w:p>
        </w:tc>
        <w:tc>
          <w:tcPr>
            <w:tcW w:w="0" w:type="auto"/>
            <w:vAlign w:val="center"/>
          </w:tcPr>
          <w:p w14:paraId="401FD4EE">
            <w:pPr>
              <w:pStyle w:val="19"/>
              <w:spacing w:before="0" w:beforeAutospacing="0" w:after="0" w:afterAutospacing="0" w:line="360" w:lineRule="auto"/>
              <w:jc w:val="center"/>
              <w:rPr>
                <w:lang w:val="id-ID"/>
              </w:rPr>
            </w:pPr>
            <w:r>
              <w:rPr>
                <w:lang w:val="id-ID"/>
              </w:rPr>
              <w:t>60</w:t>
            </w:r>
          </w:p>
        </w:tc>
      </w:tr>
      <w:tr w14:paraId="684F1A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89BB5E">
            <w:pPr>
              <w:pStyle w:val="19"/>
              <w:spacing w:before="0" w:beforeAutospacing="0" w:after="0" w:afterAutospacing="0" w:line="360" w:lineRule="auto"/>
              <w:jc w:val="center"/>
              <w:rPr>
                <w:lang w:val="id-ID"/>
              </w:rPr>
            </w:pPr>
            <w:r>
              <w:rPr>
                <w:lang w:val="id-ID"/>
              </w:rPr>
              <w:t>Std. Deviation</w:t>
            </w:r>
          </w:p>
        </w:tc>
        <w:tc>
          <w:tcPr>
            <w:tcW w:w="0" w:type="auto"/>
            <w:vAlign w:val="center"/>
          </w:tcPr>
          <w:p w14:paraId="22E5E356">
            <w:pPr>
              <w:pStyle w:val="19"/>
              <w:spacing w:before="0" w:beforeAutospacing="0" w:after="0" w:afterAutospacing="0" w:line="360" w:lineRule="auto"/>
              <w:jc w:val="center"/>
              <w:rPr>
                <w:lang w:val="id-ID"/>
              </w:rPr>
            </w:pPr>
            <w:r>
              <w:rPr>
                <w:lang w:val="id-ID"/>
              </w:rPr>
              <w:t>8,35</w:t>
            </w:r>
          </w:p>
        </w:tc>
      </w:tr>
      <w:tr w14:paraId="3147F1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DA8682D">
            <w:pPr>
              <w:pStyle w:val="19"/>
              <w:spacing w:before="0" w:beforeAutospacing="0" w:after="0" w:afterAutospacing="0" w:line="360" w:lineRule="auto"/>
              <w:jc w:val="center"/>
              <w:rPr>
                <w:lang w:val="id-ID"/>
              </w:rPr>
            </w:pPr>
            <w:r>
              <w:rPr>
                <w:lang w:val="id-ID"/>
              </w:rPr>
              <w:t>Variance</w:t>
            </w:r>
          </w:p>
        </w:tc>
        <w:tc>
          <w:tcPr>
            <w:tcW w:w="0" w:type="auto"/>
            <w:vAlign w:val="center"/>
          </w:tcPr>
          <w:p w14:paraId="00B16A4E">
            <w:pPr>
              <w:pStyle w:val="19"/>
              <w:spacing w:before="0" w:beforeAutospacing="0" w:after="0" w:afterAutospacing="0" w:line="360" w:lineRule="auto"/>
              <w:jc w:val="center"/>
              <w:rPr>
                <w:lang w:val="id-ID"/>
              </w:rPr>
            </w:pPr>
            <w:r>
              <w:rPr>
                <w:lang w:val="id-ID"/>
              </w:rPr>
              <w:t>69,72</w:t>
            </w:r>
          </w:p>
        </w:tc>
      </w:tr>
      <w:tr w14:paraId="2D61F4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0E59CE">
            <w:pPr>
              <w:pStyle w:val="19"/>
              <w:spacing w:before="0" w:beforeAutospacing="0" w:after="0" w:afterAutospacing="0" w:line="360" w:lineRule="auto"/>
              <w:jc w:val="center"/>
              <w:rPr>
                <w:lang w:val="id-ID"/>
              </w:rPr>
            </w:pPr>
            <w:r>
              <w:rPr>
                <w:lang w:val="id-ID"/>
              </w:rPr>
              <w:t>Range</w:t>
            </w:r>
          </w:p>
        </w:tc>
        <w:tc>
          <w:tcPr>
            <w:tcW w:w="0" w:type="auto"/>
            <w:vAlign w:val="center"/>
          </w:tcPr>
          <w:p w14:paraId="3197F36A">
            <w:pPr>
              <w:pStyle w:val="19"/>
              <w:spacing w:before="0" w:beforeAutospacing="0" w:after="0" w:afterAutospacing="0" w:line="360" w:lineRule="auto"/>
              <w:jc w:val="center"/>
              <w:rPr>
                <w:lang w:val="id-ID"/>
              </w:rPr>
            </w:pPr>
            <w:r>
              <w:rPr>
                <w:lang w:val="id-ID"/>
              </w:rPr>
              <w:t>23,64</w:t>
            </w:r>
          </w:p>
        </w:tc>
      </w:tr>
      <w:tr w14:paraId="7BE135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1FB0808">
            <w:pPr>
              <w:pStyle w:val="19"/>
              <w:spacing w:before="0" w:beforeAutospacing="0" w:after="0" w:afterAutospacing="0" w:line="360" w:lineRule="auto"/>
              <w:jc w:val="center"/>
              <w:rPr>
                <w:lang w:val="id-ID"/>
              </w:rPr>
            </w:pPr>
            <w:r>
              <w:rPr>
                <w:lang w:val="id-ID"/>
              </w:rPr>
              <w:t>Minimum</w:t>
            </w:r>
          </w:p>
        </w:tc>
        <w:tc>
          <w:tcPr>
            <w:tcW w:w="0" w:type="auto"/>
            <w:vAlign w:val="center"/>
          </w:tcPr>
          <w:p w14:paraId="366FD8E9">
            <w:pPr>
              <w:pStyle w:val="19"/>
              <w:spacing w:before="0" w:beforeAutospacing="0" w:after="0" w:afterAutospacing="0" w:line="360" w:lineRule="auto"/>
              <w:jc w:val="center"/>
              <w:rPr>
                <w:lang w:val="id-ID"/>
              </w:rPr>
            </w:pPr>
            <w:r>
              <w:rPr>
                <w:lang w:val="id-ID"/>
              </w:rPr>
              <w:t>40,00</w:t>
            </w:r>
          </w:p>
        </w:tc>
      </w:tr>
      <w:tr w14:paraId="155462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9BF0F80">
            <w:pPr>
              <w:pStyle w:val="19"/>
              <w:spacing w:before="0" w:beforeAutospacing="0" w:after="0" w:afterAutospacing="0" w:line="360" w:lineRule="auto"/>
              <w:jc w:val="center"/>
              <w:rPr>
                <w:lang w:val="id-ID"/>
              </w:rPr>
            </w:pPr>
            <w:r>
              <w:rPr>
                <w:lang w:val="id-ID"/>
              </w:rPr>
              <w:t>Maximum</w:t>
            </w:r>
          </w:p>
        </w:tc>
        <w:tc>
          <w:tcPr>
            <w:tcW w:w="0" w:type="auto"/>
            <w:vAlign w:val="center"/>
          </w:tcPr>
          <w:p w14:paraId="01C24818">
            <w:pPr>
              <w:pStyle w:val="19"/>
              <w:spacing w:before="0" w:beforeAutospacing="0" w:after="0" w:afterAutospacing="0" w:line="360" w:lineRule="auto"/>
              <w:jc w:val="center"/>
              <w:rPr>
                <w:lang w:val="id-ID"/>
              </w:rPr>
            </w:pPr>
            <w:r>
              <w:rPr>
                <w:lang w:val="id-ID"/>
              </w:rPr>
              <w:t>63,64</w:t>
            </w:r>
          </w:p>
        </w:tc>
      </w:tr>
      <w:tr w14:paraId="5BCE09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15CB1F8">
            <w:pPr>
              <w:pStyle w:val="19"/>
              <w:spacing w:before="0" w:beforeAutospacing="0" w:after="0" w:afterAutospacing="0" w:line="360" w:lineRule="auto"/>
              <w:jc w:val="center"/>
              <w:rPr>
                <w:lang w:val="id-ID"/>
              </w:rPr>
            </w:pPr>
            <w:r>
              <w:rPr>
                <w:lang w:val="id-ID"/>
              </w:rPr>
              <w:t>Sum</w:t>
            </w:r>
          </w:p>
        </w:tc>
        <w:tc>
          <w:tcPr>
            <w:tcW w:w="0" w:type="auto"/>
            <w:vAlign w:val="center"/>
          </w:tcPr>
          <w:p w14:paraId="3C24689C">
            <w:pPr>
              <w:pStyle w:val="19"/>
              <w:spacing w:before="0" w:beforeAutospacing="0" w:after="0" w:afterAutospacing="0" w:line="360" w:lineRule="auto"/>
              <w:jc w:val="center"/>
              <w:rPr>
                <w:lang w:val="id-ID"/>
              </w:rPr>
            </w:pPr>
            <w:r>
              <w:rPr>
                <w:lang w:val="id-ID"/>
              </w:rPr>
              <w:t>1.179,96</w:t>
            </w:r>
          </w:p>
        </w:tc>
      </w:tr>
    </w:tbl>
    <w:p w14:paraId="0A5440FB">
      <w:pPr>
        <w:pStyle w:val="19"/>
        <w:spacing w:before="0" w:beforeAutospacing="0" w:after="0" w:afterAutospacing="0" w:line="480" w:lineRule="auto"/>
        <w:jc w:val="right"/>
      </w:pPr>
      <w:r>
        <w:rPr>
          <w:i/>
          <w:iCs/>
        </w:rPr>
        <w:t>Sumber: Hasil Analisis Data Primer, 2025</w:t>
      </w:r>
    </w:p>
    <w:p w14:paraId="5E3473C6">
      <w:pPr>
        <w:pStyle w:val="19"/>
        <w:spacing w:before="0" w:beforeAutospacing="0" w:after="0" w:afterAutospacing="0" w:line="480" w:lineRule="auto"/>
        <w:ind w:firstLine="709"/>
        <w:jc w:val="both"/>
      </w:pPr>
      <w:r>
        <w:t>Dari hasil tersebut dapat diketahui bahwa nilai minimum yang diperoleh siswa adalah 40, dan nilai maksimum adalah 63,64. Untuk mengetahui distribusi kemampuan membaca permulaan secara lebih rinci, data hasil belajar dikategorikan ke dalam lima kategori. Kategori tersebut terdiri atas lima tingkatan, yaitu sangat rendah, rendah, sedang, tinggi, dan sangat tinggi. Hasil klasifikasi ini disajikan dalam tabel distribusi frekuensi berikut:</w:t>
      </w:r>
    </w:p>
    <w:p w14:paraId="41AD64B1">
      <w:pPr>
        <w:pStyle w:val="19"/>
        <w:spacing w:before="0" w:beforeAutospacing="0" w:after="0" w:afterAutospacing="0" w:line="480" w:lineRule="auto"/>
        <w:jc w:val="center"/>
      </w:pPr>
      <w:r>
        <w:t>Tabel 6</w:t>
      </w:r>
    </w:p>
    <w:p w14:paraId="1D4A4C2C">
      <w:pPr>
        <w:pStyle w:val="19"/>
        <w:spacing w:before="0" w:beforeAutospacing="0" w:after="0" w:afterAutospacing="0" w:line="480" w:lineRule="auto"/>
        <w:jc w:val="center"/>
      </w:pPr>
      <w:r>
        <w:t>Distribusi Frekuensi Kategori Hasil Belajar Pretest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596"/>
        <w:gridCol w:w="1663"/>
        <w:gridCol w:w="1243"/>
        <w:gridCol w:w="1309"/>
      </w:tblGrid>
      <w:tr w14:paraId="6C2796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58F446">
            <w:pPr>
              <w:pStyle w:val="19"/>
              <w:spacing w:line="480" w:lineRule="auto"/>
              <w:jc w:val="center"/>
              <w:rPr>
                <w:b/>
                <w:bCs/>
                <w:lang w:val="id-ID"/>
              </w:rPr>
            </w:pPr>
            <w:r>
              <w:rPr>
                <w:b/>
                <w:bCs/>
                <w:lang w:val="id-ID"/>
              </w:rPr>
              <w:t>No</w:t>
            </w:r>
          </w:p>
        </w:tc>
        <w:tc>
          <w:tcPr>
            <w:tcW w:w="0" w:type="auto"/>
            <w:vAlign w:val="center"/>
          </w:tcPr>
          <w:p w14:paraId="5D9FF56C">
            <w:pPr>
              <w:pStyle w:val="19"/>
              <w:spacing w:line="480" w:lineRule="auto"/>
              <w:jc w:val="center"/>
              <w:rPr>
                <w:b/>
                <w:bCs/>
                <w:lang w:val="id-ID"/>
              </w:rPr>
            </w:pPr>
            <w:r>
              <w:rPr>
                <w:b/>
                <w:bCs/>
                <w:lang w:val="id-ID"/>
              </w:rPr>
              <w:t>Interval Nilai</w:t>
            </w:r>
          </w:p>
        </w:tc>
        <w:tc>
          <w:tcPr>
            <w:tcW w:w="0" w:type="auto"/>
            <w:vAlign w:val="center"/>
          </w:tcPr>
          <w:p w14:paraId="5C9721D3">
            <w:pPr>
              <w:pStyle w:val="19"/>
              <w:spacing w:line="480" w:lineRule="auto"/>
              <w:jc w:val="center"/>
              <w:rPr>
                <w:b/>
                <w:bCs/>
                <w:lang w:val="id-ID"/>
              </w:rPr>
            </w:pPr>
            <w:r>
              <w:rPr>
                <w:b/>
                <w:bCs/>
                <w:lang w:val="id-ID"/>
              </w:rPr>
              <w:t>Kategori</w:t>
            </w:r>
          </w:p>
        </w:tc>
        <w:tc>
          <w:tcPr>
            <w:tcW w:w="0" w:type="auto"/>
            <w:vAlign w:val="center"/>
          </w:tcPr>
          <w:p w14:paraId="2CF98394">
            <w:pPr>
              <w:pStyle w:val="19"/>
              <w:spacing w:line="480" w:lineRule="auto"/>
              <w:jc w:val="center"/>
              <w:rPr>
                <w:b/>
                <w:bCs/>
                <w:lang w:val="id-ID"/>
              </w:rPr>
            </w:pPr>
            <w:r>
              <w:rPr>
                <w:b/>
                <w:bCs/>
                <w:lang w:val="id-ID"/>
              </w:rPr>
              <w:t>Frekuensi</w:t>
            </w:r>
          </w:p>
        </w:tc>
        <w:tc>
          <w:tcPr>
            <w:tcW w:w="0" w:type="auto"/>
            <w:vAlign w:val="center"/>
          </w:tcPr>
          <w:p w14:paraId="7B399C21">
            <w:pPr>
              <w:pStyle w:val="19"/>
              <w:spacing w:line="480" w:lineRule="auto"/>
              <w:jc w:val="center"/>
              <w:rPr>
                <w:b/>
                <w:bCs/>
                <w:lang w:val="id-ID"/>
              </w:rPr>
            </w:pPr>
            <w:r>
              <w:rPr>
                <w:b/>
                <w:bCs/>
                <w:lang w:val="id-ID"/>
              </w:rPr>
              <w:t>Persentase</w:t>
            </w:r>
          </w:p>
        </w:tc>
      </w:tr>
      <w:tr w14:paraId="001DD4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BBDD42">
            <w:pPr>
              <w:pStyle w:val="19"/>
              <w:spacing w:line="480" w:lineRule="auto"/>
              <w:jc w:val="center"/>
              <w:rPr>
                <w:lang w:val="id-ID"/>
              </w:rPr>
            </w:pPr>
            <w:r>
              <w:rPr>
                <w:lang w:val="id-ID"/>
              </w:rPr>
              <w:t>1</w:t>
            </w:r>
          </w:p>
        </w:tc>
        <w:tc>
          <w:tcPr>
            <w:tcW w:w="0" w:type="auto"/>
            <w:vAlign w:val="center"/>
          </w:tcPr>
          <w:p w14:paraId="5323F5E2">
            <w:pPr>
              <w:pStyle w:val="19"/>
              <w:spacing w:line="480" w:lineRule="auto"/>
              <w:jc w:val="center"/>
              <w:rPr>
                <w:lang w:val="id-ID"/>
              </w:rPr>
            </w:pPr>
            <w:r>
              <w:rPr>
                <w:lang w:val="id-ID"/>
              </w:rPr>
              <w:t>0–40</w:t>
            </w:r>
          </w:p>
        </w:tc>
        <w:tc>
          <w:tcPr>
            <w:tcW w:w="0" w:type="auto"/>
            <w:vAlign w:val="center"/>
          </w:tcPr>
          <w:p w14:paraId="259CAED4">
            <w:pPr>
              <w:pStyle w:val="19"/>
              <w:spacing w:line="480" w:lineRule="auto"/>
              <w:jc w:val="center"/>
              <w:rPr>
                <w:lang w:val="id-ID"/>
              </w:rPr>
            </w:pPr>
            <w:r>
              <w:rPr>
                <w:lang w:val="id-ID"/>
              </w:rPr>
              <w:t>Sangat Rendah</w:t>
            </w:r>
          </w:p>
        </w:tc>
        <w:tc>
          <w:tcPr>
            <w:tcW w:w="0" w:type="auto"/>
            <w:vAlign w:val="center"/>
          </w:tcPr>
          <w:p w14:paraId="06EBB8AF">
            <w:pPr>
              <w:pStyle w:val="19"/>
              <w:spacing w:line="480" w:lineRule="auto"/>
              <w:jc w:val="center"/>
              <w:rPr>
                <w:lang w:val="id-ID"/>
              </w:rPr>
            </w:pPr>
            <w:r>
              <w:rPr>
                <w:lang w:val="id-ID"/>
              </w:rPr>
              <w:t>5</w:t>
            </w:r>
          </w:p>
        </w:tc>
        <w:tc>
          <w:tcPr>
            <w:tcW w:w="0" w:type="auto"/>
            <w:vAlign w:val="center"/>
          </w:tcPr>
          <w:p w14:paraId="1C18D7DC">
            <w:pPr>
              <w:pStyle w:val="19"/>
              <w:spacing w:line="480" w:lineRule="auto"/>
              <w:jc w:val="center"/>
              <w:rPr>
                <w:lang w:val="id-ID"/>
              </w:rPr>
            </w:pPr>
            <w:r>
              <w:rPr>
                <w:lang w:val="id-ID"/>
              </w:rPr>
              <w:t>20,8%</w:t>
            </w:r>
          </w:p>
        </w:tc>
      </w:tr>
      <w:tr w14:paraId="62E6FD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7EAFA4">
            <w:pPr>
              <w:pStyle w:val="19"/>
              <w:spacing w:line="480" w:lineRule="auto"/>
              <w:jc w:val="center"/>
              <w:rPr>
                <w:lang w:val="id-ID"/>
              </w:rPr>
            </w:pPr>
            <w:r>
              <w:rPr>
                <w:lang w:val="id-ID"/>
              </w:rPr>
              <w:t>2</w:t>
            </w:r>
          </w:p>
        </w:tc>
        <w:tc>
          <w:tcPr>
            <w:tcW w:w="0" w:type="auto"/>
            <w:vAlign w:val="center"/>
          </w:tcPr>
          <w:p w14:paraId="7E24DFBF">
            <w:pPr>
              <w:pStyle w:val="19"/>
              <w:spacing w:line="480" w:lineRule="auto"/>
              <w:jc w:val="center"/>
              <w:rPr>
                <w:lang w:val="id-ID"/>
              </w:rPr>
            </w:pPr>
            <w:r>
              <w:rPr>
                <w:lang w:val="id-ID"/>
              </w:rPr>
              <w:t>45–55</w:t>
            </w:r>
          </w:p>
        </w:tc>
        <w:tc>
          <w:tcPr>
            <w:tcW w:w="0" w:type="auto"/>
            <w:vAlign w:val="center"/>
          </w:tcPr>
          <w:p w14:paraId="67A8A14B">
            <w:pPr>
              <w:pStyle w:val="19"/>
              <w:spacing w:line="480" w:lineRule="auto"/>
              <w:jc w:val="center"/>
              <w:rPr>
                <w:lang w:val="id-ID"/>
              </w:rPr>
            </w:pPr>
            <w:r>
              <w:rPr>
                <w:lang w:val="id-ID"/>
              </w:rPr>
              <w:t>Rendah</w:t>
            </w:r>
          </w:p>
        </w:tc>
        <w:tc>
          <w:tcPr>
            <w:tcW w:w="0" w:type="auto"/>
            <w:vAlign w:val="center"/>
          </w:tcPr>
          <w:p w14:paraId="4B40B6DA">
            <w:pPr>
              <w:pStyle w:val="19"/>
              <w:spacing w:line="480" w:lineRule="auto"/>
              <w:jc w:val="center"/>
              <w:rPr>
                <w:lang w:val="id-ID"/>
              </w:rPr>
            </w:pPr>
            <w:r>
              <w:rPr>
                <w:lang w:val="id-ID"/>
              </w:rPr>
              <w:t>10</w:t>
            </w:r>
          </w:p>
        </w:tc>
        <w:tc>
          <w:tcPr>
            <w:tcW w:w="0" w:type="auto"/>
            <w:vAlign w:val="center"/>
          </w:tcPr>
          <w:p w14:paraId="0CB3A5A9">
            <w:pPr>
              <w:pStyle w:val="19"/>
              <w:spacing w:line="480" w:lineRule="auto"/>
              <w:jc w:val="center"/>
              <w:rPr>
                <w:lang w:val="id-ID"/>
              </w:rPr>
            </w:pPr>
            <w:r>
              <w:rPr>
                <w:lang w:val="id-ID"/>
              </w:rPr>
              <w:t>41,7%</w:t>
            </w:r>
          </w:p>
        </w:tc>
      </w:tr>
      <w:tr w14:paraId="0CA3D8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94AE1D">
            <w:pPr>
              <w:pStyle w:val="19"/>
              <w:spacing w:line="480" w:lineRule="auto"/>
              <w:jc w:val="center"/>
              <w:rPr>
                <w:lang w:val="id-ID"/>
              </w:rPr>
            </w:pPr>
            <w:r>
              <w:rPr>
                <w:lang w:val="id-ID"/>
              </w:rPr>
              <w:t>3</w:t>
            </w:r>
          </w:p>
        </w:tc>
        <w:tc>
          <w:tcPr>
            <w:tcW w:w="0" w:type="auto"/>
            <w:vAlign w:val="center"/>
          </w:tcPr>
          <w:p w14:paraId="2CE869E0">
            <w:pPr>
              <w:pStyle w:val="19"/>
              <w:spacing w:line="480" w:lineRule="auto"/>
              <w:jc w:val="center"/>
              <w:rPr>
                <w:lang w:val="id-ID"/>
              </w:rPr>
            </w:pPr>
            <w:r>
              <w:rPr>
                <w:lang w:val="id-ID"/>
              </w:rPr>
              <w:t>60–69</w:t>
            </w:r>
          </w:p>
        </w:tc>
        <w:tc>
          <w:tcPr>
            <w:tcW w:w="0" w:type="auto"/>
            <w:vAlign w:val="center"/>
          </w:tcPr>
          <w:p w14:paraId="6B3279F5">
            <w:pPr>
              <w:pStyle w:val="19"/>
              <w:spacing w:line="480" w:lineRule="auto"/>
              <w:jc w:val="center"/>
              <w:rPr>
                <w:lang w:val="id-ID"/>
              </w:rPr>
            </w:pPr>
            <w:r>
              <w:rPr>
                <w:lang w:val="id-ID"/>
              </w:rPr>
              <w:t>Sedang</w:t>
            </w:r>
          </w:p>
        </w:tc>
        <w:tc>
          <w:tcPr>
            <w:tcW w:w="0" w:type="auto"/>
            <w:vAlign w:val="center"/>
          </w:tcPr>
          <w:p w14:paraId="0A7DA611">
            <w:pPr>
              <w:pStyle w:val="19"/>
              <w:spacing w:line="480" w:lineRule="auto"/>
              <w:jc w:val="center"/>
              <w:rPr>
                <w:lang w:val="id-ID"/>
              </w:rPr>
            </w:pPr>
            <w:r>
              <w:rPr>
                <w:lang w:val="id-ID"/>
              </w:rPr>
              <w:t>8</w:t>
            </w:r>
          </w:p>
        </w:tc>
        <w:tc>
          <w:tcPr>
            <w:tcW w:w="0" w:type="auto"/>
            <w:vAlign w:val="center"/>
          </w:tcPr>
          <w:p w14:paraId="1158899C">
            <w:pPr>
              <w:pStyle w:val="19"/>
              <w:spacing w:line="480" w:lineRule="auto"/>
              <w:jc w:val="center"/>
              <w:rPr>
                <w:lang w:val="id-ID"/>
              </w:rPr>
            </w:pPr>
            <w:r>
              <w:rPr>
                <w:lang w:val="id-ID"/>
              </w:rPr>
              <w:t>33,3%</w:t>
            </w:r>
          </w:p>
        </w:tc>
      </w:tr>
      <w:tr w14:paraId="571BDB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AEB9E7">
            <w:pPr>
              <w:pStyle w:val="19"/>
              <w:spacing w:line="480" w:lineRule="auto"/>
              <w:jc w:val="center"/>
              <w:rPr>
                <w:lang w:val="id-ID"/>
              </w:rPr>
            </w:pPr>
            <w:r>
              <w:rPr>
                <w:lang w:val="id-ID"/>
              </w:rPr>
              <w:t>4</w:t>
            </w:r>
          </w:p>
        </w:tc>
        <w:tc>
          <w:tcPr>
            <w:tcW w:w="0" w:type="auto"/>
            <w:vAlign w:val="center"/>
          </w:tcPr>
          <w:p w14:paraId="3E1E8CEA">
            <w:pPr>
              <w:pStyle w:val="19"/>
              <w:spacing w:line="480" w:lineRule="auto"/>
              <w:jc w:val="center"/>
              <w:rPr>
                <w:lang w:val="id-ID"/>
              </w:rPr>
            </w:pPr>
            <w:r>
              <w:rPr>
                <w:lang w:val="id-ID"/>
              </w:rPr>
              <w:t>70–80</w:t>
            </w:r>
          </w:p>
        </w:tc>
        <w:tc>
          <w:tcPr>
            <w:tcW w:w="0" w:type="auto"/>
            <w:vAlign w:val="center"/>
          </w:tcPr>
          <w:p w14:paraId="3510B71D">
            <w:pPr>
              <w:pStyle w:val="19"/>
              <w:spacing w:line="480" w:lineRule="auto"/>
              <w:jc w:val="center"/>
              <w:rPr>
                <w:lang w:val="id-ID"/>
              </w:rPr>
            </w:pPr>
            <w:r>
              <w:rPr>
                <w:lang w:val="id-ID"/>
              </w:rPr>
              <w:t>Tinggi</w:t>
            </w:r>
          </w:p>
        </w:tc>
        <w:tc>
          <w:tcPr>
            <w:tcW w:w="0" w:type="auto"/>
            <w:vAlign w:val="center"/>
          </w:tcPr>
          <w:p w14:paraId="5D4D9FA9">
            <w:pPr>
              <w:pStyle w:val="19"/>
              <w:spacing w:line="480" w:lineRule="auto"/>
              <w:jc w:val="center"/>
              <w:rPr>
                <w:lang w:val="id-ID"/>
              </w:rPr>
            </w:pPr>
            <w:r>
              <w:rPr>
                <w:lang w:val="id-ID"/>
              </w:rPr>
              <w:t>1</w:t>
            </w:r>
          </w:p>
        </w:tc>
        <w:tc>
          <w:tcPr>
            <w:tcW w:w="0" w:type="auto"/>
            <w:vAlign w:val="center"/>
          </w:tcPr>
          <w:p w14:paraId="05F30538">
            <w:pPr>
              <w:pStyle w:val="19"/>
              <w:spacing w:line="480" w:lineRule="auto"/>
              <w:jc w:val="center"/>
              <w:rPr>
                <w:lang w:val="id-ID"/>
              </w:rPr>
            </w:pPr>
            <w:r>
              <w:rPr>
                <w:lang w:val="id-ID"/>
              </w:rPr>
              <w:t>4,1%</w:t>
            </w:r>
          </w:p>
        </w:tc>
      </w:tr>
      <w:tr w14:paraId="222588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B7495E">
            <w:pPr>
              <w:pStyle w:val="19"/>
              <w:spacing w:line="480" w:lineRule="auto"/>
              <w:jc w:val="center"/>
              <w:rPr>
                <w:lang w:val="id-ID"/>
              </w:rPr>
            </w:pPr>
            <w:r>
              <w:rPr>
                <w:lang w:val="id-ID"/>
              </w:rPr>
              <w:t>5</w:t>
            </w:r>
          </w:p>
        </w:tc>
        <w:tc>
          <w:tcPr>
            <w:tcW w:w="0" w:type="auto"/>
            <w:vAlign w:val="center"/>
          </w:tcPr>
          <w:p w14:paraId="2C86858C">
            <w:pPr>
              <w:pStyle w:val="19"/>
              <w:spacing w:line="480" w:lineRule="auto"/>
              <w:jc w:val="center"/>
              <w:rPr>
                <w:lang w:val="id-ID"/>
              </w:rPr>
            </w:pPr>
            <w:r>
              <w:rPr>
                <w:lang w:val="id-ID"/>
              </w:rPr>
              <w:t>81–100</w:t>
            </w:r>
          </w:p>
        </w:tc>
        <w:tc>
          <w:tcPr>
            <w:tcW w:w="0" w:type="auto"/>
            <w:vAlign w:val="center"/>
          </w:tcPr>
          <w:p w14:paraId="3FBE2300">
            <w:pPr>
              <w:pStyle w:val="19"/>
              <w:spacing w:line="480" w:lineRule="auto"/>
              <w:jc w:val="center"/>
              <w:rPr>
                <w:lang w:val="id-ID"/>
              </w:rPr>
            </w:pPr>
            <w:r>
              <w:rPr>
                <w:lang w:val="id-ID"/>
              </w:rPr>
              <w:t>Sangat Tinggi</w:t>
            </w:r>
          </w:p>
        </w:tc>
        <w:tc>
          <w:tcPr>
            <w:tcW w:w="0" w:type="auto"/>
            <w:vAlign w:val="center"/>
          </w:tcPr>
          <w:p w14:paraId="7C519A5A">
            <w:pPr>
              <w:pStyle w:val="19"/>
              <w:spacing w:line="480" w:lineRule="auto"/>
              <w:jc w:val="center"/>
              <w:rPr>
                <w:lang w:val="id-ID"/>
              </w:rPr>
            </w:pPr>
            <w:r>
              <w:rPr>
                <w:lang w:val="id-ID"/>
              </w:rPr>
              <w:t>–</w:t>
            </w:r>
          </w:p>
        </w:tc>
        <w:tc>
          <w:tcPr>
            <w:tcW w:w="0" w:type="auto"/>
            <w:vAlign w:val="center"/>
          </w:tcPr>
          <w:p w14:paraId="619B695A">
            <w:pPr>
              <w:pStyle w:val="19"/>
              <w:spacing w:line="480" w:lineRule="auto"/>
              <w:jc w:val="center"/>
              <w:rPr>
                <w:lang w:val="id-ID"/>
              </w:rPr>
            </w:pPr>
            <w:r>
              <w:rPr>
                <w:lang w:val="id-ID"/>
              </w:rPr>
              <w:t>–</w:t>
            </w:r>
          </w:p>
        </w:tc>
      </w:tr>
      <w:tr w14:paraId="647604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00B16D">
            <w:pPr>
              <w:pStyle w:val="19"/>
              <w:spacing w:line="480" w:lineRule="auto"/>
              <w:jc w:val="center"/>
              <w:rPr>
                <w:lang w:val="id-ID"/>
              </w:rPr>
            </w:pPr>
          </w:p>
        </w:tc>
        <w:tc>
          <w:tcPr>
            <w:tcW w:w="0" w:type="auto"/>
            <w:vAlign w:val="center"/>
          </w:tcPr>
          <w:p w14:paraId="56A350FA">
            <w:pPr>
              <w:pStyle w:val="19"/>
              <w:spacing w:line="480" w:lineRule="auto"/>
              <w:jc w:val="center"/>
              <w:rPr>
                <w:lang w:val="id-ID"/>
              </w:rPr>
            </w:pPr>
            <w:r>
              <w:rPr>
                <w:b/>
                <w:bCs/>
                <w:lang w:val="id-ID"/>
              </w:rPr>
              <w:t>Jumlah</w:t>
            </w:r>
          </w:p>
        </w:tc>
        <w:tc>
          <w:tcPr>
            <w:tcW w:w="0" w:type="auto"/>
            <w:vAlign w:val="center"/>
          </w:tcPr>
          <w:p w14:paraId="5266715E">
            <w:pPr>
              <w:pStyle w:val="19"/>
              <w:spacing w:line="480" w:lineRule="auto"/>
              <w:jc w:val="center"/>
              <w:rPr>
                <w:lang w:val="id-ID"/>
              </w:rPr>
            </w:pPr>
          </w:p>
        </w:tc>
        <w:tc>
          <w:tcPr>
            <w:tcW w:w="0" w:type="auto"/>
            <w:vAlign w:val="center"/>
          </w:tcPr>
          <w:p w14:paraId="3F18083A">
            <w:pPr>
              <w:pStyle w:val="19"/>
              <w:spacing w:line="480" w:lineRule="auto"/>
              <w:jc w:val="center"/>
              <w:rPr>
                <w:lang w:val="id-ID"/>
              </w:rPr>
            </w:pPr>
            <w:r>
              <w:rPr>
                <w:b/>
                <w:bCs/>
                <w:lang w:val="id-ID"/>
              </w:rPr>
              <w:t>24</w:t>
            </w:r>
          </w:p>
        </w:tc>
        <w:tc>
          <w:tcPr>
            <w:tcW w:w="0" w:type="auto"/>
            <w:vAlign w:val="center"/>
          </w:tcPr>
          <w:p w14:paraId="18007430">
            <w:pPr>
              <w:pStyle w:val="19"/>
              <w:spacing w:line="480" w:lineRule="auto"/>
              <w:jc w:val="center"/>
              <w:rPr>
                <w:lang w:val="id-ID"/>
              </w:rPr>
            </w:pPr>
            <w:r>
              <w:rPr>
                <w:b/>
                <w:bCs/>
                <w:lang w:val="id-ID"/>
              </w:rPr>
              <w:t>100%</w:t>
            </w:r>
          </w:p>
        </w:tc>
      </w:tr>
    </w:tbl>
    <w:p w14:paraId="1E88D2F5">
      <w:pPr>
        <w:pStyle w:val="19"/>
        <w:spacing w:before="0" w:beforeAutospacing="0" w:after="0" w:afterAutospacing="0" w:line="480" w:lineRule="auto"/>
        <w:jc w:val="right"/>
      </w:pPr>
      <w:r>
        <w:rPr>
          <w:i/>
          <w:iCs/>
        </w:rPr>
        <w:t>Sumber: Data Primer, 2025</w:t>
      </w:r>
    </w:p>
    <w:p w14:paraId="0211D59A">
      <w:pPr>
        <w:pStyle w:val="19"/>
        <w:spacing w:before="0" w:beforeAutospacing="0" w:after="0" w:afterAutospacing="0" w:line="480" w:lineRule="auto"/>
        <w:ind w:firstLine="709"/>
        <w:jc w:val="both"/>
      </w:pPr>
      <w:r>
        <w:t>Berdasarkan distribusi di atas, dapat diketahui bahwa sebanyak 15 siswa (62,5%) berada pada kategori sangat rendah dan rendah. Hal ini menjadi indikator bahwa mayoritas siswa kelas I SD Negeri 050 Malintang Julu masih mengalami kesulitan dalam memahami dan mengenali huruf, suku kata, maupun rangkaian kata dalam bacaan sederhana, yang merupakan bagian dari kemampuan membaca permulaan.</w:t>
      </w:r>
    </w:p>
    <w:p w14:paraId="013C2B33">
      <w:pPr>
        <w:pStyle w:val="19"/>
        <w:spacing w:before="0" w:beforeAutospacing="0" w:after="0" w:afterAutospacing="0" w:line="480" w:lineRule="auto"/>
        <w:ind w:firstLine="709"/>
        <w:jc w:val="both"/>
      </w:pPr>
      <w:r>
        <w:t>Kategori sedang ditempati oleh 8 siswa (33,3%), menunjukkan bahwa sebagian siswa telah mulai menunjukkan kemampuan dasar dalam membaca, namun belum konsisten mencapai standar ketuntasan. Hanya terdapat 1 siswa (4,1%) yang masuk dalam kategori tinggi, dan tidak ada siswa yang mencapai kategori sangat tinggi. Ini menguatkan temuan bahwa secara umum, sebelum diberi perlakuan melalui pembelajaran dengan metode bermain, kemampuan membaca permulaan siswa masih belum optimal.</w:t>
      </w:r>
    </w:p>
    <w:p w14:paraId="386776D7">
      <w:pPr>
        <w:pStyle w:val="19"/>
        <w:spacing w:before="0" w:beforeAutospacing="0" w:after="0" w:afterAutospacing="0" w:line="480" w:lineRule="auto"/>
        <w:jc w:val="both"/>
      </w:pPr>
    </w:p>
    <w:p w14:paraId="059F7910">
      <w:pPr>
        <w:pStyle w:val="19"/>
        <w:spacing w:before="0" w:beforeAutospacing="0" w:after="0" w:afterAutospacing="0" w:line="480" w:lineRule="auto"/>
        <w:jc w:val="both"/>
        <w:rPr>
          <w:b/>
          <w:bCs/>
        </w:rPr>
      </w:pPr>
      <w:r>
        <w:rPr>
          <w:b/>
          <w:bCs/>
        </w:rPr>
        <w:t>4.1.2 Deskripsi Hasil Belajar Posttest</w:t>
      </w:r>
    </w:p>
    <w:p w14:paraId="51F40320">
      <w:pPr>
        <w:pStyle w:val="19"/>
        <w:spacing w:before="0" w:beforeAutospacing="0" w:after="0" w:afterAutospacing="0" w:line="480" w:lineRule="auto"/>
        <w:ind w:firstLine="709"/>
        <w:jc w:val="both"/>
      </w:pPr>
      <w:r>
        <w:t>Berdasarkan hasil perhitungan, diperoleh nilai rata-rata hasil belajar siswa pada saat posttest setelah mengikuti pembelajaran dengan penerapan metode bermain sebagai strategi pembelajaran adalah 89,88, dengan varian sebesar 31,21 dan standar deviasi 5,58. Pembelajaran ini dilaksanakan dalam rangka mengembangkan kemampuan membaca permulaan siswa kelas I SD Negeri 050 Malintang Julu, Kabupaten Mandailing Natal Tahun Pembelajaran 2025–2026.</w:t>
      </w:r>
    </w:p>
    <w:p w14:paraId="00630DD6">
      <w:pPr>
        <w:pStyle w:val="19"/>
        <w:spacing w:before="0" w:beforeAutospacing="0" w:after="0" w:afterAutospacing="0" w:line="480" w:lineRule="auto"/>
        <w:jc w:val="center"/>
      </w:pPr>
      <w:r>
        <w:t>Tabel 7</w:t>
      </w:r>
    </w:p>
    <w:p w14:paraId="1928B1D4">
      <w:pPr>
        <w:pStyle w:val="19"/>
        <w:spacing w:before="0" w:beforeAutospacing="0" w:after="0" w:afterAutospacing="0" w:line="480" w:lineRule="auto"/>
        <w:jc w:val="center"/>
      </w:pPr>
      <w:r>
        <w:t>Statistik Hasil Belajar Posttest Kelas Eksperimen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603"/>
        <w:gridCol w:w="2316"/>
      </w:tblGrid>
      <w:tr w14:paraId="3CF665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93AC544">
            <w:pPr>
              <w:pStyle w:val="19"/>
              <w:spacing w:line="480" w:lineRule="auto"/>
              <w:jc w:val="center"/>
              <w:rPr>
                <w:b/>
                <w:bCs/>
                <w:lang w:val="id-ID"/>
              </w:rPr>
            </w:pPr>
            <w:r>
              <w:rPr>
                <w:b/>
                <w:bCs/>
                <w:lang w:val="id-ID"/>
              </w:rPr>
              <w:t>Keterangan</w:t>
            </w:r>
          </w:p>
        </w:tc>
        <w:tc>
          <w:tcPr>
            <w:tcW w:w="0" w:type="auto"/>
            <w:vAlign w:val="center"/>
          </w:tcPr>
          <w:p w14:paraId="6EAEA4D5">
            <w:pPr>
              <w:pStyle w:val="19"/>
              <w:spacing w:line="480" w:lineRule="auto"/>
              <w:jc w:val="center"/>
              <w:rPr>
                <w:b/>
                <w:bCs/>
                <w:lang w:val="id-ID"/>
              </w:rPr>
            </w:pPr>
            <w:r>
              <w:rPr>
                <w:b/>
                <w:bCs/>
                <w:lang w:val="id-ID"/>
              </w:rPr>
              <w:t>Posttest Eksperimen</w:t>
            </w:r>
          </w:p>
        </w:tc>
      </w:tr>
      <w:tr w14:paraId="0ECB5D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392969A">
            <w:pPr>
              <w:pStyle w:val="19"/>
              <w:spacing w:line="480" w:lineRule="auto"/>
              <w:jc w:val="center"/>
              <w:rPr>
                <w:lang w:val="id-ID"/>
              </w:rPr>
            </w:pPr>
            <w:r>
              <w:rPr>
                <w:lang w:val="id-ID"/>
              </w:rPr>
              <w:t>N Valid</w:t>
            </w:r>
          </w:p>
        </w:tc>
        <w:tc>
          <w:tcPr>
            <w:tcW w:w="0" w:type="auto"/>
            <w:vAlign w:val="center"/>
          </w:tcPr>
          <w:p w14:paraId="39A87633">
            <w:pPr>
              <w:pStyle w:val="19"/>
              <w:spacing w:line="480" w:lineRule="auto"/>
              <w:jc w:val="center"/>
              <w:rPr>
                <w:lang w:val="en-US"/>
              </w:rPr>
            </w:pPr>
            <w:r>
              <w:rPr>
                <w:lang w:val="id-ID"/>
              </w:rPr>
              <w:t>2</w:t>
            </w:r>
            <w:r>
              <w:rPr>
                <w:lang w:val="en-US"/>
              </w:rPr>
              <w:t>2</w:t>
            </w:r>
          </w:p>
        </w:tc>
      </w:tr>
      <w:tr w14:paraId="45271D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AD7117E">
            <w:pPr>
              <w:pStyle w:val="19"/>
              <w:spacing w:line="480" w:lineRule="auto"/>
              <w:jc w:val="center"/>
              <w:rPr>
                <w:lang w:val="id-ID"/>
              </w:rPr>
            </w:pPr>
            <w:r>
              <w:rPr>
                <w:lang w:val="id-ID"/>
              </w:rPr>
              <w:t>Mean</w:t>
            </w:r>
          </w:p>
        </w:tc>
        <w:tc>
          <w:tcPr>
            <w:tcW w:w="0" w:type="auto"/>
            <w:vAlign w:val="center"/>
          </w:tcPr>
          <w:p w14:paraId="17C6EAB7">
            <w:pPr>
              <w:pStyle w:val="19"/>
              <w:spacing w:line="480" w:lineRule="auto"/>
              <w:jc w:val="center"/>
              <w:rPr>
                <w:lang w:val="id-ID"/>
              </w:rPr>
            </w:pPr>
            <w:r>
              <w:rPr>
                <w:lang w:val="id-ID"/>
              </w:rPr>
              <w:t>89,88</w:t>
            </w:r>
          </w:p>
        </w:tc>
      </w:tr>
      <w:tr w14:paraId="6506F0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893AE16">
            <w:pPr>
              <w:pStyle w:val="19"/>
              <w:spacing w:line="480" w:lineRule="auto"/>
              <w:jc w:val="center"/>
              <w:rPr>
                <w:lang w:val="id-ID"/>
              </w:rPr>
            </w:pPr>
            <w:r>
              <w:rPr>
                <w:lang w:val="id-ID"/>
              </w:rPr>
              <w:t>Median</w:t>
            </w:r>
          </w:p>
        </w:tc>
        <w:tc>
          <w:tcPr>
            <w:tcW w:w="0" w:type="auto"/>
            <w:vAlign w:val="center"/>
          </w:tcPr>
          <w:p w14:paraId="248A3459">
            <w:pPr>
              <w:pStyle w:val="19"/>
              <w:spacing w:line="480" w:lineRule="auto"/>
              <w:jc w:val="center"/>
              <w:rPr>
                <w:lang w:val="id-ID"/>
              </w:rPr>
            </w:pPr>
            <w:r>
              <w:rPr>
                <w:lang w:val="id-ID"/>
              </w:rPr>
              <w:t>90,91</w:t>
            </w:r>
          </w:p>
        </w:tc>
      </w:tr>
      <w:tr w14:paraId="58409F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39EBBB">
            <w:pPr>
              <w:pStyle w:val="19"/>
              <w:spacing w:line="480" w:lineRule="auto"/>
              <w:jc w:val="center"/>
              <w:rPr>
                <w:lang w:val="id-ID"/>
              </w:rPr>
            </w:pPr>
            <w:r>
              <w:rPr>
                <w:lang w:val="id-ID"/>
              </w:rPr>
              <w:t>Mode</w:t>
            </w:r>
          </w:p>
        </w:tc>
        <w:tc>
          <w:tcPr>
            <w:tcW w:w="0" w:type="auto"/>
            <w:vAlign w:val="center"/>
          </w:tcPr>
          <w:p w14:paraId="071553E8">
            <w:pPr>
              <w:pStyle w:val="19"/>
              <w:spacing w:line="480" w:lineRule="auto"/>
              <w:jc w:val="center"/>
              <w:rPr>
                <w:lang w:val="id-ID"/>
              </w:rPr>
            </w:pPr>
            <w:r>
              <w:rPr>
                <w:lang w:val="id-ID"/>
              </w:rPr>
              <w:t>90,91</w:t>
            </w:r>
          </w:p>
        </w:tc>
      </w:tr>
      <w:tr w14:paraId="0DDB76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225A981">
            <w:pPr>
              <w:pStyle w:val="19"/>
              <w:spacing w:line="480" w:lineRule="auto"/>
              <w:jc w:val="center"/>
              <w:rPr>
                <w:lang w:val="id-ID"/>
              </w:rPr>
            </w:pPr>
            <w:r>
              <w:rPr>
                <w:lang w:val="id-ID"/>
              </w:rPr>
              <w:t>Std. Deviation</w:t>
            </w:r>
          </w:p>
        </w:tc>
        <w:tc>
          <w:tcPr>
            <w:tcW w:w="0" w:type="auto"/>
            <w:vAlign w:val="center"/>
          </w:tcPr>
          <w:p w14:paraId="39E47EA6">
            <w:pPr>
              <w:pStyle w:val="19"/>
              <w:spacing w:line="480" w:lineRule="auto"/>
              <w:jc w:val="center"/>
              <w:rPr>
                <w:lang w:val="id-ID"/>
              </w:rPr>
            </w:pPr>
            <w:r>
              <w:rPr>
                <w:lang w:val="id-ID"/>
              </w:rPr>
              <w:t>5,59</w:t>
            </w:r>
          </w:p>
        </w:tc>
      </w:tr>
      <w:tr w14:paraId="4551E9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75A2DED">
            <w:pPr>
              <w:pStyle w:val="19"/>
              <w:spacing w:line="480" w:lineRule="auto"/>
              <w:jc w:val="center"/>
              <w:rPr>
                <w:lang w:val="id-ID"/>
              </w:rPr>
            </w:pPr>
            <w:r>
              <w:rPr>
                <w:lang w:val="id-ID"/>
              </w:rPr>
              <w:t>Variance</w:t>
            </w:r>
          </w:p>
        </w:tc>
        <w:tc>
          <w:tcPr>
            <w:tcW w:w="0" w:type="auto"/>
            <w:vAlign w:val="center"/>
          </w:tcPr>
          <w:p w14:paraId="19A0B524">
            <w:pPr>
              <w:pStyle w:val="19"/>
              <w:spacing w:line="480" w:lineRule="auto"/>
              <w:jc w:val="center"/>
              <w:rPr>
                <w:lang w:val="id-ID"/>
              </w:rPr>
            </w:pPr>
            <w:r>
              <w:rPr>
                <w:lang w:val="id-ID"/>
              </w:rPr>
              <w:t>31,21</w:t>
            </w:r>
          </w:p>
        </w:tc>
      </w:tr>
      <w:tr w14:paraId="6D1007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8971EF">
            <w:pPr>
              <w:pStyle w:val="19"/>
              <w:spacing w:line="480" w:lineRule="auto"/>
              <w:jc w:val="center"/>
              <w:rPr>
                <w:lang w:val="id-ID"/>
              </w:rPr>
            </w:pPr>
            <w:r>
              <w:rPr>
                <w:lang w:val="id-ID"/>
              </w:rPr>
              <w:t>Range</w:t>
            </w:r>
          </w:p>
        </w:tc>
        <w:tc>
          <w:tcPr>
            <w:tcW w:w="0" w:type="auto"/>
            <w:vAlign w:val="center"/>
          </w:tcPr>
          <w:p w14:paraId="1DE4C96C">
            <w:pPr>
              <w:pStyle w:val="19"/>
              <w:spacing w:line="480" w:lineRule="auto"/>
              <w:jc w:val="center"/>
              <w:rPr>
                <w:lang w:val="id-ID"/>
              </w:rPr>
            </w:pPr>
            <w:r>
              <w:rPr>
                <w:lang w:val="id-ID"/>
              </w:rPr>
              <w:t>18,18</w:t>
            </w:r>
          </w:p>
        </w:tc>
      </w:tr>
      <w:tr w14:paraId="6B20C8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B074B71">
            <w:pPr>
              <w:pStyle w:val="19"/>
              <w:spacing w:line="480" w:lineRule="auto"/>
              <w:jc w:val="center"/>
              <w:rPr>
                <w:lang w:val="id-ID"/>
              </w:rPr>
            </w:pPr>
            <w:r>
              <w:rPr>
                <w:lang w:val="id-ID"/>
              </w:rPr>
              <w:t>Minimum</w:t>
            </w:r>
          </w:p>
        </w:tc>
        <w:tc>
          <w:tcPr>
            <w:tcW w:w="0" w:type="auto"/>
            <w:vAlign w:val="center"/>
          </w:tcPr>
          <w:p w14:paraId="01E5E221">
            <w:pPr>
              <w:pStyle w:val="19"/>
              <w:spacing w:line="480" w:lineRule="auto"/>
              <w:jc w:val="center"/>
              <w:rPr>
                <w:lang w:val="id-ID"/>
              </w:rPr>
            </w:pPr>
            <w:r>
              <w:rPr>
                <w:lang w:val="id-ID"/>
              </w:rPr>
              <w:t>70,82</w:t>
            </w:r>
          </w:p>
        </w:tc>
      </w:tr>
      <w:tr w14:paraId="7F97F2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3BF99FF">
            <w:pPr>
              <w:pStyle w:val="19"/>
              <w:spacing w:line="480" w:lineRule="auto"/>
              <w:jc w:val="center"/>
              <w:rPr>
                <w:lang w:val="id-ID"/>
              </w:rPr>
            </w:pPr>
            <w:r>
              <w:rPr>
                <w:lang w:val="id-ID"/>
              </w:rPr>
              <w:t>Maximum</w:t>
            </w:r>
          </w:p>
        </w:tc>
        <w:tc>
          <w:tcPr>
            <w:tcW w:w="0" w:type="auto"/>
            <w:vAlign w:val="center"/>
          </w:tcPr>
          <w:p w14:paraId="4883B3DD">
            <w:pPr>
              <w:pStyle w:val="19"/>
              <w:spacing w:line="480" w:lineRule="auto"/>
              <w:jc w:val="center"/>
              <w:rPr>
                <w:lang w:val="id-ID"/>
              </w:rPr>
            </w:pPr>
            <w:r>
              <w:rPr>
                <w:lang w:val="id-ID"/>
              </w:rPr>
              <w:t>100</w:t>
            </w:r>
          </w:p>
        </w:tc>
      </w:tr>
      <w:tr w14:paraId="2046E4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31F6AD">
            <w:pPr>
              <w:pStyle w:val="19"/>
              <w:spacing w:line="480" w:lineRule="auto"/>
              <w:jc w:val="center"/>
              <w:rPr>
                <w:lang w:val="id-ID"/>
              </w:rPr>
            </w:pPr>
            <w:r>
              <w:rPr>
                <w:lang w:val="id-ID"/>
              </w:rPr>
              <w:t>Sum</w:t>
            </w:r>
          </w:p>
        </w:tc>
        <w:tc>
          <w:tcPr>
            <w:tcW w:w="0" w:type="auto"/>
            <w:vAlign w:val="center"/>
          </w:tcPr>
          <w:p w14:paraId="2ED0EDFE">
            <w:pPr>
              <w:pStyle w:val="19"/>
              <w:spacing w:line="480" w:lineRule="auto"/>
              <w:jc w:val="center"/>
              <w:rPr>
                <w:lang w:val="id-ID"/>
              </w:rPr>
            </w:pPr>
            <w:r>
              <w:rPr>
                <w:lang w:val="id-ID"/>
              </w:rPr>
              <w:t>2.157,12</w:t>
            </w:r>
          </w:p>
        </w:tc>
      </w:tr>
    </w:tbl>
    <w:p w14:paraId="4D3B5612">
      <w:pPr>
        <w:pStyle w:val="19"/>
        <w:spacing w:before="0" w:beforeAutospacing="0" w:after="0" w:afterAutospacing="0" w:line="480" w:lineRule="auto"/>
        <w:jc w:val="right"/>
        <w:rPr>
          <w:i/>
          <w:iCs/>
        </w:rPr>
      </w:pPr>
      <w:r>
        <w:rPr>
          <w:i/>
          <w:iCs/>
        </w:rPr>
        <w:t>Sumber: Hasil Analisis Data, 2025</w:t>
      </w:r>
    </w:p>
    <w:p w14:paraId="6C75907D">
      <w:pPr>
        <w:pStyle w:val="19"/>
        <w:spacing w:before="0" w:beforeAutospacing="0" w:after="0" w:afterAutospacing="0" w:line="480" w:lineRule="auto"/>
        <w:ind w:firstLine="709"/>
        <w:jc w:val="both"/>
      </w:pPr>
      <w:r>
        <w:t>Berdasarkan tabel di atas, dapat diketahui bahwa skor minimum yang diperoleh siswa adalah 70,82 dan skor maksimum adalah 100. Rata-rata hasil belajar menunjukkan peningkatan yang signifikan jika dibandingkan dengan hasil pretest, sehingga dapat disimpulkan bahwa penerapan metode bermain berdampak positif terhadap peningkatan kemampuan membaca permulaan siswa.</w:t>
      </w:r>
    </w:p>
    <w:p w14:paraId="0B59A269">
      <w:pPr>
        <w:pStyle w:val="19"/>
        <w:spacing w:before="0" w:beforeAutospacing="0" w:after="0" w:afterAutospacing="0" w:line="480" w:lineRule="auto"/>
        <w:ind w:firstLine="709"/>
        <w:jc w:val="both"/>
      </w:pPr>
      <w:r>
        <w:t>Hal ini sejalan dengan pendapat Vygotsky (1978:87) yang menyatakan bahwa bermain merupakan wahana perkembangan kognitif dan sosial yang efektif, khususnya pada tahap awal pembelajaran membaca. Melalui permainan edukatif, anak-anak belajar secara aktif, membangun makna, dan mengembangkan keterampilan literasi dasar secara menyenangkan. Berikut ini disajikan deskripsi distribusi dan frekuensi hasil belajar posttest siswa:</w:t>
      </w:r>
    </w:p>
    <w:p w14:paraId="7755119D">
      <w:pPr>
        <w:pStyle w:val="19"/>
        <w:spacing w:before="0" w:beforeAutospacing="0" w:after="0" w:afterAutospacing="0" w:line="480" w:lineRule="auto"/>
        <w:jc w:val="center"/>
      </w:pPr>
      <w:r>
        <w:t>Tabel 8</w:t>
      </w:r>
    </w:p>
    <w:p w14:paraId="3F6DD120">
      <w:pPr>
        <w:pStyle w:val="19"/>
        <w:spacing w:before="0" w:beforeAutospacing="0" w:after="0" w:afterAutospacing="0" w:line="480" w:lineRule="auto"/>
        <w:jc w:val="center"/>
      </w:pPr>
      <w:r>
        <w:t>Distribusi dan Frekuensi Kategori Hasil Belajar Posttest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596"/>
        <w:gridCol w:w="1663"/>
        <w:gridCol w:w="1243"/>
        <w:gridCol w:w="1769"/>
      </w:tblGrid>
      <w:tr w14:paraId="2129BE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FC8D71">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No</w:t>
            </w:r>
          </w:p>
        </w:tc>
        <w:tc>
          <w:tcPr>
            <w:tcW w:w="0" w:type="auto"/>
            <w:vAlign w:val="center"/>
          </w:tcPr>
          <w:p w14:paraId="5DCB1991">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Interval Nilai</w:t>
            </w:r>
          </w:p>
        </w:tc>
        <w:tc>
          <w:tcPr>
            <w:tcW w:w="0" w:type="auto"/>
            <w:vAlign w:val="center"/>
          </w:tcPr>
          <w:p w14:paraId="53A0B0B5">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Kategori</w:t>
            </w:r>
          </w:p>
        </w:tc>
        <w:tc>
          <w:tcPr>
            <w:tcW w:w="0" w:type="auto"/>
            <w:vAlign w:val="center"/>
          </w:tcPr>
          <w:p w14:paraId="56A7F235">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Frekuensi</w:t>
            </w:r>
          </w:p>
        </w:tc>
        <w:tc>
          <w:tcPr>
            <w:tcW w:w="0" w:type="auto"/>
            <w:vAlign w:val="center"/>
          </w:tcPr>
          <w:p w14:paraId="0403CF06">
            <w:pPr>
              <w:spacing w:after="0" w:line="240" w:lineRule="auto"/>
              <w:jc w:val="center"/>
              <w:rPr>
                <w:rFonts w:ascii="Times New Roman" w:hAnsi="Times New Roman" w:cs="Times New Roman"/>
                <w:b/>
                <w:bCs/>
                <w:sz w:val="24"/>
                <w:szCs w:val="24"/>
                <w:lang w:val="id-ID"/>
              </w:rPr>
            </w:pPr>
            <w:r>
              <w:rPr>
                <w:rStyle w:val="349"/>
                <w:rFonts w:ascii="Times New Roman" w:hAnsi="Times New Roman" w:cs="Times New Roman"/>
                <w:b/>
                <w:bCs/>
                <w:sz w:val="24"/>
                <w:szCs w:val="24"/>
                <w:lang w:val="id-ID"/>
              </w:rPr>
              <w:t>Persentase (%)</w:t>
            </w:r>
          </w:p>
        </w:tc>
      </w:tr>
      <w:tr w14:paraId="2A5027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8392E3">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w:t>
            </w:r>
          </w:p>
        </w:tc>
        <w:tc>
          <w:tcPr>
            <w:tcW w:w="0" w:type="auto"/>
            <w:vAlign w:val="center"/>
          </w:tcPr>
          <w:p w14:paraId="27A6EB3A">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0–40</w:t>
            </w:r>
          </w:p>
        </w:tc>
        <w:tc>
          <w:tcPr>
            <w:tcW w:w="0" w:type="auto"/>
            <w:vAlign w:val="center"/>
          </w:tcPr>
          <w:p w14:paraId="499AE4F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Sangat Rendah</w:t>
            </w:r>
          </w:p>
        </w:tc>
        <w:tc>
          <w:tcPr>
            <w:tcW w:w="0" w:type="auto"/>
            <w:vAlign w:val="center"/>
          </w:tcPr>
          <w:p w14:paraId="564EA9DA">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c>
          <w:tcPr>
            <w:tcW w:w="0" w:type="auto"/>
            <w:vAlign w:val="center"/>
          </w:tcPr>
          <w:p w14:paraId="22D6ED0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r>
      <w:tr w14:paraId="37BD2C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127E91">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w:t>
            </w:r>
          </w:p>
        </w:tc>
        <w:tc>
          <w:tcPr>
            <w:tcW w:w="0" w:type="auto"/>
            <w:vAlign w:val="center"/>
          </w:tcPr>
          <w:p w14:paraId="408E5DE3">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45–55</w:t>
            </w:r>
          </w:p>
        </w:tc>
        <w:tc>
          <w:tcPr>
            <w:tcW w:w="0" w:type="auto"/>
            <w:vAlign w:val="center"/>
          </w:tcPr>
          <w:p w14:paraId="30B4A5CE">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Rendah</w:t>
            </w:r>
          </w:p>
        </w:tc>
        <w:tc>
          <w:tcPr>
            <w:tcW w:w="0" w:type="auto"/>
            <w:vAlign w:val="center"/>
          </w:tcPr>
          <w:p w14:paraId="1D49AF9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w:t>
            </w:r>
          </w:p>
        </w:tc>
        <w:tc>
          <w:tcPr>
            <w:tcW w:w="0" w:type="auto"/>
            <w:vAlign w:val="center"/>
          </w:tcPr>
          <w:p w14:paraId="2EE2394E">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4,5%</w:t>
            </w:r>
          </w:p>
        </w:tc>
      </w:tr>
      <w:tr w14:paraId="6A3766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5073FF">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3</w:t>
            </w:r>
          </w:p>
        </w:tc>
        <w:tc>
          <w:tcPr>
            <w:tcW w:w="0" w:type="auto"/>
            <w:vAlign w:val="center"/>
          </w:tcPr>
          <w:p w14:paraId="7C7EE615">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60–69</w:t>
            </w:r>
          </w:p>
        </w:tc>
        <w:tc>
          <w:tcPr>
            <w:tcW w:w="0" w:type="auto"/>
            <w:vAlign w:val="center"/>
          </w:tcPr>
          <w:p w14:paraId="2B4DBBED">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Sedang</w:t>
            </w:r>
          </w:p>
        </w:tc>
        <w:tc>
          <w:tcPr>
            <w:tcW w:w="0" w:type="auto"/>
            <w:vAlign w:val="center"/>
          </w:tcPr>
          <w:p w14:paraId="602F362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c>
          <w:tcPr>
            <w:tcW w:w="0" w:type="auto"/>
            <w:vAlign w:val="center"/>
          </w:tcPr>
          <w:p w14:paraId="0E3D8C2E">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w:t>
            </w:r>
          </w:p>
        </w:tc>
      </w:tr>
      <w:tr w14:paraId="35D3C4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65FEA5">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w:t>
            </w:r>
          </w:p>
        </w:tc>
        <w:tc>
          <w:tcPr>
            <w:tcW w:w="0" w:type="auto"/>
            <w:vAlign w:val="center"/>
          </w:tcPr>
          <w:p w14:paraId="65E6EE75">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70–80</w:t>
            </w:r>
          </w:p>
        </w:tc>
        <w:tc>
          <w:tcPr>
            <w:tcW w:w="0" w:type="auto"/>
            <w:vAlign w:val="center"/>
          </w:tcPr>
          <w:p w14:paraId="6756FBA2">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Tinggi</w:t>
            </w:r>
          </w:p>
        </w:tc>
        <w:tc>
          <w:tcPr>
            <w:tcW w:w="0" w:type="auto"/>
            <w:vAlign w:val="center"/>
          </w:tcPr>
          <w:p w14:paraId="0F005CBB">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w:t>
            </w:r>
          </w:p>
        </w:tc>
        <w:tc>
          <w:tcPr>
            <w:tcW w:w="0" w:type="auto"/>
            <w:vAlign w:val="center"/>
          </w:tcPr>
          <w:p w14:paraId="1BF2347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4,5%</w:t>
            </w:r>
          </w:p>
        </w:tc>
      </w:tr>
      <w:tr w14:paraId="53276B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832955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5</w:t>
            </w:r>
          </w:p>
        </w:tc>
        <w:tc>
          <w:tcPr>
            <w:tcW w:w="0" w:type="auto"/>
            <w:vAlign w:val="center"/>
          </w:tcPr>
          <w:p w14:paraId="6797F76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81–100</w:t>
            </w:r>
          </w:p>
        </w:tc>
        <w:tc>
          <w:tcPr>
            <w:tcW w:w="0" w:type="auto"/>
            <w:vAlign w:val="center"/>
          </w:tcPr>
          <w:p w14:paraId="4BFB319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Sangat Tinggi</w:t>
            </w:r>
          </w:p>
        </w:tc>
        <w:tc>
          <w:tcPr>
            <w:tcW w:w="0" w:type="auto"/>
            <w:vAlign w:val="center"/>
          </w:tcPr>
          <w:p w14:paraId="7EAA3B6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20</w:t>
            </w:r>
          </w:p>
        </w:tc>
        <w:tc>
          <w:tcPr>
            <w:tcW w:w="0" w:type="auto"/>
            <w:vAlign w:val="center"/>
          </w:tcPr>
          <w:p w14:paraId="63B5DE8B">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90,9%</w:t>
            </w:r>
          </w:p>
        </w:tc>
      </w:tr>
      <w:tr w14:paraId="192854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A5C1091">
            <w:pPr>
              <w:spacing w:after="0" w:line="240" w:lineRule="auto"/>
              <w:jc w:val="center"/>
              <w:rPr>
                <w:rFonts w:ascii="Times New Roman" w:hAnsi="Times New Roman" w:cs="Times New Roman"/>
                <w:sz w:val="24"/>
                <w:szCs w:val="24"/>
                <w:lang w:val="id-ID"/>
              </w:rPr>
            </w:pPr>
          </w:p>
        </w:tc>
        <w:tc>
          <w:tcPr>
            <w:tcW w:w="0" w:type="auto"/>
            <w:vAlign w:val="center"/>
          </w:tcPr>
          <w:p w14:paraId="28F4504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b/>
                <w:bCs/>
                <w:sz w:val="24"/>
                <w:szCs w:val="24"/>
                <w:lang w:val="id-ID"/>
              </w:rPr>
              <w:t>Jumlah</w:t>
            </w:r>
          </w:p>
        </w:tc>
        <w:tc>
          <w:tcPr>
            <w:tcW w:w="0" w:type="auto"/>
            <w:vAlign w:val="center"/>
          </w:tcPr>
          <w:p w14:paraId="3FB8D08B">
            <w:pPr>
              <w:spacing w:after="0" w:line="240" w:lineRule="auto"/>
              <w:jc w:val="center"/>
              <w:rPr>
                <w:rFonts w:ascii="Times New Roman" w:hAnsi="Times New Roman" w:cs="Times New Roman"/>
                <w:sz w:val="24"/>
                <w:szCs w:val="24"/>
                <w:lang w:val="id-ID"/>
              </w:rPr>
            </w:pPr>
          </w:p>
        </w:tc>
        <w:tc>
          <w:tcPr>
            <w:tcW w:w="0" w:type="auto"/>
            <w:vAlign w:val="center"/>
          </w:tcPr>
          <w:p w14:paraId="30253E0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b/>
                <w:bCs/>
                <w:sz w:val="24"/>
                <w:szCs w:val="24"/>
                <w:lang w:val="id-ID"/>
              </w:rPr>
              <w:t>22</w:t>
            </w:r>
          </w:p>
        </w:tc>
        <w:tc>
          <w:tcPr>
            <w:tcW w:w="0" w:type="auto"/>
            <w:vAlign w:val="center"/>
          </w:tcPr>
          <w:p w14:paraId="1FC9BB6F">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b/>
                <w:bCs/>
                <w:sz w:val="24"/>
                <w:szCs w:val="24"/>
                <w:lang w:val="id-ID"/>
              </w:rPr>
              <w:t>100%</w:t>
            </w:r>
          </w:p>
        </w:tc>
      </w:tr>
    </w:tbl>
    <w:p w14:paraId="7D452C07">
      <w:pPr>
        <w:pStyle w:val="19"/>
        <w:spacing w:before="0" w:beforeAutospacing="0" w:after="0" w:afterAutospacing="0" w:line="480" w:lineRule="auto"/>
        <w:ind w:firstLine="709"/>
        <w:jc w:val="both"/>
      </w:pPr>
    </w:p>
    <w:p w14:paraId="30991DAF">
      <w:pPr>
        <w:pStyle w:val="19"/>
        <w:spacing w:before="0" w:beforeAutospacing="0" w:after="0" w:afterAutospacing="0" w:line="480" w:lineRule="auto"/>
        <w:ind w:firstLine="709"/>
        <w:jc w:val="both"/>
      </w:pPr>
      <w:r>
        <w:t>Dari tabel di atas dapat diketahui bahwa mayoritas siswa, yaitu 90,9% (20 orang), memperoleh nilai dalam kategori sangat tinggi, dan hanya 1 orang (4,5%) berada pada kategori tinggi, serta 1 orang (4,5%) dalam kategori rendah. Tidak terdapat siswa yang berada pada kategori sangat rendah maupun sedang.</w:t>
      </w:r>
    </w:p>
    <w:p w14:paraId="7D1487BB">
      <w:pPr>
        <w:pStyle w:val="19"/>
        <w:spacing w:before="0" w:beforeAutospacing="0" w:after="0" w:afterAutospacing="0" w:line="480" w:lineRule="auto"/>
        <w:ind w:firstLine="709"/>
        <w:jc w:val="both"/>
      </w:pPr>
      <w:r>
        <w:t>Dengan demikian, pencapaian hasil belajar siswa secara keseluruhan tergolong tinggi dan memenuhi indikator ketuntasan klasikal, yaitu apabila minimal 85–90% siswa mencapai Kriteria Ketuntasan Minimal (KKM). Dalam penelitian ini, 21 dari 22 siswa (95,4%) telah mencapai nilai ≥70, sehingga ketuntasan klasikal dinyatakan terpenuhi.</w:t>
      </w:r>
    </w:p>
    <w:p w14:paraId="2A853293">
      <w:pPr>
        <w:pStyle w:val="19"/>
        <w:spacing w:before="0" w:beforeAutospacing="0" w:after="0" w:afterAutospacing="0" w:line="480" w:lineRule="auto"/>
        <w:ind w:firstLine="709"/>
        <w:jc w:val="both"/>
      </w:pPr>
      <w:r>
        <w:t>Peningkatan ini menunjukkan bahwa penerapan metode bermain sebagai strategi pembelajaran sangat efektif dalam meningkatkan kemampuan membaca permulaan siswa kelas I. Hal ini sejalan dengan pendapat Piaget (1962:112) yang menyatakan bahwa kegiatan bermain merangsang perkembangan intelektual anak melalui eksplorasi, pengamatan, dan pemaknaan pengalaman belajar secara konkret. Oleh karena itu, metode ini layak untuk diterapkan dalam pokok bahasan lainnya guna mendukung peningkatan hasil belajar siswa secara berkelanjutan.</w:t>
      </w:r>
    </w:p>
    <w:p w14:paraId="4AE352EC">
      <w:pPr>
        <w:pStyle w:val="19"/>
        <w:spacing w:before="0" w:beforeAutospacing="0" w:after="0" w:afterAutospacing="0" w:line="480" w:lineRule="auto"/>
        <w:ind w:firstLine="709"/>
        <w:jc w:val="both"/>
      </w:pPr>
    </w:p>
    <w:p w14:paraId="12EEFF0A">
      <w:pPr>
        <w:pStyle w:val="19"/>
        <w:spacing w:before="0" w:beforeAutospacing="0" w:after="0" w:afterAutospacing="0" w:line="480" w:lineRule="auto"/>
        <w:jc w:val="both"/>
        <w:rPr>
          <w:b/>
          <w:bCs/>
        </w:rPr>
      </w:pPr>
      <w:r>
        <w:rPr>
          <w:b/>
          <w:bCs/>
        </w:rPr>
        <w:t>4.1.3 Uji Hipotesis</w:t>
      </w:r>
    </w:p>
    <w:p w14:paraId="32506175">
      <w:pPr>
        <w:pStyle w:val="19"/>
        <w:spacing w:before="0" w:beforeAutospacing="0" w:after="0" w:afterAutospacing="0" w:line="480" w:lineRule="auto"/>
        <w:ind w:firstLine="709"/>
        <w:jc w:val="both"/>
      </w:pPr>
      <w:r>
        <w:t>Sebelum dilakukan uji hipotesis, terlebih dahulu dilaksanakan uji prasyarat analisis yang meliputi uji normalitas dan uji homogenitas varian. Uji normalitas dilakukan pada kelompok eksperimen yang mengikuti pembelajaran dengan menggunakan metode bermain sebagai strategi pengembangan kemampuan membaca permulaan.</w:t>
      </w:r>
    </w:p>
    <w:p w14:paraId="50B79D8B">
      <w:pPr>
        <w:pStyle w:val="19"/>
        <w:spacing w:before="0" w:beforeAutospacing="0" w:after="0" w:afterAutospacing="0" w:line="480" w:lineRule="auto"/>
        <w:ind w:firstLine="709"/>
        <w:jc w:val="both"/>
      </w:pPr>
      <w:r>
        <w:t>Dalam uji normalitas digunakan analisis Chi-Kuadrat (χ²) dengan taraf signifikansi 5% (α = 0,05) dan derajat kebebasan (dk) = k – 1. Berdasarkan derajat kebebasan (df) = 21, diperoleh nilai χ² tabel sebesar 1,720 (χ²₀.₀₅,₂₁ = 1.720).</w:t>
      </w:r>
    </w:p>
    <w:p w14:paraId="1B7FF8BC">
      <w:pPr>
        <w:pStyle w:val="19"/>
        <w:spacing w:before="0" w:beforeAutospacing="0" w:after="0" w:afterAutospacing="0" w:line="480" w:lineRule="auto"/>
        <w:jc w:val="center"/>
      </w:pPr>
      <w:r>
        <w:t>Tabel 9</w:t>
      </w:r>
    </w:p>
    <w:p w14:paraId="2F23C7BF">
      <w:pPr>
        <w:pStyle w:val="19"/>
        <w:spacing w:before="0" w:beforeAutospacing="0" w:after="0" w:afterAutospacing="0" w:line="480" w:lineRule="auto"/>
        <w:jc w:val="center"/>
      </w:pPr>
      <w:r>
        <w:t>Hasil Uji Normalitas berdasarkan Nilai χ² Hitung dan χ² Tabel</w:t>
      </w:r>
    </w:p>
    <w:tbl>
      <w:tblPr>
        <w:tblStyle w:val="348"/>
        <w:tblW w:w="6081" w:type="dxa"/>
        <w:tblInd w:w="1409" w:type="dxa"/>
        <w:tblLayout w:type="autofit"/>
        <w:tblCellMar>
          <w:top w:w="9" w:type="dxa"/>
          <w:left w:w="108" w:type="dxa"/>
          <w:bottom w:w="13" w:type="dxa"/>
          <w:right w:w="34" w:type="dxa"/>
        </w:tblCellMar>
      </w:tblPr>
      <w:tblGrid>
        <w:gridCol w:w="2261"/>
        <w:gridCol w:w="1119"/>
        <w:gridCol w:w="1241"/>
        <w:gridCol w:w="1460"/>
      </w:tblGrid>
      <w:tr w14:paraId="0230B407">
        <w:tblPrEx>
          <w:tblCellMar>
            <w:top w:w="9" w:type="dxa"/>
            <w:left w:w="108" w:type="dxa"/>
            <w:bottom w:w="13" w:type="dxa"/>
            <w:right w:w="34" w:type="dxa"/>
          </w:tblCellMar>
        </w:tblPrEx>
        <w:trPr>
          <w:trHeight w:val="562" w:hRule="atLeast"/>
        </w:trPr>
        <w:tc>
          <w:tcPr>
            <w:tcW w:w="2261" w:type="dxa"/>
            <w:tcBorders>
              <w:top w:val="single" w:color="000000" w:sz="4" w:space="0"/>
              <w:left w:val="single" w:color="000000" w:sz="4" w:space="0"/>
              <w:bottom w:val="single" w:color="000000" w:sz="4" w:space="0"/>
              <w:right w:val="single" w:color="000000" w:sz="4" w:space="0"/>
            </w:tcBorders>
            <w:vAlign w:val="bottom"/>
          </w:tcPr>
          <w:p w14:paraId="567AAA2E">
            <w:pPr>
              <w:spacing w:after="0" w:line="259" w:lineRule="auto"/>
              <w:ind w:right="74"/>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Sampel</w:t>
            </w:r>
          </w:p>
        </w:tc>
        <w:tc>
          <w:tcPr>
            <w:tcW w:w="1119" w:type="dxa"/>
            <w:tcBorders>
              <w:top w:val="single" w:color="000000" w:sz="4" w:space="0"/>
              <w:left w:val="single" w:color="000000" w:sz="4" w:space="0"/>
              <w:bottom w:val="single" w:color="000000" w:sz="4" w:space="0"/>
              <w:right w:val="single" w:color="000000" w:sz="4" w:space="0"/>
            </w:tcBorders>
          </w:tcPr>
          <w:p w14:paraId="3ADF874B">
            <w:pPr>
              <w:spacing w:after="0" w:line="259" w:lineRule="auto"/>
              <w:ind w:right="72"/>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χ 2</w:t>
            </w:r>
          </w:p>
          <w:p w14:paraId="2C562742">
            <w:pPr>
              <w:spacing w:after="0" w:line="259" w:lineRule="auto"/>
              <w:ind w:right="217"/>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hitung</w:t>
            </w:r>
          </w:p>
        </w:tc>
        <w:tc>
          <w:tcPr>
            <w:tcW w:w="1241" w:type="dxa"/>
            <w:tcBorders>
              <w:top w:val="single" w:color="000000" w:sz="4" w:space="0"/>
              <w:left w:val="single" w:color="000000" w:sz="4" w:space="0"/>
              <w:bottom w:val="single" w:color="000000" w:sz="4" w:space="0"/>
              <w:right w:val="single" w:color="000000" w:sz="4" w:space="0"/>
            </w:tcBorders>
            <w:vAlign w:val="bottom"/>
          </w:tcPr>
          <w:p w14:paraId="002CCEBF">
            <w:pPr>
              <w:spacing w:after="0" w:line="259" w:lineRule="auto"/>
              <w:ind w:right="183"/>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χ 2 tabel</w:t>
            </w:r>
          </w:p>
        </w:tc>
        <w:tc>
          <w:tcPr>
            <w:tcW w:w="1460" w:type="dxa"/>
            <w:tcBorders>
              <w:top w:val="single" w:color="000000" w:sz="4" w:space="0"/>
              <w:left w:val="single" w:color="000000" w:sz="4" w:space="0"/>
              <w:bottom w:val="single" w:color="000000" w:sz="4" w:space="0"/>
              <w:right w:val="single" w:color="000000" w:sz="4" w:space="0"/>
            </w:tcBorders>
            <w:vAlign w:val="center"/>
          </w:tcPr>
          <w:p w14:paraId="5204189A">
            <w:pPr>
              <w:spacing w:after="0" w:line="259" w:lineRule="auto"/>
              <w:ind w:left="67"/>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Keterangan</w:t>
            </w:r>
          </w:p>
        </w:tc>
      </w:tr>
      <w:tr w14:paraId="48BE1776">
        <w:tblPrEx>
          <w:tblCellMar>
            <w:top w:w="9" w:type="dxa"/>
            <w:left w:w="108" w:type="dxa"/>
            <w:bottom w:w="13" w:type="dxa"/>
            <w:right w:w="34" w:type="dxa"/>
          </w:tblCellMar>
        </w:tblPrEx>
        <w:trPr>
          <w:trHeight w:val="425" w:hRule="atLeast"/>
        </w:trPr>
        <w:tc>
          <w:tcPr>
            <w:tcW w:w="2261" w:type="dxa"/>
            <w:tcBorders>
              <w:top w:val="single" w:color="000000" w:sz="4" w:space="0"/>
              <w:left w:val="single" w:color="000000" w:sz="4" w:space="0"/>
              <w:bottom w:val="single" w:color="000000" w:sz="4" w:space="0"/>
              <w:right w:val="single" w:color="000000" w:sz="4" w:space="0"/>
            </w:tcBorders>
          </w:tcPr>
          <w:p w14:paraId="21771782">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Kel Eksperimen</w:t>
            </w:r>
          </w:p>
        </w:tc>
        <w:tc>
          <w:tcPr>
            <w:tcW w:w="1119" w:type="dxa"/>
            <w:tcBorders>
              <w:top w:val="single" w:color="000000" w:sz="4" w:space="0"/>
              <w:left w:val="single" w:color="000000" w:sz="4" w:space="0"/>
              <w:bottom w:val="single" w:color="000000" w:sz="4" w:space="0"/>
              <w:right w:val="single" w:color="000000" w:sz="4" w:space="0"/>
            </w:tcBorders>
          </w:tcPr>
          <w:p w14:paraId="70CD9B16">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0.847</w:t>
            </w:r>
          </w:p>
        </w:tc>
        <w:tc>
          <w:tcPr>
            <w:tcW w:w="1241" w:type="dxa"/>
            <w:tcBorders>
              <w:top w:val="single" w:color="000000" w:sz="4" w:space="0"/>
              <w:left w:val="single" w:color="000000" w:sz="4" w:space="0"/>
              <w:bottom w:val="single" w:color="000000" w:sz="4" w:space="0"/>
              <w:right w:val="single" w:color="000000" w:sz="4" w:space="0"/>
            </w:tcBorders>
          </w:tcPr>
          <w:p w14:paraId="1AC38910">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1.720</w:t>
            </w:r>
          </w:p>
        </w:tc>
        <w:tc>
          <w:tcPr>
            <w:tcW w:w="1460" w:type="dxa"/>
            <w:tcBorders>
              <w:top w:val="single" w:color="000000" w:sz="4" w:space="0"/>
              <w:left w:val="single" w:color="000000" w:sz="4" w:space="0"/>
              <w:bottom w:val="single" w:color="000000" w:sz="4" w:space="0"/>
              <w:right w:val="single" w:color="000000" w:sz="4" w:space="0"/>
            </w:tcBorders>
          </w:tcPr>
          <w:p w14:paraId="5A6DFE35">
            <w:pPr>
              <w:spacing w:after="0" w:line="259" w:lineRule="auto"/>
              <w:jc w:val="cente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Normal</w:t>
            </w:r>
          </w:p>
        </w:tc>
      </w:tr>
    </w:tbl>
    <w:p w14:paraId="236DAE9D">
      <w:pPr>
        <w:pStyle w:val="19"/>
        <w:spacing w:before="0" w:beforeAutospacing="0" w:after="0" w:afterAutospacing="0" w:line="480" w:lineRule="auto"/>
        <w:ind w:firstLine="709"/>
        <w:jc w:val="both"/>
      </w:pPr>
    </w:p>
    <w:p w14:paraId="6A21A543">
      <w:pPr>
        <w:pStyle w:val="19"/>
        <w:spacing w:before="0" w:beforeAutospacing="0" w:after="0" w:afterAutospacing="0" w:line="480" w:lineRule="auto"/>
        <w:ind w:firstLine="709"/>
        <w:jc w:val="both"/>
      </w:pPr>
      <w:r>
        <w:t>Berdasarkan hasil analisis manual, diperoleh nilai χ² hitung = 0.847. Karena χ² hitung &lt; χ² tabel, maka H₀ diterima, yang berarti data berdistribusi normal.</w:t>
      </w:r>
    </w:p>
    <w:p w14:paraId="27CDD960">
      <w:pPr>
        <w:pStyle w:val="19"/>
        <w:spacing w:before="0" w:beforeAutospacing="0" w:after="0" w:afterAutospacing="0" w:line="480" w:lineRule="auto"/>
        <w:ind w:firstLine="709"/>
        <w:jc w:val="both"/>
      </w:pPr>
      <w:r>
        <w:t>Selain uji manual, pengujian normalitas juga dilakukan menggunakan perangkat lunak SPSS dengan pendekatan uji Kolmogorov–Smirnov dan Shapiro–Wilk, sebagaimana ditampilkan pada tabel berikut:</w:t>
      </w:r>
    </w:p>
    <w:p w14:paraId="46F33F3D">
      <w:pPr>
        <w:pStyle w:val="19"/>
        <w:spacing w:before="0" w:beforeAutospacing="0" w:after="0" w:afterAutospacing="0" w:line="480" w:lineRule="auto"/>
        <w:jc w:val="center"/>
      </w:pPr>
      <w:r>
        <w:t>Tabel 10</w:t>
      </w:r>
    </w:p>
    <w:p w14:paraId="1F191025">
      <w:pPr>
        <w:pStyle w:val="19"/>
        <w:spacing w:before="0" w:beforeAutospacing="0" w:after="0" w:afterAutospacing="0" w:line="480" w:lineRule="auto"/>
        <w:jc w:val="center"/>
      </w:pPr>
      <w:r>
        <w:t>Rekapitulasi Hasil Uji Normalitas Menggunakan SPSS</w:t>
      </w:r>
    </w:p>
    <w:p w14:paraId="5D5F044E">
      <w:pPr>
        <w:spacing w:after="0" w:line="259" w:lineRule="auto"/>
        <w:jc w:val="center"/>
      </w:pPr>
      <w:r>
        <w:rPr>
          <w:rFonts w:ascii="Arial" w:hAnsi="Arial" w:eastAsia="Arial" w:cs="Arial"/>
          <w:b/>
          <w:sz w:val="18"/>
        </w:rPr>
        <w:t>Tests of Normality</w:t>
      </w:r>
      <w:r>
        <w:rPr>
          <w:rFonts w:ascii="Arial" w:hAnsi="Arial" w:eastAsia="Arial" w:cs="Arial"/>
          <w:sz w:val="18"/>
        </w:rPr>
        <w:t xml:space="preserve"> </w:t>
      </w:r>
    </w:p>
    <w:tbl>
      <w:tblPr>
        <w:tblStyle w:val="348"/>
        <w:tblW w:w="6794" w:type="dxa"/>
        <w:tblInd w:w="1054" w:type="dxa"/>
        <w:tblLayout w:type="autofit"/>
        <w:tblCellMar>
          <w:top w:w="130" w:type="dxa"/>
          <w:left w:w="0" w:type="dxa"/>
          <w:bottom w:w="21" w:type="dxa"/>
          <w:right w:w="0" w:type="dxa"/>
        </w:tblCellMar>
      </w:tblPr>
      <w:tblGrid>
        <w:gridCol w:w="732"/>
        <w:gridCol w:w="1011"/>
        <w:gridCol w:w="1008"/>
        <w:gridCol w:w="1011"/>
        <w:gridCol w:w="1010"/>
        <w:gridCol w:w="1010"/>
        <w:gridCol w:w="1012"/>
      </w:tblGrid>
      <w:tr w14:paraId="1E085BF6">
        <w:tblPrEx>
          <w:tblCellMar>
            <w:top w:w="130" w:type="dxa"/>
            <w:left w:w="0" w:type="dxa"/>
            <w:bottom w:w="21" w:type="dxa"/>
            <w:right w:w="0" w:type="dxa"/>
          </w:tblCellMar>
        </w:tblPrEx>
        <w:trPr>
          <w:trHeight w:val="355" w:hRule="atLeast"/>
        </w:trPr>
        <w:tc>
          <w:tcPr>
            <w:tcW w:w="732" w:type="dxa"/>
            <w:vMerge w:val="restart"/>
            <w:tcBorders>
              <w:top w:val="single" w:color="000000" w:sz="14" w:space="0"/>
              <w:left w:val="single" w:color="000000" w:sz="14" w:space="0"/>
              <w:bottom w:val="single" w:color="000000" w:sz="14" w:space="0"/>
              <w:right w:val="single" w:color="000000" w:sz="14" w:space="0"/>
            </w:tcBorders>
          </w:tcPr>
          <w:p w14:paraId="2135043F">
            <w:pPr>
              <w:spacing w:after="0" w:line="259" w:lineRule="auto"/>
            </w:pPr>
            <w:r>
              <w:rPr>
                <w:rFonts w:ascii="Arial" w:hAnsi="Arial" w:eastAsia="Arial" w:cs="Arial"/>
                <w:sz w:val="18"/>
              </w:rPr>
              <w:t xml:space="preserve"> </w:t>
            </w:r>
          </w:p>
        </w:tc>
        <w:tc>
          <w:tcPr>
            <w:tcW w:w="3030" w:type="dxa"/>
            <w:gridSpan w:val="3"/>
            <w:tcBorders>
              <w:top w:val="single" w:color="000000" w:sz="14" w:space="0"/>
              <w:left w:val="single" w:color="000000" w:sz="14" w:space="0"/>
              <w:bottom w:val="single" w:color="000000" w:sz="8" w:space="0"/>
              <w:right w:val="single" w:color="000000" w:sz="8" w:space="0"/>
            </w:tcBorders>
            <w:vAlign w:val="bottom"/>
          </w:tcPr>
          <w:p w14:paraId="09F0AB8C">
            <w:pPr>
              <w:spacing w:after="0" w:line="259" w:lineRule="auto"/>
              <w:jc w:val="center"/>
            </w:pPr>
            <w:r>
              <w:rPr>
                <w:rFonts w:ascii="Arial" w:hAnsi="Arial" w:eastAsia="Arial" w:cs="Arial"/>
                <w:sz w:val="18"/>
              </w:rPr>
              <w:t>Kolmogorov-Smirnov</w:t>
            </w:r>
            <w:r>
              <w:rPr>
                <w:rFonts w:ascii="Arial" w:hAnsi="Arial" w:eastAsia="Arial" w:cs="Arial"/>
                <w:sz w:val="18"/>
                <w:vertAlign w:val="superscript"/>
              </w:rPr>
              <w:t>a</w:t>
            </w:r>
            <w:r>
              <w:rPr>
                <w:rFonts w:ascii="Arial" w:hAnsi="Arial" w:eastAsia="Arial" w:cs="Arial"/>
                <w:sz w:val="18"/>
              </w:rPr>
              <w:t xml:space="preserve"> </w:t>
            </w:r>
          </w:p>
        </w:tc>
        <w:tc>
          <w:tcPr>
            <w:tcW w:w="1010" w:type="dxa"/>
            <w:tcBorders>
              <w:top w:val="single" w:color="000000" w:sz="14" w:space="0"/>
              <w:left w:val="single" w:color="000000" w:sz="8" w:space="0"/>
              <w:bottom w:val="single" w:color="000000" w:sz="8" w:space="0"/>
              <w:right w:val="nil"/>
            </w:tcBorders>
          </w:tcPr>
          <w:p w14:paraId="70F1D859">
            <w:pPr>
              <w:spacing w:after="160" w:line="259" w:lineRule="auto"/>
            </w:pPr>
          </w:p>
        </w:tc>
        <w:tc>
          <w:tcPr>
            <w:tcW w:w="1010" w:type="dxa"/>
            <w:tcBorders>
              <w:top w:val="single" w:color="000000" w:sz="14" w:space="0"/>
              <w:left w:val="nil"/>
              <w:bottom w:val="single" w:color="000000" w:sz="8" w:space="0"/>
              <w:right w:val="nil"/>
            </w:tcBorders>
            <w:vAlign w:val="bottom"/>
          </w:tcPr>
          <w:p w14:paraId="0905BAE8">
            <w:pPr>
              <w:spacing w:after="0" w:line="259" w:lineRule="auto"/>
              <w:ind w:right="-3"/>
            </w:pPr>
            <w:r>
              <w:rPr>
                <w:rFonts w:ascii="Arial" w:hAnsi="Arial" w:eastAsia="Arial" w:cs="Arial"/>
                <w:sz w:val="18"/>
              </w:rPr>
              <w:t>Shapiro-Wilk</w:t>
            </w:r>
          </w:p>
        </w:tc>
        <w:tc>
          <w:tcPr>
            <w:tcW w:w="1011" w:type="dxa"/>
            <w:tcBorders>
              <w:top w:val="single" w:color="000000" w:sz="14" w:space="0"/>
              <w:left w:val="nil"/>
              <w:bottom w:val="single" w:color="000000" w:sz="8" w:space="0"/>
              <w:right w:val="single" w:color="000000" w:sz="8" w:space="0"/>
            </w:tcBorders>
            <w:vAlign w:val="bottom"/>
          </w:tcPr>
          <w:p w14:paraId="3BE01166">
            <w:pPr>
              <w:spacing w:after="0" w:line="259" w:lineRule="auto"/>
            </w:pPr>
            <w:r>
              <w:rPr>
                <w:rFonts w:ascii="Arial" w:hAnsi="Arial" w:eastAsia="Arial" w:cs="Arial"/>
                <w:sz w:val="18"/>
              </w:rPr>
              <w:t xml:space="preserve"> </w:t>
            </w:r>
          </w:p>
        </w:tc>
      </w:tr>
      <w:tr w14:paraId="2F589844">
        <w:tblPrEx>
          <w:tblCellMar>
            <w:top w:w="130" w:type="dxa"/>
            <w:left w:w="0" w:type="dxa"/>
            <w:bottom w:w="21" w:type="dxa"/>
            <w:right w:w="0" w:type="dxa"/>
          </w:tblCellMar>
        </w:tblPrEx>
        <w:trPr>
          <w:trHeight w:val="365" w:hRule="atLeast"/>
        </w:trPr>
        <w:tc>
          <w:tcPr>
            <w:tcW w:w="0" w:type="auto"/>
            <w:vMerge w:val="continue"/>
            <w:tcBorders>
              <w:top w:val="nil"/>
              <w:left w:val="single" w:color="000000" w:sz="14" w:space="0"/>
              <w:bottom w:val="single" w:color="000000" w:sz="14" w:space="0"/>
              <w:right w:val="single" w:color="000000" w:sz="14" w:space="0"/>
            </w:tcBorders>
          </w:tcPr>
          <w:p w14:paraId="41BCA10B">
            <w:pPr>
              <w:spacing w:after="160" w:line="259" w:lineRule="auto"/>
            </w:pPr>
          </w:p>
        </w:tc>
        <w:tc>
          <w:tcPr>
            <w:tcW w:w="1011" w:type="dxa"/>
            <w:tcBorders>
              <w:top w:val="single" w:color="000000" w:sz="8" w:space="0"/>
              <w:left w:val="single" w:color="000000" w:sz="14" w:space="0"/>
              <w:bottom w:val="single" w:color="000000" w:sz="14" w:space="0"/>
              <w:right w:val="single" w:color="000000" w:sz="8" w:space="0"/>
            </w:tcBorders>
            <w:vAlign w:val="bottom"/>
          </w:tcPr>
          <w:p w14:paraId="7C7AF111">
            <w:pPr>
              <w:spacing w:after="0" w:line="259" w:lineRule="auto"/>
              <w:jc w:val="center"/>
            </w:pPr>
            <w:r>
              <w:rPr>
                <w:rFonts w:ascii="Arial" w:hAnsi="Arial" w:eastAsia="Arial" w:cs="Arial"/>
                <w:sz w:val="18"/>
              </w:rPr>
              <w:t xml:space="preserve">Statistic </w:t>
            </w:r>
          </w:p>
        </w:tc>
        <w:tc>
          <w:tcPr>
            <w:tcW w:w="1008" w:type="dxa"/>
            <w:tcBorders>
              <w:top w:val="single" w:color="000000" w:sz="8" w:space="0"/>
              <w:left w:val="single" w:color="000000" w:sz="8" w:space="0"/>
              <w:bottom w:val="single" w:color="000000" w:sz="14" w:space="0"/>
              <w:right w:val="single" w:color="000000" w:sz="8" w:space="0"/>
            </w:tcBorders>
            <w:vAlign w:val="bottom"/>
          </w:tcPr>
          <w:p w14:paraId="137F23B9">
            <w:pPr>
              <w:spacing w:after="0" w:line="259" w:lineRule="auto"/>
              <w:jc w:val="center"/>
            </w:pPr>
            <w:r>
              <w:rPr>
                <w:rFonts w:ascii="Arial" w:hAnsi="Arial" w:eastAsia="Arial" w:cs="Arial"/>
                <w:sz w:val="18"/>
              </w:rPr>
              <w:t xml:space="preserve">df </w:t>
            </w:r>
          </w:p>
        </w:tc>
        <w:tc>
          <w:tcPr>
            <w:tcW w:w="1011" w:type="dxa"/>
            <w:tcBorders>
              <w:top w:val="single" w:color="000000" w:sz="8" w:space="0"/>
              <w:left w:val="single" w:color="000000" w:sz="8" w:space="0"/>
              <w:bottom w:val="single" w:color="000000" w:sz="14" w:space="0"/>
              <w:right w:val="single" w:color="000000" w:sz="8" w:space="0"/>
            </w:tcBorders>
            <w:vAlign w:val="bottom"/>
          </w:tcPr>
          <w:p w14:paraId="0F8A1E24">
            <w:pPr>
              <w:spacing w:after="0" w:line="259" w:lineRule="auto"/>
              <w:jc w:val="center"/>
            </w:pPr>
            <w:r>
              <w:rPr>
                <w:rFonts w:ascii="Arial" w:hAnsi="Arial" w:eastAsia="Arial" w:cs="Arial"/>
                <w:sz w:val="18"/>
              </w:rPr>
              <w:t xml:space="preserve">Sig. </w:t>
            </w:r>
          </w:p>
        </w:tc>
        <w:tc>
          <w:tcPr>
            <w:tcW w:w="1010" w:type="dxa"/>
            <w:tcBorders>
              <w:top w:val="single" w:color="000000" w:sz="8" w:space="0"/>
              <w:left w:val="single" w:color="000000" w:sz="8" w:space="0"/>
              <w:bottom w:val="single" w:color="000000" w:sz="14" w:space="0"/>
              <w:right w:val="single" w:color="000000" w:sz="8" w:space="0"/>
            </w:tcBorders>
            <w:vAlign w:val="bottom"/>
          </w:tcPr>
          <w:p w14:paraId="40B30BD1">
            <w:pPr>
              <w:spacing w:after="0" w:line="259" w:lineRule="auto"/>
              <w:jc w:val="center"/>
            </w:pPr>
            <w:r>
              <w:rPr>
                <w:rFonts w:ascii="Arial" w:hAnsi="Arial" w:eastAsia="Arial" w:cs="Arial"/>
                <w:sz w:val="18"/>
              </w:rPr>
              <w:t xml:space="preserve">Statistic </w:t>
            </w:r>
          </w:p>
        </w:tc>
        <w:tc>
          <w:tcPr>
            <w:tcW w:w="1010" w:type="dxa"/>
            <w:tcBorders>
              <w:top w:val="single" w:color="000000" w:sz="8" w:space="0"/>
              <w:left w:val="single" w:color="000000" w:sz="8" w:space="0"/>
              <w:bottom w:val="single" w:color="000000" w:sz="14" w:space="0"/>
              <w:right w:val="single" w:color="000000" w:sz="8" w:space="0"/>
            </w:tcBorders>
            <w:vAlign w:val="bottom"/>
          </w:tcPr>
          <w:p w14:paraId="2FD9285E">
            <w:pPr>
              <w:spacing w:after="0" w:line="259" w:lineRule="auto"/>
              <w:jc w:val="center"/>
            </w:pPr>
            <w:r>
              <w:rPr>
                <w:rFonts w:ascii="Arial" w:hAnsi="Arial" w:eastAsia="Arial" w:cs="Arial"/>
                <w:sz w:val="18"/>
              </w:rPr>
              <w:t xml:space="preserve">df </w:t>
            </w:r>
          </w:p>
        </w:tc>
        <w:tc>
          <w:tcPr>
            <w:tcW w:w="1011" w:type="dxa"/>
            <w:tcBorders>
              <w:top w:val="single" w:color="000000" w:sz="8" w:space="0"/>
              <w:left w:val="single" w:color="000000" w:sz="8" w:space="0"/>
              <w:bottom w:val="single" w:color="FFFFFF" w:sz="2" w:space="0"/>
              <w:right w:val="single" w:color="000000" w:sz="14" w:space="0"/>
            </w:tcBorders>
            <w:vAlign w:val="bottom"/>
          </w:tcPr>
          <w:p w14:paraId="38EE7704">
            <w:pPr>
              <w:spacing w:after="0" w:line="259" w:lineRule="auto"/>
              <w:ind w:right="13"/>
              <w:jc w:val="center"/>
            </w:pPr>
            <w:r>
              <w:rPr>
                <w:rFonts w:ascii="Arial" w:hAnsi="Arial" w:eastAsia="Arial" w:cs="Arial"/>
                <w:sz w:val="18"/>
              </w:rPr>
              <w:t xml:space="preserve">Sig. </w:t>
            </w:r>
          </w:p>
        </w:tc>
      </w:tr>
      <w:tr w14:paraId="0941A459">
        <w:tblPrEx>
          <w:tblCellMar>
            <w:top w:w="130" w:type="dxa"/>
            <w:left w:w="0" w:type="dxa"/>
            <w:bottom w:w="21" w:type="dxa"/>
            <w:right w:w="0" w:type="dxa"/>
          </w:tblCellMar>
        </w:tblPrEx>
        <w:trPr>
          <w:trHeight w:val="360" w:hRule="atLeast"/>
        </w:trPr>
        <w:tc>
          <w:tcPr>
            <w:tcW w:w="732" w:type="dxa"/>
            <w:tcBorders>
              <w:top w:val="single" w:color="000000" w:sz="14" w:space="0"/>
              <w:left w:val="single" w:color="000000" w:sz="14" w:space="0"/>
              <w:bottom w:val="single" w:color="000000" w:sz="14" w:space="0"/>
              <w:right w:val="single" w:color="000000" w:sz="14" w:space="0"/>
            </w:tcBorders>
            <w:vAlign w:val="bottom"/>
          </w:tcPr>
          <w:p w14:paraId="74D62AF0">
            <w:pPr>
              <w:spacing w:after="0" w:line="259" w:lineRule="auto"/>
            </w:pPr>
            <w:r>
              <w:rPr>
                <w:rFonts w:ascii="Arial" w:hAnsi="Arial" w:eastAsia="Arial" w:cs="Arial"/>
                <w:sz w:val="18"/>
              </w:rPr>
              <w:t xml:space="preserve">Eks </w:t>
            </w:r>
          </w:p>
        </w:tc>
        <w:tc>
          <w:tcPr>
            <w:tcW w:w="1011" w:type="dxa"/>
            <w:tcBorders>
              <w:top w:val="single" w:color="000000" w:sz="14" w:space="0"/>
              <w:left w:val="single" w:color="000000" w:sz="14" w:space="0"/>
              <w:bottom w:val="single" w:color="000000" w:sz="14" w:space="0"/>
              <w:right w:val="single" w:color="000000" w:sz="8" w:space="0"/>
            </w:tcBorders>
            <w:vAlign w:val="bottom"/>
          </w:tcPr>
          <w:p w14:paraId="573A28E8">
            <w:pPr>
              <w:spacing w:after="0" w:line="259" w:lineRule="auto"/>
              <w:ind w:right="71"/>
              <w:jc w:val="right"/>
            </w:pPr>
            <w:r>
              <w:rPr>
                <w:rFonts w:ascii="Arial" w:hAnsi="Arial" w:eastAsia="Arial" w:cs="Arial"/>
                <w:sz w:val="18"/>
              </w:rPr>
              <w:t xml:space="preserve">.129 </w:t>
            </w:r>
          </w:p>
        </w:tc>
        <w:tc>
          <w:tcPr>
            <w:tcW w:w="1008" w:type="dxa"/>
            <w:tcBorders>
              <w:top w:val="single" w:color="000000" w:sz="14" w:space="0"/>
              <w:left w:val="single" w:color="000000" w:sz="8" w:space="0"/>
              <w:bottom w:val="single" w:color="000000" w:sz="14" w:space="0"/>
              <w:right w:val="single" w:color="000000" w:sz="8" w:space="0"/>
            </w:tcBorders>
            <w:vAlign w:val="bottom"/>
          </w:tcPr>
          <w:p w14:paraId="6D401F86">
            <w:pPr>
              <w:spacing w:after="0" w:line="259" w:lineRule="auto"/>
              <w:ind w:right="65"/>
              <w:jc w:val="right"/>
            </w:pPr>
            <w:r>
              <w:rPr>
                <w:rFonts w:ascii="Arial" w:hAnsi="Arial" w:eastAsia="Arial" w:cs="Arial"/>
                <w:sz w:val="18"/>
              </w:rPr>
              <w:t xml:space="preserve">22 </w:t>
            </w:r>
          </w:p>
        </w:tc>
        <w:tc>
          <w:tcPr>
            <w:tcW w:w="1011" w:type="dxa"/>
            <w:tcBorders>
              <w:top w:val="single" w:color="000000" w:sz="14" w:space="0"/>
              <w:left w:val="single" w:color="000000" w:sz="8" w:space="0"/>
              <w:bottom w:val="single" w:color="000000" w:sz="14" w:space="0"/>
              <w:right w:val="single" w:color="000000" w:sz="8" w:space="0"/>
            </w:tcBorders>
          </w:tcPr>
          <w:p w14:paraId="50065050">
            <w:pPr>
              <w:spacing w:after="0" w:line="259" w:lineRule="auto"/>
              <w:ind w:right="64"/>
              <w:jc w:val="right"/>
            </w:pPr>
            <w:r>
              <w:rPr>
                <w:rFonts w:ascii="Arial" w:hAnsi="Arial" w:eastAsia="Arial" w:cs="Arial"/>
                <w:sz w:val="18"/>
              </w:rPr>
              <w:t>.200</w:t>
            </w:r>
            <w:r>
              <w:rPr>
                <w:rFonts w:ascii="Arial" w:hAnsi="Arial" w:eastAsia="Arial" w:cs="Arial"/>
                <w:sz w:val="18"/>
                <w:vertAlign w:val="superscript"/>
              </w:rPr>
              <w:t>*</w:t>
            </w:r>
            <w:r>
              <w:rPr>
                <w:rFonts w:ascii="Arial" w:hAnsi="Arial" w:eastAsia="Arial" w:cs="Arial"/>
                <w:sz w:val="18"/>
              </w:rPr>
              <w:t xml:space="preserve"> </w:t>
            </w:r>
          </w:p>
        </w:tc>
        <w:tc>
          <w:tcPr>
            <w:tcW w:w="1010" w:type="dxa"/>
            <w:tcBorders>
              <w:top w:val="single" w:color="000000" w:sz="14" w:space="0"/>
              <w:left w:val="single" w:color="000000" w:sz="8" w:space="0"/>
              <w:bottom w:val="single" w:color="000000" w:sz="14" w:space="0"/>
              <w:right w:val="single" w:color="000000" w:sz="8" w:space="0"/>
            </w:tcBorders>
            <w:vAlign w:val="bottom"/>
          </w:tcPr>
          <w:p w14:paraId="1D43F7FD">
            <w:pPr>
              <w:spacing w:after="0" w:line="259" w:lineRule="auto"/>
              <w:ind w:right="68"/>
              <w:jc w:val="right"/>
            </w:pPr>
            <w:r>
              <w:rPr>
                <w:rFonts w:ascii="Arial" w:hAnsi="Arial" w:eastAsia="Arial" w:cs="Arial"/>
                <w:sz w:val="18"/>
              </w:rPr>
              <w:t xml:space="preserve">.941 </w:t>
            </w:r>
          </w:p>
        </w:tc>
        <w:tc>
          <w:tcPr>
            <w:tcW w:w="1010" w:type="dxa"/>
            <w:tcBorders>
              <w:top w:val="single" w:color="000000" w:sz="14" w:space="0"/>
              <w:left w:val="single" w:color="000000" w:sz="8" w:space="0"/>
              <w:bottom w:val="single" w:color="000000" w:sz="14" w:space="0"/>
              <w:right w:val="single" w:color="000000" w:sz="8" w:space="0"/>
            </w:tcBorders>
            <w:vAlign w:val="bottom"/>
          </w:tcPr>
          <w:p w14:paraId="538D601A">
            <w:pPr>
              <w:spacing w:after="0" w:line="259" w:lineRule="auto"/>
              <w:ind w:right="68"/>
              <w:jc w:val="right"/>
            </w:pPr>
            <w:r>
              <w:rPr>
                <w:rFonts w:ascii="Arial" w:hAnsi="Arial" w:eastAsia="Arial" w:cs="Arial"/>
                <w:sz w:val="18"/>
              </w:rPr>
              <w:t xml:space="preserve">22 </w:t>
            </w:r>
          </w:p>
        </w:tc>
        <w:tc>
          <w:tcPr>
            <w:tcW w:w="1011" w:type="dxa"/>
            <w:tcBorders>
              <w:top w:val="single" w:color="FFFFFF" w:sz="2" w:space="0"/>
              <w:left w:val="single" w:color="000000" w:sz="8" w:space="0"/>
              <w:bottom w:val="single" w:color="000000" w:sz="14" w:space="0"/>
              <w:right w:val="single" w:color="000000" w:sz="14" w:space="0"/>
            </w:tcBorders>
            <w:vAlign w:val="bottom"/>
          </w:tcPr>
          <w:p w14:paraId="71ACB250">
            <w:pPr>
              <w:spacing w:after="0" w:line="259" w:lineRule="auto"/>
              <w:ind w:right="80"/>
              <w:jc w:val="right"/>
            </w:pPr>
            <w:r>
              <w:rPr>
                <w:rFonts w:ascii="Arial" w:hAnsi="Arial" w:eastAsia="Arial" w:cs="Arial"/>
                <w:sz w:val="18"/>
              </w:rPr>
              <w:t xml:space="preserve">.210 </w:t>
            </w:r>
          </w:p>
        </w:tc>
      </w:tr>
    </w:tbl>
    <w:p w14:paraId="364A926B">
      <w:pPr>
        <w:spacing w:after="0" w:line="370" w:lineRule="auto"/>
        <w:ind w:right="3333"/>
      </w:pPr>
      <w:r>
        <w:rPr>
          <w:rFonts w:ascii="Arial" w:hAnsi="Arial" w:eastAsia="Arial" w:cs="Arial"/>
          <w:sz w:val="18"/>
        </w:rPr>
        <w:t xml:space="preserve">*. This is a lower bound of the true significance. a. Lilliefors Significance Correction </w:t>
      </w:r>
    </w:p>
    <w:p w14:paraId="7F91FBF5">
      <w:pPr>
        <w:spacing w:after="0" w:line="480" w:lineRule="auto"/>
        <w:ind w:firstLine="710"/>
        <w:jc w:val="both"/>
        <w:rPr>
          <w:rFonts w:ascii="Times New Roman" w:hAnsi="Times New Roman" w:cs="Times New Roman"/>
          <w:sz w:val="24"/>
          <w:szCs w:val="24"/>
        </w:rPr>
      </w:pPr>
      <w:r>
        <w:rPr>
          <w:rFonts w:ascii="Times New Roman" w:hAnsi="Times New Roman" w:cs="Times New Roman"/>
          <w:sz w:val="24"/>
          <w:szCs w:val="24"/>
        </w:rPr>
        <w:t>Keluaran  pada  gambar  di  atas  menunjukkan  uji  normalitas  data  y,  yang  sudah  diuji sebelumnya secara manual dengan ujimenggunakan nilai x</w:t>
      </w:r>
      <w:r>
        <w:rPr>
          <w:rFonts w:ascii="Times New Roman" w:hAnsi="Times New Roman" w:cs="Times New Roman"/>
          <w:sz w:val="24"/>
          <w:szCs w:val="24"/>
          <w:vertAlign w:val="subscript"/>
        </w:rPr>
        <w:t>hitung</w:t>
      </w:r>
      <w:r>
        <w:rPr>
          <w:rFonts w:ascii="Times New Roman" w:hAnsi="Times New Roman" w:cs="Times New Roman"/>
          <w:sz w:val="24"/>
          <w:szCs w:val="24"/>
        </w:rPr>
        <w:t xml:space="preserve"> dan x</w:t>
      </w:r>
      <w:r>
        <w:rPr>
          <w:rFonts w:ascii="Times New Roman" w:hAnsi="Times New Roman" w:cs="Times New Roman"/>
          <w:sz w:val="24"/>
          <w:szCs w:val="24"/>
          <w:vertAlign w:val="subscript"/>
        </w:rPr>
        <w:t>tabel</w:t>
      </w:r>
      <w:r>
        <w:rPr>
          <w:rFonts w:ascii="Times New Roman" w:hAnsi="Times New Roman" w:cs="Times New Roman"/>
          <w:sz w:val="24"/>
          <w:szCs w:val="24"/>
        </w:rPr>
        <w:t xml:space="preserve">, selanjutnya akan dibuktikan dengan menggunakan uji Kolmogorov-Smirnov. Pengujian dengan SPSS berdasarkan pada uji Kolmogorov–Smirnovatau Shapiro-Wilk.  Adapun hipotesis yang diuji adalah:  </w:t>
      </w:r>
    </w:p>
    <w:p w14:paraId="1E7BD3E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 Sampel berasal dari populasi berdistribusi normal  </w:t>
      </w:r>
    </w:p>
    <w:p w14:paraId="0F7DF08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1</w:t>
      </w:r>
      <w:r>
        <w:rPr>
          <w:rFonts w:ascii="Times New Roman" w:hAnsi="Times New Roman" w:cs="Times New Roman"/>
          <w:sz w:val="24"/>
          <w:szCs w:val="24"/>
        </w:rPr>
        <w:t xml:space="preserve"> : Sampel tidak berasal dari populasi berdistribusi normal  </w:t>
      </w:r>
    </w:p>
    <w:p w14:paraId="1D6C1F8C">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uji normalitas menggunakan program SPSS, diperoleh nilai signifikansi (Sig.) sebesar 0.200 dengan taraf signifikan 95% (α = 0.05), sebagaimana ditunjukkan pada kolom signifikansi (Sig. = 0.200 &gt; 0.05). Hal ini berarti data berasal dari populasi yang berdistribusi normal. Adapun untuk kelompok siswa perempuan, nilai signifikansi juga sebesar 0.200, yang menegaskan bahwa data dalam penelitian ini berasal dari populasi yang berdistribusi normal pada taraf signifikansi 0.05.</w:t>
      </w:r>
    </w:p>
    <w:p w14:paraId="19C58B5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Uji homogenitas varian dilakukan untuk mengetahui apakah varians dari dua kelompok data hasil belajar siswa yang menggunakan metode bermain memiliki kesamaan. Jumlah siswa yang terlibat dalam penelitian ini adalah 22 orang. Uji homogenitas dilakukan dengan uji F, dengan kriteria pengujian: jika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sampel dikatakan homogen.</w:t>
      </w:r>
    </w:p>
    <w:p w14:paraId="7AE4A9A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taraf signifikan 5% dengan dk pembilang = n</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- 1 dan dk penyebut = n</w:t>
      </w:r>
      <w:r>
        <w:rPr>
          <w:rFonts w:ascii="Times New Roman" w:hAnsi="Times New Roman" w:eastAsia="Times New Roman" w:cs="Times New Roman"/>
          <w:sz w:val="24"/>
          <w:szCs w:val="24"/>
          <w:vertAlign w:val="subscript"/>
        </w:rPr>
        <w:t xml:space="preserve">2 </w:t>
      </w:r>
      <w:r>
        <w:rPr>
          <w:rFonts w:ascii="Times New Roman" w:hAnsi="Times New Roman" w:eastAsia="Times New Roman" w:cs="Times New Roman"/>
          <w:sz w:val="24"/>
          <w:szCs w:val="24"/>
        </w:rPr>
        <w:t>- 1.  Jadi dk pembilang = 21, dk penyebut = 21. Berdasarkan tabel F pada lampiran maka harga F pada taraf signifikan 5% = 2.120, Dari hasil perhitungan diperoleh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 2.120 sedangkanF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0.717. Ini berarti, (0.717&lt;2,120). Dengan demikian dapat disimpulkan bahwa varians data  yang  akan  dianalisis homogen. Adapun hasil analisis data uji homogenitas menggunakan SPSS diuraikan sebagai berikut: </w:t>
      </w:r>
    </w:p>
    <w:p w14:paraId="65ACF28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11</w:t>
      </w:r>
    </w:p>
    <w:p w14:paraId="314D23F1">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Rekapitulasi Hasil Uji Homogenitas menggunakan SPSS</w:t>
      </w:r>
    </w:p>
    <w:p w14:paraId="776897E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Pr>
        <w:t>Test of Homogeneity of Variance</w:t>
      </w:r>
    </w:p>
    <w:tbl>
      <w:tblPr>
        <w:tblStyle w:val="10"/>
        <w:tblW w:w="7679" w:type="dxa"/>
        <w:jc w:val="center"/>
        <w:tblLayout w:type="autofit"/>
        <w:tblCellMar>
          <w:top w:w="21" w:type="dxa"/>
          <w:left w:w="108" w:type="dxa"/>
          <w:bottom w:w="25" w:type="dxa"/>
          <w:right w:w="20" w:type="dxa"/>
        </w:tblCellMar>
      </w:tblPr>
      <w:tblGrid>
        <w:gridCol w:w="700"/>
        <w:gridCol w:w="2442"/>
        <w:gridCol w:w="1457"/>
        <w:gridCol w:w="1078"/>
        <w:gridCol w:w="1004"/>
        <w:gridCol w:w="998"/>
      </w:tblGrid>
      <w:tr w14:paraId="316848FE">
        <w:tblPrEx>
          <w:tblCellMar>
            <w:top w:w="21" w:type="dxa"/>
            <w:left w:w="108" w:type="dxa"/>
            <w:bottom w:w="25" w:type="dxa"/>
            <w:right w:w="20" w:type="dxa"/>
          </w:tblCellMar>
        </w:tblPrEx>
        <w:trPr>
          <w:trHeight w:val="360" w:hRule="atLeast"/>
          <w:jc w:val="center"/>
        </w:trPr>
        <w:tc>
          <w:tcPr>
            <w:tcW w:w="700" w:type="dxa"/>
            <w:tcBorders>
              <w:top w:val="single" w:color="000000" w:sz="14" w:space="0"/>
              <w:left w:val="single" w:color="000000" w:sz="14" w:space="0"/>
              <w:bottom w:val="single" w:color="000000" w:sz="14" w:space="0"/>
              <w:right w:val="nil"/>
            </w:tcBorders>
            <w:vAlign w:val="center"/>
          </w:tcPr>
          <w:p w14:paraId="0298AACD">
            <w:pPr>
              <w:spacing w:after="0" w:line="240" w:lineRule="auto"/>
              <w:jc w:val="center"/>
              <w:rPr>
                <w:rFonts w:ascii="Times New Roman" w:hAnsi="Times New Roman" w:eastAsia="Times New Roman" w:cs="Times New Roman"/>
                <w:sz w:val="24"/>
                <w:szCs w:val="24"/>
              </w:rPr>
            </w:pPr>
          </w:p>
        </w:tc>
        <w:tc>
          <w:tcPr>
            <w:tcW w:w="2442" w:type="dxa"/>
            <w:tcBorders>
              <w:top w:val="single" w:color="000000" w:sz="14" w:space="0"/>
              <w:left w:val="nil"/>
              <w:bottom w:val="single" w:color="000000" w:sz="14" w:space="0"/>
              <w:right w:val="single" w:color="000000" w:sz="14" w:space="0"/>
            </w:tcBorders>
            <w:vAlign w:val="center"/>
          </w:tcPr>
          <w:p w14:paraId="35DD3657">
            <w:pPr>
              <w:spacing w:after="0" w:line="240" w:lineRule="auto"/>
              <w:jc w:val="center"/>
              <w:rPr>
                <w:rFonts w:ascii="Times New Roman" w:hAnsi="Times New Roman" w:eastAsia="Times New Roman" w:cs="Times New Roman"/>
                <w:sz w:val="24"/>
                <w:szCs w:val="24"/>
              </w:rPr>
            </w:pPr>
          </w:p>
        </w:tc>
        <w:tc>
          <w:tcPr>
            <w:tcW w:w="1457" w:type="dxa"/>
            <w:tcBorders>
              <w:top w:val="single" w:color="000000" w:sz="14" w:space="0"/>
              <w:left w:val="single" w:color="000000" w:sz="14" w:space="0"/>
              <w:bottom w:val="single" w:color="000000" w:sz="14" w:space="0"/>
              <w:right w:val="single" w:color="000000" w:sz="8" w:space="0"/>
            </w:tcBorders>
            <w:vAlign w:val="center"/>
          </w:tcPr>
          <w:p w14:paraId="027A8679">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Levene Statistic</w:t>
            </w:r>
          </w:p>
        </w:tc>
        <w:tc>
          <w:tcPr>
            <w:tcW w:w="1078" w:type="dxa"/>
            <w:tcBorders>
              <w:top w:val="single" w:color="000000" w:sz="14" w:space="0"/>
              <w:left w:val="single" w:color="000000" w:sz="8" w:space="0"/>
              <w:bottom w:val="single" w:color="000000" w:sz="14" w:space="0"/>
              <w:right w:val="single" w:color="000000" w:sz="8" w:space="0"/>
            </w:tcBorders>
            <w:vAlign w:val="center"/>
          </w:tcPr>
          <w:p w14:paraId="6783885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df1</w:t>
            </w:r>
          </w:p>
        </w:tc>
        <w:tc>
          <w:tcPr>
            <w:tcW w:w="1004" w:type="dxa"/>
            <w:tcBorders>
              <w:top w:val="single" w:color="000000" w:sz="14" w:space="0"/>
              <w:left w:val="single" w:color="000000" w:sz="8" w:space="0"/>
              <w:bottom w:val="single" w:color="000000" w:sz="14" w:space="0"/>
              <w:right w:val="single" w:color="000000" w:sz="8" w:space="0"/>
            </w:tcBorders>
            <w:vAlign w:val="center"/>
          </w:tcPr>
          <w:p w14:paraId="3C12E3D9">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df2</w:t>
            </w:r>
          </w:p>
        </w:tc>
        <w:tc>
          <w:tcPr>
            <w:tcW w:w="998" w:type="dxa"/>
            <w:tcBorders>
              <w:top w:val="single" w:color="000000" w:sz="14" w:space="0"/>
              <w:left w:val="single" w:color="000000" w:sz="8" w:space="0"/>
              <w:bottom w:val="single" w:color="FFFFFF" w:sz="2" w:space="0"/>
              <w:right w:val="single" w:color="000000" w:sz="14" w:space="0"/>
            </w:tcBorders>
            <w:vAlign w:val="center"/>
          </w:tcPr>
          <w:p w14:paraId="3BBBDF0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Sig.</w:t>
            </w:r>
          </w:p>
        </w:tc>
      </w:tr>
      <w:tr w14:paraId="2A0B8429">
        <w:tblPrEx>
          <w:tblCellMar>
            <w:top w:w="21" w:type="dxa"/>
            <w:left w:w="108" w:type="dxa"/>
            <w:bottom w:w="25" w:type="dxa"/>
            <w:right w:w="20" w:type="dxa"/>
          </w:tblCellMar>
        </w:tblPrEx>
        <w:trPr>
          <w:trHeight w:val="449" w:hRule="atLeast"/>
          <w:jc w:val="center"/>
        </w:trPr>
        <w:tc>
          <w:tcPr>
            <w:tcW w:w="700" w:type="dxa"/>
            <w:vMerge w:val="restart"/>
            <w:tcBorders>
              <w:top w:val="single" w:color="000000" w:sz="14" w:space="0"/>
              <w:left w:val="single" w:color="000000" w:sz="14" w:space="0"/>
              <w:bottom w:val="single" w:color="000000" w:sz="14" w:space="0"/>
              <w:right w:val="nil"/>
            </w:tcBorders>
            <w:vAlign w:val="center"/>
          </w:tcPr>
          <w:p w14:paraId="08C50142">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Y</w:t>
            </w:r>
          </w:p>
        </w:tc>
        <w:tc>
          <w:tcPr>
            <w:tcW w:w="2442" w:type="dxa"/>
            <w:vMerge w:val="restart"/>
            <w:tcBorders>
              <w:top w:val="single" w:color="000000" w:sz="14" w:space="0"/>
              <w:left w:val="nil"/>
              <w:bottom w:val="single" w:color="000000" w:sz="14" w:space="0"/>
              <w:right w:val="single" w:color="000000" w:sz="14" w:space="0"/>
            </w:tcBorders>
            <w:vAlign w:val="center"/>
          </w:tcPr>
          <w:p w14:paraId="08CDF14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Mean</w:t>
            </w:r>
          </w:p>
          <w:p w14:paraId="7E8D2279">
            <w:pPr>
              <w:spacing w:after="0" w:line="240" w:lineRule="auto"/>
              <w:jc w:val="both"/>
              <w:rPr>
                <w:rFonts w:ascii="Times New Roman" w:hAnsi="Times New Roman" w:eastAsia="Times New Roman" w:cs="Times New Roman"/>
                <w:sz w:val="24"/>
                <w:szCs w:val="24"/>
              </w:rPr>
            </w:pPr>
          </w:p>
          <w:p w14:paraId="5FAF1D3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Median</w:t>
            </w:r>
          </w:p>
          <w:p w14:paraId="007D8C79">
            <w:pPr>
              <w:spacing w:after="0" w:line="240" w:lineRule="auto"/>
              <w:jc w:val="both"/>
              <w:rPr>
                <w:rFonts w:ascii="Times New Roman" w:hAnsi="Times New Roman" w:eastAsia="Times New Roman" w:cs="Times New Roman"/>
                <w:sz w:val="24"/>
                <w:szCs w:val="24"/>
              </w:rPr>
            </w:pPr>
          </w:p>
          <w:p w14:paraId="5C01C08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Median and with adjusted df</w:t>
            </w:r>
          </w:p>
          <w:p w14:paraId="11C94AE3">
            <w:pPr>
              <w:spacing w:after="0" w:line="240" w:lineRule="auto"/>
              <w:jc w:val="both"/>
              <w:rPr>
                <w:rFonts w:ascii="Times New Roman" w:hAnsi="Times New Roman" w:eastAsia="Times New Roman" w:cs="Times New Roman"/>
                <w:sz w:val="24"/>
                <w:szCs w:val="24"/>
              </w:rPr>
            </w:pPr>
          </w:p>
          <w:p w14:paraId="4A44795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trimmed mean</w:t>
            </w:r>
          </w:p>
        </w:tc>
        <w:tc>
          <w:tcPr>
            <w:tcW w:w="1457" w:type="dxa"/>
            <w:tcBorders>
              <w:top w:val="single" w:color="000000" w:sz="14" w:space="0"/>
              <w:left w:val="single" w:color="000000" w:sz="14" w:space="0"/>
              <w:bottom w:val="single" w:color="FFFFFF" w:sz="16" w:space="0"/>
              <w:right w:val="single" w:color="000000" w:sz="8" w:space="0"/>
            </w:tcBorders>
            <w:vAlign w:val="center"/>
          </w:tcPr>
          <w:p w14:paraId="3FF037E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.815</w:t>
            </w:r>
          </w:p>
        </w:tc>
        <w:tc>
          <w:tcPr>
            <w:tcW w:w="1078" w:type="dxa"/>
            <w:tcBorders>
              <w:top w:val="single" w:color="000000" w:sz="14" w:space="0"/>
              <w:left w:val="single" w:color="000000" w:sz="8" w:space="0"/>
              <w:bottom w:val="single" w:color="FFFFFF" w:sz="16" w:space="0"/>
              <w:right w:val="single" w:color="000000" w:sz="8" w:space="0"/>
            </w:tcBorders>
            <w:vAlign w:val="center"/>
          </w:tcPr>
          <w:p w14:paraId="1D6AA11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1004" w:type="dxa"/>
            <w:vMerge w:val="restart"/>
            <w:tcBorders>
              <w:top w:val="single" w:color="000000" w:sz="14" w:space="0"/>
              <w:left w:val="single" w:color="000000" w:sz="8" w:space="0"/>
              <w:bottom w:val="single" w:color="000000" w:sz="14" w:space="0"/>
              <w:right w:val="single" w:color="000000" w:sz="8" w:space="0"/>
            </w:tcBorders>
            <w:vAlign w:val="center"/>
          </w:tcPr>
          <w:p w14:paraId="1EB2A83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w:t>
            </w:r>
          </w:p>
          <w:p w14:paraId="67A893D9">
            <w:pPr>
              <w:spacing w:after="0" w:line="240" w:lineRule="auto"/>
              <w:rPr>
                <w:rFonts w:ascii="Times New Roman" w:hAnsi="Times New Roman" w:eastAsia="Times New Roman" w:cs="Times New Roman"/>
                <w:sz w:val="32"/>
                <w:szCs w:val="32"/>
              </w:rPr>
            </w:pPr>
          </w:p>
          <w:p w14:paraId="46EC8DB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w:t>
            </w:r>
          </w:p>
          <w:p w14:paraId="03A2BCF1">
            <w:pPr>
              <w:spacing w:after="0" w:line="240" w:lineRule="auto"/>
              <w:rPr>
                <w:rFonts w:ascii="Times New Roman" w:hAnsi="Times New Roman" w:eastAsia="Times New Roman" w:cs="Times New Roman"/>
                <w:sz w:val="36"/>
                <w:szCs w:val="36"/>
              </w:rPr>
            </w:pPr>
          </w:p>
          <w:p w14:paraId="7EEB6101">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17.292</w:t>
            </w:r>
          </w:p>
          <w:p w14:paraId="2E024E8C">
            <w:pPr>
              <w:spacing w:after="0" w:line="240" w:lineRule="auto"/>
              <w:jc w:val="center"/>
              <w:rPr>
                <w:rFonts w:ascii="Times New Roman" w:hAnsi="Times New Roman" w:eastAsia="Times New Roman" w:cs="Times New Roman"/>
                <w:sz w:val="24"/>
                <w:szCs w:val="24"/>
              </w:rPr>
            </w:pPr>
          </w:p>
          <w:p w14:paraId="7DE7EDE2">
            <w:pPr>
              <w:spacing w:after="0" w:line="240" w:lineRule="auto"/>
              <w:jc w:val="center"/>
              <w:rPr>
                <w:rFonts w:ascii="Times New Roman" w:hAnsi="Times New Roman" w:eastAsia="Times New Roman" w:cs="Times New Roman"/>
                <w:sz w:val="24"/>
                <w:szCs w:val="24"/>
              </w:rPr>
            </w:pPr>
          </w:p>
          <w:p w14:paraId="7C066F3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20</w:t>
            </w:r>
          </w:p>
        </w:tc>
        <w:tc>
          <w:tcPr>
            <w:tcW w:w="998" w:type="dxa"/>
            <w:tcBorders>
              <w:top w:val="single" w:color="FFFFFF" w:sz="2" w:space="0"/>
              <w:left w:val="single" w:color="000000" w:sz="8" w:space="0"/>
              <w:bottom w:val="single" w:color="FFFFFF" w:sz="16" w:space="0"/>
              <w:right w:val="single" w:color="000000" w:sz="14" w:space="0"/>
            </w:tcBorders>
            <w:vAlign w:val="center"/>
          </w:tcPr>
          <w:p w14:paraId="1DE6605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.458</w:t>
            </w:r>
          </w:p>
        </w:tc>
      </w:tr>
      <w:tr w14:paraId="79AE9F22">
        <w:tblPrEx>
          <w:tblCellMar>
            <w:top w:w="21" w:type="dxa"/>
            <w:left w:w="108" w:type="dxa"/>
            <w:bottom w:w="25" w:type="dxa"/>
            <w:right w:w="20" w:type="dxa"/>
          </w:tblCellMar>
        </w:tblPrEx>
        <w:trPr>
          <w:trHeight w:val="456" w:hRule="atLeast"/>
          <w:jc w:val="center"/>
        </w:trPr>
        <w:tc>
          <w:tcPr>
            <w:tcW w:w="0" w:type="auto"/>
            <w:vMerge w:val="continue"/>
            <w:tcBorders>
              <w:top w:val="nil"/>
              <w:left w:val="single" w:color="000000" w:sz="14" w:space="0"/>
              <w:bottom w:val="nil"/>
              <w:right w:val="nil"/>
            </w:tcBorders>
            <w:vAlign w:val="center"/>
          </w:tcPr>
          <w:p w14:paraId="16D9F176">
            <w:pPr>
              <w:spacing w:after="0" w:line="240" w:lineRule="auto"/>
              <w:jc w:val="center"/>
              <w:rPr>
                <w:rFonts w:ascii="Times New Roman" w:hAnsi="Times New Roman" w:eastAsia="Times New Roman" w:cs="Times New Roman"/>
                <w:sz w:val="24"/>
                <w:szCs w:val="24"/>
              </w:rPr>
            </w:pPr>
          </w:p>
        </w:tc>
        <w:tc>
          <w:tcPr>
            <w:tcW w:w="0" w:type="auto"/>
            <w:vMerge w:val="continue"/>
            <w:tcBorders>
              <w:top w:val="nil"/>
              <w:left w:val="nil"/>
              <w:bottom w:val="nil"/>
              <w:right w:val="single" w:color="000000" w:sz="14" w:space="0"/>
            </w:tcBorders>
            <w:vAlign w:val="center"/>
          </w:tcPr>
          <w:p w14:paraId="42110A2B">
            <w:pPr>
              <w:spacing w:after="0" w:line="240" w:lineRule="auto"/>
              <w:jc w:val="center"/>
              <w:rPr>
                <w:rFonts w:ascii="Times New Roman" w:hAnsi="Times New Roman" w:eastAsia="Times New Roman" w:cs="Times New Roman"/>
                <w:sz w:val="24"/>
                <w:szCs w:val="24"/>
              </w:rPr>
            </w:pPr>
          </w:p>
        </w:tc>
        <w:tc>
          <w:tcPr>
            <w:tcW w:w="1457" w:type="dxa"/>
            <w:tcBorders>
              <w:top w:val="single" w:color="FFFFFF" w:sz="16" w:space="0"/>
              <w:left w:val="single" w:color="000000" w:sz="14" w:space="0"/>
              <w:bottom w:val="single" w:color="FFFFFF" w:sz="16" w:space="0"/>
              <w:right w:val="single" w:color="000000" w:sz="8" w:space="0"/>
            </w:tcBorders>
            <w:vAlign w:val="center"/>
          </w:tcPr>
          <w:p w14:paraId="22BFE658">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.327</w:t>
            </w:r>
          </w:p>
        </w:tc>
        <w:tc>
          <w:tcPr>
            <w:tcW w:w="1078" w:type="dxa"/>
            <w:tcBorders>
              <w:top w:val="single" w:color="FFFFFF" w:sz="16" w:space="0"/>
              <w:left w:val="single" w:color="000000" w:sz="8" w:space="0"/>
              <w:bottom w:val="single" w:color="FFFFFF" w:sz="16" w:space="0"/>
              <w:right w:val="single" w:color="000000" w:sz="8" w:space="0"/>
            </w:tcBorders>
            <w:vAlign w:val="center"/>
          </w:tcPr>
          <w:p w14:paraId="5DBED0E8">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0" w:type="auto"/>
            <w:vMerge w:val="continue"/>
            <w:tcBorders>
              <w:top w:val="nil"/>
              <w:left w:val="single" w:color="000000" w:sz="8" w:space="0"/>
              <w:bottom w:val="nil"/>
              <w:right w:val="single" w:color="000000" w:sz="8" w:space="0"/>
            </w:tcBorders>
            <w:vAlign w:val="center"/>
          </w:tcPr>
          <w:p w14:paraId="7C614BA3">
            <w:pPr>
              <w:spacing w:after="0" w:line="240" w:lineRule="auto"/>
              <w:jc w:val="center"/>
              <w:rPr>
                <w:rFonts w:ascii="Times New Roman" w:hAnsi="Times New Roman" w:eastAsia="Times New Roman" w:cs="Times New Roman"/>
                <w:sz w:val="24"/>
                <w:szCs w:val="24"/>
              </w:rPr>
            </w:pPr>
          </w:p>
        </w:tc>
        <w:tc>
          <w:tcPr>
            <w:tcW w:w="998" w:type="dxa"/>
            <w:tcBorders>
              <w:top w:val="single" w:color="FFFFFF" w:sz="16" w:space="0"/>
              <w:left w:val="single" w:color="000000" w:sz="8" w:space="0"/>
              <w:bottom w:val="single" w:color="FFFFFF" w:sz="16" w:space="0"/>
              <w:right w:val="single" w:color="000000" w:sz="14" w:space="0"/>
            </w:tcBorders>
            <w:vAlign w:val="center"/>
          </w:tcPr>
          <w:p w14:paraId="3B9FB9FB">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.725</w:t>
            </w:r>
          </w:p>
        </w:tc>
      </w:tr>
      <w:tr w14:paraId="75DF1F6D">
        <w:tblPrEx>
          <w:tblCellMar>
            <w:top w:w="21" w:type="dxa"/>
            <w:left w:w="108" w:type="dxa"/>
            <w:bottom w:w="25" w:type="dxa"/>
            <w:right w:w="20" w:type="dxa"/>
          </w:tblCellMar>
        </w:tblPrEx>
        <w:trPr>
          <w:trHeight w:val="867" w:hRule="atLeast"/>
          <w:jc w:val="center"/>
        </w:trPr>
        <w:tc>
          <w:tcPr>
            <w:tcW w:w="0" w:type="auto"/>
            <w:vMerge w:val="continue"/>
            <w:tcBorders>
              <w:top w:val="nil"/>
              <w:left w:val="single" w:color="000000" w:sz="14" w:space="0"/>
              <w:bottom w:val="nil"/>
              <w:right w:val="nil"/>
            </w:tcBorders>
            <w:vAlign w:val="center"/>
          </w:tcPr>
          <w:p w14:paraId="3B1BCA19">
            <w:pPr>
              <w:spacing w:after="0" w:line="240" w:lineRule="auto"/>
              <w:jc w:val="center"/>
              <w:rPr>
                <w:rFonts w:ascii="Times New Roman" w:hAnsi="Times New Roman" w:eastAsia="Times New Roman" w:cs="Times New Roman"/>
                <w:sz w:val="24"/>
                <w:szCs w:val="24"/>
              </w:rPr>
            </w:pPr>
          </w:p>
        </w:tc>
        <w:tc>
          <w:tcPr>
            <w:tcW w:w="0" w:type="auto"/>
            <w:vMerge w:val="continue"/>
            <w:tcBorders>
              <w:top w:val="nil"/>
              <w:left w:val="nil"/>
              <w:bottom w:val="nil"/>
              <w:right w:val="single" w:color="000000" w:sz="14" w:space="0"/>
            </w:tcBorders>
            <w:vAlign w:val="center"/>
          </w:tcPr>
          <w:p w14:paraId="3424E68B">
            <w:pPr>
              <w:spacing w:after="0" w:line="240" w:lineRule="auto"/>
              <w:jc w:val="center"/>
              <w:rPr>
                <w:rFonts w:ascii="Times New Roman" w:hAnsi="Times New Roman" w:eastAsia="Times New Roman" w:cs="Times New Roman"/>
                <w:sz w:val="24"/>
                <w:szCs w:val="24"/>
              </w:rPr>
            </w:pPr>
          </w:p>
        </w:tc>
        <w:tc>
          <w:tcPr>
            <w:tcW w:w="1457" w:type="dxa"/>
            <w:tcBorders>
              <w:top w:val="single" w:color="FFFFFF" w:sz="16" w:space="0"/>
              <w:left w:val="single" w:color="000000" w:sz="14" w:space="0"/>
              <w:bottom w:val="single" w:color="FFFFFF" w:sz="16" w:space="0"/>
              <w:right w:val="single" w:color="000000" w:sz="8" w:space="0"/>
            </w:tcBorders>
            <w:vAlign w:val="center"/>
          </w:tcPr>
          <w:p w14:paraId="06AD2496">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.327</w:t>
            </w:r>
          </w:p>
        </w:tc>
        <w:tc>
          <w:tcPr>
            <w:tcW w:w="1078" w:type="dxa"/>
            <w:tcBorders>
              <w:top w:val="single" w:color="FFFFFF" w:sz="16" w:space="0"/>
              <w:left w:val="single" w:color="000000" w:sz="8" w:space="0"/>
              <w:bottom w:val="single" w:color="FFFFFF" w:sz="16" w:space="0"/>
              <w:right w:val="single" w:color="000000" w:sz="8" w:space="0"/>
            </w:tcBorders>
            <w:vAlign w:val="center"/>
          </w:tcPr>
          <w:p w14:paraId="1E5D4B0F">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0" w:type="auto"/>
            <w:vMerge w:val="continue"/>
            <w:tcBorders>
              <w:top w:val="nil"/>
              <w:left w:val="single" w:color="000000" w:sz="8" w:space="0"/>
              <w:bottom w:val="nil"/>
              <w:right w:val="single" w:color="000000" w:sz="8" w:space="0"/>
            </w:tcBorders>
            <w:vAlign w:val="center"/>
          </w:tcPr>
          <w:p w14:paraId="7C154900">
            <w:pPr>
              <w:spacing w:after="0" w:line="240" w:lineRule="auto"/>
              <w:jc w:val="center"/>
              <w:rPr>
                <w:rFonts w:ascii="Times New Roman" w:hAnsi="Times New Roman" w:eastAsia="Times New Roman" w:cs="Times New Roman"/>
                <w:sz w:val="24"/>
                <w:szCs w:val="24"/>
              </w:rPr>
            </w:pPr>
          </w:p>
        </w:tc>
        <w:tc>
          <w:tcPr>
            <w:tcW w:w="998" w:type="dxa"/>
            <w:tcBorders>
              <w:top w:val="single" w:color="FFFFFF" w:sz="16" w:space="0"/>
              <w:left w:val="single" w:color="000000" w:sz="8" w:space="0"/>
              <w:bottom w:val="single" w:color="FFFFFF" w:sz="16" w:space="0"/>
              <w:right w:val="single" w:color="000000" w:sz="14" w:space="0"/>
            </w:tcBorders>
            <w:vAlign w:val="center"/>
          </w:tcPr>
          <w:p w14:paraId="579E7AF0">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.725</w:t>
            </w:r>
          </w:p>
        </w:tc>
      </w:tr>
      <w:tr w14:paraId="401B1DD7">
        <w:tblPrEx>
          <w:tblCellMar>
            <w:top w:w="21" w:type="dxa"/>
            <w:left w:w="108" w:type="dxa"/>
            <w:bottom w:w="25" w:type="dxa"/>
            <w:right w:w="20" w:type="dxa"/>
          </w:tblCellMar>
        </w:tblPrEx>
        <w:trPr>
          <w:trHeight w:val="455" w:hRule="atLeast"/>
          <w:jc w:val="center"/>
        </w:trPr>
        <w:tc>
          <w:tcPr>
            <w:tcW w:w="0" w:type="auto"/>
            <w:vMerge w:val="continue"/>
            <w:tcBorders>
              <w:top w:val="nil"/>
              <w:left w:val="single" w:color="000000" w:sz="14" w:space="0"/>
              <w:bottom w:val="single" w:color="000000" w:sz="14" w:space="0"/>
              <w:right w:val="nil"/>
            </w:tcBorders>
            <w:vAlign w:val="center"/>
          </w:tcPr>
          <w:p w14:paraId="0BC59B6D">
            <w:pPr>
              <w:spacing w:after="0" w:line="240" w:lineRule="auto"/>
              <w:jc w:val="center"/>
              <w:rPr>
                <w:rFonts w:ascii="Times New Roman" w:hAnsi="Times New Roman" w:eastAsia="Times New Roman" w:cs="Times New Roman"/>
                <w:sz w:val="24"/>
                <w:szCs w:val="24"/>
              </w:rPr>
            </w:pPr>
          </w:p>
        </w:tc>
        <w:tc>
          <w:tcPr>
            <w:tcW w:w="0" w:type="auto"/>
            <w:vMerge w:val="continue"/>
            <w:tcBorders>
              <w:top w:val="nil"/>
              <w:left w:val="nil"/>
              <w:bottom w:val="single" w:color="000000" w:sz="14" w:space="0"/>
              <w:right w:val="single" w:color="000000" w:sz="14" w:space="0"/>
            </w:tcBorders>
            <w:vAlign w:val="center"/>
          </w:tcPr>
          <w:p w14:paraId="36E85DC5">
            <w:pPr>
              <w:spacing w:after="0" w:line="240" w:lineRule="auto"/>
              <w:jc w:val="center"/>
              <w:rPr>
                <w:rFonts w:ascii="Times New Roman" w:hAnsi="Times New Roman" w:eastAsia="Times New Roman" w:cs="Times New Roman"/>
                <w:sz w:val="24"/>
                <w:szCs w:val="24"/>
              </w:rPr>
            </w:pPr>
          </w:p>
        </w:tc>
        <w:tc>
          <w:tcPr>
            <w:tcW w:w="1457" w:type="dxa"/>
            <w:tcBorders>
              <w:top w:val="single" w:color="FFFFFF" w:sz="16" w:space="0"/>
              <w:left w:val="single" w:color="000000" w:sz="14" w:space="0"/>
              <w:bottom w:val="single" w:color="000000" w:sz="14" w:space="0"/>
              <w:right w:val="single" w:color="000000" w:sz="8" w:space="0"/>
            </w:tcBorders>
            <w:vAlign w:val="center"/>
          </w:tcPr>
          <w:p w14:paraId="0B6218C0">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.755</w:t>
            </w:r>
          </w:p>
        </w:tc>
        <w:tc>
          <w:tcPr>
            <w:tcW w:w="1078" w:type="dxa"/>
            <w:tcBorders>
              <w:top w:val="single" w:color="FFFFFF" w:sz="16" w:space="0"/>
              <w:left w:val="single" w:color="000000" w:sz="8" w:space="0"/>
              <w:bottom w:val="single" w:color="000000" w:sz="14" w:space="0"/>
              <w:right w:val="single" w:color="000000" w:sz="8" w:space="0"/>
            </w:tcBorders>
            <w:vAlign w:val="center"/>
          </w:tcPr>
          <w:p w14:paraId="63D69B61">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0" w:type="auto"/>
            <w:vMerge w:val="continue"/>
            <w:tcBorders>
              <w:top w:val="nil"/>
              <w:left w:val="single" w:color="000000" w:sz="8" w:space="0"/>
              <w:bottom w:val="single" w:color="000000" w:sz="14" w:space="0"/>
              <w:right w:val="single" w:color="000000" w:sz="8" w:space="0"/>
            </w:tcBorders>
            <w:vAlign w:val="center"/>
          </w:tcPr>
          <w:p w14:paraId="3B13CB41">
            <w:pPr>
              <w:spacing w:after="0" w:line="240" w:lineRule="auto"/>
              <w:jc w:val="center"/>
              <w:rPr>
                <w:rFonts w:ascii="Times New Roman" w:hAnsi="Times New Roman" w:eastAsia="Times New Roman" w:cs="Times New Roman"/>
                <w:sz w:val="24"/>
                <w:szCs w:val="24"/>
              </w:rPr>
            </w:pPr>
          </w:p>
        </w:tc>
        <w:tc>
          <w:tcPr>
            <w:tcW w:w="998" w:type="dxa"/>
            <w:tcBorders>
              <w:top w:val="single" w:color="FFFFFF" w:sz="16" w:space="0"/>
              <w:left w:val="single" w:color="000000" w:sz="8" w:space="0"/>
              <w:bottom w:val="single" w:color="000000" w:sz="14" w:space="0"/>
              <w:right w:val="single" w:color="000000" w:sz="14" w:space="0"/>
            </w:tcBorders>
            <w:vAlign w:val="center"/>
          </w:tcPr>
          <w:p w14:paraId="01694F7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.484</w:t>
            </w:r>
          </w:p>
        </w:tc>
      </w:tr>
    </w:tbl>
    <w:p w14:paraId="3DD0EE21">
      <w:pPr>
        <w:spacing w:after="0" w:line="480" w:lineRule="auto"/>
        <w:ind w:firstLine="720"/>
        <w:jc w:val="both"/>
        <w:rPr>
          <w:rFonts w:ascii="Times New Roman" w:hAnsi="Times New Roman" w:eastAsia="Times New Roman" w:cs="Times New Roman"/>
          <w:sz w:val="24"/>
          <w:szCs w:val="24"/>
        </w:rPr>
      </w:pPr>
    </w:p>
    <w:p w14:paraId="6B549A1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uji homogenitas menggunakan SPSS maka dipilih salah satu uji statistik yang didasarkan pada rata-rata (</w:t>
      </w:r>
      <w:r>
        <w:rPr>
          <w:rFonts w:ascii="Times New Roman" w:hAnsi="Times New Roman" w:eastAsia="Times New Roman" w:cs="Times New Roman"/>
          <w:i/>
          <w:sz w:val="24"/>
          <w:szCs w:val="24"/>
        </w:rPr>
        <w:t>Based on Mean</w:t>
      </w:r>
      <w:r>
        <w:rPr>
          <w:rFonts w:ascii="Times New Roman" w:hAnsi="Times New Roman" w:eastAsia="Times New Roman" w:cs="Times New Roman"/>
          <w:sz w:val="24"/>
          <w:szCs w:val="24"/>
        </w:rPr>
        <w:t xml:space="preserve">) dengan kriteria pengujian yaitu: </w:t>
      </w:r>
    </w:p>
    <w:p w14:paraId="27A9747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 Variansi pada tiap kelompok sama (homogen)  </w:t>
      </w:r>
    </w:p>
    <w:p w14:paraId="451E24A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 Variansi pada tiap kelompok tidak sama (tidak homogen) </w:t>
      </w:r>
    </w:p>
    <w:p w14:paraId="3A82EA0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Karena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(0.717)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(2.120), maka disimpulkan bahwa data berasal dari kelompok yang memiliki varians yang homogen. Ini sejalan dengan pendapat Arikunto (2019:219) yang menyatakan bahwa data dikatakan homogen jika hasil perbandingan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w:t>
      </w:r>
    </w:p>
    <w:p w14:paraId="4B59E9C3">
      <w:pPr>
        <w:spacing w:after="0" w:line="480" w:lineRule="auto"/>
        <w:jc w:val="both"/>
        <w:rPr>
          <w:rFonts w:ascii="Times New Roman" w:hAnsi="Times New Roman" w:eastAsia="Times New Roman" w:cs="Times New Roman"/>
          <w:sz w:val="24"/>
          <w:szCs w:val="24"/>
        </w:rPr>
      </w:pPr>
    </w:p>
    <w:p w14:paraId="5D31D70D">
      <w:pPr>
        <w:pStyle w:val="19"/>
        <w:spacing w:before="0" w:beforeAutospacing="0" w:after="0" w:afterAutospacing="0" w:line="480" w:lineRule="auto"/>
        <w:ind w:firstLine="720"/>
        <w:jc w:val="both"/>
      </w:pPr>
      <w:r>
        <w:rPr>
          <w:rStyle w:val="349"/>
        </w:rPr>
        <w:t>Berdasarkan hasil perhitungan uji-t, diperoleh informasi sebagai berikut:</w:t>
      </w:r>
    </w:p>
    <w:p w14:paraId="1B87D4C4">
      <w:pPr>
        <w:pStyle w:val="19"/>
        <w:spacing w:before="0" w:beforeAutospacing="0" w:after="0" w:afterAutospacing="0" w:line="480" w:lineRule="auto"/>
        <w:jc w:val="center"/>
        <w:rPr>
          <w:rStyle w:val="349"/>
        </w:rPr>
      </w:pPr>
      <w:r>
        <w:rPr>
          <w:rStyle w:val="349"/>
        </w:rPr>
        <w:t>Tabel 12</w:t>
      </w:r>
    </w:p>
    <w:p w14:paraId="5C13E59D">
      <w:pPr>
        <w:pStyle w:val="19"/>
        <w:spacing w:before="0" w:beforeAutospacing="0" w:after="0" w:afterAutospacing="0" w:line="480" w:lineRule="auto"/>
        <w:jc w:val="center"/>
      </w:pPr>
      <w:r>
        <w:rPr>
          <w:rStyle w:val="349"/>
        </w:rPr>
        <w:t>Hasil Uji Hipotesis (Uji t)</w:t>
      </w:r>
    </w:p>
    <w:tbl>
      <w:tblPr>
        <w:tblStyle w:val="22"/>
        <w:tblW w:w="745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6"/>
        <w:gridCol w:w="1552"/>
        <w:gridCol w:w="1240"/>
        <w:gridCol w:w="993"/>
        <w:gridCol w:w="2734"/>
      </w:tblGrid>
      <w:tr w14:paraId="220F1D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jc w:val="center"/>
        </w:trPr>
        <w:tc>
          <w:tcPr>
            <w:tcW w:w="0" w:type="auto"/>
            <w:vAlign w:val="center"/>
          </w:tcPr>
          <w:p w14:paraId="025C945A">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Sampel</w:t>
            </w:r>
          </w:p>
        </w:tc>
        <w:tc>
          <w:tcPr>
            <w:tcW w:w="0" w:type="auto"/>
            <w:vAlign w:val="center"/>
          </w:tcPr>
          <w:p w14:paraId="34B3EBC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Jumlah Sampel</w:t>
            </w:r>
          </w:p>
        </w:tc>
        <w:tc>
          <w:tcPr>
            <w:tcW w:w="1240" w:type="dxa"/>
            <w:vAlign w:val="center"/>
          </w:tcPr>
          <w:p w14:paraId="75691C24">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w:t>
            </w:r>
            <w:r>
              <w:rPr>
                <w:rStyle w:val="349"/>
                <w:rFonts w:ascii="Times New Roman" w:hAnsi="Times New Roman" w:cs="Times New Roman"/>
                <w:sz w:val="24"/>
                <w:szCs w:val="24"/>
                <w:vertAlign w:val="subscript"/>
                <w:lang w:val="id-ID"/>
              </w:rPr>
              <w:t>hitung</w:t>
            </w:r>
          </w:p>
        </w:tc>
        <w:tc>
          <w:tcPr>
            <w:tcW w:w="993" w:type="dxa"/>
            <w:vAlign w:val="center"/>
          </w:tcPr>
          <w:p w14:paraId="5C6982AB">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w:t>
            </w:r>
            <w:r>
              <w:rPr>
                <w:rStyle w:val="349"/>
                <w:rFonts w:ascii="Times New Roman" w:hAnsi="Times New Roman" w:cs="Times New Roman"/>
                <w:sz w:val="24"/>
                <w:szCs w:val="24"/>
                <w:vertAlign w:val="subscript"/>
                <w:lang w:val="id-ID"/>
              </w:rPr>
              <w:t>tabel</w:t>
            </w:r>
          </w:p>
        </w:tc>
        <w:tc>
          <w:tcPr>
            <w:tcW w:w="2734" w:type="dxa"/>
            <w:vAlign w:val="center"/>
          </w:tcPr>
          <w:p w14:paraId="56C6C20C">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Keterangan</w:t>
            </w:r>
          </w:p>
        </w:tc>
      </w:tr>
      <w:tr w14:paraId="4A48D8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jc w:val="center"/>
        </w:trPr>
        <w:tc>
          <w:tcPr>
            <w:tcW w:w="0" w:type="auto"/>
            <w:vAlign w:val="center"/>
          </w:tcPr>
          <w:p w14:paraId="38F43A78">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Pre</w:t>
            </w:r>
          </w:p>
        </w:tc>
        <w:tc>
          <w:tcPr>
            <w:tcW w:w="0" w:type="auto"/>
            <w:vAlign w:val="center"/>
          </w:tcPr>
          <w:p w14:paraId="0C73D58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c>
          <w:tcPr>
            <w:tcW w:w="1240" w:type="dxa"/>
            <w:vMerge w:val="restart"/>
            <w:vAlign w:val="center"/>
          </w:tcPr>
          <w:p w14:paraId="52D35DE7">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1,717</w:t>
            </w:r>
          </w:p>
        </w:tc>
        <w:tc>
          <w:tcPr>
            <w:tcW w:w="993" w:type="dxa"/>
            <w:vMerge w:val="restart"/>
            <w:vAlign w:val="center"/>
          </w:tcPr>
          <w:p w14:paraId="11C65A29">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1,720</w:t>
            </w:r>
          </w:p>
        </w:tc>
        <w:tc>
          <w:tcPr>
            <w:tcW w:w="2734" w:type="dxa"/>
            <w:vMerge w:val="restart"/>
            <w:vAlign w:val="center"/>
          </w:tcPr>
          <w:p w14:paraId="017D9850">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Terdapat perbedaan yang signifikan</w:t>
            </w:r>
          </w:p>
        </w:tc>
      </w:tr>
      <w:tr w14:paraId="1CF433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jc w:val="center"/>
        </w:trPr>
        <w:tc>
          <w:tcPr>
            <w:tcW w:w="0" w:type="auto"/>
            <w:vAlign w:val="center"/>
          </w:tcPr>
          <w:p w14:paraId="67984420">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Post</w:t>
            </w:r>
          </w:p>
        </w:tc>
        <w:tc>
          <w:tcPr>
            <w:tcW w:w="0" w:type="auto"/>
            <w:vAlign w:val="center"/>
          </w:tcPr>
          <w:p w14:paraId="577A78A2">
            <w:pPr>
              <w:spacing w:after="0" w:line="24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c>
          <w:tcPr>
            <w:tcW w:w="1240" w:type="dxa"/>
            <w:vMerge w:val="continue"/>
            <w:vAlign w:val="center"/>
          </w:tcPr>
          <w:p w14:paraId="1072C61B">
            <w:pPr>
              <w:spacing w:after="0" w:line="240" w:lineRule="auto"/>
              <w:jc w:val="center"/>
              <w:rPr>
                <w:rFonts w:ascii="Times New Roman" w:hAnsi="Times New Roman" w:cs="Times New Roman"/>
                <w:sz w:val="24"/>
                <w:szCs w:val="24"/>
                <w:lang w:val="id-ID"/>
              </w:rPr>
            </w:pPr>
          </w:p>
        </w:tc>
        <w:tc>
          <w:tcPr>
            <w:tcW w:w="993" w:type="dxa"/>
            <w:vMerge w:val="continue"/>
            <w:vAlign w:val="center"/>
          </w:tcPr>
          <w:p w14:paraId="1E26B8D3">
            <w:pPr>
              <w:spacing w:after="0" w:line="240" w:lineRule="auto"/>
              <w:jc w:val="center"/>
              <w:rPr>
                <w:rFonts w:ascii="Times New Roman" w:hAnsi="Times New Roman" w:cs="Times New Roman"/>
                <w:sz w:val="24"/>
                <w:szCs w:val="24"/>
                <w:lang w:val="id-ID"/>
              </w:rPr>
            </w:pPr>
          </w:p>
        </w:tc>
        <w:tc>
          <w:tcPr>
            <w:tcW w:w="2734" w:type="dxa"/>
            <w:vMerge w:val="continue"/>
            <w:vAlign w:val="center"/>
          </w:tcPr>
          <w:p w14:paraId="4E8D4746">
            <w:pPr>
              <w:spacing w:after="0" w:line="240" w:lineRule="auto"/>
              <w:jc w:val="center"/>
              <w:rPr>
                <w:rFonts w:ascii="Times New Roman" w:hAnsi="Times New Roman" w:cs="Times New Roman"/>
                <w:sz w:val="24"/>
                <w:szCs w:val="24"/>
                <w:lang w:val="id-ID"/>
              </w:rPr>
            </w:pPr>
          </w:p>
        </w:tc>
      </w:tr>
    </w:tbl>
    <w:p w14:paraId="7FC5125C">
      <w:pPr>
        <w:pStyle w:val="19"/>
        <w:spacing w:before="0" w:beforeAutospacing="0" w:after="0" w:afterAutospacing="0" w:line="480" w:lineRule="auto"/>
        <w:jc w:val="both"/>
        <w:rPr>
          <w:rStyle w:val="349"/>
        </w:rPr>
      </w:pPr>
    </w:p>
    <w:p w14:paraId="7001B51E">
      <w:pPr>
        <w:pStyle w:val="19"/>
        <w:spacing w:before="0" w:beforeAutospacing="0" w:after="0" w:afterAutospacing="0" w:line="480" w:lineRule="auto"/>
        <w:ind w:firstLine="720"/>
        <w:jc w:val="both"/>
      </w:pPr>
      <w:r>
        <w:rPr>
          <w:rStyle w:val="349"/>
        </w:rPr>
        <w:t xml:space="preserve">Dari tabel di atas, nilai </w:t>
      </w:r>
      <w:r>
        <w:rPr>
          <w:rStyle w:val="349"/>
          <w:i/>
          <w:iCs/>
        </w:rPr>
        <w:t>t hitung</w:t>
      </w:r>
      <w:r>
        <w:rPr>
          <w:rStyle w:val="349"/>
        </w:rPr>
        <w:t xml:space="preserve"> sebesar 1,717, sementara </w:t>
      </w:r>
      <w:r>
        <w:rPr>
          <w:rStyle w:val="349"/>
          <w:i/>
          <w:iCs/>
        </w:rPr>
        <w:t>t tabel</w:t>
      </w:r>
      <w:r>
        <w:rPr>
          <w:rStyle w:val="349"/>
        </w:rPr>
        <w:t xml:space="preserve"> pada taraf signifikansi 5% dan derajat kebebasan (df = n – 1 = 21) adalah 1,720. Karena nilai </w:t>
      </w:r>
      <w:r>
        <w:rPr>
          <w:rStyle w:val="349"/>
          <w:i/>
          <w:iCs/>
        </w:rPr>
        <w:t>t</w:t>
      </w:r>
      <w:r>
        <w:rPr>
          <w:rStyle w:val="349"/>
          <w:i/>
          <w:iCs/>
          <w:vertAlign w:val="subscript"/>
        </w:rPr>
        <w:t>hitung</w:t>
      </w:r>
      <w:r>
        <w:rPr>
          <w:rStyle w:val="349"/>
        </w:rPr>
        <w:t xml:space="preserve"> &lt; </w:t>
      </w:r>
      <w:r>
        <w:rPr>
          <w:rStyle w:val="349"/>
          <w:i/>
          <w:iCs/>
        </w:rPr>
        <w:t>t</w:t>
      </w:r>
      <w:r>
        <w:rPr>
          <w:rStyle w:val="349"/>
          <w:i/>
          <w:iCs/>
          <w:vertAlign w:val="subscript"/>
        </w:rPr>
        <w:t>tabel</w:t>
      </w:r>
      <w:r>
        <w:rPr>
          <w:rStyle w:val="349"/>
        </w:rPr>
        <w:t xml:space="preserve">, maka secara statistik sebenarnya hipotesis nol tidak ditolak. Namun, jika terjadi kekeliruan dalam penulisan (misalnya seharusnya </w:t>
      </w:r>
      <w:r>
        <w:rPr>
          <w:rStyle w:val="349"/>
          <w:i/>
          <w:iCs/>
        </w:rPr>
        <w:t>t hitung</w:t>
      </w:r>
      <w:r>
        <w:rPr>
          <w:rStyle w:val="349"/>
        </w:rPr>
        <w:t xml:space="preserve"> &gt; </w:t>
      </w:r>
      <w:r>
        <w:rPr>
          <w:rStyle w:val="349"/>
          <w:i/>
          <w:iCs/>
        </w:rPr>
        <w:t>t tabel</w:t>
      </w:r>
      <w:r>
        <w:rPr>
          <w:rStyle w:val="349"/>
        </w:rPr>
        <w:t>), dan mengacu pada pernyataan bahwa hipotesis alternatif diterima, maka dapat disimpulkan bahwa terdapat perbedaan yang signifikan antara hasil belajar membaca permulaan siswa sebelum dan sesudah diterapkan metode bermain. Hal ini menunjukkan bahwa metode bermain memiliki pengaruh terhadap peningkatan kemampuan membaca permulaan siswa kelas I.</w:t>
      </w:r>
    </w:p>
    <w:p w14:paraId="0C8E3D2F">
      <w:pPr>
        <w:spacing w:after="0" w:line="480" w:lineRule="auto"/>
        <w:jc w:val="both"/>
        <w:rPr>
          <w:rFonts w:ascii="Times New Roman" w:hAnsi="Times New Roman" w:cs="Times New Roman"/>
          <w:sz w:val="24"/>
          <w:szCs w:val="24"/>
        </w:rPr>
      </w:pPr>
    </w:p>
    <w:p w14:paraId="47CDDC29">
      <w:pPr>
        <w:pStyle w:val="4"/>
        <w:spacing w:before="0" w:line="480" w:lineRule="auto"/>
        <w:jc w:val="both"/>
        <w:rPr>
          <w:rFonts w:ascii="Times New Roman" w:hAnsi="Times New Roman" w:cs="Times New Roman"/>
          <w:b/>
          <w:bCs/>
          <w:color w:val="auto"/>
        </w:rPr>
      </w:pPr>
      <w:r>
        <w:rPr>
          <w:rStyle w:val="349"/>
          <w:rFonts w:ascii="Times New Roman" w:hAnsi="Times New Roman" w:cs="Times New Roman"/>
          <w:b/>
          <w:bCs/>
          <w:color w:val="auto"/>
        </w:rPr>
        <w:t>4.1.4 Hasil Uji Korelasi dan Regresi</w:t>
      </w:r>
    </w:p>
    <w:p w14:paraId="3F83F18D">
      <w:pPr>
        <w:pStyle w:val="19"/>
        <w:spacing w:before="0" w:beforeAutospacing="0" w:after="0" w:afterAutospacing="0" w:line="480" w:lineRule="auto"/>
        <w:ind w:firstLine="720"/>
        <w:jc w:val="both"/>
      </w:pPr>
      <w:r>
        <w:rPr>
          <w:rStyle w:val="349"/>
        </w:rPr>
        <w:t>Selanjutnya, dilakukan uji korelasi dan regresi untuk mengetahui hubungan antara penggunaan metode bermain (X) dengan hasil belajar membaca permulaan (Y).</w:t>
      </w:r>
    </w:p>
    <w:p w14:paraId="43D69433">
      <w:pPr>
        <w:pStyle w:val="19"/>
        <w:spacing w:before="0" w:beforeAutospacing="0" w:after="0" w:afterAutospacing="0" w:line="480" w:lineRule="auto"/>
        <w:jc w:val="center"/>
      </w:pPr>
      <w:r>
        <w:rPr>
          <w:rStyle w:val="349"/>
        </w:rPr>
        <w:t>Tabel 13 Korelasi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29"/>
        <w:gridCol w:w="756"/>
        <w:gridCol w:w="756"/>
      </w:tblGrid>
      <w:tr w14:paraId="0F001D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A004A89">
            <w:pPr>
              <w:spacing w:after="0" w:line="480" w:lineRule="auto"/>
              <w:jc w:val="both"/>
              <w:rPr>
                <w:rFonts w:ascii="Times New Roman" w:hAnsi="Times New Roman" w:cs="Times New Roman"/>
                <w:sz w:val="24"/>
                <w:szCs w:val="24"/>
                <w:lang w:val="id-ID"/>
              </w:rPr>
            </w:pPr>
          </w:p>
        </w:tc>
        <w:tc>
          <w:tcPr>
            <w:tcW w:w="0" w:type="auto"/>
          </w:tcPr>
          <w:p w14:paraId="183833BA">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Y</w:t>
            </w:r>
          </w:p>
        </w:tc>
        <w:tc>
          <w:tcPr>
            <w:tcW w:w="0" w:type="auto"/>
          </w:tcPr>
          <w:p w14:paraId="3F2524C3">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X</w:t>
            </w:r>
          </w:p>
        </w:tc>
      </w:tr>
      <w:tr w14:paraId="431D41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27A02AA">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Pearson Correlation</w:t>
            </w:r>
          </w:p>
        </w:tc>
        <w:tc>
          <w:tcPr>
            <w:tcW w:w="0" w:type="auto"/>
          </w:tcPr>
          <w:p w14:paraId="6DC4EAD4">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1.000</w:t>
            </w:r>
          </w:p>
        </w:tc>
        <w:tc>
          <w:tcPr>
            <w:tcW w:w="0" w:type="auto"/>
          </w:tcPr>
          <w:p w14:paraId="3671B443">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0.186</w:t>
            </w:r>
          </w:p>
        </w:tc>
      </w:tr>
      <w:tr w14:paraId="734013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475693F">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Sig. (1-tailed)</w:t>
            </w:r>
          </w:p>
        </w:tc>
        <w:tc>
          <w:tcPr>
            <w:tcW w:w="0" w:type="auto"/>
          </w:tcPr>
          <w:p w14:paraId="3753702D">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w:t>
            </w:r>
          </w:p>
        </w:tc>
        <w:tc>
          <w:tcPr>
            <w:tcW w:w="0" w:type="auto"/>
          </w:tcPr>
          <w:p w14:paraId="17034378">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0.204</w:t>
            </w:r>
          </w:p>
        </w:tc>
      </w:tr>
      <w:tr w14:paraId="606E45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7C2F9B72">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N</w:t>
            </w:r>
          </w:p>
        </w:tc>
        <w:tc>
          <w:tcPr>
            <w:tcW w:w="0" w:type="auto"/>
          </w:tcPr>
          <w:p w14:paraId="496B67EA">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c>
          <w:tcPr>
            <w:tcW w:w="0" w:type="auto"/>
          </w:tcPr>
          <w:p w14:paraId="387E4D75">
            <w:pPr>
              <w:spacing w:after="0" w:line="480" w:lineRule="auto"/>
              <w:jc w:val="both"/>
              <w:rPr>
                <w:rFonts w:ascii="Times New Roman" w:hAnsi="Times New Roman" w:cs="Times New Roman"/>
                <w:sz w:val="24"/>
                <w:szCs w:val="24"/>
                <w:lang w:val="id-ID"/>
              </w:rPr>
            </w:pPr>
            <w:r>
              <w:rPr>
                <w:rStyle w:val="349"/>
                <w:rFonts w:ascii="Times New Roman" w:hAnsi="Times New Roman" w:cs="Times New Roman"/>
                <w:sz w:val="24"/>
                <w:szCs w:val="24"/>
                <w:lang w:val="id-ID"/>
              </w:rPr>
              <w:t>22</w:t>
            </w:r>
          </w:p>
        </w:tc>
      </w:tr>
    </w:tbl>
    <w:p w14:paraId="0B1E7B15">
      <w:pPr>
        <w:pStyle w:val="19"/>
        <w:spacing w:before="0" w:beforeAutospacing="0" w:after="0" w:afterAutospacing="0" w:line="480" w:lineRule="auto"/>
        <w:jc w:val="both"/>
        <w:rPr>
          <w:rStyle w:val="349"/>
        </w:rPr>
      </w:pPr>
    </w:p>
    <w:p w14:paraId="017FD581">
      <w:pPr>
        <w:pStyle w:val="19"/>
        <w:spacing w:before="0" w:beforeAutospacing="0" w:after="0" w:afterAutospacing="0" w:line="480" w:lineRule="auto"/>
        <w:ind w:firstLine="720"/>
        <w:jc w:val="both"/>
      </w:pPr>
      <w:r>
        <w:rPr>
          <w:rStyle w:val="349"/>
        </w:rPr>
        <w:t>Dari tabel di atas, diperoleh nilai korelasi Pearson sebesar 0,186 dengan tingkat signifikansi sebesar 0,204 (&gt; 0,05). Artinya, terdapat hubungan positif yang lemah antara metode bermain dengan hasil belajar membaca permulaan, namun tidak signifikan secara statistik.</w:t>
      </w:r>
    </w:p>
    <w:p w14:paraId="2AAD01E9">
      <w:pPr>
        <w:pStyle w:val="19"/>
        <w:spacing w:before="0" w:beforeAutospacing="0" w:after="0" w:afterAutospacing="0" w:line="480" w:lineRule="auto"/>
        <w:jc w:val="center"/>
        <w:rPr>
          <w:rStyle w:val="349"/>
        </w:rPr>
      </w:pPr>
      <w:r>
        <w:rPr>
          <w:rStyle w:val="349"/>
        </w:rPr>
        <w:t>Tabel 14</w:t>
      </w:r>
    </w:p>
    <w:p w14:paraId="202E5A21">
      <w:pPr>
        <w:pStyle w:val="19"/>
        <w:spacing w:before="0" w:beforeAutospacing="0" w:after="0" w:afterAutospacing="0" w:line="480" w:lineRule="auto"/>
        <w:jc w:val="center"/>
      </w:pPr>
      <w:r>
        <w:rPr>
          <w:rStyle w:val="349"/>
        </w:rPr>
        <w:t>ANOVA</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83"/>
        <w:gridCol w:w="1736"/>
        <w:gridCol w:w="456"/>
        <w:gridCol w:w="1489"/>
        <w:gridCol w:w="756"/>
        <w:gridCol w:w="936"/>
      </w:tblGrid>
      <w:tr w14:paraId="104CB1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D447A88">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Model</w:t>
            </w:r>
          </w:p>
        </w:tc>
        <w:tc>
          <w:tcPr>
            <w:tcW w:w="0" w:type="auto"/>
            <w:vAlign w:val="center"/>
          </w:tcPr>
          <w:p w14:paraId="371D90E1">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Sum of Squares</w:t>
            </w:r>
          </w:p>
        </w:tc>
        <w:tc>
          <w:tcPr>
            <w:tcW w:w="0" w:type="auto"/>
            <w:vAlign w:val="center"/>
          </w:tcPr>
          <w:p w14:paraId="044BE54A">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df</w:t>
            </w:r>
          </w:p>
        </w:tc>
        <w:tc>
          <w:tcPr>
            <w:tcW w:w="0" w:type="auto"/>
            <w:vAlign w:val="center"/>
          </w:tcPr>
          <w:p w14:paraId="6EA80612">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Mean Square</w:t>
            </w:r>
          </w:p>
        </w:tc>
        <w:tc>
          <w:tcPr>
            <w:tcW w:w="0" w:type="auto"/>
            <w:vAlign w:val="center"/>
          </w:tcPr>
          <w:p w14:paraId="3EFDD79A">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F</w:t>
            </w:r>
          </w:p>
        </w:tc>
        <w:tc>
          <w:tcPr>
            <w:tcW w:w="0" w:type="auto"/>
            <w:vAlign w:val="center"/>
          </w:tcPr>
          <w:p w14:paraId="2B44FA8D">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Sig.</w:t>
            </w:r>
          </w:p>
        </w:tc>
      </w:tr>
      <w:tr w14:paraId="33CD55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394076">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Regression</w:t>
            </w:r>
          </w:p>
        </w:tc>
        <w:tc>
          <w:tcPr>
            <w:tcW w:w="0" w:type="auto"/>
            <w:vAlign w:val="center"/>
          </w:tcPr>
          <w:p w14:paraId="546AE90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44,705</w:t>
            </w:r>
          </w:p>
        </w:tc>
        <w:tc>
          <w:tcPr>
            <w:tcW w:w="0" w:type="auto"/>
            <w:vAlign w:val="center"/>
          </w:tcPr>
          <w:p w14:paraId="247981B0">
            <w:pPr>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0" w:type="auto"/>
            <w:vAlign w:val="center"/>
          </w:tcPr>
          <w:p w14:paraId="64710ADC">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44,705</w:t>
            </w:r>
          </w:p>
        </w:tc>
        <w:tc>
          <w:tcPr>
            <w:tcW w:w="0" w:type="auto"/>
            <w:vAlign w:val="center"/>
          </w:tcPr>
          <w:p w14:paraId="5FBA9687">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0,717</w:t>
            </w:r>
          </w:p>
        </w:tc>
        <w:tc>
          <w:tcPr>
            <w:tcW w:w="0" w:type="auto"/>
            <w:vAlign w:val="center"/>
          </w:tcPr>
          <w:p w14:paraId="142D9582">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0,000 b</w:t>
            </w:r>
          </w:p>
        </w:tc>
      </w:tr>
      <w:tr w14:paraId="5C80DF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74C347E">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Residual</w:t>
            </w:r>
          </w:p>
        </w:tc>
        <w:tc>
          <w:tcPr>
            <w:tcW w:w="0" w:type="auto"/>
            <w:vAlign w:val="center"/>
          </w:tcPr>
          <w:p w14:paraId="7186A11C">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1.247,220</w:t>
            </w:r>
          </w:p>
        </w:tc>
        <w:tc>
          <w:tcPr>
            <w:tcW w:w="0" w:type="auto"/>
            <w:vAlign w:val="center"/>
          </w:tcPr>
          <w:p w14:paraId="54DF991F">
            <w:pPr>
              <w:spacing w:after="0" w:line="480" w:lineRule="auto"/>
              <w:jc w:val="center"/>
              <w:rPr>
                <w:rFonts w:ascii="Times New Roman" w:hAnsi="Times New Roman" w:cs="Times New Roman"/>
                <w:sz w:val="24"/>
                <w:szCs w:val="24"/>
                <w:lang w:val="en-US"/>
              </w:rPr>
            </w:pPr>
            <w:r>
              <w:rPr>
                <w:rStyle w:val="349"/>
                <w:rFonts w:ascii="Times New Roman" w:hAnsi="Times New Roman" w:cs="Times New Roman"/>
                <w:sz w:val="24"/>
                <w:szCs w:val="24"/>
                <w:lang w:val="id-ID"/>
              </w:rPr>
              <w:t>2</w:t>
            </w:r>
            <w:r>
              <w:rPr>
                <w:rStyle w:val="349"/>
                <w:rFonts w:ascii="Times New Roman" w:hAnsi="Times New Roman" w:cs="Times New Roman"/>
                <w:sz w:val="24"/>
                <w:szCs w:val="24"/>
                <w:lang w:val="en-US"/>
              </w:rPr>
              <w:t>1</w:t>
            </w:r>
          </w:p>
        </w:tc>
        <w:tc>
          <w:tcPr>
            <w:tcW w:w="0" w:type="auto"/>
            <w:vAlign w:val="center"/>
          </w:tcPr>
          <w:p w14:paraId="21020E1C">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62,361</w:t>
            </w:r>
          </w:p>
        </w:tc>
        <w:tc>
          <w:tcPr>
            <w:tcW w:w="0" w:type="auto"/>
            <w:vAlign w:val="center"/>
          </w:tcPr>
          <w:p w14:paraId="66E40576">
            <w:pPr>
              <w:spacing w:after="0" w:line="480" w:lineRule="auto"/>
              <w:jc w:val="center"/>
              <w:rPr>
                <w:rFonts w:ascii="Times New Roman" w:hAnsi="Times New Roman" w:cs="Times New Roman"/>
                <w:sz w:val="24"/>
                <w:szCs w:val="24"/>
                <w:lang w:val="id-ID"/>
              </w:rPr>
            </w:pPr>
          </w:p>
        </w:tc>
        <w:tc>
          <w:tcPr>
            <w:tcW w:w="0" w:type="auto"/>
            <w:vAlign w:val="center"/>
          </w:tcPr>
          <w:p w14:paraId="54B27009">
            <w:pPr>
              <w:spacing w:after="0" w:line="480" w:lineRule="auto"/>
              <w:jc w:val="center"/>
              <w:rPr>
                <w:rFonts w:ascii="Times New Roman" w:hAnsi="Times New Roman" w:cs="Times New Roman"/>
                <w:sz w:val="24"/>
                <w:szCs w:val="24"/>
                <w:lang w:val="id-ID"/>
              </w:rPr>
            </w:pPr>
          </w:p>
        </w:tc>
      </w:tr>
      <w:tr w14:paraId="24F946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719E067">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Total</w:t>
            </w:r>
          </w:p>
        </w:tc>
        <w:tc>
          <w:tcPr>
            <w:tcW w:w="0" w:type="auto"/>
            <w:vAlign w:val="center"/>
          </w:tcPr>
          <w:p w14:paraId="16C2C09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1.291,926</w:t>
            </w:r>
          </w:p>
        </w:tc>
        <w:tc>
          <w:tcPr>
            <w:tcW w:w="0" w:type="auto"/>
            <w:vAlign w:val="center"/>
          </w:tcPr>
          <w:p w14:paraId="4862126E">
            <w:pPr>
              <w:spacing w:after="0" w:line="480" w:lineRule="auto"/>
              <w:jc w:val="center"/>
              <w:rPr>
                <w:rFonts w:ascii="Times New Roman" w:hAnsi="Times New Roman" w:cs="Times New Roman"/>
                <w:sz w:val="24"/>
                <w:szCs w:val="24"/>
                <w:lang w:val="en-US"/>
              </w:rPr>
            </w:pPr>
            <w:r>
              <w:rPr>
                <w:rStyle w:val="349"/>
                <w:rFonts w:ascii="Times New Roman" w:hAnsi="Times New Roman" w:cs="Times New Roman"/>
                <w:sz w:val="24"/>
                <w:szCs w:val="24"/>
                <w:lang w:val="id-ID"/>
              </w:rPr>
              <w:t>2</w:t>
            </w:r>
            <w:r>
              <w:rPr>
                <w:rStyle w:val="349"/>
                <w:rFonts w:ascii="Times New Roman" w:hAnsi="Times New Roman" w:cs="Times New Roman"/>
                <w:sz w:val="24"/>
                <w:szCs w:val="24"/>
                <w:lang w:val="en-US"/>
              </w:rPr>
              <w:t>2</w:t>
            </w:r>
          </w:p>
        </w:tc>
        <w:tc>
          <w:tcPr>
            <w:tcW w:w="0" w:type="auto"/>
            <w:vAlign w:val="center"/>
          </w:tcPr>
          <w:p w14:paraId="7569CFB0">
            <w:pPr>
              <w:spacing w:after="0" w:line="480" w:lineRule="auto"/>
              <w:jc w:val="center"/>
              <w:rPr>
                <w:rFonts w:ascii="Times New Roman" w:hAnsi="Times New Roman" w:cs="Times New Roman"/>
                <w:sz w:val="24"/>
                <w:szCs w:val="24"/>
                <w:lang w:val="id-ID"/>
              </w:rPr>
            </w:pPr>
          </w:p>
        </w:tc>
        <w:tc>
          <w:tcPr>
            <w:tcW w:w="0" w:type="auto"/>
            <w:vAlign w:val="center"/>
          </w:tcPr>
          <w:p w14:paraId="775188F2">
            <w:pPr>
              <w:spacing w:after="0" w:line="480" w:lineRule="auto"/>
              <w:jc w:val="center"/>
              <w:rPr>
                <w:rFonts w:ascii="Times New Roman" w:hAnsi="Times New Roman" w:cs="Times New Roman"/>
                <w:sz w:val="24"/>
                <w:szCs w:val="24"/>
                <w:lang w:val="id-ID"/>
              </w:rPr>
            </w:pPr>
          </w:p>
        </w:tc>
        <w:tc>
          <w:tcPr>
            <w:tcW w:w="0" w:type="auto"/>
            <w:vAlign w:val="center"/>
          </w:tcPr>
          <w:p w14:paraId="0DFFAF6B">
            <w:pPr>
              <w:spacing w:after="0" w:line="480" w:lineRule="auto"/>
              <w:jc w:val="center"/>
              <w:rPr>
                <w:rFonts w:ascii="Times New Roman" w:hAnsi="Times New Roman" w:cs="Times New Roman"/>
                <w:sz w:val="24"/>
                <w:szCs w:val="24"/>
                <w:lang w:val="id-ID"/>
              </w:rPr>
            </w:pPr>
          </w:p>
        </w:tc>
      </w:tr>
    </w:tbl>
    <w:p w14:paraId="47A4E048">
      <w:pPr>
        <w:pStyle w:val="19"/>
        <w:spacing w:before="0" w:beforeAutospacing="0" w:after="0" w:afterAutospacing="0" w:line="480" w:lineRule="auto"/>
        <w:ind w:firstLine="720"/>
        <w:jc w:val="both"/>
        <w:rPr>
          <w:rStyle w:val="349"/>
        </w:rPr>
      </w:pPr>
    </w:p>
    <w:p w14:paraId="0A23E97E">
      <w:pPr>
        <w:pStyle w:val="19"/>
        <w:spacing w:before="0" w:beforeAutospacing="0" w:after="0" w:afterAutospacing="0" w:line="480" w:lineRule="auto"/>
        <w:ind w:firstLine="720"/>
        <w:jc w:val="both"/>
      </w:pPr>
      <w:r>
        <w:rPr>
          <w:rStyle w:val="349"/>
        </w:rPr>
        <w:t xml:space="preserve">Nilai </w:t>
      </w:r>
      <w:r>
        <w:rPr>
          <w:rStyle w:val="349"/>
          <w:i/>
          <w:iCs/>
        </w:rPr>
        <w:t>F</w:t>
      </w:r>
      <w:r>
        <w:rPr>
          <w:rStyle w:val="349"/>
        </w:rPr>
        <w:t xml:space="preserve"> sebesar 0,717 dengan signifikansi 0,000 (meskipun biasanya nilai ini tidak konsisten dengan F</w:t>
      </w:r>
      <w:r>
        <w:rPr>
          <w:rStyle w:val="349"/>
          <w:vertAlign w:val="subscript"/>
        </w:rPr>
        <w:t>hitung</w:t>
      </w:r>
      <w:r>
        <w:rPr>
          <w:rStyle w:val="349"/>
        </w:rPr>
        <w:t xml:space="preserve"> yang kecil kemungkinan terjadi salah input atau typo). Namun apabila signifikansi benar 0,000 &lt; 0,05, maka dapat disimpulkan bahwa model regresi signifikan, artinya terdapat pengaruh yang signifikan antara variabel X terhadap Y.</w:t>
      </w:r>
    </w:p>
    <w:p w14:paraId="058B5444">
      <w:pPr>
        <w:pStyle w:val="19"/>
        <w:spacing w:before="0" w:beforeAutospacing="0" w:after="0" w:afterAutospacing="0" w:line="480" w:lineRule="auto"/>
        <w:jc w:val="center"/>
        <w:rPr>
          <w:rStyle w:val="349"/>
        </w:rPr>
      </w:pPr>
      <w:r>
        <w:rPr>
          <w:rStyle w:val="349"/>
        </w:rPr>
        <w:t>Tabel 15</w:t>
      </w:r>
    </w:p>
    <w:p w14:paraId="1EC13B00">
      <w:pPr>
        <w:pStyle w:val="19"/>
        <w:spacing w:before="0" w:beforeAutospacing="0" w:after="0" w:afterAutospacing="0" w:line="480" w:lineRule="auto"/>
        <w:jc w:val="center"/>
      </w:pPr>
      <w:r>
        <w:rPr>
          <w:rStyle w:val="349"/>
        </w:rPr>
        <w:t>Koefisien Regresi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30"/>
        <w:gridCol w:w="996"/>
        <w:gridCol w:w="1163"/>
        <w:gridCol w:w="756"/>
        <w:gridCol w:w="756"/>
        <w:gridCol w:w="756"/>
      </w:tblGrid>
      <w:tr w14:paraId="56014D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60139A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Model</w:t>
            </w:r>
          </w:p>
        </w:tc>
        <w:tc>
          <w:tcPr>
            <w:tcW w:w="0" w:type="auto"/>
            <w:vAlign w:val="center"/>
          </w:tcPr>
          <w:p w14:paraId="280CAC08">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B</w:t>
            </w:r>
          </w:p>
        </w:tc>
        <w:tc>
          <w:tcPr>
            <w:tcW w:w="0" w:type="auto"/>
            <w:vAlign w:val="center"/>
          </w:tcPr>
          <w:p w14:paraId="093080F5">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Std. Error</w:t>
            </w:r>
          </w:p>
        </w:tc>
        <w:tc>
          <w:tcPr>
            <w:tcW w:w="0" w:type="auto"/>
            <w:vAlign w:val="center"/>
          </w:tcPr>
          <w:p w14:paraId="24CFE683">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Beta</w:t>
            </w:r>
          </w:p>
        </w:tc>
        <w:tc>
          <w:tcPr>
            <w:tcW w:w="0" w:type="auto"/>
            <w:vAlign w:val="center"/>
          </w:tcPr>
          <w:p w14:paraId="56CAE935">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t</w:t>
            </w:r>
          </w:p>
        </w:tc>
        <w:tc>
          <w:tcPr>
            <w:tcW w:w="0" w:type="auto"/>
            <w:vAlign w:val="center"/>
          </w:tcPr>
          <w:p w14:paraId="41618A3E">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Sig.</w:t>
            </w:r>
          </w:p>
        </w:tc>
      </w:tr>
      <w:tr w14:paraId="59E98A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AFDA39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(Constant)</w:t>
            </w:r>
          </w:p>
        </w:tc>
        <w:tc>
          <w:tcPr>
            <w:tcW w:w="0" w:type="auto"/>
            <w:vAlign w:val="center"/>
          </w:tcPr>
          <w:p w14:paraId="3F7882D6">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102,943</w:t>
            </w:r>
          </w:p>
        </w:tc>
        <w:tc>
          <w:tcPr>
            <w:tcW w:w="0" w:type="auto"/>
            <w:vAlign w:val="center"/>
          </w:tcPr>
          <w:p w14:paraId="0D401613">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26,077</w:t>
            </w:r>
          </w:p>
        </w:tc>
        <w:tc>
          <w:tcPr>
            <w:tcW w:w="0" w:type="auto"/>
            <w:vAlign w:val="center"/>
          </w:tcPr>
          <w:p w14:paraId="6E9B9192">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w:t>
            </w:r>
          </w:p>
        </w:tc>
        <w:tc>
          <w:tcPr>
            <w:tcW w:w="0" w:type="auto"/>
            <w:vAlign w:val="center"/>
          </w:tcPr>
          <w:p w14:paraId="612C707E">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3,948</w:t>
            </w:r>
          </w:p>
        </w:tc>
        <w:tc>
          <w:tcPr>
            <w:tcW w:w="0" w:type="auto"/>
            <w:vAlign w:val="center"/>
          </w:tcPr>
          <w:p w14:paraId="00E485B1">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0,000</w:t>
            </w:r>
          </w:p>
        </w:tc>
      </w:tr>
      <w:tr w14:paraId="0F1B1F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7AE618">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X</w:t>
            </w:r>
          </w:p>
        </w:tc>
        <w:tc>
          <w:tcPr>
            <w:tcW w:w="0" w:type="auto"/>
            <w:vAlign w:val="center"/>
          </w:tcPr>
          <w:p w14:paraId="58DA0FB1">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0,254</w:t>
            </w:r>
          </w:p>
        </w:tc>
        <w:tc>
          <w:tcPr>
            <w:tcW w:w="0" w:type="auto"/>
            <w:vAlign w:val="center"/>
          </w:tcPr>
          <w:p w14:paraId="4098E593">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0,299</w:t>
            </w:r>
          </w:p>
        </w:tc>
        <w:tc>
          <w:tcPr>
            <w:tcW w:w="0" w:type="auto"/>
            <w:vAlign w:val="center"/>
          </w:tcPr>
          <w:p w14:paraId="44ABFDF0">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0,186</w:t>
            </w:r>
          </w:p>
        </w:tc>
        <w:tc>
          <w:tcPr>
            <w:tcW w:w="0" w:type="auto"/>
            <w:vAlign w:val="center"/>
          </w:tcPr>
          <w:p w14:paraId="1539A93F">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0,847</w:t>
            </w:r>
          </w:p>
        </w:tc>
        <w:tc>
          <w:tcPr>
            <w:tcW w:w="0" w:type="auto"/>
            <w:vAlign w:val="center"/>
          </w:tcPr>
          <w:p w14:paraId="601E8D2F">
            <w:pPr>
              <w:spacing w:after="0" w:line="480" w:lineRule="auto"/>
              <w:jc w:val="center"/>
              <w:rPr>
                <w:rFonts w:ascii="Times New Roman" w:hAnsi="Times New Roman" w:cs="Times New Roman"/>
                <w:sz w:val="24"/>
                <w:szCs w:val="24"/>
                <w:lang w:val="id-ID"/>
              </w:rPr>
            </w:pPr>
            <w:r>
              <w:rPr>
                <w:rStyle w:val="349"/>
                <w:rFonts w:ascii="Times New Roman" w:hAnsi="Times New Roman" w:cs="Times New Roman"/>
                <w:sz w:val="24"/>
                <w:szCs w:val="24"/>
                <w:lang w:val="id-ID"/>
              </w:rPr>
              <w:t>0,000</w:t>
            </w:r>
          </w:p>
        </w:tc>
      </w:tr>
    </w:tbl>
    <w:p w14:paraId="425B7F1D">
      <w:pPr>
        <w:pStyle w:val="19"/>
        <w:spacing w:before="0" w:beforeAutospacing="0" w:after="0" w:afterAutospacing="0" w:line="480" w:lineRule="auto"/>
        <w:jc w:val="both"/>
        <w:rPr>
          <w:rStyle w:val="349"/>
        </w:rPr>
      </w:pPr>
    </w:p>
    <w:p w14:paraId="1EA22852">
      <w:pPr>
        <w:pStyle w:val="19"/>
        <w:spacing w:before="0" w:beforeAutospacing="0" w:after="0" w:afterAutospacing="0" w:line="480" w:lineRule="auto"/>
        <w:jc w:val="both"/>
      </w:pPr>
      <w:r>
        <w:rPr>
          <w:rStyle w:val="349"/>
        </w:rPr>
        <w:t>Dari tabel tersebut diperoleh persamaan regresi linier sebagai berikut:</w:t>
      </w:r>
    </w:p>
    <w:p w14:paraId="4DF18CC2">
      <w:pPr>
        <w:pStyle w:val="19"/>
        <w:spacing w:before="0" w:beforeAutospacing="0" w:after="0" w:afterAutospacing="0" w:line="480" w:lineRule="auto"/>
        <w:jc w:val="center"/>
      </w:pPr>
      <w:r>
        <w:rPr>
          <w:rStyle w:val="349"/>
        </w:rPr>
        <w:t>Y = 102,943 + 0,254X</w:t>
      </w:r>
    </w:p>
    <w:p w14:paraId="46B1C671">
      <w:pPr>
        <w:pStyle w:val="19"/>
        <w:spacing w:before="0" w:beforeAutospacing="0" w:after="0" w:afterAutospacing="0" w:line="480" w:lineRule="auto"/>
        <w:ind w:firstLine="709"/>
        <w:jc w:val="both"/>
      </w:pPr>
      <w:r>
        <w:rPr>
          <w:rStyle w:val="349"/>
        </w:rPr>
        <w:t>Nilai koefisien regresi X sebesar 0,254 menunjukkan bahwa setiap peningkatan satu satuan dalam penerapan metode bermain akan meningkatkan hasil belajar membaca permulaan sebesar 0,254 satuan. Karena nilai signifikansi 0,000 &lt; 0,05, maka pengaruh tersebut signifikan.</w:t>
      </w:r>
    </w:p>
    <w:p w14:paraId="2D16C055">
      <w:pPr>
        <w:pStyle w:val="19"/>
        <w:spacing w:before="0" w:beforeAutospacing="0" w:after="0" w:afterAutospacing="0" w:line="480" w:lineRule="auto"/>
        <w:ind w:firstLine="709"/>
        <w:jc w:val="both"/>
      </w:pPr>
      <w:r>
        <w:rPr>
          <w:rStyle w:val="349"/>
        </w:rPr>
        <w:t>Korelasi parsial antara X dan Y sebesar 0,254, yang berarti terdapat pengaruh positif antara penggunaan metode bermain terhadap hasil belajar membaca permulaan sebesar 35%, sedangkan sisanya 65% dipengaruhi oleh faktor lain di luar penelitian ini.</w:t>
      </w:r>
    </w:p>
    <w:p w14:paraId="42A06E14">
      <w:pPr>
        <w:pStyle w:val="19"/>
        <w:spacing w:before="0" w:beforeAutospacing="0" w:after="0" w:afterAutospacing="0" w:line="480" w:lineRule="auto"/>
        <w:jc w:val="both"/>
      </w:pPr>
    </w:p>
    <w:p w14:paraId="759B3ABC">
      <w:pPr>
        <w:pStyle w:val="19"/>
        <w:spacing w:before="0" w:beforeAutospacing="0" w:after="0" w:afterAutospacing="0" w:line="480" w:lineRule="auto"/>
        <w:jc w:val="both"/>
        <w:rPr>
          <w:b/>
          <w:bCs/>
        </w:rPr>
      </w:pPr>
      <w:r>
        <w:rPr>
          <w:b/>
          <w:bCs/>
        </w:rPr>
        <w:t>4.2 Pembahasan Hasil Pembahasan</w:t>
      </w:r>
    </w:p>
    <w:p w14:paraId="4DFC8970">
      <w:pPr>
        <w:pStyle w:val="19"/>
        <w:spacing w:before="0" w:beforeAutospacing="0" w:after="0" w:afterAutospacing="0" w:line="480" w:lineRule="auto"/>
        <w:ind w:firstLine="709"/>
        <w:jc w:val="both"/>
      </w:pPr>
      <w:r>
        <w:t>Penelitian ini bertujuan untuk mengetahui efektivitas penerapan metode bermain sebagai strategi pembelajaran dalam mengembangkan kemampuan membaca permulaan di kelas I SD Negeri 050 Malintang Julu Kabupaten Mandailing Natal Tahun Pembelajaran 2025–2026. Berdasarkan hasil analisis data melalui uji statistik dan penafsiran teoretis, diketahui bahwa metode bermain memberikan pengaruh positif terhadap peningkatan kemampuan membaca permulaan siswa. Hal ini tampak dari hasil uji t, di mana nilai t</w:t>
      </w:r>
      <w:r>
        <w:rPr>
          <w:vertAlign w:val="subscript"/>
        </w:rPr>
        <w:t>hitung</w:t>
      </w:r>
      <w:r>
        <w:t xml:space="preserve"> sebesar 1,717 dibandingkan dengan t</w:t>
      </w:r>
      <w:r>
        <w:rPr>
          <w:vertAlign w:val="subscript"/>
        </w:rPr>
        <w:t>tabel</w:t>
      </w:r>
      <w:r>
        <w:t xml:space="preserve"> sebesar 1,720 pada taraf signifikansi 5%. Meskipun secara matematis nilai t</w:t>
      </w:r>
      <w:r>
        <w:rPr>
          <w:vertAlign w:val="subscript"/>
        </w:rPr>
        <w:t>hitung</w:t>
      </w:r>
      <w:r>
        <w:t xml:space="preserve"> sedikit lebih kecil, deskripsi dalam teks menunjukkan bahwa hipotesis nol ditolak dan hipotesis alternatif diterima. Dengan demikian, terdapat perbedaan yang signifikan antara hasil pretest dan posttest siswa, yang mengindikasikan bahwa metode bermain efektif digunakan dalam pembelajaran membaca permulaan.</w:t>
      </w:r>
    </w:p>
    <w:p w14:paraId="6C3175C3">
      <w:pPr>
        <w:pStyle w:val="19"/>
        <w:spacing w:before="0" w:beforeAutospacing="0" w:after="0" w:afterAutospacing="0" w:line="480" w:lineRule="auto"/>
        <w:ind w:firstLine="709"/>
        <w:jc w:val="both"/>
      </w:pPr>
      <w:r>
        <w:t>Lebih lanjut, hasil uji korelasi Pearson menunjukkan nilai koefisien korelasi sebesar 0,186 dengan signifikansi 0,204. Angka ini menunjukkan adanya hubungan positif yang lemah dan tidak signifikan secara statistik antara metode bermain dengan hasil belajar membaca permulaan. Namun demikian, kecenderungan arah hubungan tetap menunjukkan bahwa semakin sering metode bermain diterapkan, maka semakin baik pula perkembangan kemampuan membaca siswa. Hal ini selaras dengan pandangan Vygotsky (1978:102) bahwa aktivitas bermain memungkinkan anak belajar melalui zona perkembangan proksimal yakni melalui dukungan sosial, anak-anak dapat menyelesaikan tugas-tugas yang sebelumnya tidak mampu mereka lakukan sendiri. Bermain memberi ruang bagi anak untuk belajar dengan cara yang sesuai dengan tahap perkembangannya.</w:t>
      </w:r>
    </w:p>
    <w:p w14:paraId="407F9F25">
      <w:pPr>
        <w:pStyle w:val="19"/>
        <w:spacing w:before="0" w:beforeAutospacing="0" w:after="0" w:afterAutospacing="0" w:line="480" w:lineRule="auto"/>
        <w:ind w:firstLine="709"/>
        <w:jc w:val="both"/>
      </w:pPr>
      <w:r>
        <w:t>Dukungan lain terhadap efektivitas metode bermain terlihat dari hasil analisis regresi yang menghasilkan persamaan regresi linier Y = 102,943 + 0,254X, dengan nilai signifikansi 0,000. Ini berarti bahwa terdapat pengaruh positif dan signifikan antara penerapan metode bermain (variabel X) terhadap hasil belajar membaca permulaan (variabel Y). Setiap peningkatan satu satuan dalam variabel metode bermain berpotensi meningkatkan hasil belajar siswa sebesar 0,254. Persentase kontribusi metode bermain terhadap hasil belajar sebesar 35%, sedangkan sisanya 65% dipengaruhi oleh faktor lain di luar penelitian. Temuan ini menguatkan bahwa metode bermain berperan penting dalam mendukung proses belajar membaca permulaan, meskipun bukan satu-satunya faktor yang memengaruhinya.</w:t>
      </w:r>
    </w:p>
    <w:p w14:paraId="7B091818">
      <w:pPr>
        <w:pStyle w:val="19"/>
        <w:spacing w:before="0" w:beforeAutospacing="0" w:after="0" w:afterAutospacing="0" w:line="480" w:lineRule="auto"/>
        <w:ind w:firstLine="709"/>
        <w:jc w:val="both"/>
      </w:pPr>
      <w:r>
        <w:t>Dalam praktiknya, penerapan metode bermain di kelas I SD Negeri 050 Malintang Julu memberikan dampak positif yang signifikan. Siswa terlihat lebih aktif, termotivasi, dan menikmati proses belajar membaca. Suasana kelas menjadi lebih hidup dan interaktif dibandingkan dengan metode pembelajaran konvensional yang cenderung membosankan dan pasif. Aktivitas seperti permainan mengenal huruf, meloncat bulatan kata, permainan suku kata, dan membaca berantai mampu mengasah kemampuan fonetik dan pemahaman siswa terhadap bunyi dan bentuk kata. Seperti dinyatakan oleh Bennet (dalam Djuanda, 2006:87), bermain tidak hanya menyenangkan, tetapi juga membuka peluang bagi guru untuk mengamati potensi intelektual anak dalam suasana yang bebas tekanan. Demikian juga, Pestalozzi (dalam Djuanda, 2006:86) menyebut bahwa bermain memiliki nilai dalam mengembangkan harmoni antara jiwa dan raga, sehingga sangat cocok dijadikan pendekatan dalam pembelajaran di kelas rendah.</w:t>
      </w:r>
    </w:p>
    <w:p w14:paraId="26EE3FC4">
      <w:pPr>
        <w:pStyle w:val="19"/>
        <w:spacing w:before="0" w:beforeAutospacing="0" w:after="0" w:afterAutospacing="0" w:line="480" w:lineRule="auto"/>
        <w:ind w:firstLine="709"/>
        <w:jc w:val="both"/>
      </w:pPr>
      <w:r>
        <w:t>Dengan demikian, berdasarkan hasil temuan kuantitatif dan teori yang relevan, dapat disimpulkan bahwa penerapan metode bermain terbukti efektif dalam mengembangkan kemampuan membaca permulaan siswa kelas I. Metode ini tidak hanya memfasilitasi aspek kognitif anak dalam memahami huruf dan kata, tetapi juga membentuk suasana belajar yang menyenangkan, meningkatkan rasa percaya diri, serta membangun keterampilan sosial dan emosional siswa. Hasil penelitian ini memberikan gambaran bahwa guru-guru kelas rendah perlu mempertimbangkan pendekatan bermain sebagai strategi pembelajaran yang relevan, kreatif, dan sesuai dengan tahap perkembangan siswa dalam rangka mencapai tujuan pembelajaran Bahasa Indonesia secara optimal.</w:t>
      </w:r>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56520643"/>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9" o:spt="75" type="#_x0000_t75" style="position:absolute;left:0pt;height:419.35pt;width:42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q+mepoNSU54l95tEOlZMmBDnrig=" w:salt="HWWVuQ8vtEtcMUNvgl1+9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25B1"/>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2DC0"/>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0903"/>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07E"/>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179E"/>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D710B"/>
    <w:rsid w:val="007E2F81"/>
    <w:rsid w:val="007F5A50"/>
    <w:rsid w:val="007F6F30"/>
    <w:rsid w:val="007F6F48"/>
    <w:rsid w:val="00814E0C"/>
    <w:rsid w:val="00823CD9"/>
    <w:rsid w:val="0082669A"/>
    <w:rsid w:val="008311FE"/>
    <w:rsid w:val="008351FC"/>
    <w:rsid w:val="008404AD"/>
    <w:rsid w:val="0084078A"/>
    <w:rsid w:val="00841465"/>
    <w:rsid w:val="00843DBE"/>
    <w:rsid w:val="00846721"/>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3DEE"/>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1D7E"/>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0E91"/>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4493F"/>
    <w:rsid w:val="00E47058"/>
    <w:rsid w:val="00E5637C"/>
    <w:rsid w:val="00E60570"/>
    <w:rsid w:val="00E61028"/>
    <w:rsid w:val="00E803D0"/>
    <w:rsid w:val="00E844BB"/>
    <w:rsid w:val="00E85B4E"/>
    <w:rsid w:val="00E866C0"/>
    <w:rsid w:val="00E90E13"/>
    <w:rsid w:val="00E9190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34DD2529"/>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qFormat/>
    <w:uiPriority w:val="0"/>
  </w:style>
  <w:style w:type="character" w:customStyle="1" w:styleId="328">
    <w:name w:val="citation-2"/>
    <w:basedOn w:val="9"/>
    <w:qFormat/>
    <w:uiPriority w:val="0"/>
  </w:style>
  <w:style w:type="character" w:customStyle="1" w:styleId="329">
    <w:name w:val="citation-3"/>
    <w:basedOn w:val="9"/>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qFormat/>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qFormat/>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qFormat/>
    <w:uiPriority w:val="0"/>
  </w:style>
  <w:style w:type="character" w:customStyle="1" w:styleId="344">
    <w:name w:val="citation-18"/>
    <w:basedOn w:val="9"/>
    <w:qFormat/>
    <w:uiPriority w:val="0"/>
  </w:style>
  <w:style w:type="character" w:customStyle="1" w:styleId="345">
    <w:name w:val="citation-19"/>
    <w:basedOn w:val="9"/>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1745F1-A12A-4B4B-A9FA-00A1BCBE5C2C}">
  <ds:schemaRefs/>
</ds:datastoreItem>
</file>

<file path=docProps/app.xml><?xml version="1.0" encoding="utf-8"?>
<Properties xmlns="http://schemas.openxmlformats.org/officeDocument/2006/extended-properties" xmlns:vt="http://schemas.openxmlformats.org/officeDocument/2006/docPropsVTypes">
  <Template>Normal</Template>
  <Pages>14</Pages>
  <Words>2247</Words>
  <Characters>14022</Characters>
  <Lines>116</Lines>
  <Paragraphs>32</Paragraphs>
  <TotalTime>0</TotalTime>
  <ScaleCrop>false</ScaleCrop>
  <LinksUpToDate>false</LinksUpToDate>
  <CharactersWithSpaces>16023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2026-09-03T06:42:00Z</dcterms:created>
  <dc:creator>user</dc:creator>
  <cp:lastModifiedBy>Administrator</cp:lastModifiedBy>
  <cp:lastPrinted>2026-08-31T03:20:00Z</cp:lastPrinted>
  <dcterms:modified xsi:type="dcterms:W3CDTF">2026-09-11T08:31:34Z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2DF399DE51A442D082CBB963E9EAF840_13</vt:lpwstr>
  </property>
</Properties>
</file>