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6963F">
      <w:pPr>
        <w:pStyle w:val="2"/>
        <w:rPr>
          <w:color w:val="auto"/>
        </w:rPr>
      </w:pPr>
      <w:bookmarkStart w:id="0" w:name="_Toc239621408"/>
      <w:bookmarkStart w:id="12" w:name="_GoBack"/>
      <w:bookmarkEnd w:id="12"/>
      <w:r>
        <w:rPr>
          <w:color w:val="auto"/>
        </w:rPr>
        <w:t>BAB IV</w:t>
      </w:r>
      <w:bookmarkEnd w:id="0"/>
      <w:r>
        <w:rPr>
          <w:color w:val="auto"/>
        </w:rPr>
        <w:t xml:space="preserve"> </w:t>
      </w:r>
    </w:p>
    <w:p w14:paraId="678EF1EF">
      <w:pPr>
        <w:pStyle w:val="2"/>
        <w:rPr>
          <w:color w:val="auto"/>
        </w:rPr>
      </w:pPr>
      <w:bookmarkStart w:id="1" w:name="_Toc239621409"/>
      <w:r>
        <w:rPr>
          <w:color w:val="auto"/>
        </w:rPr>
        <w:t>HASIL PENELITIAN DAN PEMBAHASAN</w:t>
      </w:r>
      <w:bookmarkEnd w:id="1"/>
    </w:p>
    <w:p w14:paraId="71E4522F">
      <w:pPr>
        <w:pStyle w:val="3"/>
        <w:rPr>
          <w:color w:val="auto"/>
        </w:rPr>
      </w:pPr>
      <w:bookmarkStart w:id="2" w:name="_Toc239621410"/>
      <w:r>
        <w:rPr>
          <w:color w:val="auto"/>
        </w:rPr>
        <w:t>4.1 Hasil Penelitian</w:t>
      </w:r>
      <w:bookmarkEnd w:id="2"/>
    </w:p>
    <w:p w14:paraId="5F31D8A6">
      <w:pPr>
        <w:spacing w:line="480" w:lineRule="auto"/>
        <w:ind w:firstLine="709"/>
        <w:jc w:val="both"/>
      </w:pPr>
      <w:r>
        <w:t xml:space="preserve">Penelitian ini dilakukan dengan tujuan untuk mendeskripsikan kemampuanmenulis teks negosiasi antara kelompok yang mendapat pembelajaran dengan menggunakan media pembelajaran berbasis video dengan aplikasi </w:t>
      </w:r>
      <w:r>
        <w:rPr>
          <w:i/>
        </w:rPr>
        <w:t>Powtoon</w:t>
      </w:r>
      <w:r>
        <w:t xml:space="preserve">. Penelitian ini juga bertujuan untuk menguji keefektifan media pembelajaran berbasis video dengan aplikasi </w:t>
      </w:r>
      <w:r>
        <w:rPr>
          <w:i/>
        </w:rPr>
        <w:t>Powtoon</w:t>
      </w:r>
      <w:r>
        <w:t xml:space="preserve"> padapembelajaran menulis teks negosiasi siswa kelas X SMA Negeri 14 Medan. Data yang digunakan dalam penelitian ini terdiri dari dua jenis, yaitu data skor awal (pretest) dan data skor akhir (posttest) kemampuan menulis teks negosiasi dari kelompok eksperimen. Pretest diberikan kepada kelompok eksperimen untuk mengetahui kemampuan awal kelompok tersebut dalam menulis teks negosiasi. Dalam penelitian ini kelompok eksperimen mendapatkan perlakuan dengan media pembelajaran berbasis video dengan aplikasi </w:t>
      </w:r>
      <w:r>
        <w:rPr>
          <w:i/>
        </w:rPr>
        <w:t>Powtoon</w:t>
      </w:r>
      <w:r>
        <w:t xml:space="preserve">. </w:t>
      </w:r>
    </w:p>
    <w:p w14:paraId="165130A6">
      <w:pPr>
        <w:spacing w:line="480" w:lineRule="auto"/>
        <w:jc w:val="both"/>
        <w:rPr>
          <w:b/>
        </w:rPr>
      </w:pPr>
      <w:r>
        <w:rPr>
          <w:b/>
        </w:rPr>
        <w:t xml:space="preserve">1. Deskripsi Hasil Penelitian </w:t>
      </w:r>
    </w:p>
    <w:p w14:paraId="43C409B3">
      <w:pPr>
        <w:pStyle w:val="32"/>
        <w:numPr>
          <w:ilvl w:val="0"/>
          <w:numId w:val="1"/>
        </w:numPr>
        <w:spacing w:line="480" w:lineRule="auto"/>
        <w:ind w:left="567"/>
        <w:jc w:val="both"/>
      </w:pPr>
      <w:r>
        <w:t>Data Pretest Kemampuan Menulis Teks Negosiasi Kelompok Eksperimen Kelompok eksperimen adalah kelas yang diberi pembelajaran berbasis media video sebelum kelompok eksperimen diberi pembelajaran, terlebih dahulu dilakukan pretest untuk mengetahui kemampuan awal siswa dalam menulis teks negosiasi. Pretest diberikan dalam bentuk menulis teks negosiasi. Sampel pada pretest kelas eksperimen sebanyak 27 siswa. Adapun distribusi skor kemampuan menulis teks negosiasi siswa kelompok eksperimen dapat dilihat pada tabel berikut ini.</w:t>
      </w:r>
    </w:p>
    <w:p w14:paraId="52B4F71C">
      <w:pPr>
        <w:pStyle w:val="13"/>
        <w:jc w:val="center"/>
        <w:rPr>
          <w:color w:val="auto"/>
          <w:sz w:val="24"/>
          <w:lang w:val="it-IT"/>
        </w:rPr>
      </w:pPr>
      <w:bookmarkStart w:id="3" w:name="_Toc239620501"/>
      <w:r>
        <w:rPr>
          <w:color w:val="auto"/>
          <w:sz w:val="24"/>
          <w:lang w:val="it-IT"/>
        </w:rPr>
        <w:t xml:space="preserve">Tabel 4. </w:t>
      </w:r>
      <w:r>
        <w:rPr>
          <w:color w:val="auto"/>
          <w:sz w:val="24"/>
        </w:rPr>
        <w:fldChar w:fldCharType="begin"/>
      </w:r>
      <w:r>
        <w:rPr>
          <w:color w:val="auto"/>
          <w:sz w:val="24"/>
          <w:lang w:val="it-IT"/>
        </w:rPr>
        <w:instrText xml:space="preserve"> SEQ Tabel_4. \* ARABIC </w:instrText>
      </w:r>
      <w:r>
        <w:rPr>
          <w:color w:val="auto"/>
          <w:sz w:val="24"/>
        </w:rPr>
        <w:fldChar w:fldCharType="separate"/>
      </w:r>
      <w:r>
        <w:rPr>
          <w:color w:val="auto"/>
          <w:sz w:val="24"/>
          <w:lang w:val="it-IT"/>
        </w:rPr>
        <w:t>1</w:t>
      </w:r>
      <w:r>
        <w:rPr>
          <w:color w:val="auto"/>
          <w:sz w:val="24"/>
        </w:rPr>
        <w:fldChar w:fldCharType="end"/>
      </w:r>
      <w:r>
        <w:rPr>
          <w:color w:val="auto"/>
          <w:sz w:val="24"/>
          <w:lang w:val="it-IT"/>
        </w:rPr>
        <w:t xml:space="preserve"> Distribusi Frekuensi dan Presentase Skor Pretest</w:t>
      </w:r>
      <w:bookmarkEnd w:id="3"/>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1757"/>
        <w:gridCol w:w="1787"/>
        <w:gridCol w:w="1631"/>
        <w:gridCol w:w="1631"/>
      </w:tblGrid>
      <w:tr w14:paraId="7C087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tcPr>
          <w:p w14:paraId="0378DA46">
            <w:pPr>
              <w:jc w:val="both"/>
              <w:rPr>
                <w:b/>
                <w:sz w:val="22"/>
              </w:rPr>
            </w:pPr>
            <w:r>
              <w:rPr>
                <w:b/>
                <w:sz w:val="22"/>
              </w:rPr>
              <w:t>No</w:t>
            </w:r>
          </w:p>
        </w:tc>
        <w:tc>
          <w:tcPr>
            <w:tcW w:w="1757" w:type="dxa"/>
          </w:tcPr>
          <w:p w14:paraId="4E5A4E86">
            <w:pPr>
              <w:jc w:val="both"/>
              <w:rPr>
                <w:b/>
                <w:sz w:val="22"/>
              </w:rPr>
            </w:pPr>
            <w:r>
              <w:rPr>
                <w:b/>
                <w:sz w:val="22"/>
              </w:rPr>
              <w:t>Rentang Skor</w:t>
            </w:r>
          </w:p>
        </w:tc>
        <w:tc>
          <w:tcPr>
            <w:tcW w:w="1783" w:type="dxa"/>
          </w:tcPr>
          <w:p w14:paraId="79835320">
            <w:pPr>
              <w:jc w:val="both"/>
              <w:rPr>
                <w:b/>
                <w:sz w:val="22"/>
              </w:rPr>
            </w:pPr>
            <w:r>
              <w:rPr>
                <w:b/>
                <w:sz w:val="22"/>
              </w:rPr>
              <w:t xml:space="preserve">Kategori </w:t>
            </w:r>
          </w:p>
        </w:tc>
        <w:tc>
          <w:tcPr>
            <w:tcW w:w="1631" w:type="dxa"/>
          </w:tcPr>
          <w:p w14:paraId="3E18FAC5">
            <w:pPr>
              <w:jc w:val="both"/>
              <w:rPr>
                <w:b/>
                <w:sz w:val="22"/>
              </w:rPr>
            </w:pPr>
            <w:r>
              <w:rPr>
                <w:b/>
                <w:sz w:val="22"/>
              </w:rPr>
              <w:t>Frekuensi</w:t>
            </w:r>
          </w:p>
        </w:tc>
        <w:tc>
          <w:tcPr>
            <w:tcW w:w="1631" w:type="dxa"/>
          </w:tcPr>
          <w:p w14:paraId="5F59330D">
            <w:pPr>
              <w:jc w:val="both"/>
              <w:rPr>
                <w:b/>
                <w:sz w:val="22"/>
              </w:rPr>
            </w:pPr>
            <w:r>
              <w:rPr>
                <w:b/>
                <w:sz w:val="22"/>
              </w:rPr>
              <w:t>Presentase</w:t>
            </w:r>
          </w:p>
        </w:tc>
      </w:tr>
      <w:tr w14:paraId="0BC65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tcPr>
          <w:p w14:paraId="6AFB391F">
            <w:pPr>
              <w:jc w:val="both"/>
              <w:rPr>
                <w:sz w:val="22"/>
              </w:rPr>
            </w:pPr>
            <w:r>
              <w:rPr>
                <w:sz w:val="22"/>
              </w:rPr>
              <w:t>1.</w:t>
            </w:r>
          </w:p>
        </w:tc>
        <w:tc>
          <w:tcPr>
            <w:tcW w:w="1757" w:type="dxa"/>
          </w:tcPr>
          <w:p w14:paraId="42CB572B">
            <w:pPr>
              <w:jc w:val="both"/>
              <w:rPr>
                <w:sz w:val="22"/>
              </w:rPr>
            </w:pPr>
            <w:r>
              <w:rPr>
                <w:sz w:val="22"/>
              </w:rPr>
              <w:t xml:space="preserve">0 </w:t>
            </w:r>
            <w:r>
              <w:rPr>
                <w:rFonts w:cs="Times New Roman"/>
                <w:sz w:val="22"/>
              </w:rPr>
              <w:t>≤</w:t>
            </w:r>
            <w:r>
              <w:rPr>
                <w:sz w:val="22"/>
              </w:rPr>
              <w:t xml:space="preserve"> x &lt; 65</w:t>
            </w:r>
          </w:p>
        </w:tc>
        <w:tc>
          <w:tcPr>
            <w:tcW w:w="1783" w:type="dxa"/>
          </w:tcPr>
          <w:p w14:paraId="0DDBDEAC">
            <w:pPr>
              <w:jc w:val="both"/>
              <w:rPr>
                <w:sz w:val="22"/>
              </w:rPr>
            </w:pPr>
            <w:r>
              <w:rPr>
                <w:sz w:val="22"/>
              </w:rPr>
              <w:t>Sangat Rendah</w:t>
            </w:r>
          </w:p>
        </w:tc>
        <w:tc>
          <w:tcPr>
            <w:tcW w:w="1631" w:type="dxa"/>
          </w:tcPr>
          <w:p w14:paraId="46FA1BFD">
            <w:pPr>
              <w:jc w:val="center"/>
              <w:rPr>
                <w:sz w:val="22"/>
              </w:rPr>
            </w:pPr>
            <w:r>
              <w:rPr>
                <w:sz w:val="22"/>
              </w:rPr>
              <w:t>8</w:t>
            </w:r>
          </w:p>
        </w:tc>
        <w:tc>
          <w:tcPr>
            <w:tcW w:w="1631" w:type="dxa"/>
          </w:tcPr>
          <w:p w14:paraId="041098E6">
            <w:pPr>
              <w:jc w:val="center"/>
              <w:rPr>
                <w:sz w:val="22"/>
              </w:rPr>
            </w:pPr>
            <w:r>
              <w:rPr>
                <w:sz w:val="22"/>
              </w:rPr>
              <w:t>29.62</w:t>
            </w:r>
          </w:p>
        </w:tc>
      </w:tr>
      <w:tr w14:paraId="779AD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tcPr>
          <w:p w14:paraId="52FD70A8">
            <w:pPr>
              <w:jc w:val="both"/>
              <w:rPr>
                <w:sz w:val="22"/>
              </w:rPr>
            </w:pPr>
            <w:r>
              <w:rPr>
                <w:sz w:val="22"/>
              </w:rPr>
              <w:t>2.</w:t>
            </w:r>
          </w:p>
        </w:tc>
        <w:tc>
          <w:tcPr>
            <w:tcW w:w="1757" w:type="dxa"/>
          </w:tcPr>
          <w:p w14:paraId="5FD7C9FA">
            <w:pPr>
              <w:jc w:val="both"/>
              <w:rPr>
                <w:sz w:val="22"/>
              </w:rPr>
            </w:pPr>
            <w:r>
              <w:rPr>
                <w:sz w:val="22"/>
              </w:rPr>
              <w:t xml:space="preserve">65 </w:t>
            </w:r>
            <w:r>
              <w:rPr>
                <w:rFonts w:cs="Times New Roman"/>
                <w:sz w:val="22"/>
              </w:rPr>
              <w:t>≤</w:t>
            </w:r>
            <w:r>
              <w:rPr>
                <w:sz w:val="22"/>
              </w:rPr>
              <w:t xml:space="preserve"> x &lt; 75</w:t>
            </w:r>
          </w:p>
        </w:tc>
        <w:tc>
          <w:tcPr>
            <w:tcW w:w="1783" w:type="dxa"/>
          </w:tcPr>
          <w:p w14:paraId="746C59B4">
            <w:pPr>
              <w:jc w:val="both"/>
              <w:rPr>
                <w:sz w:val="22"/>
              </w:rPr>
            </w:pPr>
            <w:r>
              <w:rPr>
                <w:sz w:val="22"/>
              </w:rPr>
              <w:t>Rendah</w:t>
            </w:r>
          </w:p>
        </w:tc>
        <w:tc>
          <w:tcPr>
            <w:tcW w:w="1631" w:type="dxa"/>
          </w:tcPr>
          <w:p w14:paraId="7BBA3F14">
            <w:pPr>
              <w:jc w:val="center"/>
              <w:rPr>
                <w:sz w:val="22"/>
              </w:rPr>
            </w:pPr>
            <w:r>
              <w:rPr>
                <w:sz w:val="22"/>
              </w:rPr>
              <w:t>15</w:t>
            </w:r>
          </w:p>
        </w:tc>
        <w:tc>
          <w:tcPr>
            <w:tcW w:w="1631" w:type="dxa"/>
          </w:tcPr>
          <w:p w14:paraId="3312E9AA">
            <w:pPr>
              <w:jc w:val="center"/>
              <w:rPr>
                <w:sz w:val="22"/>
              </w:rPr>
            </w:pPr>
            <w:r>
              <w:rPr>
                <w:sz w:val="22"/>
              </w:rPr>
              <w:t>55,56</w:t>
            </w:r>
          </w:p>
        </w:tc>
      </w:tr>
      <w:tr w14:paraId="0097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tcPr>
          <w:p w14:paraId="0ACD8A78">
            <w:pPr>
              <w:jc w:val="both"/>
              <w:rPr>
                <w:sz w:val="22"/>
              </w:rPr>
            </w:pPr>
            <w:r>
              <w:rPr>
                <w:sz w:val="22"/>
              </w:rPr>
              <w:t>3.</w:t>
            </w:r>
          </w:p>
        </w:tc>
        <w:tc>
          <w:tcPr>
            <w:tcW w:w="1757" w:type="dxa"/>
          </w:tcPr>
          <w:p w14:paraId="0A45E574">
            <w:pPr>
              <w:jc w:val="both"/>
              <w:rPr>
                <w:sz w:val="22"/>
              </w:rPr>
            </w:pPr>
            <w:r>
              <w:rPr>
                <w:sz w:val="22"/>
              </w:rPr>
              <w:t xml:space="preserve">75 </w:t>
            </w:r>
            <w:r>
              <w:rPr>
                <w:rFonts w:cs="Times New Roman"/>
                <w:sz w:val="22"/>
              </w:rPr>
              <w:t>≤</w:t>
            </w:r>
            <w:r>
              <w:rPr>
                <w:sz w:val="22"/>
              </w:rPr>
              <w:t xml:space="preserve"> x &lt; 85</w:t>
            </w:r>
          </w:p>
        </w:tc>
        <w:tc>
          <w:tcPr>
            <w:tcW w:w="1783" w:type="dxa"/>
          </w:tcPr>
          <w:p w14:paraId="36804E09">
            <w:pPr>
              <w:jc w:val="both"/>
              <w:rPr>
                <w:sz w:val="22"/>
              </w:rPr>
            </w:pPr>
            <w:r>
              <w:rPr>
                <w:sz w:val="22"/>
              </w:rPr>
              <w:t xml:space="preserve">Sedang </w:t>
            </w:r>
          </w:p>
        </w:tc>
        <w:tc>
          <w:tcPr>
            <w:tcW w:w="1631" w:type="dxa"/>
          </w:tcPr>
          <w:p w14:paraId="733E8044">
            <w:pPr>
              <w:jc w:val="center"/>
              <w:rPr>
                <w:sz w:val="22"/>
              </w:rPr>
            </w:pPr>
            <w:r>
              <w:rPr>
                <w:sz w:val="22"/>
              </w:rPr>
              <w:t>4</w:t>
            </w:r>
          </w:p>
        </w:tc>
        <w:tc>
          <w:tcPr>
            <w:tcW w:w="1631" w:type="dxa"/>
          </w:tcPr>
          <w:p w14:paraId="3FCB981B">
            <w:pPr>
              <w:jc w:val="center"/>
              <w:rPr>
                <w:sz w:val="22"/>
              </w:rPr>
            </w:pPr>
            <w:r>
              <w:rPr>
                <w:sz w:val="22"/>
              </w:rPr>
              <w:t>14,82</w:t>
            </w:r>
          </w:p>
        </w:tc>
      </w:tr>
      <w:tr w14:paraId="0E086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4" w:type="dxa"/>
            <w:gridSpan w:val="3"/>
          </w:tcPr>
          <w:p w14:paraId="3E6AD139">
            <w:pPr>
              <w:jc w:val="center"/>
              <w:rPr>
                <w:sz w:val="22"/>
              </w:rPr>
            </w:pPr>
            <w:r>
              <w:rPr>
                <w:sz w:val="22"/>
              </w:rPr>
              <w:t>Jumlah</w:t>
            </w:r>
          </w:p>
        </w:tc>
        <w:tc>
          <w:tcPr>
            <w:tcW w:w="1631" w:type="dxa"/>
          </w:tcPr>
          <w:p w14:paraId="22E93D05">
            <w:pPr>
              <w:jc w:val="center"/>
              <w:rPr>
                <w:sz w:val="22"/>
              </w:rPr>
            </w:pPr>
            <w:r>
              <w:rPr>
                <w:sz w:val="22"/>
              </w:rPr>
              <w:t>27</w:t>
            </w:r>
          </w:p>
        </w:tc>
        <w:tc>
          <w:tcPr>
            <w:tcW w:w="1631" w:type="dxa"/>
          </w:tcPr>
          <w:p w14:paraId="68D6A86E">
            <w:pPr>
              <w:jc w:val="center"/>
              <w:rPr>
                <w:sz w:val="22"/>
              </w:rPr>
            </w:pPr>
            <w:r>
              <w:rPr>
                <w:sz w:val="22"/>
              </w:rPr>
              <w:t>100</w:t>
            </w:r>
          </w:p>
        </w:tc>
      </w:tr>
    </w:tbl>
    <w:p w14:paraId="733CA50C">
      <w:pPr>
        <w:spacing w:line="240" w:lineRule="auto"/>
        <w:jc w:val="both"/>
      </w:pPr>
    </w:p>
    <w:p w14:paraId="7894A1E9">
      <w:pPr>
        <w:spacing w:line="480" w:lineRule="auto"/>
        <w:ind w:firstLine="709"/>
        <w:jc w:val="both"/>
      </w:pPr>
      <w:r>
        <w:t>Tabel 4.1 di atas menunjukkan bahwa seluruh siswa kelas X SMA Negeri 14 Medan yang mengikuti tes sebelum dilakukan pembelajaran menulis teks negosiasi dengan menggunakan media pembelajaran berbasis video memperoleh nilai yang rendah.</w:t>
      </w:r>
    </w:p>
    <w:p w14:paraId="79145EDA">
      <w:pPr>
        <w:spacing w:line="480" w:lineRule="auto"/>
        <w:ind w:firstLine="709"/>
        <w:jc w:val="both"/>
      </w:pPr>
      <w:r>
        <w:t>Selanjutnya apabila nilai siswa sebelum mengikuti pembelajaran menulis teks negosiasi dengan menggunakan media pembelajaran berbasis video dikategorikan berdasarkan kriteria ketuntasan individu maka diperoleh kategori seperti yang terlihat pada tabel 4.2 berikut.</w:t>
      </w:r>
    </w:p>
    <w:p w14:paraId="1D87D11A">
      <w:pPr>
        <w:pStyle w:val="13"/>
        <w:jc w:val="center"/>
        <w:rPr>
          <w:color w:val="auto"/>
          <w:sz w:val="24"/>
          <w:szCs w:val="24"/>
        </w:rPr>
      </w:pPr>
      <w:bookmarkStart w:id="4" w:name="_Toc239620502"/>
      <w:r>
        <w:rPr>
          <w:color w:val="auto"/>
          <w:sz w:val="24"/>
          <w:szCs w:val="24"/>
        </w:rPr>
        <w:t xml:space="preserve">Tabel 4. </w:t>
      </w:r>
      <w:r>
        <w:rPr>
          <w:color w:val="auto"/>
          <w:sz w:val="24"/>
          <w:szCs w:val="24"/>
        </w:rPr>
        <w:fldChar w:fldCharType="begin"/>
      </w:r>
      <w:r>
        <w:rPr>
          <w:color w:val="auto"/>
          <w:sz w:val="24"/>
          <w:szCs w:val="24"/>
        </w:rPr>
        <w:instrText xml:space="preserve"> SEQ Tabel_4. \* ARABIC </w:instrText>
      </w:r>
      <w:r>
        <w:rPr>
          <w:color w:val="auto"/>
          <w:sz w:val="24"/>
          <w:szCs w:val="24"/>
        </w:rPr>
        <w:fldChar w:fldCharType="separate"/>
      </w:r>
      <w:r>
        <w:rPr>
          <w:color w:val="auto"/>
          <w:sz w:val="24"/>
          <w:szCs w:val="24"/>
        </w:rPr>
        <w:t>2</w:t>
      </w:r>
      <w:r>
        <w:rPr>
          <w:color w:val="auto"/>
          <w:sz w:val="24"/>
          <w:szCs w:val="24"/>
        </w:rPr>
        <w:fldChar w:fldCharType="end"/>
      </w:r>
      <w:r>
        <w:rPr>
          <w:color w:val="auto"/>
          <w:sz w:val="24"/>
          <w:szCs w:val="24"/>
        </w:rPr>
        <w:t xml:space="preserve"> Deskripsi Ketuntasan Skor Pretest Berdasarkan KKM</w:t>
      </w:r>
      <w:bookmarkEnd w:id="4"/>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2"/>
        <w:gridCol w:w="1610"/>
        <w:gridCol w:w="1363"/>
        <w:gridCol w:w="1390"/>
      </w:tblGrid>
      <w:tr w14:paraId="6CC85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2" w:type="dxa"/>
          </w:tcPr>
          <w:p w14:paraId="7E6D8851">
            <w:pPr>
              <w:jc w:val="center"/>
              <w:rPr>
                <w:b/>
                <w:sz w:val="22"/>
              </w:rPr>
            </w:pPr>
            <w:r>
              <w:rPr>
                <w:b/>
                <w:sz w:val="22"/>
              </w:rPr>
              <w:t>Skor</w:t>
            </w:r>
          </w:p>
        </w:tc>
        <w:tc>
          <w:tcPr>
            <w:tcW w:w="1610" w:type="dxa"/>
          </w:tcPr>
          <w:p w14:paraId="4B137C44">
            <w:pPr>
              <w:jc w:val="center"/>
              <w:rPr>
                <w:b/>
                <w:sz w:val="22"/>
              </w:rPr>
            </w:pPr>
            <w:r>
              <w:rPr>
                <w:b/>
                <w:sz w:val="22"/>
              </w:rPr>
              <w:t>Kategori</w:t>
            </w:r>
          </w:p>
        </w:tc>
        <w:tc>
          <w:tcPr>
            <w:tcW w:w="1363" w:type="dxa"/>
          </w:tcPr>
          <w:p w14:paraId="45932BD2">
            <w:pPr>
              <w:jc w:val="center"/>
              <w:rPr>
                <w:b/>
                <w:sz w:val="22"/>
              </w:rPr>
            </w:pPr>
            <w:r>
              <w:rPr>
                <w:b/>
                <w:sz w:val="22"/>
              </w:rPr>
              <w:t>Frekuensi</w:t>
            </w:r>
          </w:p>
        </w:tc>
        <w:tc>
          <w:tcPr>
            <w:tcW w:w="1390" w:type="dxa"/>
          </w:tcPr>
          <w:p w14:paraId="3A04FF71">
            <w:pPr>
              <w:jc w:val="center"/>
              <w:rPr>
                <w:b/>
                <w:sz w:val="22"/>
              </w:rPr>
            </w:pPr>
            <w:r>
              <w:rPr>
                <w:b/>
                <w:sz w:val="22"/>
              </w:rPr>
              <w:t>Presentasi</w:t>
            </w:r>
          </w:p>
        </w:tc>
      </w:tr>
      <w:tr w14:paraId="40D9C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2" w:type="dxa"/>
          </w:tcPr>
          <w:p w14:paraId="5CE33DE6">
            <w:pPr>
              <w:jc w:val="center"/>
              <w:rPr>
                <w:sz w:val="22"/>
              </w:rPr>
            </w:pPr>
            <w:r>
              <w:rPr>
                <w:sz w:val="22"/>
              </w:rPr>
              <w:t>x &lt; 75</w:t>
            </w:r>
          </w:p>
        </w:tc>
        <w:tc>
          <w:tcPr>
            <w:tcW w:w="1610" w:type="dxa"/>
          </w:tcPr>
          <w:p w14:paraId="14CA8FFA">
            <w:pPr>
              <w:jc w:val="center"/>
              <w:rPr>
                <w:sz w:val="22"/>
              </w:rPr>
            </w:pPr>
            <w:r>
              <w:rPr>
                <w:sz w:val="22"/>
              </w:rPr>
              <w:t>Tidak Tuntas</w:t>
            </w:r>
          </w:p>
        </w:tc>
        <w:tc>
          <w:tcPr>
            <w:tcW w:w="1363" w:type="dxa"/>
          </w:tcPr>
          <w:p w14:paraId="3A02211E">
            <w:pPr>
              <w:jc w:val="center"/>
              <w:rPr>
                <w:sz w:val="22"/>
              </w:rPr>
            </w:pPr>
            <w:r>
              <w:rPr>
                <w:sz w:val="22"/>
              </w:rPr>
              <w:t>23</w:t>
            </w:r>
          </w:p>
        </w:tc>
        <w:tc>
          <w:tcPr>
            <w:tcW w:w="1390" w:type="dxa"/>
          </w:tcPr>
          <w:p w14:paraId="7EBD57AF">
            <w:pPr>
              <w:jc w:val="center"/>
              <w:rPr>
                <w:sz w:val="22"/>
              </w:rPr>
            </w:pPr>
            <w:r>
              <w:rPr>
                <w:sz w:val="22"/>
              </w:rPr>
              <w:t>85,19</w:t>
            </w:r>
          </w:p>
        </w:tc>
      </w:tr>
      <w:tr w14:paraId="65D3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2" w:type="dxa"/>
          </w:tcPr>
          <w:p w14:paraId="7CF3286C">
            <w:pPr>
              <w:jc w:val="center"/>
              <w:rPr>
                <w:sz w:val="22"/>
              </w:rPr>
            </w:pPr>
            <w:r>
              <w:rPr>
                <w:sz w:val="22"/>
              </w:rPr>
              <w:t xml:space="preserve">x </w:t>
            </w:r>
            <w:r>
              <w:rPr>
                <w:rFonts w:cs="Times New Roman"/>
                <w:sz w:val="22"/>
              </w:rPr>
              <w:t>≥</w:t>
            </w:r>
            <w:r>
              <w:rPr>
                <w:sz w:val="22"/>
              </w:rPr>
              <w:t xml:space="preserve"> 75</w:t>
            </w:r>
          </w:p>
        </w:tc>
        <w:tc>
          <w:tcPr>
            <w:tcW w:w="1610" w:type="dxa"/>
          </w:tcPr>
          <w:p w14:paraId="1762B591">
            <w:pPr>
              <w:jc w:val="center"/>
              <w:rPr>
                <w:sz w:val="22"/>
              </w:rPr>
            </w:pPr>
            <w:r>
              <w:rPr>
                <w:sz w:val="22"/>
              </w:rPr>
              <w:t>Tuntas</w:t>
            </w:r>
          </w:p>
        </w:tc>
        <w:tc>
          <w:tcPr>
            <w:tcW w:w="1363" w:type="dxa"/>
          </w:tcPr>
          <w:p w14:paraId="40DC38BE">
            <w:pPr>
              <w:jc w:val="center"/>
              <w:rPr>
                <w:sz w:val="22"/>
              </w:rPr>
            </w:pPr>
            <w:r>
              <w:rPr>
                <w:sz w:val="22"/>
              </w:rPr>
              <w:t>4</w:t>
            </w:r>
          </w:p>
        </w:tc>
        <w:tc>
          <w:tcPr>
            <w:tcW w:w="1390" w:type="dxa"/>
          </w:tcPr>
          <w:p w14:paraId="5B79AC49">
            <w:pPr>
              <w:jc w:val="center"/>
              <w:rPr>
                <w:sz w:val="22"/>
              </w:rPr>
            </w:pPr>
            <w:r>
              <w:rPr>
                <w:sz w:val="22"/>
              </w:rPr>
              <w:t>14,1</w:t>
            </w:r>
          </w:p>
        </w:tc>
      </w:tr>
    </w:tbl>
    <w:p w14:paraId="769DB950">
      <w:pPr>
        <w:spacing w:line="480" w:lineRule="auto"/>
        <w:ind w:firstLine="709"/>
        <w:jc w:val="both"/>
      </w:pPr>
      <w:r>
        <w:t xml:space="preserve">Tabel 4.2 di atas menunjukkan bahwa seluruh siswa kelas X SMA Negeri 14 Medan yang mengikuti tes sebelum dilakukan pembelajaran menulis teks negosiasi dengan menggunakan media pembelajaran berbasis video </w:t>
      </w:r>
      <w:r>
        <w:rPr>
          <w:i/>
        </w:rPr>
        <w:t>Powtoon</w:t>
      </w:r>
      <w:r>
        <w:t xml:space="preserve"> memperoleh nilai dibawah KKM dan belum memenuhi ketuntasan secara klasikal. </w:t>
      </w:r>
    </w:p>
    <w:p w14:paraId="1BDB2DC6">
      <w:pPr>
        <w:spacing w:line="480" w:lineRule="auto"/>
        <w:jc w:val="both"/>
        <w:rPr>
          <w:lang w:val="it-IT"/>
        </w:rPr>
      </w:pPr>
      <w:r>
        <w:t xml:space="preserve">b. Data Posttest Kemampuan Menulis Teks Negosiasi Kelompok Eksperimen Kelompok eksperimen adalah kelas yang diberi pembelajaran menggunakan media pembelajaran berbasis video </w:t>
      </w:r>
      <w:r>
        <w:rPr>
          <w:i/>
        </w:rPr>
        <w:t>Powtoon</w:t>
      </w:r>
      <w:r>
        <w:t xml:space="preserve">. Setelah kelompok diberi pembelajaran, untuk mengetahui kemampuan akhir siswa dalam menulis teks negosiasi dilakukan posttest. Posttest diberikan dalam bentuk menulis teks negosiasi. Subjek pada posttest kelas eksperimen sebanyak 27 siswa. </w:t>
      </w:r>
      <w:r>
        <w:rPr>
          <w:lang w:val="it-IT"/>
        </w:rPr>
        <w:t xml:space="preserve">Adapun distribusi skor posttest kemampuan menulis teks negosiasi siswa dapat dilihat pada tabel 4.3 berikut. </w:t>
      </w:r>
    </w:p>
    <w:p w14:paraId="4277B436">
      <w:pPr>
        <w:pStyle w:val="13"/>
        <w:jc w:val="center"/>
        <w:rPr>
          <w:color w:val="auto"/>
          <w:sz w:val="24"/>
          <w:lang w:val="it-IT"/>
        </w:rPr>
      </w:pPr>
      <w:bookmarkStart w:id="5" w:name="_Toc239620503"/>
      <w:r>
        <w:rPr>
          <w:color w:val="auto"/>
          <w:sz w:val="24"/>
          <w:lang w:val="it-IT"/>
        </w:rPr>
        <w:t xml:space="preserve">Tabel 4. </w:t>
      </w:r>
      <w:r>
        <w:rPr>
          <w:color w:val="auto"/>
          <w:sz w:val="24"/>
        </w:rPr>
        <w:fldChar w:fldCharType="begin"/>
      </w:r>
      <w:r>
        <w:rPr>
          <w:color w:val="auto"/>
          <w:sz w:val="24"/>
          <w:lang w:val="it-IT"/>
        </w:rPr>
        <w:instrText xml:space="preserve"> SEQ Tabel_4. \* ARABIC </w:instrText>
      </w:r>
      <w:r>
        <w:rPr>
          <w:color w:val="auto"/>
          <w:sz w:val="24"/>
        </w:rPr>
        <w:fldChar w:fldCharType="separate"/>
      </w:r>
      <w:r>
        <w:rPr>
          <w:color w:val="auto"/>
          <w:sz w:val="24"/>
          <w:lang w:val="it-IT"/>
        </w:rPr>
        <w:t>3</w:t>
      </w:r>
      <w:r>
        <w:rPr>
          <w:color w:val="auto"/>
          <w:sz w:val="24"/>
        </w:rPr>
        <w:fldChar w:fldCharType="end"/>
      </w:r>
      <w:r>
        <w:rPr>
          <w:color w:val="auto"/>
          <w:sz w:val="24"/>
          <w:lang w:val="it-IT"/>
        </w:rPr>
        <w:t xml:space="preserve"> Distribusi Frekuensi dan Presentase Skor Posttest</w:t>
      </w:r>
      <w:bookmarkEnd w:id="5"/>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1757"/>
        <w:gridCol w:w="1787"/>
        <w:gridCol w:w="1631"/>
        <w:gridCol w:w="1631"/>
      </w:tblGrid>
      <w:tr w14:paraId="30D68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tcPr>
          <w:p w14:paraId="054946B3">
            <w:pPr>
              <w:spacing w:line="240" w:lineRule="auto"/>
              <w:jc w:val="both"/>
              <w:rPr>
                <w:b/>
                <w:sz w:val="22"/>
              </w:rPr>
            </w:pPr>
            <w:r>
              <w:rPr>
                <w:b/>
                <w:sz w:val="22"/>
              </w:rPr>
              <w:t>No</w:t>
            </w:r>
          </w:p>
        </w:tc>
        <w:tc>
          <w:tcPr>
            <w:tcW w:w="1757" w:type="dxa"/>
          </w:tcPr>
          <w:p w14:paraId="6729F4A7">
            <w:pPr>
              <w:spacing w:line="240" w:lineRule="auto"/>
              <w:jc w:val="both"/>
              <w:rPr>
                <w:b/>
                <w:sz w:val="22"/>
              </w:rPr>
            </w:pPr>
            <w:r>
              <w:rPr>
                <w:b/>
                <w:sz w:val="22"/>
              </w:rPr>
              <w:t>Rentang Skor</w:t>
            </w:r>
          </w:p>
        </w:tc>
        <w:tc>
          <w:tcPr>
            <w:tcW w:w="1783" w:type="dxa"/>
          </w:tcPr>
          <w:p w14:paraId="4F9B8A47">
            <w:pPr>
              <w:spacing w:line="240" w:lineRule="auto"/>
              <w:jc w:val="both"/>
              <w:rPr>
                <w:b/>
                <w:sz w:val="22"/>
              </w:rPr>
            </w:pPr>
            <w:r>
              <w:rPr>
                <w:b/>
                <w:sz w:val="22"/>
              </w:rPr>
              <w:t xml:space="preserve">Kategori </w:t>
            </w:r>
          </w:p>
        </w:tc>
        <w:tc>
          <w:tcPr>
            <w:tcW w:w="1631" w:type="dxa"/>
          </w:tcPr>
          <w:p w14:paraId="1D1496F1">
            <w:pPr>
              <w:spacing w:line="240" w:lineRule="auto"/>
              <w:jc w:val="both"/>
              <w:rPr>
                <w:b/>
                <w:sz w:val="22"/>
              </w:rPr>
            </w:pPr>
            <w:r>
              <w:rPr>
                <w:b/>
                <w:sz w:val="22"/>
              </w:rPr>
              <w:t>Frekuensi</w:t>
            </w:r>
          </w:p>
        </w:tc>
        <w:tc>
          <w:tcPr>
            <w:tcW w:w="1631" w:type="dxa"/>
          </w:tcPr>
          <w:p w14:paraId="39EF6A87">
            <w:pPr>
              <w:spacing w:line="240" w:lineRule="auto"/>
              <w:jc w:val="both"/>
              <w:rPr>
                <w:b/>
                <w:sz w:val="22"/>
              </w:rPr>
            </w:pPr>
            <w:r>
              <w:rPr>
                <w:b/>
                <w:sz w:val="22"/>
              </w:rPr>
              <w:t>Presentase</w:t>
            </w:r>
          </w:p>
        </w:tc>
      </w:tr>
      <w:tr w14:paraId="31EDB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tcPr>
          <w:p w14:paraId="303C923F">
            <w:pPr>
              <w:spacing w:line="240" w:lineRule="auto"/>
              <w:jc w:val="both"/>
              <w:rPr>
                <w:sz w:val="22"/>
              </w:rPr>
            </w:pPr>
            <w:r>
              <w:rPr>
                <w:sz w:val="22"/>
              </w:rPr>
              <w:t>1.</w:t>
            </w:r>
          </w:p>
        </w:tc>
        <w:tc>
          <w:tcPr>
            <w:tcW w:w="1757" w:type="dxa"/>
          </w:tcPr>
          <w:p w14:paraId="1EC33928">
            <w:pPr>
              <w:spacing w:line="240" w:lineRule="auto"/>
              <w:jc w:val="both"/>
              <w:rPr>
                <w:sz w:val="22"/>
              </w:rPr>
            </w:pPr>
            <w:r>
              <w:rPr>
                <w:sz w:val="22"/>
              </w:rPr>
              <w:t xml:space="preserve">75 </w:t>
            </w:r>
            <w:r>
              <w:rPr>
                <w:rFonts w:cs="Times New Roman"/>
                <w:sz w:val="22"/>
              </w:rPr>
              <w:t>≤</w:t>
            </w:r>
            <w:r>
              <w:rPr>
                <w:sz w:val="22"/>
              </w:rPr>
              <w:t xml:space="preserve"> x &lt; 85</w:t>
            </w:r>
          </w:p>
        </w:tc>
        <w:tc>
          <w:tcPr>
            <w:tcW w:w="1783" w:type="dxa"/>
          </w:tcPr>
          <w:p w14:paraId="427464D6">
            <w:pPr>
              <w:spacing w:line="240" w:lineRule="auto"/>
              <w:jc w:val="both"/>
              <w:rPr>
                <w:sz w:val="22"/>
              </w:rPr>
            </w:pPr>
            <w:r>
              <w:rPr>
                <w:sz w:val="22"/>
              </w:rPr>
              <w:t>Sedang</w:t>
            </w:r>
          </w:p>
        </w:tc>
        <w:tc>
          <w:tcPr>
            <w:tcW w:w="1631" w:type="dxa"/>
          </w:tcPr>
          <w:p w14:paraId="064D2D27">
            <w:pPr>
              <w:spacing w:line="240" w:lineRule="auto"/>
              <w:jc w:val="center"/>
              <w:rPr>
                <w:sz w:val="22"/>
              </w:rPr>
            </w:pPr>
            <w:r>
              <w:rPr>
                <w:sz w:val="22"/>
              </w:rPr>
              <w:t>18</w:t>
            </w:r>
          </w:p>
        </w:tc>
        <w:tc>
          <w:tcPr>
            <w:tcW w:w="1631" w:type="dxa"/>
          </w:tcPr>
          <w:p w14:paraId="59C9E89D">
            <w:pPr>
              <w:spacing w:line="240" w:lineRule="auto"/>
              <w:jc w:val="center"/>
              <w:rPr>
                <w:sz w:val="22"/>
              </w:rPr>
            </w:pPr>
            <w:r>
              <w:rPr>
                <w:sz w:val="22"/>
              </w:rPr>
              <w:t>66,67</w:t>
            </w:r>
          </w:p>
        </w:tc>
      </w:tr>
      <w:tr w14:paraId="4ECD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tcPr>
          <w:p w14:paraId="07D5CFA2">
            <w:pPr>
              <w:spacing w:line="240" w:lineRule="auto"/>
              <w:jc w:val="both"/>
              <w:rPr>
                <w:sz w:val="22"/>
              </w:rPr>
            </w:pPr>
            <w:r>
              <w:rPr>
                <w:sz w:val="22"/>
              </w:rPr>
              <w:t>2.</w:t>
            </w:r>
          </w:p>
        </w:tc>
        <w:tc>
          <w:tcPr>
            <w:tcW w:w="1757" w:type="dxa"/>
          </w:tcPr>
          <w:p w14:paraId="308B3592">
            <w:pPr>
              <w:spacing w:line="240" w:lineRule="auto"/>
              <w:jc w:val="both"/>
              <w:rPr>
                <w:sz w:val="22"/>
              </w:rPr>
            </w:pPr>
            <w:r>
              <w:rPr>
                <w:sz w:val="22"/>
              </w:rPr>
              <w:t xml:space="preserve">85 </w:t>
            </w:r>
            <w:r>
              <w:rPr>
                <w:rFonts w:cs="Times New Roman"/>
                <w:sz w:val="22"/>
              </w:rPr>
              <w:t>≤</w:t>
            </w:r>
            <w:r>
              <w:rPr>
                <w:sz w:val="22"/>
              </w:rPr>
              <w:t xml:space="preserve"> x &lt; 90</w:t>
            </w:r>
          </w:p>
        </w:tc>
        <w:tc>
          <w:tcPr>
            <w:tcW w:w="1783" w:type="dxa"/>
          </w:tcPr>
          <w:p w14:paraId="6792F2F6">
            <w:pPr>
              <w:spacing w:line="240" w:lineRule="auto"/>
              <w:jc w:val="both"/>
              <w:rPr>
                <w:sz w:val="22"/>
              </w:rPr>
            </w:pPr>
            <w:r>
              <w:rPr>
                <w:sz w:val="22"/>
              </w:rPr>
              <w:t>Tinggi</w:t>
            </w:r>
          </w:p>
        </w:tc>
        <w:tc>
          <w:tcPr>
            <w:tcW w:w="1631" w:type="dxa"/>
          </w:tcPr>
          <w:p w14:paraId="0B7FA7CE">
            <w:pPr>
              <w:spacing w:line="240" w:lineRule="auto"/>
              <w:jc w:val="center"/>
              <w:rPr>
                <w:sz w:val="22"/>
              </w:rPr>
            </w:pPr>
            <w:r>
              <w:rPr>
                <w:sz w:val="22"/>
              </w:rPr>
              <w:t>4</w:t>
            </w:r>
          </w:p>
        </w:tc>
        <w:tc>
          <w:tcPr>
            <w:tcW w:w="1631" w:type="dxa"/>
          </w:tcPr>
          <w:p w14:paraId="3B55348C">
            <w:pPr>
              <w:spacing w:line="240" w:lineRule="auto"/>
              <w:jc w:val="center"/>
              <w:rPr>
                <w:sz w:val="22"/>
              </w:rPr>
            </w:pPr>
            <w:r>
              <w:rPr>
                <w:sz w:val="22"/>
              </w:rPr>
              <w:t>14,81</w:t>
            </w:r>
          </w:p>
        </w:tc>
      </w:tr>
      <w:tr w14:paraId="2FAFD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tcPr>
          <w:p w14:paraId="42875B7B">
            <w:pPr>
              <w:spacing w:line="240" w:lineRule="auto"/>
              <w:jc w:val="both"/>
              <w:rPr>
                <w:sz w:val="22"/>
              </w:rPr>
            </w:pPr>
            <w:r>
              <w:rPr>
                <w:sz w:val="22"/>
              </w:rPr>
              <w:t>3.</w:t>
            </w:r>
          </w:p>
        </w:tc>
        <w:tc>
          <w:tcPr>
            <w:tcW w:w="1757" w:type="dxa"/>
          </w:tcPr>
          <w:p w14:paraId="5DCD4670">
            <w:pPr>
              <w:spacing w:line="240" w:lineRule="auto"/>
              <w:jc w:val="both"/>
              <w:rPr>
                <w:sz w:val="22"/>
              </w:rPr>
            </w:pPr>
            <w:r>
              <w:rPr>
                <w:sz w:val="22"/>
              </w:rPr>
              <w:t xml:space="preserve">90 </w:t>
            </w:r>
            <w:r>
              <w:rPr>
                <w:rFonts w:cs="Times New Roman"/>
                <w:sz w:val="22"/>
              </w:rPr>
              <w:t>≤</w:t>
            </w:r>
            <w:r>
              <w:rPr>
                <w:sz w:val="22"/>
              </w:rPr>
              <w:t xml:space="preserve"> x &lt; 100</w:t>
            </w:r>
          </w:p>
        </w:tc>
        <w:tc>
          <w:tcPr>
            <w:tcW w:w="1783" w:type="dxa"/>
          </w:tcPr>
          <w:p w14:paraId="27141ED7">
            <w:pPr>
              <w:spacing w:line="240" w:lineRule="auto"/>
              <w:jc w:val="both"/>
              <w:rPr>
                <w:sz w:val="22"/>
              </w:rPr>
            </w:pPr>
            <w:r>
              <w:rPr>
                <w:sz w:val="22"/>
              </w:rPr>
              <w:t>Sangat Tinggi</w:t>
            </w:r>
          </w:p>
        </w:tc>
        <w:tc>
          <w:tcPr>
            <w:tcW w:w="1631" w:type="dxa"/>
          </w:tcPr>
          <w:p w14:paraId="49EFE403">
            <w:pPr>
              <w:spacing w:line="240" w:lineRule="auto"/>
              <w:jc w:val="center"/>
              <w:rPr>
                <w:sz w:val="22"/>
              </w:rPr>
            </w:pPr>
            <w:r>
              <w:rPr>
                <w:sz w:val="22"/>
              </w:rPr>
              <w:t>5</w:t>
            </w:r>
          </w:p>
        </w:tc>
        <w:tc>
          <w:tcPr>
            <w:tcW w:w="1631" w:type="dxa"/>
          </w:tcPr>
          <w:p w14:paraId="130B32FD">
            <w:pPr>
              <w:spacing w:line="240" w:lineRule="auto"/>
              <w:jc w:val="center"/>
              <w:rPr>
                <w:sz w:val="22"/>
              </w:rPr>
            </w:pPr>
            <w:r>
              <w:rPr>
                <w:sz w:val="22"/>
              </w:rPr>
              <w:t>18,52</w:t>
            </w:r>
          </w:p>
        </w:tc>
      </w:tr>
      <w:tr w14:paraId="22E13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74" w:type="dxa"/>
            <w:gridSpan w:val="3"/>
          </w:tcPr>
          <w:p w14:paraId="08BCCD65">
            <w:pPr>
              <w:spacing w:line="240" w:lineRule="auto"/>
              <w:jc w:val="center"/>
              <w:rPr>
                <w:sz w:val="22"/>
              </w:rPr>
            </w:pPr>
            <w:r>
              <w:rPr>
                <w:sz w:val="22"/>
              </w:rPr>
              <w:t>Jumlah</w:t>
            </w:r>
          </w:p>
        </w:tc>
        <w:tc>
          <w:tcPr>
            <w:tcW w:w="1631" w:type="dxa"/>
          </w:tcPr>
          <w:p w14:paraId="4E20511D">
            <w:pPr>
              <w:spacing w:line="240" w:lineRule="auto"/>
              <w:jc w:val="center"/>
              <w:rPr>
                <w:sz w:val="22"/>
              </w:rPr>
            </w:pPr>
            <w:r>
              <w:rPr>
                <w:sz w:val="22"/>
              </w:rPr>
              <w:t>27</w:t>
            </w:r>
          </w:p>
        </w:tc>
        <w:tc>
          <w:tcPr>
            <w:tcW w:w="1631" w:type="dxa"/>
          </w:tcPr>
          <w:p w14:paraId="48D4B2EE">
            <w:pPr>
              <w:spacing w:line="240" w:lineRule="auto"/>
              <w:jc w:val="center"/>
              <w:rPr>
                <w:sz w:val="22"/>
              </w:rPr>
            </w:pPr>
            <w:r>
              <w:rPr>
                <w:sz w:val="22"/>
              </w:rPr>
              <w:t>100</w:t>
            </w:r>
          </w:p>
        </w:tc>
      </w:tr>
    </w:tbl>
    <w:p w14:paraId="34D984B7">
      <w:pPr>
        <w:spacing w:line="240" w:lineRule="auto"/>
        <w:jc w:val="both"/>
      </w:pPr>
    </w:p>
    <w:p w14:paraId="17C51D66">
      <w:pPr>
        <w:spacing w:line="480" w:lineRule="auto"/>
        <w:ind w:firstLine="709"/>
        <w:jc w:val="both"/>
      </w:pPr>
      <w:r>
        <w:t>Tabel 4.3 menunjukkan bahwa dari siswa kelas X SMA Negeri 14 Medan yang mengikuti tes setelah mendapatkan pembelajaran menulis teks negosiasi dengan menggunakan media pembelajaran berbasis video, 18orang atau 66,67% diantaranya memperoleh nilai sedang, 4 orang atau 14,81% diantaranya mendapatkan nilai tinggi, dan 5 orang atau 18,526 diantaranya memperoleh nilai sangat tinggi.</w:t>
      </w:r>
    </w:p>
    <w:p w14:paraId="00059F63">
      <w:pPr>
        <w:spacing w:line="480" w:lineRule="auto"/>
        <w:ind w:firstLine="709"/>
        <w:jc w:val="both"/>
      </w:pPr>
      <w:r>
        <w:t>Selanjutnya apabila nilai hasil belajar (posttest) siswa kelas X SMA Negeri 14 Medan setelah mengikuti pembelajaran menulis teks negosiasi dengan menggunakan media pembelajaran berbasis video dikategorikan berdasarkan kriteria ketuntasan individu maka akan diperoleh hasi seperti yangdimuat pada tabel 4.4 berikut.</w:t>
      </w:r>
    </w:p>
    <w:p w14:paraId="72C03775">
      <w:pPr>
        <w:pStyle w:val="13"/>
        <w:jc w:val="center"/>
        <w:rPr>
          <w:color w:val="auto"/>
          <w:sz w:val="24"/>
        </w:rPr>
      </w:pPr>
      <w:bookmarkStart w:id="6" w:name="_Toc239620504"/>
      <w:r>
        <w:rPr>
          <w:color w:val="auto"/>
          <w:sz w:val="24"/>
        </w:rPr>
        <w:t xml:space="preserve">Tabel 4. </w:t>
      </w:r>
      <w:r>
        <w:rPr>
          <w:color w:val="auto"/>
          <w:sz w:val="24"/>
        </w:rPr>
        <w:fldChar w:fldCharType="begin"/>
      </w:r>
      <w:r>
        <w:rPr>
          <w:color w:val="auto"/>
          <w:sz w:val="24"/>
        </w:rPr>
        <w:instrText xml:space="preserve"> SEQ Tabel_4. \* ARABIC </w:instrText>
      </w:r>
      <w:r>
        <w:rPr>
          <w:color w:val="auto"/>
          <w:sz w:val="24"/>
        </w:rPr>
        <w:fldChar w:fldCharType="separate"/>
      </w:r>
      <w:r>
        <w:rPr>
          <w:color w:val="auto"/>
          <w:sz w:val="24"/>
        </w:rPr>
        <w:t>4</w:t>
      </w:r>
      <w:r>
        <w:rPr>
          <w:color w:val="auto"/>
          <w:sz w:val="24"/>
        </w:rPr>
        <w:fldChar w:fldCharType="end"/>
      </w:r>
      <w:r>
        <w:rPr>
          <w:color w:val="auto"/>
          <w:sz w:val="24"/>
        </w:rPr>
        <w:t xml:space="preserve"> Deskripsi Ketuntasan Skor Posttest Berdasarkan KKM</w:t>
      </w:r>
      <w:bookmarkEnd w:id="6"/>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8"/>
        <w:gridCol w:w="2038"/>
        <w:gridCol w:w="2038"/>
        <w:gridCol w:w="2039"/>
      </w:tblGrid>
      <w:tr w14:paraId="2CECC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8" w:type="dxa"/>
          </w:tcPr>
          <w:p w14:paraId="531C80EF">
            <w:pPr>
              <w:spacing w:line="240" w:lineRule="auto"/>
              <w:jc w:val="center"/>
              <w:rPr>
                <w:b/>
                <w:sz w:val="22"/>
              </w:rPr>
            </w:pPr>
            <w:r>
              <w:rPr>
                <w:b/>
                <w:sz w:val="22"/>
              </w:rPr>
              <w:t>Skor</w:t>
            </w:r>
          </w:p>
        </w:tc>
        <w:tc>
          <w:tcPr>
            <w:tcW w:w="2038" w:type="dxa"/>
          </w:tcPr>
          <w:p w14:paraId="078B3B27">
            <w:pPr>
              <w:spacing w:line="240" w:lineRule="auto"/>
              <w:jc w:val="center"/>
              <w:rPr>
                <w:b/>
                <w:sz w:val="22"/>
              </w:rPr>
            </w:pPr>
            <w:r>
              <w:rPr>
                <w:b/>
                <w:sz w:val="22"/>
              </w:rPr>
              <w:t>Kategori</w:t>
            </w:r>
          </w:p>
        </w:tc>
        <w:tc>
          <w:tcPr>
            <w:tcW w:w="2038" w:type="dxa"/>
          </w:tcPr>
          <w:p w14:paraId="0368F0FB">
            <w:pPr>
              <w:spacing w:line="240" w:lineRule="auto"/>
              <w:jc w:val="center"/>
              <w:rPr>
                <w:b/>
                <w:sz w:val="22"/>
              </w:rPr>
            </w:pPr>
            <w:r>
              <w:rPr>
                <w:b/>
                <w:sz w:val="22"/>
              </w:rPr>
              <w:t>Frekuensi</w:t>
            </w:r>
          </w:p>
        </w:tc>
        <w:tc>
          <w:tcPr>
            <w:tcW w:w="2039" w:type="dxa"/>
          </w:tcPr>
          <w:p w14:paraId="6BF18E4B">
            <w:pPr>
              <w:spacing w:line="240" w:lineRule="auto"/>
              <w:jc w:val="center"/>
              <w:rPr>
                <w:b/>
                <w:sz w:val="22"/>
              </w:rPr>
            </w:pPr>
            <w:r>
              <w:rPr>
                <w:b/>
                <w:sz w:val="22"/>
              </w:rPr>
              <w:t>Persentase %</w:t>
            </w:r>
          </w:p>
        </w:tc>
      </w:tr>
      <w:tr w14:paraId="7382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8" w:type="dxa"/>
          </w:tcPr>
          <w:p w14:paraId="13959EAB">
            <w:pPr>
              <w:spacing w:line="240" w:lineRule="auto"/>
              <w:jc w:val="center"/>
              <w:rPr>
                <w:sz w:val="22"/>
              </w:rPr>
            </w:pPr>
            <w:r>
              <w:rPr>
                <w:sz w:val="22"/>
              </w:rPr>
              <w:t xml:space="preserve"> x &lt; 74</w:t>
            </w:r>
          </w:p>
        </w:tc>
        <w:tc>
          <w:tcPr>
            <w:tcW w:w="2038" w:type="dxa"/>
          </w:tcPr>
          <w:p w14:paraId="6DF4CBCD">
            <w:pPr>
              <w:spacing w:line="240" w:lineRule="auto"/>
              <w:jc w:val="center"/>
              <w:rPr>
                <w:sz w:val="22"/>
              </w:rPr>
            </w:pPr>
            <w:r>
              <w:rPr>
                <w:sz w:val="22"/>
              </w:rPr>
              <w:t>Tidak Tuntas</w:t>
            </w:r>
          </w:p>
        </w:tc>
        <w:tc>
          <w:tcPr>
            <w:tcW w:w="2038" w:type="dxa"/>
          </w:tcPr>
          <w:p w14:paraId="633B74D3">
            <w:pPr>
              <w:spacing w:line="240" w:lineRule="auto"/>
              <w:jc w:val="center"/>
              <w:rPr>
                <w:sz w:val="22"/>
              </w:rPr>
            </w:pPr>
            <w:r>
              <w:rPr>
                <w:sz w:val="22"/>
              </w:rPr>
              <w:t>0</w:t>
            </w:r>
          </w:p>
        </w:tc>
        <w:tc>
          <w:tcPr>
            <w:tcW w:w="2039" w:type="dxa"/>
          </w:tcPr>
          <w:p w14:paraId="7AFDBE81">
            <w:pPr>
              <w:spacing w:line="240" w:lineRule="auto"/>
              <w:jc w:val="center"/>
              <w:rPr>
                <w:sz w:val="22"/>
              </w:rPr>
            </w:pPr>
            <w:r>
              <w:rPr>
                <w:sz w:val="22"/>
              </w:rPr>
              <w:t>0</w:t>
            </w:r>
          </w:p>
        </w:tc>
      </w:tr>
      <w:tr w14:paraId="2B933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8" w:type="dxa"/>
          </w:tcPr>
          <w:p w14:paraId="6C5F3C2A">
            <w:pPr>
              <w:spacing w:line="240" w:lineRule="auto"/>
              <w:jc w:val="center"/>
              <w:rPr>
                <w:sz w:val="22"/>
              </w:rPr>
            </w:pPr>
            <w:r>
              <w:rPr>
                <w:sz w:val="22"/>
              </w:rPr>
              <w:t xml:space="preserve">x </w:t>
            </w:r>
            <w:r>
              <w:rPr>
                <w:rFonts w:cs="Times New Roman"/>
                <w:sz w:val="22"/>
              </w:rPr>
              <w:t>≥</w:t>
            </w:r>
            <w:r>
              <w:rPr>
                <w:sz w:val="22"/>
              </w:rPr>
              <w:t xml:space="preserve"> 75</w:t>
            </w:r>
          </w:p>
        </w:tc>
        <w:tc>
          <w:tcPr>
            <w:tcW w:w="2038" w:type="dxa"/>
          </w:tcPr>
          <w:p w14:paraId="1C93F632">
            <w:pPr>
              <w:spacing w:line="240" w:lineRule="auto"/>
              <w:jc w:val="center"/>
              <w:rPr>
                <w:sz w:val="22"/>
              </w:rPr>
            </w:pPr>
            <w:r>
              <w:rPr>
                <w:sz w:val="22"/>
              </w:rPr>
              <w:t>Tuntas</w:t>
            </w:r>
          </w:p>
        </w:tc>
        <w:tc>
          <w:tcPr>
            <w:tcW w:w="2038" w:type="dxa"/>
          </w:tcPr>
          <w:p w14:paraId="73589508">
            <w:pPr>
              <w:spacing w:line="240" w:lineRule="auto"/>
              <w:jc w:val="center"/>
              <w:rPr>
                <w:sz w:val="22"/>
              </w:rPr>
            </w:pPr>
            <w:r>
              <w:rPr>
                <w:sz w:val="22"/>
              </w:rPr>
              <w:t>27</w:t>
            </w:r>
          </w:p>
        </w:tc>
        <w:tc>
          <w:tcPr>
            <w:tcW w:w="2039" w:type="dxa"/>
          </w:tcPr>
          <w:p w14:paraId="285A4EF1">
            <w:pPr>
              <w:spacing w:line="240" w:lineRule="auto"/>
              <w:jc w:val="center"/>
              <w:rPr>
                <w:sz w:val="22"/>
              </w:rPr>
            </w:pPr>
            <w:r>
              <w:rPr>
                <w:sz w:val="22"/>
              </w:rPr>
              <w:t>100</w:t>
            </w:r>
          </w:p>
        </w:tc>
      </w:tr>
      <w:tr w14:paraId="5F7A0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76" w:type="dxa"/>
            <w:gridSpan w:val="2"/>
          </w:tcPr>
          <w:p w14:paraId="48C87825">
            <w:pPr>
              <w:spacing w:line="240" w:lineRule="auto"/>
              <w:jc w:val="center"/>
              <w:rPr>
                <w:sz w:val="22"/>
              </w:rPr>
            </w:pPr>
            <w:r>
              <w:rPr>
                <w:sz w:val="22"/>
              </w:rPr>
              <w:t>Jumlah</w:t>
            </w:r>
          </w:p>
        </w:tc>
        <w:tc>
          <w:tcPr>
            <w:tcW w:w="2038" w:type="dxa"/>
          </w:tcPr>
          <w:p w14:paraId="4DB5F5F0">
            <w:pPr>
              <w:spacing w:line="240" w:lineRule="auto"/>
              <w:jc w:val="center"/>
              <w:rPr>
                <w:sz w:val="22"/>
              </w:rPr>
            </w:pPr>
            <w:r>
              <w:rPr>
                <w:sz w:val="22"/>
              </w:rPr>
              <w:t>27</w:t>
            </w:r>
          </w:p>
        </w:tc>
        <w:tc>
          <w:tcPr>
            <w:tcW w:w="2039" w:type="dxa"/>
          </w:tcPr>
          <w:p w14:paraId="58A8D180">
            <w:pPr>
              <w:spacing w:line="240" w:lineRule="auto"/>
              <w:jc w:val="center"/>
              <w:rPr>
                <w:sz w:val="22"/>
              </w:rPr>
            </w:pPr>
            <w:r>
              <w:rPr>
                <w:sz w:val="22"/>
              </w:rPr>
              <w:t>100</w:t>
            </w:r>
          </w:p>
        </w:tc>
      </w:tr>
    </w:tbl>
    <w:p w14:paraId="67BCBA22">
      <w:pPr>
        <w:spacing w:line="240" w:lineRule="auto"/>
        <w:jc w:val="center"/>
      </w:pPr>
    </w:p>
    <w:p w14:paraId="4E3D9C51">
      <w:pPr>
        <w:spacing w:line="480" w:lineRule="auto"/>
        <w:ind w:firstLine="709"/>
        <w:jc w:val="both"/>
      </w:pPr>
      <w:r>
        <w:t xml:space="preserve">Tabel 4.4 di atas menunjukkan bahwa dari 27 siswa atau 100% siswa kelas X SMA Negeri 14 Medan yang mengikuti tes setelah mengikuti pembelajaran menulis teks negosiasi dengan menggunakan media pembelajaran berbasis video 27 siswa atau 100% memperoleh nilai diatas KKM. </w:t>
      </w:r>
    </w:p>
    <w:p w14:paraId="2CA2B3D5">
      <w:pPr>
        <w:spacing w:line="480" w:lineRule="auto"/>
        <w:jc w:val="both"/>
        <w:rPr>
          <w:b/>
          <w:lang w:val="it-IT"/>
        </w:rPr>
      </w:pPr>
      <w:r>
        <w:rPr>
          <w:b/>
          <w:lang w:val="it-IT"/>
        </w:rPr>
        <w:t xml:space="preserve">2. Analisis Statistik Inferensial </w:t>
      </w:r>
    </w:p>
    <w:p w14:paraId="78D9B523">
      <w:pPr>
        <w:spacing w:line="480" w:lineRule="auto"/>
        <w:jc w:val="both"/>
        <w:rPr>
          <w:b/>
          <w:lang w:val="it-IT"/>
        </w:rPr>
      </w:pPr>
      <w:r>
        <w:rPr>
          <w:b/>
          <w:lang w:val="it-IT"/>
        </w:rPr>
        <w:t>a. Uji Normalitas Data</w:t>
      </w:r>
    </w:p>
    <w:p w14:paraId="5306F9D9">
      <w:pPr>
        <w:spacing w:line="480" w:lineRule="auto"/>
        <w:ind w:firstLine="709"/>
        <w:jc w:val="both"/>
      </w:pPr>
      <w:r>
        <w:rPr>
          <w:lang w:val="it-IT"/>
        </w:rPr>
        <w:t xml:space="preserve">Data pada uji normalitas diperoleh dari pretest dan posttest kemampuan menulis teks negosiasi. Sebuah syarat data berdistribusi normal apabila nilai yang diperoleh dan hasil perhitungan lebih besar dari 0,05 (taraf signifikan 5%). </w:t>
      </w:r>
      <w:r>
        <w:t>Berikut rangkuman hasil uji normalitas sebaran data kemampuan menulis teks negosiasi.</w:t>
      </w:r>
    </w:p>
    <w:p w14:paraId="4DABD6AB">
      <w:pPr>
        <w:pStyle w:val="13"/>
        <w:jc w:val="center"/>
        <w:rPr>
          <w:color w:val="auto"/>
          <w:sz w:val="24"/>
        </w:rPr>
      </w:pPr>
      <w:bookmarkStart w:id="7" w:name="_Toc239620505"/>
      <w:r>
        <w:rPr>
          <w:color w:val="auto"/>
          <w:sz w:val="24"/>
        </w:rPr>
        <w:t xml:space="preserve">Tabel 4. </w:t>
      </w:r>
      <w:r>
        <w:rPr>
          <w:color w:val="auto"/>
          <w:sz w:val="24"/>
        </w:rPr>
        <w:fldChar w:fldCharType="begin"/>
      </w:r>
      <w:r>
        <w:rPr>
          <w:color w:val="auto"/>
          <w:sz w:val="24"/>
        </w:rPr>
        <w:instrText xml:space="preserve"> SEQ Tabel_4. \* ARABIC </w:instrText>
      </w:r>
      <w:r>
        <w:rPr>
          <w:color w:val="auto"/>
          <w:sz w:val="24"/>
        </w:rPr>
        <w:fldChar w:fldCharType="separate"/>
      </w:r>
      <w:r>
        <w:rPr>
          <w:color w:val="auto"/>
          <w:sz w:val="24"/>
        </w:rPr>
        <w:t>5</w:t>
      </w:r>
      <w:r>
        <w:rPr>
          <w:color w:val="auto"/>
          <w:sz w:val="24"/>
        </w:rPr>
        <w:fldChar w:fldCharType="end"/>
      </w:r>
      <w:r>
        <w:rPr>
          <w:color w:val="auto"/>
          <w:sz w:val="24"/>
        </w:rPr>
        <w:t xml:space="preserve"> Rangkuman Hasil Uji Normalitas Free</w:t>
      </w:r>
      <w:bookmarkEnd w:id="7"/>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1"/>
        <w:gridCol w:w="2456"/>
        <w:gridCol w:w="2038"/>
        <w:gridCol w:w="2039"/>
      </w:tblGrid>
      <w:tr w14:paraId="4FC3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 w:type="dxa"/>
          </w:tcPr>
          <w:p w14:paraId="545739FB">
            <w:pPr>
              <w:spacing w:line="240" w:lineRule="auto"/>
              <w:jc w:val="center"/>
              <w:rPr>
                <w:b/>
                <w:sz w:val="22"/>
              </w:rPr>
            </w:pPr>
            <w:r>
              <w:rPr>
                <w:b/>
                <w:sz w:val="22"/>
              </w:rPr>
              <w:t>Data</w:t>
            </w:r>
          </w:p>
        </w:tc>
        <w:tc>
          <w:tcPr>
            <w:tcW w:w="2456" w:type="dxa"/>
          </w:tcPr>
          <w:p w14:paraId="3158468C">
            <w:pPr>
              <w:spacing w:line="240" w:lineRule="auto"/>
              <w:jc w:val="center"/>
              <w:rPr>
                <w:b/>
                <w:sz w:val="22"/>
              </w:rPr>
            </w:pPr>
            <w:r>
              <w:rPr>
                <w:b/>
                <w:sz w:val="22"/>
              </w:rPr>
              <w:t>Kolmogrov-Smirnov</w:t>
            </w:r>
          </w:p>
        </w:tc>
        <w:tc>
          <w:tcPr>
            <w:tcW w:w="2038" w:type="dxa"/>
          </w:tcPr>
          <w:p w14:paraId="22974613">
            <w:pPr>
              <w:spacing w:line="240" w:lineRule="auto"/>
              <w:jc w:val="center"/>
              <w:rPr>
                <w:b/>
                <w:sz w:val="22"/>
              </w:rPr>
            </w:pPr>
            <w:r>
              <w:rPr>
                <w:b/>
                <w:sz w:val="22"/>
              </w:rPr>
              <w:t>P</w:t>
            </w:r>
          </w:p>
        </w:tc>
        <w:tc>
          <w:tcPr>
            <w:tcW w:w="2039" w:type="dxa"/>
          </w:tcPr>
          <w:p w14:paraId="2067F8E2">
            <w:pPr>
              <w:spacing w:line="240" w:lineRule="auto"/>
              <w:jc w:val="center"/>
              <w:rPr>
                <w:b/>
                <w:sz w:val="22"/>
              </w:rPr>
            </w:pPr>
            <w:r>
              <w:rPr>
                <w:b/>
                <w:sz w:val="22"/>
              </w:rPr>
              <w:t>Keterangan</w:t>
            </w:r>
          </w:p>
        </w:tc>
      </w:tr>
      <w:tr w14:paraId="142F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 w:type="dxa"/>
          </w:tcPr>
          <w:p w14:paraId="21307A39">
            <w:pPr>
              <w:spacing w:line="240" w:lineRule="auto"/>
              <w:jc w:val="center"/>
              <w:rPr>
                <w:sz w:val="22"/>
              </w:rPr>
            </w:pPr>
            <w:r>
              <w:rPr>
                <w:sz w:val="22"/>
              </w:rPr>
              <w:t>Pretest</w:t>
            </w:r>
          </w:p>
        </w:tc>
        <w:tc>
          <w:tcPr>
            <w:tcW w:w="2456" w:type="dxa"/>
          </w:tcPr>
          <w:p w14:paraId="5BCDA370">
            <w:pPr>
              <w:spacing w:line="240" w:lineRule="auto"/>
              <w:jc w:val="center"/>
              <w:rPr>
                <w:sz w:val="22"/>
              </w:rPr>
            </w:pPr>
            <w:r>
              <w:rPr>
                <w:sz w:val="22"/>
              </w:rPr>
              <w:t>0,157</w:t>
            </w:r>
          </w:p>
        </w:tc>
        <w:tc>
          <w:tcPr>
            <w:tcW w:w="2038" w:type="dxa"/>
          </w:tcPr>
          <w:p w14:paraId="7B03EB82">
            <w:pPr>
              <w:spacing w:line="240" w:lineRule="auto"/>
              <w:jc w:val="center"/>
              <w:rPr>
                <w:sz w:val="22"/>
              </w:rPr>
            </w:pPr>
            <w:r>
              <w:rPr>
                <w:sz w:val="22"/>
              </w:rPr>
              <w:t>0,086</w:t>
            </w:r>
          </w:p>
        </w:tc>
        <w:tc>
          <w:tcPr>
            <w:tcW w:w="2039" w:type="dxa"/>
          </w:tcPr>
          <w:p w14:paraId="606EC2AD">
            <w:pPr>
              <w:spacing w:line="240" w:lineRule="auto"/>
              <w:jc w:val="center"/>
              <w:rPr>
                <w:sz w:val="22"/>
              </w:rPr>
            </w:pPr>
            <w:r>
              <w:rPr>
                <w:i/>
                <w:sz w:val="22"/>
              </w:rPr>
              <w:t>p</w:t>
            </w:r>
            <w:r>
              <w:rPr>
                <w:sz w:val="22"/>
              </w:rPr>
              <w:t xml:space="preserve"> &gt;0,05 = normal</w:t>
            </w:r>
          </w:p>
        </w:tc>
      </w:tr>
      <w:tr w14:paraId="61A6B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 w:type="dxa"/>
          </w:tcPr>
          <w:p w14:paraId="7507E3A4">
            <w:pPr>
              <w:spacing w:line="240" w:lineRule="auto"/>
              <w:jc w:val="center"/>
              <w:rPr>
                <w:sz w:val="22"/>
              </w:rPr>
            </w:pPr>
            <w:r>
              <w:rPr>
                <w:sz w:val="22"/>
              </w:rPr>
              <w:t>Posttest</w:t>
            </w:r>
          </w:p>
        </w:tc>
        <w:tc>
          <w:tcPr>
            <w:tcW w:w="2456" w:type="dxa"/>
          </w:tcPr>
          <w:p w14:paraId="4AB4F341">
            <w:pPr>
              <w:spacing w:line="240" w:lineRule="auto"/>
              <w:jc w:val="center"/>
              <w:rPr>
                <w:sz w:val="22"/>
              </w:rPr>
            </w:pPr>
            <w:r>
              <w:rPr>
                <w:sz w:val="22"/>
              </w:rPr>
              <w:t>0,155</w:t>
            </w:r>
          </w:p>
        </w:tc>
        <w:tc>
          <w:tcPr>
            <w:tcW w:w="2038" w:type="dxa"/>
          </w:tcPr>
          <w:p w14:paraId="1AE4D504">
            <w:pPr>
              <w:spacing w:line="240" w:lineRule="auto"/>
              <w:jc w:val="center"/>
              <w:rPr>
                <w:sz w:val="22"/>
              </w:rPr>
            </w:pPr>
            <w:r>
              <w:rPr>
                <w:sz w:val="22"/>
              </w:rPr>
              <w:t>0,094</w:t>
            </w:r>
          </w:p>
        </w:tc>
        <w:tc>
          <w:tcPr>
            <w:tcW w:w="2039" w:type="dxa"/>
          </w:tcPr>
          <w:p w14:paraId="57CCAA1B">
            <w:pPr>
              <w:spacing w:line="240" w:lineRule="auto"/>
              <w:jc w:val="center"/>
              <w:rPr>
                <w:sz w:val="22"/>
              </w:rPr>
            </w:pPr>
            <w:r>
              <w:rPr>
                <w:i/>
                <w:sz w:val="22"/>
              </w:rPr>
              <w:t>p</w:t>
            </w:r>
            <w:r>
              <w:rPr>
                <w:sz w:val="22"/>
              </w:rPr>
              <w:t xml:space="preserve"> &gt;0,05 = normal</w:t>
            </w:r>
          </w:p>
        </w:tc>
      </w:tr>
    </w:tbl>
    <w:p w14:paraId="547CBA51">
      <w:pPr>
        <w:spacing w:line="240" w:lineRule="auto"/>
        <w:jc w:val="center"/>
        <w:rPr>
          <w:b/>
        </w:rPr>
      </w:pPr>
    </w:p>
    <w:p w14:paraId="500496E8">
      <w:pPr>
        <w:spacing w:line="480" w:lineRule="auto"/>
        <w:ind w:firstLine="709"/>
        <w:jc w:val="both"/>
      </w:pPr>
      <w:r>
        <w:t xml:space="preserve">Berdasarkan hasil perhitungan uji normalitas sebaran keempat data dalam tabel 4.5 menunjukkan bahwa nilai </w:t>
      </w:r>
      <w:r>
        <w:rPr>
          <w:i/>
        </w:rPr>
        <w:t>p</w:t>
      </w:r>
      <w:r>
        <w:t xml:space="preserve"> dari semua data lebih besar dari 0.05, sehingga dapat disimpulkan bahwa semua data tersebut berdistribusi normal. </w:t>
      </w:r>
    </w:p>
    <w:p w14:paraId="5B1E282F">
      <w:pPr>
        <w:spacing w:line="480" w:lineRule="auto"/>
        <w:jc w:val="both"/>
        <w:rPr>
          <w:b/>
        </w:rPr>
      </w:pPr>
      <w:r>
        <w:rPr>
          <w:b/>
        </w:rPr>
        <w:t>b. Uji Homogenitas</w:t>
      </w:r>
    </w:p>
    <w:p w14:paraId="2EF86E1D">
      <w:pPr>
        <w:spacing w:line="480" w:lineRule="auto"/>
        <w:ind w:firstLine="709"/>
        <w:jc w:val="both"/>
      </w:pPr>
      <w:r>
        <w:t xml:space="preserve">Setelah dilakukan uji normalitas data, kemudian dilakukan uji homogenitas. Uji homogenitas dilakukan dengan bantuan SPSS versi 22 untuk mengetahui ada tidaknya perbedaan varian data. Syarat varian data bersifat homogen apabila nilai signifikansi hitung lebih besar dari signnifikansi yang ditetapkan. yaitu 0,05 (5%) (p&gt;0,05). Rangkuman hasil uji homogenitas kemampuan menulis teks negosiasi disajikan sebagai berikut. </w:t>
      </w:r>
    </w:p>
    <w:p w14:paraId="0BA51C9D">
      <w:pPr>
        <w:spacing w:line="480" w:lineRule="auto"/>
        <w:ind w:firstLine="709"/>
        <w:jc w:val="both"/>
      </w:pPr>
    </w:p>
    <w:p w14:paraId="584770DA">
      <w:pPr>
        <w:pStyle w:val="13"/>
        <w:jc w:val="center"/>
        <w:rPr>
          <w:color w:val="auto"/>
          <w:sz w:val="24"/>
        </w:rPr>
      </w:pPr>
      <w:bookmarkStart w:id="8" w:name="_Toc239620506"/>
      <w:r>
        <w:rPr>
          <w:color w:val="auto"/>
          <w:sz w:val="24"/>
        </w:rPr>
        <w:t xml:space="preserve">Tabel 4. </w:t>
      </w:r>
      <w:r>
        <w:rPr>
          <w:color w:val="auto"/>
          <w:sz w:val="24"/>
        </w:rPr>
        <w:fldChar w:fldCharType="begin"/>
      </w:r>
      <w:r>
        <w:rPr>
          <w:color w:val="auto"/>
          <w:sz w:val="24"/>
        </w:rPr>
        <w:instrText xml:space="preserve"> SEQ Tabel_4. \* ARABIC </w:instrText>
      </w:r>
      <w:r>
        <w:rPr>
          <w:color w:val="auto"/>
          <w:sz w:val="24"/>
        </w:rPr>
        <w:fldChar w:fldCharType="separate"/>
      </w:r>
      <w:r>
        <w:rPr>
          <w:color w:val="auto"/>
          <w:sz w:val="24"/>
        </w:rPr>
        <w:t>6</w:t>
      </w:r>
      <w:r>
        <w:rPr>
          <w:color w:val="auto"/>
          <w:sz w:val="24"/>
        </w:rPr>
        <w:fldChar w:fldCharType="end"/>
      </w:r>
      <w:r>
        <w:rPr>
          <w:color w:val="auto"/>
          <w:sz w:val="24"/>
        </w:rPr>
        <w:t xml:space="preserve"> Rangkuman Hasil Uji Homogenitas</w:t>
      </w:r>
      <w:bookmarkEnd w:id="8"/>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1359"/>
        <w:gridCol w:w="1359"/>
        <w:gridCol w:w="1359"/>
        <w:gridCol w:w="1359"/>
        <w:gridCol w:w="1359"/>
      </w:tblGrid>
      <w:tr w14:paraId="54128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8" w:type="dxa"/>
          </w:tcPr>
          <w:p w14:paraId="47C12F6A">
            <w:pPr>
              <w:spacing w:line="240" w:lineRule="auto"/>
              <w:jc w:val="both"/>
              <w:rPr>
                <w:sz w:val="22"/>
              </w:rPr>
            </w:pPr>
            <w:r>
              <w:rPr>
                <w:sz w:val="22"/>
              </w:rPr>
              <w:t>Data</w:t>
            </w:r>
          </w:p>
        </w:tc>
        <w:tc>
          <w:tcPr>
            <w:tcW w:w="1359" w:type="dxa"/>
          </w:tcPr>
          <w:p w14:paraId="5944D5A4">
            <w:pPr>
              <w:spacing w:line="240" w:lineRule="auto"/>
              <w:jc w:val="both"/>
              <w:rPr>
                <w:sz w:val="22"/>
              </w:rPr>
            </w:pPr>
            <w:r>
              <w:rPr>
                <w:sz w:val="22"/>
              </w:rPr>
              <w:t xml:space="preserve">Levene </w:t>
            </w:r>
          </w:p>
          <w:p w14:paraId="40C4D024">
            <w:pPr>
              <w:spacing w:line="240" w:lineRule="auto"/>
              <w:jc w:val="both"/>
              <w:rPr>
                <w:sz w:val="22"/>
              </w:rPr>
            </w:pPr>
            <w:r>
              <w:rPr>
                <w:sz w:val="22"/>
              </w:rPr>
              <w:t>Statistic</w:t>
            </w:r>
          </w:p>
        </w:tc>
        <w:tc>
          <w:tcPr>
            <w:tcW w:w="1359" w:type="dxa"/>
            <w:vAlign w:val="center"/>
          </w:tcPr>
          <w:p w14:paraId="5971CD91">
            <w:pPr>
              <w:spacing w:line="240" w:lineRule="auto"/>
              <w:jc w:val="center"/>
              <w:rPr>
                <w:sz w:val="22"/>
              </w:rPr>
            </w:pPr>
            <w:r>
              <w:rPr>
                <w:sz w:val="22"/>
              </w:rPr>
              <w:t>df1</w:t>
            </w:r>
          </w:p>
        </w:tc>
        <w:tc>
          <w:tcPr>
            <w:tcW w:w="1359" w:type="dxa"/>
            <w:vAlign w:val="center"/>
          </w:tcPr>
          <w:p w14:paraId="7DE8215E">
            <w:pPr>
              <w:spacing w:line="240" w:lineRule="auto"/>
              <w:jc w:val="center"/>
              <w:rPr>
                <w:sz w:val="22"/>
              </w:rPr>
            </w:pPr>
            <w:r>
              <w:rPr>
                <w:sz w:val="22"/>
              </w:rPr>
              <w:t>df2</w:t>
            </w:r>
          </w:p>
        </w:tc>
        <w:tc>
          <w:tcPr>
            <w:tcW w:w="1359" w:type="dxa"/>
            <w:vAlign w:val="center"/>
          </w:tcPr>
          <w:p w14:paraId="4D55105A">
            <w:pPr>
              <w:spacing w:line="240" w:lineRule="auto"/>
              <w:jc w:val="center"/>
              <w:rPr>
                <w:sz w:val="22"/>
              </w:rPr>
            </w:pPr>
            <w:r>
              <w:rPr>
                <w:sz w:val="22"/>
              </w:rPr>
              <w:t>Sig</w:t>
            </w:r>
          </w:p>
        </w:tc>
        <w:tc>
          <w:tcPr>
            <w:tcW w:w="1359" w:type="dxa"/>
            <w:vAlign w:val="center"/>
          </w:tcPr>
          <w:p w14:paraId="53613A9D">
            <w:pPr>
              <w:spacing w:line="240" w:lineRule="auto"/>
              <w:jc w:val="center"/>
              <w:rPr>
                <w:sz w:val="22"/>
              </w:rPr>
            </w:pPr>
            <w:r>
              <w:rPr>
                <w:sz w:val="22"/>
              </w:rPr>
              <w:t>Keterangan</w:t>
            </w:r>
          </w:p>
        </w:tc>
      </w:tr>
      <w:tr w14:paraId="698F9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8" w:type="dxa"/>
          </w:tcPr>
          <w:p w14:paraId="657CCE23">
            <w:pPr>
              <w:spacing w:line="240" w:lineRule="auto"/>
              <w:jc w:val="center"/>
              <w:rPr>
                <w:sz w:val="22"/>
              </w:rPr>
            </w:pPr>
            <w:r>
              <w:rPr>
                <w:sz w:val="22"/>
              </w:rPr>
              <w:t xml:space="preserve">Pretest </w:t>
            </w:r>
          </w:p>
          <w:p w14:paraId="7FFCFA9D">
            <w:pPr>
              <w:spacing w:line="240" w:lineRule="auto"/>
              <w:jc w:val="center"/>
              <w:rPr>
                <w:sz w:val="22"/>
              </w:rPr>
            </w:pPr>
            <w:r>
              <w:rPr>
                <w:sz w:val="22"/>
              </w:rPr>
              <w:t xml:space="preserve">dan </w:t>
            </w:r>
          </w:p>
          <w:p w14:paraId="27275A70">
            <w:pPr>
              <w:spacing w:line="240" w:lineRule="auto"/>
              <w:jc w:val="center"/>
              <w:rPr>
                <w:sz w:val="22"/>
              </w:rPr>
            </w:pPr>
            <w:r>
              <w:rPr>
                <w:sz w:val="22"/>
              </w:rPr>
              <w:t xml:space="preserve">Posttes </w:t>
            </w:r>
          </w:p>
        </w:tc>
        <w:tc>
          <w:tcPr>
            <w:tcW w:w="1359" w:type="dxa"/>
            <w:vAlign w:val="center"/>
          </w:tcPr>
          <w:p w14:paraId="2BC548D7">
            <w:pPr>
              <w:spacing w:line="240" w:lineRule="auto"/>
              <w:jc w:val="center"/>
              <w:rPr>
                <w:sz w:val="22"/>
              </w:rPr>
            </w:pPr>
            <w:r>
              <w:rPr>
                <w:sz w:val="22"/>
              </w:rPr>
              <w:t>1,795</w:t>
            </w:r>
          </w:p>
        </w:tc>
        <w:tc>
          <w:tcPr>
            <w:tcW w:w="1359" w:type="dxa"/>
            <w:vAlign w:val="center"/>
          </w:tcPr>
          <w:p w14:paraId="4A8824E4">
            <w:pPr>
              <w:spacing w:line="240" w:lineRule="auto"/>
              <w:jc w:val="center"/>
              <w:rPr>
                <w:sz w:val="22"/>
              </w:rPr>
            </w:pPr>
            <w:r>
              <w:rPr>
                <w:sz w:val="22"/>
              </w:rPr>
              <w:t>1</w:t>
            </w:r>
          </w:p>
        </w:tc>
        <w:tc>
          <w:tcPr>
            <w:tcW w:w="1359" w:type="dxa"/>
            <w:vAlign w:val="center"/>
          </w:tcPr>
          <w:p w14:paraId="63FC0EED">
            <w:pPr>
              <w:spacing w:line="240" w:lineRule="auto"/>
              <w:jc w:val="center"/>
              <w:rPr>
                <w:sz w:val="22"/>
              </w:rPr>
            </w:pPr>
            <w:r>
              <w:rPr>
                <w:sz w:val="22"/>
              </w:rPr>
              <w:t>52</w:t>
            </w:r>
          </w:p>
        </w:tc>
        <w:tc>
          <w:tcPr>
            <w:tcW w:w="1359" w:type="dxa"/>
            <w:vAlign w:val="center"/>
          </w:tcPr>
          <w:p w14:paraId="57D57A9B">
            <w:pPr>
              <w:spacing w:line="240" w:lineRule="auto"/>
              <w:jc w:val="center"/>
              <w:rPr>
                <w:sz w:val="22"/>
              </w:rPr>
            </w:pPr>
            <w:r>
              <w:rPr>
                <w:sz w:val="22"/>
              </w:rPr>
              <w:t>0,186</w:t>
            </w:r>
          </w:p>
        </w:tc>
        <w:tc>
          <w:tcPr>
            <w:tcW w:w="1359" w:type="dxa"/>
            <w:vAlign w:val="center"/>
          </w:tcPr>
          <w:p w14:paraId="33CD645A">
            <w:pPr>
              <w:spacing w:line="240" w:lineRule="auto"/>
              <w:jc w:val="center"/>
              <w:rPr>
                <w:sz w:val="22"/>
              </w:rPr>
            </w:pPr>
            <w:r>
              <w:rPr>
                <w:sz w:val="22"/>
              </w:rPr>
              <w:t>Homogen</w:t>
            </w:r>
          </w:p>
        </w:tc>
      </w:tr>
    </w:tbl>
    <w:p w14:paraId="4443E155"/>
    <w:p w14:paraId="7B286579">
      <w:pPr>
        <w:spacing w:line="480" w:lineRule="auto"/>
        <w:ind w:firstLine="720"/>
        <w:jc w:val="both"/>
      </w:pPr>
      <w:r>
        <w:t>Berdasarkan hasil perhitungan uji homogenitas data pretest dan positest dalam tabel 4.6 menunjukkan bahwa signifikansinya lebih besar dari 0,05. Maka data pretest dan posttest dalam penelitian ini mempunyai varian yang homogen atau tidak memiliki perbedaan varian.</w:t>
      </w:r>
    </w:p>
    <w:p w14:paraId="57C9CCDD">
      <w:pPr>
        <w:spacing w:line="480" w:lineRule="auto"/>
        <w:jc w:val="both"/>
        <w:rPr>
          <w:b/>
        </w:rPr>
      </w:pPr>
      <w:r>
        <w:rPr>
          <w:b/>
        </w:rPr>
        <w:t>c. Pengujian Hipotesis</w:t>
      </w:r>
    </w:p>
    <w:p w14:paraId="73C52880">
      <w:pPr>
        <w:spacing w:line="480" w:lineRule="auto"/>
        <w:ind w:firstLine="709"/>
        <w:jc w:val="both"/>
      </w:pPr>
      <w:r>
        <w:t>Pengujian hipotesis dilakukan setelah analisis data menggunakan uji-t. Berdasarkan hasil uji-t dapat diketahui hasil pengujian hipotesis sebagai berikut.</w:t>
      </w:r>
    </w:p>
    <w:p w14:paraId="6DAFBE1E">
      <w:pPr>
        <w:spacing w:line="480" w:lineRule="auto"/>
        <w:ind w:firstLine="709"/>
        <w:jc w:val="both"/>
      </w:pPr>
      <w:r>
        <w:t>Hipotesis dalam penelitian ini adalah “Media pembelajaran berbasis video efektif digunakan dalam pembelajaran menulis teks negosiasi”, Hipotesis tersebut merupakan hipotesis kerja (H1) sehingga diperlukan hipotesis nol (Ho), hipotesis nolnya adalah “Media pembelajaran berbasis video tidak efektif digunakan dalam pembelajaran menulis teks negosiasi”.</w:t>
      </w:r>
    </w:p>
    <w:p w14:paraId="0A1D7C6A">
      <w:pPr>
        <w:spacing w:line="480" w:lineRule="auto"/>
        <w:ind w:firstLine="709"/>
        <w:jc w:val="both"/>
      </w:pPr>
      <w:r>
        <w:t>Keefektifan media pembelajaran berbasis video dalam pembelajaran menulis teks negosiasi dapat diketahui dengan mencari perbedaan skor pretest dan posttest. Analisis data yang digunakan adalah uji-t. Rangkuman hasil uji-t data skor pretest dan posttest kelompok eksperimen dapat dilihat pada tabel berikut.</w:t>
      </w:r>
    </w:p>
    <w:p w14:paraId="283A9732">
      <w:pPr>
        <w:pStyle w:val="13"/>
        <w:jc w:val="center"/>
        <w:rPr>
          <w:color w:val="auto"/>
          <w:sz w:val="24"/>
        </w:rPr>
      </w:pPr>
      <w:bookmarkStart w:id="9" w:name="_Toc239620507"/>
      <w:r>
        <w:rPr>
          <w:color w:val="auto"/>
          <w:sz w:val="24"/>
        </w:rPr>
        <w:t xml:space="preserve">Tabel 4. </w:t>
      </w:r>
      <w:r>
        <w:rPr>
          <w:color w:val="auto"/>
          <w:sz w:val="24"/>
        </w:rPr>
        <w:fldChar w:fldCharType="begin"/>
      </w:r>
      <w:r>
        <w:rPr>
          <w:color w:val="auto"/>
          <w:sz w:val="24"/>
        </w:rPr>
        <w:instrText xml:space="preserve"> SEQ Tabel_4. \* ARABIC </w:instrText>
      </w:r>
      <w:r>
        <w:rPr>
          <w:color w:val="auto"/>
          <w:sz w:val="24"/>
        </w:rPr>
        <w:fldChar w:fldCharType="separate"/>
      </w:r>
      <w:r>
        <w:rPr>
          <w:color w:val="auto"/>
          <w:sz w:val="24"/>
        </w:rPr>
        <w:t>7</w:t>
      </w:r>
      <w:r>
        <w:rPr>
          <w:color w:val="auto"/>
          <w:sz w:val="24"/>
        </w:rPr>
        <w:fldChar w:fldCharType="end"/>
      </w:r>
      <w:r>
        <w:rPr>
          <w:color w:val="auto"/>
          <w:sz w:val="24"/>
        </w:rPr>
        <w:t xml:space="preserve"> Rangkuman Hasil Uji-t Skor Pretest dan Posttest</w:t>
      </w:r>
      <w:bookmarkEnd w:id="9"/>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7"/>
        <w:gridCol w:w="996"/>
        <w:gridCol w:w="876"/>
        <w:gridCol w:w="1574"/>
        <w:gridCol w:w="2341"/>
      </w:tblGrid>
      <w:tr w14:paraId="6AFC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tcPr>
          <w:p w14:paraId="6AC724D7">
            <w:pPr>
              <w:spacing w:line="240" w:lineRule="auto"/>
              <w:jc w:val="center"/>
              <w:rPr>
                <w:sz w:val="22"/>
              </w:rPr>
            </w:pPr>
            <w:r>
              <w:rPr>
                <w:sz w:val="22"/>
              </w:rPr>
              <w:t>Data</w:t>
            </w:r>
          </w:p>
        </w:tc>
        <w:tc>
          <w:tcPr>
            <w:tcW w:w="996" w:type="dxa"/>
          </w:tcPr>
          <w:p w14:paraId="74DD377A">
            <w:pPr>
              <w:spacing w:line="240" w:lineRule="auto"/>
              <w:jc w:val="center"/>
              <w:rPr>
                <w:sz w:val="22"/>
              </w:rPr>
            </w:pPr>
            <w:r>
              <w:rPr>
                <w:sz w:val="22"/>
              </w:rPr>
              <w:t>T</w:t>
            </w:r>
          </w:p>
        </w:tc>
        <w:tc>
          <w:tcPr>
            <w:tcW w:w="876" w:type="dxa"/>
          </w:tcPr>
          <w:p w14:paraId="65A62866">
            <w:pPr>
              <w:spacing w:line="240" w:lineRule="auto"/>
              <w:jc w:val="center"/>
              <w:rPr>
                <w:sz w:val="22"/>
              </w:rPr>
            </w:pPr>
            <w:r>
              <w:rPr>
                <w:sz w:val="22"/>
              </w:rPr>
              <w:t>Df</w:t>
            </w:r>
          </w:p>
        </w:tc>
        <w:tc>
          <w:tcPr>
            <w:tcW w:w="1574" w:type="dxa"/>
          </w:tcPr>
          <w:p w14:paraId="3268AC3E">
            <w:pPr>
              <w:spacing w:line="240" w:lineRule="auto"/>
              <w:jc w:val="center"/>
              <w:rPr>
                <w:sz w:val="22"/>
              </w:rPr>
            </w:pPr>
            <w:r>
              <w:rPr>
                <w:sz w:val="22"/>
              </w:rPr>
              <w:t>P</w:t>
            </w:r>
          </w:p>
        </w:tc>
        <w:tc>
          <w:tcPr>
            <w:tcW w:w="2341" w:type="dxa"/>
          </w:tcPr>
          <w:p w14:paraId="74A4A288">
            <w:pPr>
              <w:spacing w:line="240" w:lineRule="auto"/>
              <w:jc w:val="center"/>
              <w:rPr>
                <w:sz w:val="22"/>
              </w:rPr>
            </w:pPr>
            <w:r>
              <w:rPr>
                <w:sz w:val="22"/>
              </w:rPr>
              <w:t>Keterangan</w:t>
            </w:r>
          </w:p>
        </w:tc>
      </w:tr>
      <w:tr w14:paraId="3A38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7" w:type="dxa"/>
            <w:vAlign w:val="center"/>
          </w:tcPr>
          <w:p w14:paraId="69D81DCC">
            <w:pPr>
              <w:spacing w:line="240" w:lineRule="auto"/>
              <w:jc w:val="center"/>
              <w:rPr>
                <w:sz w:val="22"/>
              </w:rPr>
            </w:pPr>
            <w:r>
              <w:rPr>
                <w:sz w:val="22"/>
              </w:rPr>
              <w:t>Pretest dan</w:t>
            </w:r>
          </w:p>
          <w:p w14:paraId="22FBFB3F">
            <w:pPr>
              <w:spacing w:line="240" w:lineRule="auto"/>
              <w:jc w:val="center"/>
              <w:rPr>
                <w:sz w:val="22"/>
              </w:rPr>
            </w:pPr>
            <w:r>
              <w:rPr>
                <w:sz w:val="22"/>
              </w:rPr>
              <w:t>Posttest</w:t>
            </w:r>
          </w:p>
        </w:tc>
        <w:tc>
          <w:tcPr>
            <w:tcW w:w="996" w:type="dxa"/>
            <w:vAlign w:val="center"/>
          </w:tcPr>
          <w:p w14:paraId="37E25516">
            <w:pPr>
              <w:spacing w:line="240" w:lineRule="auto"/>
              <w:jc w:val="center"/>
              <w:rPr>
                <w:sz w:val="22"/>
              </w:rPr>
            </w:pPr>
            <w:r>
              <w:rPr>
                <w:sz w:val="22"/>
              </w:rPr>
              <w:t>15,019</w:t>
            </w:r>
          </w:p>
        </w:tc>
        <w:tc>
          <w:tcPr>
            <w:tcW w:w="876" w:type="dxa"/>
            <w:vAlign w:val="center"/>
          </w:tcPr>
          <w:p w14:paraId="00E7057D">
            <w:pPr>
              <w:spacing w:line="240" w:lineRule="auto"/>
              <w:jc w:val="center"/>
              <w:rPr>
                <w:sz w:val="22"/>
              </w:rPr>
            </w:pPr>
            <w:r>
              <w:rPr>
                <w:sz w:val="22"/>
              </w:rPr>
              <w:t>26</w:t>
            </w:r>
          </w:p>
        </w:tc>
        <w:tc>
          <w:tcPr>
            <w:tcW w:w="1574" w:type="dxa"/>
            <w:vAlign w:val="center"/>
          </w:tcPr>
          <w:p w14:paraId="39CA2D61">
            <w:pPr>
              <w:spacing w:line="240" w:lineRule="auto"/>
              <w:jc w:val="center"/>
              <w:rPr>
                <w:sz w:val="22"/>
              </w:rPr>
            </w:pPr>
            <w:r>
              <w:rPr>
                <w:sz w:val="22"/>
              </w:rPr>
              <w:t xml:space="preserve">0,000 </w:t>
            </w:r>
          </w:p>
        </w:tc>
        <w:tc>
          <w:tcPr>
            <w:tcW w:w="2341" w:type="dxa"/>
          </w:tcPr>
          <w:p w14:paraId="1C3BB915">
            <w:pPr>
              <w:spacing w:line="240" w:lineRule="auto"/>
              <w:jc w:val="both"/>
              <w:rPr>
                <w:sz w:val="22"/>
              </w:rPr>
            </w:pPr>
            <w:r>
              <w:rPr>
                <w:sz w:val="22"/>
              </w:rPr>
              <w:t>P &lt; 0,05= Signifikan</w:t>
            </w:r>
          </w:p>
        </w:tc>
      </w:tr>
    </w:tbl>
    <w:p w14:paraId="18393D2B">
      <w:pPr>
        <w:spacing w:line="240" w:lineRule="auto"/>
        <w:jc w:val="both"/>
      </w:pPr>
    </w:p>
    <w:p w14:paraId="66EC4926">
      <w:pPr>
        <w:spacing w:line="480" w:lineRule="auto"/>
        <w:ind w:firstLine="709"/>
        <w:jc w:val="both"/>
        <w:rPr>
          <w:lang w:val="it-IT"/>
        </w:rPr>
      </w:pPr>
      <w:r>
        <w:t>Hasil analisis uji-t data pretest dan posttest kemampuan menulis teks neegosiasi diperoleh t</w:t>
      </w:r>
      <w:r>
        <w:rPr>
          <w:vertAlign w:val="subscript"/>
        </w:rPr>
        <w:t>tabel</w:t>
      </w:r>
      <w:r>
        <w:t xml:space="preserve"> sebesar 1,706 dan t</w:t>
      </w:r>
      <w:r>
        <w:rPr>
          <w:vertAlign w:val="subscript"/>
        </w:rPr>
        <w:t>hitung</w:t>
      </w:r>
      <w:r>
        <w:t xml:space="preserve"> sebesar 15,019 , df = 26 dan nilai p sebesar 0,000. jadi dapat disimpulkan bahwa media pembelajaran berbasis video lebih efektif digunakan dalam pembelajaran menulis teks negosiasi. Akan tetapi, karna skor rata-rata pada tes awal dan tes akhir sama-sama mengalami peningkatan, perlu dilakukan perhitungan gain score atau peningkatan skor rata- rata untuk membuktikan keefektifan media pembelajaran berbasis video. </w:t>
      </w:r>
      <w:r>
        <w:rPr>
          <w:lang w:val="it-IT"/>
        </w:rPr>
        <w:t xml:space="preserve">Hasil perhitungan gain score dapat dilihat pada tabel berikut. </w:t>
      </w:r>
    </w:p>
    <w:p w14:paraId="11BF2F4B">
      <w:pPr>
        <w:pStyle w:val="13"/>
        <w:jc w:val="center"/>
        <w:rPr>
          <w:bCs w:val="0"/>
          <w:color w:val="auto"/>
          <w:sz w:val="24"/>
        </w:rPr>
      </w:pPr>
      <w:bookmarkStart w:id="10" w:name="_Toc239620508"/>
      <w:r>
        <w:rPr>
          <w:color w:val="auto"/>
          <w:sz w:val="24"/>
          <w:lang w:val="it-IT"/>
        </w:rPr>
        <w:t xml:space="preserve">Tabel 4. </w:t>
      </w:r>
      <w:r>
        <w:rPr>
          <w:color w:val="auto"/>
          <w:sz w:val="24"/>
        </w:rPr>
        <w:fldChar w:fldCharType="begin"/>
      </w:r>
      <w:r>
        <w:rPr>
          <w:color w:val="auto"/>
          <w:sz w:val="24"/>
          <w:lang w:val="it-IT"/>
        </w:rPr>
        <w:instrText xml:space="preserve"> SEQ Tabel_4. \* ARABIC </w:instrText>
      </w:r>
      <w:r>
        <w:rPr>
          <w:color w:val="auto"/>
          <w:sz w:val="24"/>
        </w:rPr>
        <w:fldChar w:fldCharType="separate"/>
      </w:r>
      <w:r>
        <w:rPr>
          <w:color w:val="auto"/>
          <w:sz w:val="24"/>
        </w:rPr>
        <w:t>8</w:t>
      </w:r>
      <w:r>
        <w:rPr>
          <w:color w:val="auto"/>
          <w:sz w:val="24"/>
        </w:rPr>
        <w:fldChar w:fldCharType="end"/>
      </w:r>
      <w:r>
        <w:rPr>
          <w:color w:val="auto"/>
          <w:sz w:val="24"/>
        </w:rPr>
        <w:t xml:space="preserve"> </w:t>
      </w:r>
      <w:r>
        <w:rPr>
          <w:bCs w:val="0"/>
          <w:color w:val="auto"/>
          <w:sz w:val="24"/>
        </w:rPr>
        <w:t>Rangkuman Kenaikan Skor Rata-rata (</w:t>
      </w:r>
      <w:r>
        <w:rPr>
          <w:bCs w:val="0"/>
          <w:i/>
          <w:color w:val="auto"/>
          <w:sz w:val="24"/>
        </w:rPr>
        <w:t>Gain Score</w:t>
      </w:r>
      <w:r>
        <w:rPr>
          <w:bCs w:val="0"/>
          <w:color w:val="auto"/>
          <w:sz w:val="24"/>
        </w:rPr>
        <w:t>)</w:t>
      </w:r>
      <w:bookmarkEnd w:id="10"/>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3"/>
        <w:gridCol w:w="1823"/>
        <w:gridCol w:w="2843"/>
      </w:tblGrid>
      <w:tr w14:paraId="73211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vAlign w:val="center"/>
          </w:tcPr>
          <w:p w14:paraId="6E8606B7">
            <w:pPr>
              <w:spacing w:line="240" w:lineRule="auto"/>
              <w:jc w:val="center"/>
              <w:rPr>
                <w:b/>
                <w:sz w:val="22"/>
              </w:rPr>
            </w:pPr>
            <w:r>
              <w:rPr>
                <w:b/>
                <w:sz w:val="22"/>
              </w:rPr>
              <w:t>Data</w:t>
            </w:r>
          </w:p>
        </w:tc>
        <w:tc>
          <w:tcPr>
            <w:tcW w:w="1823" w:type="dxa"/>
            <w:vAlign w:val="center"/>
          </w:tcPr>
          <w:p w14:paraId="26BC9CB5">
            <w:pPr>
              <w:spacing w:line="240" w:lineRule="auto"/>
              <w:jc w:val="center"/>
              <w:rPr>
                <w:b/>
                <w:sz w:val="22"/>
              </w:rPr>
            </w:pPr>
            <w:r>
              <w:rPr>
                <w:b/>
                <w:sz w:val="22"/>
              </w:rPr>
              <w:t>Skor rata-rata</w:t>
            </w:r>
          </w:p>
        </w:tc>
        <w:tc>
          <w:tcPr>
            <w:tcW w:w="2843" w:type="dxa"/>
            <w:vAlign w:val="center"/>
          </w:tcPr>
          <w:p w14:paraId="2CD499E8">
            <w:pPr>
              <w:spacing w:line="240" w:lineRule="auto"/>
              <w:jc w:val="center"/>
              <w:rPr>
                <w:b/>
                <w:sz w:val="22"/>
              </w:rPr>
            </w:pPr>
            <w:r>
              <w:rPr>
                <w:b/>
                <w:sz w:val="22"/>
              </w:rPr>
              <w:t>Kenaikan skor rata-rata</w:t>
            </w:r>
          </w:p>
        </w:tc>
      </w:tr>
      <w:tr w14:paraId="7D1A8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vAlign w:val="center"/>
          </w:tcPr>
          <w:p w14:paraId="588B4246">
            <w:pPr>
              <w:spacing w:line="240" w:lineRule="auto"/>
              <w:jc w:val="center"/>
              <w:rPr>
                <w:sz w:val="22"/>
              </w:rPr>
            </w:pPr>
            <w:r>
              <w:rPr>
                <w:sz w:val="22"/>
              </w:rPr>
              <w:t>Pretest</w:t>
            </w:r>
          </w:p>
        </w:tc>
        <w:tc>
          <w:tcPr>
            <w:tcW w:w="1823" w:type="dxa"/>
            <w:vAlign w:val="center"/>
          </w:tcPr>
          <w:p w14:paraId="717A5802">
            <w:pPr>
              <w:spacing w:line="240" w:lineRule="auto"/>
              <w:jc w:val="center"/>
              <w:rPr>
                <w:sz w:val="22"/>
              </w:rPr>
            </w:pPr>
            <w:r>
              <w:rPr>
                <w:sz w:val="22"/>
              </w:rPr>
              <w:t>67,70</w:t>
            </w:r>
          </w:p>
        </w:tc>
        <w:tc>
          <w:tcPr>
            <w:tcW w:w="2843" w:type="dxa"/>
            <w:vMerge w:val="restart"/>
            <w:vAlign w:val="center"/>
          </w:tcPr>
          <w:p w14:paraId="7D8F4A18">
            <w:pPr>
              <w:spacing w:line="240" w:lineRule="auto"/>
              <w:jc w:val="center"/>
              <w:rPr>
                <w:sz w:val="22"/>
              </w:rPr>
            </w:pPr>
            <w:r>
              <w:rPr>
                <w:sz w:val="22"/>
              </w:rPr>
              <w:t>67,70-82,81 = 15,11</w:t>
            </w:r>
          </w:p>
        </w:tc>
      </w:tr>
      <w:tr w14:paraId="0E872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vAlign w:val="center"/>
          </w:tcPr>
          <w:p w14:paraId="7DC1EC45">
            <w:pPr>
              <w:spacing w:line="240" w:lineRule="auto"/>
              <w:jc w:val="center"/>
              <w:rPr>
                <w:sz w:val="22"/>
              </w:rPr>
            </w:pPr>
            <w:r>
              <w:rPr>
                <w:sz w:val="22"/>
              </w:rPr>
              <w:t>Posttest</w:t>
            </w:r>
          </w:p>
        </w:tc>
        <w:tc>
          <w:tcPr>
            <w:tcW w:w="1823" w:type="dxa"/>
            <w:vAlign w:val="center"/>
          </w:tcPr>
          <w:p w14:paraId="13920230">
            <w:pPr>
              <w:spacing w:line="240" w:lineRule="auto"/>
              <w:jc w:val="center"/>
              <w:rPr>
                <w:sz w:val="22"/>
              </w:rPr>
            </w:pPr>
            <w:r>
              <w:rPr>
                <w:sz w:val="22"/>
              </w:rPr>
              <w:t>82,81</w:t>
            </w:r>
          </w:p>
        </w:tc>
        <w:tc>
          <w:tcPr>
            <w:tcW w:w="2843" w:type="dxa"/>
            <w:vMerge w:val="continue"/>
            <w:vAlign w:val="center"/>
          </w:tcPr>
          <w:p w14:paraId="636AAD4C">
            <w:pPr>
              <w:spacing w:line="240" w:lineRule="auto"/>
              <w:jc w:val="center"/>
              <w:rPr>
                <w:sz w:val="22"/>
              </w:rPr>
            </w:pPr>
          </w:p>
        </w:tc>
      </w:tr>
    </w:tbl>
    <w:p w14:paraId="73437F9B">
      <w:pPr>
        <w:spacing w:line="240" w:lineRule="auto"/>
        <w:jc w:val="both"/>
      </w:pPr>
    </w:p>
    <w:p w14:paraId="7F834D19">
      <w:pPr>
        <w:spacing w:line="480" w:lineRule="auto"/>
        <w:ind w:firstLine="709"/>
        <w:jc w:val="both"/>
      </w:pPr>
      <w:r>
        <w:t xml:space="preserve">Berdasarkan tabel di atas diketahui bahwa peningkatan skor rata-rata pada posttest lebih tinggi daripada pretest, sehingga dapat disimpulkan hasil uji hipotesis sebagai berikut. </w:t>
      </w:r>
    </w:p>
    <w:p w14:paraId="6B31B895">
      <w:pPr>
        <w:spacing w:line="480" w:lineRule="auto"/>
        <w:ind w:left="851" w:hanging="567"/>
        <w:jc w:val="both"/>
      </w:pPr>
      <w:r>
        <w:t xml:space="preserve">Ho = Media pembelajaran berbasis video tidak efektif digunakan dalam pembelajaran teks negosiasi, ditolak. </w:t>
      </w:r>
    </w:p>
    <w:p w14:paraId="6D8319BF">
      <w:pPr>
        <w:spacing w:line="480" w:lineRule="auto"/>
        <w:ind w:left="851" w:hanging="567"/>
        <w:jc w:val="both"/>
      </w:pPr>
      <w:r>
        <w:t>H</w:t>
      </w:r>
      <w:r>
        <w:rPr>
          <w:vertAlign w:val="subscript"/>
        </w:rPr>
        <w:t>1</w:t>
      </w:r>
      <w:r>
        <w:t xml:space="preserve"> = Media pembelajaran berbasis video efektif digunakan dalam pembelajaran teks negosiasi, diterima. </w:t>
      </w:r>
    </w:p>
    <w:p w14:paraId="597FAAB3">
      <w:pPr>
        <w:pStyle w:val="3"/>
        <w:rPr>
          <w:color w:val="auto"/>
        </w:rPr>
      </w:pPr>
      <w:bookmarkStart w:id="11" w:name="_Toc239621411"/>
      <w:r>
        <w:rPr>
          <w:color w:val="auto"/>
        </w:rPr>
        <w:t>4.2 Pembahasan</w:t>
      </w:r>
      <w:bookmarkEnd w:id="11"/>
      <w:r>
        <w:rPr>
          <w:color w:val="auto"/>
        </w:rPr>
        <w:t xml:space="preserve"> </w:t>
      </w:r>
    </w:p>
    <w:p w14:paraId="11C467AD">
      <w:pPr>
        <w:spacing w:line="480" w:lineRule="auto"/>
        <w:ind w:firstLine="709"/>
        <w:jc w:val="both"/>
        <w:rPr>
          <w:lang w:val="it-IT"/>
        </w:rPr>
      </w:pPr>
      <w:r>
        <w:rPr>
          <w:lang w:val="it-IT"/>
        </w:rPr>
        <w:t xml:space="preserve">Penelitian ini dilakukan di SMA Negeri 14 Medan. Populasi dalam penelitian ini adalah siswa kelas X MIPA 1 SMA Negeri 14 Medan. Sampel dalam penelitian ini terdiri atas 27 siswa. </w:t>
      </w:r>
    </w:p>
    <w:p w14:paraId="36CA18BD">
      <w:pPr>
        <w:spacing w:line="480" w:lineRule="auto"/>
        <w:ind w:firstLine="709"/>
        <w:jc w:val="both"/>
        <w:rPr>
          <w:lang w:val="it-IT"/>
        </w:rPr>
      </w:pPr>
      <w:r>
        <w:rPr>
          <w:lang w:val="it-IT"/>
        </w:rPr>
        <w:t xml:space="preserve">Tujuan dari penelitian ini adalah untuk menguji keefektifan Media pembelajaran berbasis video dalam pembelajaran menulis teks negosiasi pada siswa kelas X SMA Negeri 14 Medan. Selain itu, penelitian ini juga bertujuan untuk mendeskripsikan keterampilan menulis teks negosiasi siswa dengan media pembelajaran berbasis video dalam pembelajaran menulis teks negosiasi pada siswa kelas X SMA Negeri 14 Medan. </w:t>
      </w:r>
    </w:p>
    <w:p w14:paraId="0223C9AE">
      <w:pPr>
        <w:spacing w:line="480" w:lineRule="auto"/>
        <w:ind w:left="426" w:hanging="426"/>
        <w:jc w:val="both"/>
        <w:rPr>
          <w:b/>
          <w:lang w:val="it-IT"/>
        </w:rPr>
      </w:pPr>
      <w:r>
        <w:rPr>
          <w:b/>
          <w:lang w:val="it-IT"/>
        </w:rPr>
        <w:t xml:space="preserve">1. </w:t>
      </w:r>
      <w:r>
        <w:rPr>
          <w:b/>
          <w:lang w:val="it-IT"/>
        </w:rPr>
        <w:tab/>
      </w:r>
      <w:r>
        <w:rPr>
          <w:b/>
          <w:lang w:val="it-IT"/>
        </w:rPr>
        <w:t>Hasil tes keterampilan menulis teks negosiasi pada pretest tanpa menggunakan media pembelajaran berbasis video.</w:t>
      </w:r>
    </w:p>
    <w:p w14:paraId="31FCC279">
      <w:pPr>
        <w:spacing w:line="480" w:lineRule="auto"/>
        <w:ind w:firstLine="709"/>
        <w:jc w:val="both"/>
        <w:rPr>
          <w:lang w:val="it-IT"/>
        </w:rPr>
      </w:pPr>
      <w:r>
        <w:rPr>
          <w:lang w:val="it-IT"/>
        </w:rPr>
        <w:t>Hasil analisis deskriptif nilai siswa sebelum mengikuti pembelajaran menulis teks negosiasi dengan menggunakan media pembelajaran berbasis video yang telah diuraikan pada bagian sebelumnya menunjukka bahwa (1) rata-rata nilai pretest yang diperoleh siswa adalah 67,70, jauh lebih rendah dari nilai yang mungkin dicapai yaitu 100 dan belum mencapai kriteria ketuntasan minimal (KKM), (2) nilai tertinggi yang diperoleh siswa adalah 83, dan (3) dari 27 orang atau 100 siswa yang mengikuti tes hanya 3 siswa yang mencapai kriteria ketuntasan minimal (KKM) yang ditentukan yaitu 75 pada skala penilaian 100. Dengan demikian dapat disimpulkan bahwa nilai siswa sebelum mengikuti pembelajaran menulis teks negosiasi dengan menggunakan media pembelajaran berbasis video tergolong rendah.</w:t>
      </w:r>
    </w:p>
    <w:p w14:paraId="48BD6085">
      <w:pPr>
        <w:pStyle w:val="32"/>
        <w:numPr>
          <w:ilvl w:val="0"/>
          <w:numId w:val="2"/>
        </w:numPr>
        <w:spacing w:line="480" w:lineRule="auto"/>
        <w:ind w:left="426"/>
        <w:jc w:val="both"/>
        <w:rPr>
          <w:b/>
        </w:rPr>
      </w:pPr>
      <w:r>
        <w:rPr>
          <w:b/>
        </w:rPr>
        <w:t>Hasil tes keterampilan menulis teks negosiasi pada posttest dengan menggunakan media pembelajaran berbasis video.</w:t>
      </w:r>
    </w:p>
    <w:p w14:paraId="242CA084">
      <w:pPr>
        <w:spacing w:line="480" w:lineRule="auto"/>
        <w:ind w:firstLine="709"/>
        <w:jc w:val="both"/>
      </w:pPr>
      <w:r>
        <w:t>Hasil analisis deskriptif nilai hasil belajar (positest) siswa setelah mengikuti pembelajaran menulis teks negosiasi dengan menggunakan media pembelajaran berbasis video yang telah diuraikan pada bagian sebelumnya menunjukkan: (1) rata-rata nilai posttest yang diperoleh siswa adalah 82,81. Rata-rata nilai yang diperoleh sudah mendekati nilai tertinggi yang mungkin dicapai yaitu 100, (2) nilai tertinggi yang diperoleh siswa adalah 95 dan nilai terendah adalah 75. serta (3) dari 27 orang atau 100% siswa yang mengikuti tes telah mencapai kriteria ketuntasan minimal (KKM). Dengan demikian, dapat disimpulkan bahwa nilai hasil belajar siswa setelah mengikuti pembelajaran menulis teks negosiasi dengan menggunakan media pembelajaran berbasis video telah memenuhi kriteria ketuntasan minimal (KKM).</w:t>
      </w:r>
    </w:p>
    <w:p w14:paraId="5F16A565">
      <w:pPr>
        <w:spacing w:line="480" w:lineRule="auto"/>
        <w:ind w:firstLine="709"/>
        <w:jc w:val="both"/>
      </w:pPr>
      <w:r>
        <w:t>Beberapa siswa yang memperoleh nilai hasil belajar di bawah KKM yang telah ditentukan memang memiliki perkembangan kognitif yang lebih lambat dibanding kebanyakan teman-temannya. Bahkan guru sekali-kali memberikan perhatian khusus berupa bimbingan selama proses pembelajaran berlangsung agar dapat mengikuti pembelajaran dengan baik.</w:t>
      </w:r>
    </w:p>
    <w:p w14:paraId="02D3EB70">
      <w:pPr>
        <w:pStyle w:val="32"/>
        <w:numPr>
          <w:ilvl w:val="0"/>
          <w:numId w:val="2"/>
        </w:numPr>
        <w:spacing w:line="480" w:lineRule="auto"/>
        <w:ind w:left="426" w:hanging="426"/>
        <w:jc w:val="both"/>
        <w:rPr>
          <w:b/>
        </w:rPr>
      </w:pPr>
      <w:r>
        <w:rPr>
          <w:b/>
        </w:rPr>
        <w:t>Hasil analisis inferensial</w:t>
      </w:r>
    </w:p>
    <w:p w14:paraId="16FBCFB4">
      <w:pPr>
        <w:spacing w:line="480" w:lineRule="auto"/>
        <w:ind w:firstLine="709"/>
        <w:jc w:val="both"/>
      </w:pPr>
      <w:r>
        <w:t>Hasil analisis data penelitian ini dapat diuraikan berdasarkan temuan penggunaan media pembelajaran berbasis video dalam pembelajaran menulis teks negosiasi siswa kelas X SMA Negeri 14 Medan. Dari hasil perhitungan statistik inferensial jenis uji t diperoleh nilai tube sebesar 1,706 dan thitung sebesar 15,019, df = 26 pada taraf signifikan 0,05. Kriteria perhitungannya yaitu: Hj diterima apabila thitung 2 tube: Dengan melihat hasil hipotesis pengujian, dapat dinyatakan bahwa Hj dapat diterima atau pembelajaran menulis teks negosiasi dengan menggunakan media pembelajaran berbasis video efektif digunakan.</w:t>
      </w:r>
    </w:p>
    <w:p w14:paraId="555BDFB8"/>
    <w:sectPr>
      <w:headerReference r:id="rId7" w:type="first"/>
      <w:footerReference r:id="rId10" w:type="first"/>
      <w:headerReference r:id="rId5" w:type="default"/>
      <w:footerReference r:id="rId8" w:type="default"/>
      <w:headerReference r:id="rId6" w:type="even"/>
      <w:footerReference r:id="rId9" w:type="even"/>
      <w:pgSz w:w="11907" w:h="16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D7385">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57EE5">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EEDB0">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25D07">
    <w:pPr>
      <w:pStyle w:val="15"/>
    </w:pPr>
    <w:r>
      <w:rPr>
        <w14:ligatures w14:val="standardContextual"/>
      </w:rPr>
      <w:pict>
        <v:shape id="WordPictureWatermark46510486" o:spid="_x0000_s2051" o:spt="75" type="#_x0000_t75" style="position:absolute;left:0pt;height:451.3pt;width:451.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62588">
    <w:pPr>
      <w:pStyle w:val="15"/>
    </w:pPr>
    <w:r>
      <w:rPr>
        <w14:ligatures w14:val="standardContextual"/>
      </w:rPr>
      <w:pict>
        <v:shape id="WordPictureWatermark46510485" o:spid="_x0000_s2050" o:spt="75" type="#_x0000_t75" style="position:absolute;left:0pt;height:451.3pt;width:451.3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47DB7">
    <w:pPr>
      <w:pStyle w:val="15"/>
    </w:pPr>
    <w:r>
      <w:rPr>
        <w14:ligatures w14:val="standardContextual"/>
      </w:rPr>
      <w:pict>
        <v:shape id="WordPictureWatermark46510484" o:spid="_x0000_s2049" o:spt="75" type="#_x0000_t75" style="position:absolute;left:0pt;height:451.3pt;width:451.3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A56D3F"/>
    <w:multiLevelType w:val="multilevel"/>
    <w:tmpl w:val="58A56D3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5C20EBF"/>
    <w:multiLevelType w:val="multilevel"/>
    <w:tmpl w:val="65C20EBF"/>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90Pzbl+vQ/OMn5EBzQhWSOBIY18=" w:salt="1OU8+yXnTwXU7Wns2pct6g=="/>
  <w:defaultTabStop w:val="720"/>
  <w:drawingGridHorizontalSpacing w:val="110"/>
  <w:displayHorizontalDrawingGridEvery w:val="2"/>
  <w:displayVertic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90D"/>
    <w:rsid w:val="001B416D"/>
    <w:rsid w:val="00371CED"/>
    <w:rsid w:val="0052090D"/>
    <w:rsid w:val="00607FDE"/>
    <w:rsid w:val="007A3CFE"/>
    <w:rsid w:val="008B5F34"/>
    <w:rsid w:val="00977123"/>
    <w:rsid w:val="0D7C6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pPr>
    <w:rPr>
      <w:rFonts w:ascii="Times New Roman" w:hAnsi="Times New Roman" w:eastAsiaTheme="minorEastAsia" w:cstheme="minorBidi"/>
      <w:kern w:val="0"/>
      <w:sz w:val="24"/>
      <w:szCs w:val="22"/>
      <w:lang w:val="en-US" w:eastAsia="en-US" w:bidi="ar-SA"/>
      <w14:ligatures w14:val="none"/>
    </w:rPr>
  </w:style>
  <w:style w:type="paragraph" w:styleId="2">
    <w:name w:val="heading 1"/>
    <w:basedOn w:val="1"/>
    <w:next w:val="1"/>
    <w:link w:val="19"/>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0"/>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1"/>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2"/>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3"/>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4"/>
    <w:semiHidden/>
    <w:unhideWhenUsed/>
    <w:qFormat/>
    <w:uiPriority w:val="9"/>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5"/>
    <w:semiHidden/>
    <w:unhideWhenUsed/>
    <w:qFormat/>
    <w:uiPriority w:val="9"/>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caption"/>
    <w:basedOn w:val="1"/>
    <w:next w:val="1"/>
    <w:unhideWhenUsed/>
    <w:qFormat/>
    <w:uiPriority w:val="35"/>
    <w:pPr>
      <w:spacing w:line="240" w:lineRule="auto"/>
    </w:pPr>
    <w:rPr>
      <w:b/>
      <w:bCs/>
      <w:color w:val="4472C4" w:themeColor="accent1"/>
      <w:sz w:val="18"/>
      <w:szCs w:val="18"/>
      <w14:textFill>
        <w14:solidFill>
          <w14:schemeClr w14:val="accent1"/>
        </w14:solidFill>
      </w14:textFill>
    </w:rPr>
  </w:style>
  <w:style w:type="paragraph" w:styleId="14">
    <w:name w:val="footer"/>
    <w:basedOn w:val="1"/>
    <w:link w:val="38"/>
    <w:unhideWhenUsed/>
    <w:qFormat/>
    <w:uiPriority w:val="99"/>
    <w:pPr>
      <w:tabs>
        <w:tab w:val="center" w:pos="4680"/>
        <w:tab w:val="right" w:pos="9360"/>
      </w:tabs>
      <w:spacing w:line="240" w:lineRule="auto"/>
    </w:pPr>
  </w:style>
  <w:style w:type="paragraph" w:styleId="15">
    <w:name w:val="header"/>
    <w:basedOn w:val="1"/>
    <w:link w:val="37"/>
    <w:unhideWhenUsed/>
    <w:uiPriority w:val="99"/>
    <w:pPr>
      <w:tabs>
        <w:tab w:val="center" w:pos="4680"/>
        <w:tab w:val="right" w:pos="9360"/>
      </w:tabs>
      <w:spacing w:line="240" w:lineRule="auto"/>
    </w:pPr>
  </w:style>
  <w:style w:type="paragraph" w:styleId="16">
    <w:name w:val="Subtitle"/>
    <w:basedOn w:val="1"/>
    <w:next w:val="1"/>
    <w:link w:val="2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7">
    <w:name w:val="Table Grid"/>
    <w:basedOn w:val="12"/>
    <w:uiPriority w:val="59"/>
    <w:pPr>
      <w:spacing w:after="0" w:line="240" w:lineRule="auto"/>
    </w:pPr>
    <w:rPr>
      <w:rFonts w:eastAsiaTheme="minorEastAsia"/>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Title"/>
    <w:basedOn w:val="1"/>
    <w:next w:val="1"/>
    <w:link w:val="28"/>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9">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0">
    <w:name w:val="Heading 2 Char"/>
    <w:basedOn w:val="11"/>
    <w:link w:val="3"/>
    <w:qFormat/>
    <w:uiPriority w:val="9"/>
    <w:rPr>
      <w:rFonts w:asciiTheme="majorHAnsi" w:hAnsiTheme="majorHAnsi" w:eastAsiaTheme="majorEastAsia" w:cstheme="majorBidi"/>
      <w:color w:val="2F5597" w:themeColor="accent1" w:themeShade="BF"/>
      <w:sz w:val="32"/>
      <w:szCs w:val="32"/>
    </w:rPr>
  </w:style>
  <w:style w:type="character" w:customStyle="1" w:styleId="21">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22">
    <w:name w:val="Heading 4 Char"/>
    <w:basedOn w:val="11"/>
    <w:link w:val="5"/>
    <w:semiHidden/>
    <w:qFormat/>
    <w:uiPriority w:val="9"/>
    <w:rPr>
      <w:rFonts w:eastAsiaTheme="majorEastAsia" w:cstheme="majorBidi"/>
      <w:i/>
      <w:iCs/>
      <w:color w:val="2F5597" w:themeColor="accent1" w:themeShade="BF"/>
    </w:rPr>
  </w:style>
  <w:style w:type="character" w:customStyle="1" w:styleId="23">
    <w:name w:val="Heading 5 Char"/>
    <w:basedOn w:val="11"/>
    <w:link w:val="6"/>
    <w:semiHidden/>
    <w:qFormat/>
    <w:uiPriority w:val="9"/>
    <w:rPr>
      <w:rFonts w:eastAsiaTheme="majorEastAsia" w:cstheme="majorBidi"/>
      <w:color w:val="2F5597" w:themeColor="accent1" w:themeShade="BF"/>
    </w:rPr>
  </w:style>
  <w:style w:type="character" w:customStyle="1" w:styleId="24">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Title Char"/>
    <w:basedOn w:val="11"/>
    <w:link w:val="18"/>
    <w:qFormat/>
    <w:uiPriority w:val="10"/>
    <w:rPr>
      <w:rFonts w:asciiTheme="majorHAnsi" w:hAnsiTheme="majorHAnsi" w:eastAsiaTheme="majorEastAsia" w:cstheme="majorBidi"/>
      <w:spacing w:val="-10"/>
      <w:kern w:val="28"/>
      <w:sz w:val="56"/>
      <w:szCs w:val="56"/>
    </w:rPr>
  </w:style>
  <w:style w:type="character" w:customStyle="1" w:styleId="29">
    <w:name w:val="Subtitle Char"/>
    <w:basedOn w:val="11"/>
    <w:link w:val="1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Quote Char"/>
    <w:basedOn w:val="11"/>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1"/>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Intense Quote Char"/>
    <w:basedOn w:val="11"/>
    <w:link w:val="34"/>
    <w:qFormat/>
    <w:uiPriority w:val="30"/>
    <w:rPr>
      <w:i/>
      <w:iCs/>
      <w:color w:val="2F5597" w:themeColor="accent1" w:themeShade="BF"/>
    </w:rPr>
  </w:style>
  <w:style w:type="character" w:customStyle="1" w:styleId="36">
    <w:name w:val="Intense Reference"/>
    <w:basedOn w:val="11"/>
    <w:qFormat/>
    <w:uiPriority w:val="32"/>
    <w:rPr>
      <w:b/>
      <w:bCs/>
      <w:smallCaps/>
      <w:color w:val="2F5597" w:themeColor="accent1" w:themeShade="BF"/>
      <w:spacing w:val="5"/>
    </w:rPr>
  </w:style>
  <w:style w:type="character" w:customStyle="1" w:styleId="37">
    <w:name w:val="Header Char"/>
    <w:basedOn w:val="11"/>
    <w:link w:val="15"/>
    <w:uiPriority w:val="99"/>
    <w:rPr>
      <w:rFonts w:ascii="Times New Roman" w:hAnsi="Times New Roman" w:eastAsiaTheme="minorEastAsia"/>
      <w:kern w:val="0"/>
      <w:szCs w:val="22"/>
      <w14:ligatures w14:val="none"/>
    </w:rPr>
  </w:style>
  <w:style w:type="character" w:customStyle="1" w:styleId="38">
    <w:name w:val="Footer Char"/>
    <w:basedOn w:val="11"/>
    <w:link w:val="14"/>
    <w:qFormat/>
    <w:uiPriority w:val="99"/>
    <w:rPr>
      <w:rFonts w:ascii="Times New Roman" w:hAnsi="Times New Roman" w:eastAsiaTheme="minorEastAsia"/>
      <w:kern w:val="0"/>
      <w:szCs w:val="22"/>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1603</Words>
  <Characters>9962</Characters>
  <Lines>83</Lines>
  <Paragraphs>23</Paragraphs>
  <TotalTime>1</TotalTime>
  <ScaleCrop>false</ScaleCrop>
  <LinksUpToDate>false</LinksUpToDate>
  <CharactersWithSpaces>11426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2026-09-09T13:00:00Z</dcterms:created>
  <dc:creator>ina com</dc:creator>
  <cp:lastModifiedBy>Administrator</cp:lastModifiedBy>
  <dcterms:modified xsi:type="dcterms:W3CDTF">2026-09-18T06:55:13Z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5A60B053A62540B2BC8CD9476508C0B0_13</vt:lpwstr>
  </property>
</Properties>
</file>