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76630">
      <w:pPr>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BAB IV</w:t>
      </w:r>
    </w:p>
    <w:p w14:paraId="0F296E70">
      <w:pPr>
        <w:spacing w:after="0" w:line="48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rPr>
        <w:t>HASIL DAN PEMBAHASAN</w:t>
      </w:r>
    </w:p>
    <w:p w14:paraId="079A2A54">
      <w:pPr>
        <w:spacing w:after="0" w:line="240" w:lineRule="auto"/>
        <w:jc w:val="center"/>
        <w:rPr>
          <w:rFonts w:ascii="Times New Roman" w:hAnsi="Times New Roman" w:cs="Times New Roman"/>
          <w:b/>
          <w:color w:val="000000"/>
          <w:sz w:val="24"/>
          <w:szCs w:val="24"/>
          <w:lang w:val="en-US"/>
        </w:rPr>
      </w:pPr>
    </w:p>
    <w:p w14:paraId="3D701DEE">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4.1 Persiapan Sampel</w:t>
      </w:r>
    </w:p>
    <w:p w14:paraId="4699838C">
      <w:pPr>
        <w:spacing w:after="0" w:line="480" w:lineRule="auto"/>
        <w:ind w:firstLine="720"/>
        <w:jc w:val="both"/>
        <w:rPr>
          <w:rFonts w:ascii="Times New Roman" w:hAnsi="Times New Roman" w:cs="Times New Roman"/>
          <w:bCs/>
          <w:sz w:val="24"/>
          <w:szCs w:val="24"/>
        </w:rPr>
      </w:pPr>
      <w:r>
        <w:rPr>
          <w:rFonts w:ascii="Times New Roman" w:hAnsi="Times New Roman" w:cs="Times New Roman"/>
          <w:bCs/>
          <w:color w:val="000000"/>
          <w:sz w:val="24"/>
          <w:szCs w:val="24"/>
        </w:rPr>
        <w:t>Kerang panggang pulut (</w:t>
      </w:r>
      <w:r>
        <w:rPr>
          <w:rFonts w:ascii="Times New Roman" w:hAnsi="Times New Roman" w:cs="Times New Roman"/>
          <w:bCs/>
          <w:i/>
          <w:iCs/>
          <w:color w:val="000000"/>
          <w:sz w:val="24"/>
          <w:szCs w:val="24"/>
        </w:rPr>
        <w:t>Atrina pectinata</w:t>
      </w:r>
      <w:r>
        <w:rPr>
          <w:rFonts w:ascii="Times New Roman" w:hAnsi="Times New Roman" w:cs="Times New Roman"/>
          <w:bCs/>
          <w:color w:val="000000"/>
          <w:sz w:val="24"/>
          <w:szCs w:val="24"/>
        </w:rPr>
        <w:t xml:space="preserve">) yang digunakan dalam penelitian ini diambil dari daerah </w:t>
      </w:r>
      <w:r>
        <w:rPr>
          <w:rFonts w:ascii="Times New Roman" w:hAnsi="Times New Roman" w:cs="Times New Roman"/>
          <w:bCs/>
          <w:sz w:val="24"/>
          <w:szCs w:val="24"/>
        </w:rPr>
        <w:t>Desa Tebing Tinggi, Kec. Tanjung Beringin, Kab. Serdang Bedagai, Sumatera Utara. Kerang panggang pulut yang diperoleh sebanyak 4 kg kemudian cangkang dicuci bersih sampai tidak ada kotoran yang tertinggal. Setelah dibersihkan, cangkang dikeringkan dibawah sinar matahari selama 1 minggu sampai sampel kering bertujuan agar kadar air berkurang secara optimal dan sampel tidak mengalami kerusakan sebelum proses dimulai. Cangkang kerang kemudian dihancurkan dengan lumpang kayu dan alu agar menjadi serpihan kasar. Seletah itu, serpihan dihaluskan dengan menggunakan blender dan dilakukan pengayakan dengan menggunakan ayakan mesh 40 untuk menghasilkan serbuk yang halus. Hasil akhir dari proses ini menghasilkan 967,5 g serbuk halus dari 4 kg cangkang kerang yang dikumpulkan. Setelah itu serbuk cangkang kerang dimasukkan kedalam wadah tertutup dan disimpan di suhu ruang.</w:t>
      </w:r>
    </w:p>
    <w:p w14:paraId="27F642C8">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Paprika merah diperoleh dari kemang indah pasar buah di jalan sisimangaraja, kota medan. Sebanyak 12 buah yang telah disortasi, kemudian dibersihkan dengan mencuci menggunakan air mengalir untuk menghilangkan kotoran yang menempel, lalu dikeringkan dengan tisu hingga tidak ada sisa air yang tersisa pada permukaannya. Paprika merah yang dibersihkan digunakan sebagai sampel coating kitosan cangkang kerang panggang pulut yang kemudian akan di uji fisikokimia paprika merah setelah 8 hari penyimpanan pada suhu ruang.</w:t>
      </w:r>
    </w:p>
    <w:p w14:paraId="6F3715CE">
      <w:pPr>
        <w:spacing w:after="0" w:line="480" w:lineRule="auto"/>
        <w:ind w:firstLine="720"/>
        <w:jc w:val="both"/>
        <w:rPr>
          <w:rFonts w:ascii="Times New Roman" w:hAnsi="Times New Roman" w:cs="Times New Roman"/>
          <w:bCs/>
          <w:sz w:val="24"/>
          <w:szCs w:val="24"/>
        </w:rPr>
      </w:pPr>
    </w:p>
    <w:p w14:paraId="60B610D5">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en-US"/>
        </w:rPr>
        <w:t xml:space="preserve">4.2 </w:t>
      </w:r>
      <w:r>
        <w:rPr>
          <w:rFonts w:ascii="Times New Roman" w:hAnsi="Times New Roman" w:cs="Times New Roman"/>
          <w:b/>
          <w:color w:val="000000"/>
          <w:sz w:val="24"/>
          <w:szCs w:val="24"/>
        </w:rPr>
        <w:t>Proses Isolasi Kitin Menjadi Kitosan</w:t>
      </w:r>
    </w:p>
    <w:p w14:paraId="6A608665">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Proses pembuatan kitin dan kitosan dari cangkang kerang panggang pulut yang dilakukan dengan beberapa tahap, yaitu deproteinasi, demineralisasri, depigmentasi dan deasetilasi.</w:t>
      </w:r>
    </w:p>
    <w:p w14:paraId="1D54A25A">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en-US"/>
        </w:rPr>
        <w:t>4.2.1</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Proses Deproteinasi</w:t>
      </w:r>
    </w:p>
    <w:p w14:paraId="32F41440">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Proses deproteinasi merupakan proses penghilangan protein yang terdapat di dalam serbuk cangkang kerang panggang pulut.</w:t>
      </w:r>
      <w:r>
        <w:t xml:space="preserve"> </w:t>
      </w:r>
      <w:r>
        <w:rPr>
          <w:rFonts w:ascii="Times New Roman" w:hAnsi="Times New Roman" w:cs="Times New Roman"/>
          <w:bCs/>
          <w:color w:val="000000"/>
          <w:sz w:val="24"/>
          <w:szCs w:val="24"/>
        </w:rPr>
        <w:t>Proses yang terjadi selama deproteinasi yaitu NaOH akan masuk ke celah-celah cangkang kerang untuk memutuskan ikatan protein dan kitin. Ion Na</w:t>
      </w:r>
      <w:r>
        <w:rPr>
          <w:rFonts w:ascii="Times New Roman" w:hAnsi="Times New Roman" w:cs="Times New Roman"/>
          <w:bCs/>
          <w:color w:val="000000"/>
          <w:sz w:val="24"/>
          <w:szCs w:val="24"/>
          <w:vertAlign w:val="superscript"/>
        </w:rPr>
        <w:t>+</w:t>
      </w:r>
      <w:r>
        <w:rPr>
          <w:rFonts w:ascii="Times New Roman" w:hAnsi="Times New Roman" w:cs="Times New Roman"/>
          <w:bCs/>
          <w:color w:val="000000"/>
          <w:sz w:val="24"/>
          <w:szCs w:val="24"/>
        </w:rPr>
        <w:t xml:space="preserve"> dari NaOH akan mengikat ujung rantai protein yang bermuatan negatif. Protein yang terikat akan terekstrak dan berada dalam bentuk Natrium proteinat yang kemudian terbawa bersama akuades pada saat pencucian </w:t>
      </w:r>
      <w:bookmarkStart w:id="1" w:name="_GoBack"/>
      <w:sdt>
        <w:sdtPr>
          <w:rPr>
            <w:rFonts w:ascii="Times New Roman" w:hAnsi="Times New Roman" w:cs="Times New Roman"/>
            <w:bCs/>
            <w:color w:val="000000"/>
            <w:sz w:val="24"/>
            <w:szCs w:val="24"/>
          </w:rPr>
          <w:tag w:val="MENDELEY_CITATION_v3_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"/>
          <w:id w:val="-1248265155"/>
          <w:placeholder>
            <w:docPart w:val="DC74CB170FA94F8D921123F75D3CDE4C"/>
          </w:placeholder>
        </w:sdtPr>
        <w:sdtEndPr>
          <w:rPr>
            <w:rFonts w:ascii="Times New Roman" w:hAnsi="Times New Roman" w:cs="Times New Roman"/>
            <w:bCs/>
            <w:color w:val="000000"/>
            <w:sz w:val="24"/>
            <w:szCs w:val="24"/>
          </w:rPr>
        </w:sdtEndPr>
        <w:sdtContent>
          <w:r>
            <w:rPr>
              <w:rFonts w:ascii="Times New Roman" w:hAnsi="Times New Roman" w:cs="Times New Roman"/>
              <w:bCs/>
              <w:color w:val="000000"/>
              <w:sz w:val="24"/>
              <w:szCs w:val="24"/>
            </w:rPr>
            <w:t>(Nurhamzah et al., 2024)</w:t>
          </w:r>
        </w:sdtContent>
      </w:sdt>
      <w:bookmarkEnd w:id="1"/>
      <w:r>
        <w:rPr>
          <w:rFonts w:ascii="Times New Roman" w:hAnsi="Times New Roman" w:cs="Times New Roman"/>
          <w:bCs/>
          <w:color w:val="000000"/>
          <w:sz w:val="24"/>
          <w:szCs w:val="24"/>
        </w:rPr>
        <w:t>.</w:t>
      </w:r>
    </w:p>
    <w:p w14:paraId="641AFB2C">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Serbuk kerang panggang pulut yang dihasilkan dari proses pengayakan sebanyak 100 g, kemudian dilarutkan dengan NaOH 3,5 % dengan perbandingan 1:10 (b/v) sambil diaduk dan dipanaskan pada suhu 90ºC selama 1 jam menggunakan </w:t>
      </w:r>
      <w:r>
        <w:rPr>
          <w:rFonts w:ascii="Times New Roman" w:hAnsi="Times New Roman" w:cs="Times New Roman"/>
          <w:bCs/>
          <w:i/>
          <w:iCs/>
          <w:color w:val="000000"/>
          <w:sz w:val="24"/>
          <w:szCs w:val="24"/>
        </w:rPr>
        <w:t>magnetic stirrer</w:t>
      </w:r>
      <w:r>
        <w:rPr>
          <w:rFonts w:ascii="Times New Roman" w:hAnsi="Times New Roman" w:cs="Times New Roman"/>
          <w:bCs/>
          <w:color w:val="000000"/>
          <w:sz w:val="24"/>
          <w:szCs w:val="24"/>
        </w:rPr>
        <w:t>. Proses pengadukan dan pemanasan yang bertujuan untuk mempercepat pengikatan ujung rantai protein dengan NaOH sehingga tahap degradasi dan pengendapan protein berlangsung sempurna. Setelah itu dilakukan penyaringan residu dengan mengalirkan aquadest sebanyak 3 liter sampai diperoleh pH netral. Residu yang diperoleh dimasukkan ke dalam oven dengan suhu 60ºC selama 4 jam. Hasil dari deproteinasi berupa serbuk berwarna coklat muda serta penurunan bobot sampel yang di dapatkan hasil akhir  yaitu 83,600 g dan diperoleh rendemen sebesar 83,60%.</w:t>
      </w:r>
    </w:p>
    <w:p w14:paraId="7B0A5D12">
      <w:pPr>
        <w:spacing w:after="0" w:line="480" w:lineRule="auto"/>
        <w:ind w:firstLine="720"/>
        <w:jc w:val="both"/>
        <w:rPr>
          <w:rFonts w:ascii="Times New Roman" w:hAnsi="Times New Roman" w:cs="Times New Roman"/>
          <w:bCs/>
          <w:color w:val="000000"/>
          <w:sz w:val="24"/>
          <w:szCs w:val="24"/>
        </w:rPr>
      </w:pPr>
    </w:p>
    <w:p w14:paraId="76D75486">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lang w:val="en-US"/>
        </w:rPr>
        <w:t>4.2.2</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Proses Demineralisasi</w:t>
      </w:r>
    </w:p>
    <w:p w14:paraId="408A0D25">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Tahap demineralisasi bertujuan untuk menghilangkan kandungan mineral yang terdapat dalam sampel cangkang kerang panggang pulut. Proses ini menggunakan HCl 2 N. Berdasarkan hasil penelitian yang telah dilakukan, proses pemisahan mineral ditandai dengan terbentuknya CO</w:t>
      </w:r>
      <w:r>
        <w:rPr>
          <w:rFonts w:ascii="Times New Roman" w:hAnsi="Times New Roman" w:cs="Times New Roman"/>
          <w:bCs/>
          <w:color w:val="000000"/>
          <w:sz w:val="24"/>
          <w:szCs w:val="24"/>
          <w:vertAlign w:val="subscript"/>
        </w:rPr>
        <w:t>2</w:t>
      </w:r>
      <w:r>
        <w:rPr>
          <w:rFonts w:ascii="Times New Roman" w:hAnsi="Times New Roman" w:cs="Times New Roman"/>
          <w:bCs/>
          <w:color w:val="000000"/>
          <w:sz w:val="24"/>
          <w:szCs w:val="24"/>
        </w:rPr>
        <w:t xml:space="preserve"> berupa gelembung udara pada saat larutan HCl ditambahkan ke dalam sampel, sehingga penambahan HCl dilakukan secara bertahap agar sampel tidak meluap. Proses demineralisasi ini memegang peranan penting dalam isolasi kitin. Hasil dari tahap ini sangat mempengaruhi kualitas kitin terutama dalam penentuan kadar abu. Semakin rendah kadar abu, maka semakin tinggi kemurnian kitin yang dihasilkan.</w:t>
      </w:r>
    </w:p>
    <w:p w14:paraId="60696839">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Pada proses demineralisasi berat awal sampel 83,600 g yang merupakan berat dari hasil deproteinasi, kemudian sampel dicuci dengan aquadest hingga mencapai pH netral untuk menghilangkan sisa asam, kemudian dikeringkan pada suhu 60°C selama 4 jam. Berat akhir didapatkan dari proses tersebut sebesar 46,70 g. Hasil dari proses demineralisasi menunjukkan terjadinya penurunan bobot sampel sebesar 55.86% dari berat sampel setelah deproteinasi. </w:t>
      </w:r>
      <w:r>
        <w:rPr>
          <w:rFonts w:ascii="Times New Roman" w:hAnsi="Times New Roman" w:cs="Times New Roman"/>
          <w:bCs/>
          <w:color w:val="000000"/>
          <w:sz w:val="24"/>
          <w:szCs w:val="24"/>
          <w:lang w:val="en-US"/>
        </w:rPr>
        <w:t xml:space="preserve">Hal tersebut menunjukkan telah terjadinya degradasi kadar mineral yang terkandung dalam sampel.  </w:t>
      </w:r>
    </w:p>
    <w:p w14:paraId="6BF127B6">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lang w:val="en-US"/>
        </w:rPr>
        <w:t>4.2.3</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Proses Depigmentasi</w:t>
      </w:r>
    </w:p>
    <w:p w14:paraId="68F2C000">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Proses depigmentasi kerang panggang pulut berdasarkan hasil penelitian yang telah dilakukan, terlepasnya pigmen warna yang terkandung dalam sampel ditandai dengan warna serbuk cangkang kerang panggang pulut berubah dari coklat menjadi putih cream. Tujuan dari proses ini adalah untuk memberi produk kitosan yang dihasilkan dengan memberikan penampakan yang menarik. Dari hasil proses depigmentasi berat sampel mengalami penurunan dari 46,700 g menjadi 45,300 g, yang menunjukkan penurunan bobot sebesar 97% dari berat sampel setelah demineralisasi. Penurunan ini mencerminkan penghilangan pigmen dan senyawa organik lainnya yang tidak diinginkan, yang berkontribusi pada peningkatan kemurnian kitin.</w:t>
      </w:r>
    </w:p>
    <w:p w14:paraId="62439D7E">
      <w:pPr>
        <w:spacing w:after="0" w:line="480" w:lineRule="auto"/>
        <w:jc w:val="both"/>
        <w:rPr>
          <w:rFonts w:ascii="Times New Roman" w:hAnsi="Times New Roman" w:cs="Times New Roman"/>
          <w:b/>
          <w:color w:val="000000"/>
          <w:sz w:val="24"/>
          <w:szCs w:val="24"/>
          <w:lang w:val="fi-FI"/>
        </w:rPr>
      </w:pPr>
      <w:r>
        <w:rPr>
          <w:rFonts w:ascii="Times New Roman" w:hAnsi="Times New Roman" w:cs="Times New Roman"/>
          <w:b/>
          <w:color w:val="000000"/>
          <w:sz w:val="24"/>
          <w:szCs w:val="24"/>
          <w:lang w:val="fi-FI"/>
        </w:rPr>
        <w:t>4.2.4</w:t>
      </w:r>
      <w:r>
        <w:rPr>
          <w:rFonts w:ascii="Times New Roman" w:hAnsi="Times New Roman" w:cs="Times New Roman"/>
          <w:b/>
          <w:color w:val="000000"/>
          <w:sz w:val="24"/>
          <w:szCs w:val="24"/>
          <w:lang w:val="fi-FI"/>
        </w:rPr>
        <w:tab/>
      </w:r>
      <w:r>
        <w:rPr>
          <w:rFonts w:ascii="Times New Roman" w:hAnsi="Times New Roman" w:cs="Times New Roman"/>
          <w:b/>
          <w:color w:val="000000"/>
          <w:sz w:val="24"/>
          <w:szCs w:val="24"/>
          <w:lang w:val="fi-FI"/>
        </w:rPr>
        <w:t>Hasil Proses Deasetilasi Kitin Menjadi Kitosan</w:t>
      </w:r>
    </w:p>
    <w:p w14:paraId="3AB8D203">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Pembuatan kitosan dari kitin cangkang kerang panggang pulut dilakukan dengan proses deasetilasi menggunakan larutan NaOH 50%. Pada proses deasetilasi kitin dimaksudkan untuk memutus ikatan antara karbon pada gugus asetil dengan atom nitrogen pada kitin, sehingga berubah menjadi gugus amina (-NH</w:t>
      </w:r>
      <w:r>
        <w:rPr>
          <w:rFonts w:ascii="Times New Roman" w:hAnsi="Times New Roman" w:cs="Times New Roman"/>
          <w:bCs/>
          <w:color w:val="000000"/>
          <w:sz w:val="24"/>
          <w:szCs w:val="24"/>
          <w:vertAlign w:val="subscript"/>
        </w:rPr>
        <w:t>2</w:t>
      </w:r>
      <w:r>
        <w:rPr>
          <w:rFonts w:ascii="Times New Roman" w:hAnsi="Times New Roman" w:cs="Times New Roman"/>
          <w:bCs/>
          <w:color w:val="000000"/>
          <w:sz w:val="24"/>
          <w:szCs w:val="24"/>
        </w:rPr>
        <w:t>). Kitin tahan terhadap larutan basa konsentrasi tinggi, suhu tinggi, serta waktu deasetilasi yang lama karena unit sel kitin berstruktur kristalin dan adanya ikatan hidrogen yang meluas antar atom nitrogen dan gugus karboksil tetangganya. Transformasi kitin menjadi kitosan merupakan reaksi hidrolisis.</w:t>
      </w:r>
    </w:p>
    <w:p w14:paraId="069D7818">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Setelah proses deasetilasi, sampel dicuci dengan aquadest hingga mencapai pH netral untuk menghilangkan sisa NaOH, kemudian dikeringkan dalam oven pada suhu 60°C selama 4 jam. Hasil akhir dari proses ini berupa serbuk kitosan berwarna putih dengan berat 28,750 g. Penurunan berat ini menunjukkan efisiensi proses deasetilasi dalam menghilangkan gugus asetil dan senyawa lain yang tidak diinginkan serta menunjukkan terjadinya penurunan bobot pada sampel sebesar 63,46 % dari berat sampel setelah proses depigmentasi.</w:t>
      </w:r>
    </w:p>
    <w:p w14:paraId="166E8ABB">
      <w:pPr>
        <w:spacing w:after="0" w:line="480" w:lineRule="auto"/>
        <w:ind w:firstLine="720"/>
        <w:jc w:val="both"/>
        <w:rPr>
          <w:rFonts w:ascii="Times New Roman" w:hAnsi="Times New Roman" w:cs="Times New Roman"/>
          <w:bCs/>
          <w:color w:val="000000"/>
          <w:sz w:val="24"/>
          <w:szCs w:val="24"/>
        </w:rPr>
      </w:pPr>
    </w:p>
    <w:p w14:paraId="2D1EB44B">
      <w:pPr>
        <w:spacing w:after="0" w:line="480" w:lineRule="auto"/>
        <w:ind w:firstLine="720"/>
        <w:jc w:val="both"/>
        <w:rPr>
          <w:rFonts w:ascii="Times New Roman" w:hAnsi="Times New Roman" w:cs="Times New Roman"/>
          <w:bCs/>
          <w:color w:val="000000"/>
          <w:sz w:val="24"/>
          <w:szCs w:val="24"/>
        </w:rPr>
      </w:pPr>
    </w:p>
    <w:p w14:paraId="33933F1C">
      <w:pPr>
        <w:spacing w:after="0" w:line="480" w:lineRule="auto"/>
        <w:ind w:firstLine="720"/>
        <w:jc w:val="both"/>
        <w:rPr>
          <w:rFonts w:ascii="Times New Roman" w:hAnsi="Times New Roman" w:cs="Times New Roman"/>
          <w:bCs/>
          <w:color w:val="000000"/>
          <w:sz w:val="24"/>
          <w:szCs w:val="24"/>
        </w:rPr>
      </w:pPr>
    </w:p>
    <w:p w14:paraId="1B2D11F0">
      <w:pPr>
        <w:spacing w:after="0" w:line="240" w:lineRule="auto"/>
        <w:ind w:left="426" w:hanging="426"/>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4.3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Pengujian Kemurnian Kitin, Kitosan Baku Dan Hasil Isolasi</w:t>
      </w:r>
      <w:r>
        <w:rPr>
          <w:rFonts w:ascii="Times New Roman" w:hAnsi="Times New Roman" w:cs="Times New Roman"/>
          <w:b/>
          <w:color w:val="000000"/>
          <w:sz w:val="24"/>
          <w:szCs w:val="24"/>
          <w:lang w:val="en-US"/>
        </w:rPr>
        <w:t xml:space="preserve"> </w:t>
      </w:r>
      <w:r>
        <w:rPr>
          <w:rFonts w:ascii="Times New Roman" w:hAnsi="Times New Roman" w:cs="Times New Roman"/>
          <w:b/>
          <w:color w:val="000000"/>
          <w:sz w:val="24"/>
          <w:szCs w:val="24"/>
        </w:rPr>
        <w:t>Kitosan Cangkang Kerang Panggang Pulut Menggunakan FT-IR</w:t>
      </w:r>
    </w:p>
    <w:p w14:paraId="34CC85AA">
      <w:pPr>
        <w:spacing w:after="0" w:line="240" w:lineRule="auto"/>
        <w:ind w:left="426" w:hanging="426"/>
        <w:jc w:val="both"/>
        <w:rPr>
          <w:rFonts w:ascii="Times New Roman" w:hAnsi="Times New Roman" w:cs="Times New Roman"/>
          <w:b/>
          <w:color w:val="000000"/>
          <w:sz w:val="24"/>
          <w:szCs w:val="24"/>
          <w:lang w:val="en-US"/>
        </w:rPr>
      </w:pPr>
    </w:p>
    <w:p w14:paraId="245B384E">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lang w:val="en-US"/>
        </w:rPr>
        <w:t>4.3.1</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Kitin Cangkang Kerang Panggang Pulut</w:t>
      </w:r>
    </w:p>
    <w:p w14:paraId="1FCA7AF4">
      <w:pPr>
        <w:spacing w:after="0" w:line="360" w:lineRule="auto"/>
        <w:jc w:val="center"/>
        <w:rPr>
          <w:rFonts w:ascii="Times New Roman" w:hAnsi="Times New Roman" w:cs="Times New Roman"/>
          <w:b/>
          <w:color w:val="000000"/>
          <w:sz w:val="24"/>
          <w:szCs w:val="24"/>
          <w:lang w:val="en-US"/>
        </w:rPr>
      </w:pPr>
      <w:r>
        <w:rPr>
          <w:lang w:val="en-US"/>
        </w:rPr>
        <w:drawing>
          <wp:inline distT="0" distB="0" distL="0" distR="0">
            <wp:extent cx="4090670" cy="2723515"/>
            <wp:effectExtent l="0" t="0" r="5080" b="635"/>
            <wp:docPr id="662474110"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74110" name="Picture 205"/>
                    <pic:cNvPicPr>
                      <a:picLocks noChangeAspect="1" noChangeArrowheads="1"/>
                    </pic:cNvPicPr>
                  </pic:nvPicPr>
                  <pic:blipFill>
                    <a:blip r:embed="rId11">
                      <a:extLst>
                        <a:ext uri="{28A0092B-C50C-407E-A947-70E740481C1C}">
                          <a14:useLocalDpi xmlns:a14="http://schemas.microsoft.com/office/drawing/2010/main" val="0"/>
                        </a:ext>
                      </a:extLst>
                    </a:blip>
                    <a:srcRect l="1984" t="11084" r="1780" b="9366"/>
                    <a:stretch>
                      <a:fillRect/>
                    </a:stretch>
                  </pic:blipFill>
                  <pic:spPr>
                    <a:xfrm>
                      <a:off x="0" y="0"/>
                      <a:ext cx="4091167" cy="2724039"/>
                    </a:xfrm>
                    <a:prstGeom prst="rect">
                      <a:avLst/>
                    </a:prstGeom>
                    <a:noFill/>
                    <a:ln>
                      <a:noFill/>
                    </a:ln>
                  </pic:spPr>
                </pic:pic>
              </a:graphicData>
            </a:graphic>
          </wp:inline>
        </w:drawing>
      </w:r>
    </w:p>
    <w:p w14:paraId="694013CE">
      <w:pPr>
        <w:spacing w:after="240" w:line="24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 xml:space="preserve">Gambar 4.1 </w:t>
      </w:r>
      <w:r>
        <w:rPr>
          <w:rFonts w:ascii="Times New Roman" w:hAnsi="Times New Roman" w:cs="Times New Roman"/>
          <w:bCs/>
          <w:color w:val="000000"/>
          <w:sz w:val="24"/>
          <w:szCs w:val="24"/>
        </w:rPr>
        <w:t xml:space="preserve">Hasil Spektrum </w:t>
      </w:r>
      <w:r>
        <w:rPr>
          <w:rFonts w:ascii="Times New Roman" w:hAnsi="Times New Roman" w:cs="Times New Roman"/>
          <w:sz w:val="24"/>
          <w:szCs w:val="24"/>
          <w:lang w:val="zh-CN"/>
        </w:rPr>
        <w:t xml:space="preserve">FTIR kitin </w:t>
      </w:r>
      <w:r>
        <w:rPr>
          <w:rFonts w:ascii="Times New Roman" w:hAnsi="Times New Roman" w:cs="Times New Roman"/>
          <w:bCs/>
          <w:color w:val="000000"/>
          <w:sz w:val="24"/>
          <w:szCs w:val="24"/>
        </w:rPr>
        <w:t>Cangkang Kerang Panggang Pulut</w:t>
      </w:r>
    </w:p>
    <w:p w14:paraId="19341F6C">
      <w:pPr>
        <w:spacing w:after="0" w:line="480" w:lineRule="auto"/>
        <w:ind w:firstLine="720"/>
        <w:jc w:val="both"/>
        <w:rPr>
          <w:rFonts w:ascii="Times New Roman" w:hAnsi="Times New Roman" w:cs="Times New Roman"/>
          <w:sz w:val="28"/>
          <w:szCs w:val="28"/>
          <w:lang w:val="en-US"/>
        </w:rPr>
      </w:pPr>
      <w:r>
        <w:rPr>
          <w:rFonts w:ascii="Times New Roman" w:hAnsi="Times New Roman" w:cs="Times New Roman"/>
          <w:sz w:val="24"/>
          <w:szCs w:val="24"/>
          <w:lang w:val="en-US"/>
        </w:rPr>
        <w:t xml:space="preserve">Spektrum FTIR pada Gambar 4.1 menunjukkan bahwa hasil isolasi kitin dari cangkang kerang panggang pulut memiliki gugus-gugus fungsi utama yang merupakan karakteristik struktur kimia kitin. Untuk mengidentifikasi kesesuaian struktur, spektrum ini dibandingkan dengan </w:t>
      </w:r>
      <w:r>
        <w:rPr>
          <w:rFonts w:ascii="Times New Roman" w:hAnsi="Times New Roman" w:cs="Times New Roman"/>
          <w:sz w:val="24"/>
          <w:szCs w:val="24"/>
          <w:lang w:val="zh-CN"/>
        </w:rPr>
        <w:t>hasil karakterisasi kitin yang telah dipublikasikan dalam jurnal ilmiah yang berasal dari sumber biologis yang berbeda, yaitu kitin dari spesies serangga.</w:t>
      </w:r>
    </w:p>
    <w:p w14:paraId="1EBB9B35">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Dari hasil analisis diperoleh pita serapan pada bilangan gelombang 3298,03 cm⁻¹ yang mengindikasikan adanya vibrasi ulur (stretching) gugus hidroksil (O–H) dan amina (N–H). Pita ini berkaitan erat dengan adanya ikatan hidrogen intramolekul yang sering ditemukan dalam struktur polisakarida seperti kitin. Sebagai pembanding, spektrum referensi menunjukkan pita serapan serupa pada bilangan gelombang sekitar 3440 cm⁻¹, yang juga mengindikasikan keberadaan vibrasi O–H dan N–H. Perbedaan posisi bilangan gelombang tersebut masih berada dalam batas yang dapat diterima dan kemungkinan disebabkan oleh perbedaan asal biologis, kondisi isolasi, atau kadar kelembapan pada sampel.</w:t>
      </w:r>
    </w:p>
    <w:p w14:paraId="0FC8512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Selain itu, spektrum FTIR hasil isolasi juga menunjukkan keberadaan pita serapan lain yang khas, seperti pita amida I (getaran C=O), amida II (getaran N–H dan C–N), serta getaran C–O–C dari gugus eter. Keberadaan pita-pita ini semakin menguatkan bahwa senyawa yang diperoleh merupakan kitin. Kesamaan pola spektrum antara sampel dan referensi menunjukkan bahwa struktur kimia kitin dari cangkang kerang panggang pulut sesuai dengan karakteristik umum kitin.</w:t>
      </w:r>
    </w:p>
    <w:p w14:paraId="2EF38487">
      <w:pPr>
        <w:spacing w:line="24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zh-CN"/>
        </w:rPr>
        <w:t xml:space="preserve">Tabel 4.1 </w:t>
      </w:r>
      <w:r>
        <w:rPr>
          <w:rFonts w:ascii="Times New Roman" w:hAnsi="Times New Roman" w:cs="Times New Roman"/>
          <w:sz w:val="24"/>
          <w:szCs w:val="24"/>
          <w:lang w:val="zh-CN"/>
        </w:rPr>
        <w:t>Perbandingan Bilangan Gelombang Spektrun FTIR Kitin</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3"/>
        <w:gridCol w:w="2871"/>
        <w:gridCol w:w="2404"/>
      </w:tblGrid>
      <w:tr w14:paraId="1D6F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vAlign w:val="center"/>
          </w:tcPr>
          <w:p w14:paraId="4A000D38">
            <w:pPr>
              <w:spacing w:line="240" w:lineRule="auto"/>
              <w:jc w:val="center"/>
              <w:rPr>
                <w:rFonts w:ascii="Times New Roman" w:hAnsi="Times New Roman" w:cs="Times New Roman"/>
                <w:b/>
                <w:sz w:val="24"/>
                <w:szCs w:val="28"/>
              </w:rPr>
            </w:pPr>
            <w:r>
              <w:rPr>
                <w:rFonts w:ascii="Times New Roman" w:hAnsi="Times New Roman" w:cs="Times New Roman"/>
                <w:b/>
                <w:sz w:val="24"/>
                <w:szCs w:val="28"/>
              </w:rPr>
              <w:t>Gugus Fungsi</w:t>
            </w:r>
          </w:p>
        </w:tc>
        <w:tc>
          <w:tcPr>
            <w:tcW w:w="2871" w:type="dxa"/>
            <w:tcBorders>
              <w:top w:val="single" w:color="auto" w:sz="4" w:space="0"/>
              <w:left w:val="single" w:color="auto" w:sz="4" w:space="0"/>
              <w:bottom w:val="single" w:color="auto" w:sz="4" w:space="0"/>
              <w:right w:val="single" w:color="auto" w:sz="4" w:space="0"/>
            </w:tcBorders>
            <w:vAlign w:val="center"/>
          </w:tcPr>
          <w:p w14:paraId="461FBE80">
            <w:pPr>
              <w:spacing w:line="240" w:lineRule="auto"/>
              <w:jc w:val="center"/>
              <w:rPr>
                <w:rFonts w:ascii="Times New Roman" w:hAnsi="Times New Roman" w:cs="Times New Roman"/>
                <w:b/>
                <w:sz w:val="24"/>
                <w:szCs w:val="28"/>
              </w:rPr>
            </w:pPr>
            <w:r>
              <w:rPr>
                <w:rFonts w:ascii="Times New Roman" w:hAnsi="Times New Roman" w:cs="Times New Roman"/>
                <w:b/>
                <w:sz w:val="24"/>
                <w:szCs w:val="28"/>
              </w:rPr>
              <w:t>Kitin Kerang panggang pulut  (cm⁻¹)</w:t>
            </w:r>
          </w:p>
        </w:tc>
        <w:tc>
          <w:tcPr>
            <w:tcW w:w="2404" w:type="dxa"/>
            <w:tcBorders>
              <w:top w:val="single" w:color="auto" w:sz="4" w:space="0"/>
              <w:left w:val="single" w:color="auto" w:sz="4" w:space="0"/>
              <w:bottom w:val="single" w:color="auto" w:sz="4" w:space="0"/>
              <w:right w:val="single" w:color="auto" w:sz="4" w:space="0"/>
            </w:tcBorders>
            <w:vAlign w:val="center"/>
          </w:tcPr>
          <w:p w14:paraId="499F43D5">
            <w:pPr>
              <w:spacing w:line="240" w:lineRule="auto"/>
              <w:jc w:val="center"/>
              <w:rPr>
                <w:rFonts w:ascii="Times New Roman" w:hAnsi="Times New Roman" w:cs="Times New Roman"/>
                <w:b/>
                <w:sz w:val="24"/>
                <w:szCs w:val="28"/>
              </w:rPr>
            </w:pPr>
            <w:r>
              <w:rPr>
                <w:rFonts w:ascii="Times New Roman" w:hAnsi="Times New Roman" w:cs="Times New Roman"/>
                <w:b/>
                <w:sz w:val="24"/>
                <w:szCs w:val="28"/>
              </w:rPr>
              <w:t>Kitin Referensi (cm⁻¹)</w:t>
            </w:r>
          </w:p>
        </w:tc>
      </w:tr>
      <w:tr w14:paraId="013A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3B9AC96C">
            <w:pPr>
              <w:spacing w:line="240" w:lineRule="auto"/>
              <w:jc w:val="both"/>
              <w:rPr>
                <w:rFonts w:ascii="Times New Roman" w:hAnsi="Times New Roman" w:cs="Times New Roman"/>
                <w:sz w:val="24"/>
                <w:szCs w:val="28"/>
                <w:lang w:val="fi-FI"/>
              </w:rPr>
            </w:pPr>
            <w:r>
              <w:rPr>
                <w:rFonts w:ascii="Times New Roman" w:hAnsi="Times New Roman" w:cs="Times New Roman"/>
                <w:sz w:val="24"/>
                <w:szCs w:val="28"/>
                <w:lang w:val="fi-FI"/>
              </w:rPr>
              <w:t>Vibrasi ulur O-H &amp; N-H</w:t>
            </w:r>
          </w:p>
        </w:tc>
        <w:tc>
          <w:tcPr>
            <w:tcW w:w="2871" w:type="dxa"/>
            <w:tcBorders>
              <w:top w:val="single" w:color="auto" w:sz="4" w:space="0"/>
              <w:left w:val="single" w:color="auto" w:sz="4" w:space="0"/>
              <w:bottom w:val="single" w:color="auto" w:sz="4" w:space="0"/>
              <w:right w:val="single" w:color="auto" w:sz="4" w:space="0"/>
            </w:tcBorders>
            <w:vAlign w:val="center"/>
          </w:tcPr>
          <w:p w14:paraId="3EA5BDA9">
            <w:pPr>
              <w:spacing w:line="240" w:lineRule="auto"/>
              <w:jc w:val="center"/>
              <w:rPr>
                <w:rFonts w:ascii="Times New Roman" w:hAnsi="Times New Roman" w:cs="Times New Roman"/>
                <w:sz w:val="24"/>
                <w:szCs w:val="28"/>
              </w:rPr>
            </w:pPr>
            <w:r>
              <w:rPr>
                <w:rFonts w:ascii="Times New Roman" w:hAnsi="Times New Roman" w:cs="Times New Roman"/>
                <w:sz w:val="24"/>
                <w:szCs w:val="28"/>
              </w:rPr>
              <w:t>3290,29</w:t>
            </w:r>
          </w:p>
        </w:tc>
        <w:tc>
          <w:tcPr>
            <w:tcW w:w="2404" w:type="dxa"/>
            <w:tcBorders>
              <w:top w:val="single" w:color="auto" w:sz="4" w:space="0"/>
              <w:left w:val="single" w:color="auto" w:sz="4" w:space="0"/>
              <w:bottom w:val="single" w:color="auto" w:sz="4" w:space="0"/>
              <w:right w:val="single" w:color="auto" w:sz="4" w:space="0"/>
            </w:tcBorders>
            <w:vAlign w:val="center"/>
          </w:tcPr>
          <w:p w14:paraId="219416B6">
            <w:pPr>
              <w:spacing w:line="240" w:lineRule="auto"/>
              <w:jc w:val="center"/>
              <w:rPr>
                <w:rFonts w:ascii="Times New Roman" w:hAnsi="Times New Roman" w:cs="Times New Roman"/>
                <w:sz w:val="24"/>
                <w:szCs w:val="28"/>
              </w:rPr>
            </w:pPr>
            <w:r>
              <w:rPr>
                <w:rFonts w:ascii="Times New Roman" w:hAnsi="Times New Roman" w:cs="Times New Roman"/>
                <w:sz w:val="24"/>
                <w:szCs w:val="28"/>
              </w:rPr>
              <w:t>3250-3440</w:t>
            </w:r>
          </w:p>
        </w:tc>
      </w:tr>
      <w:tr w14:paraId="66F7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0704FA45">
            <w:pPr>
              <w:spacing w:line="240" w:lineRule="auto"/>
              <w:jc w:val="both"/>
              <w:rPr>
                <w:rFonts w:ascii="Times New Roman" w:hAnsi="Times New Roman" w:cs="Times New Roman"/>
                <w:sz w:val="24"/>
                <w:szCs w:val="28"/>
              </w:rPr>
            </w:pPr>
            <w:r>
              <w:rPr>
                <w:rFonts w:ascii="Times New Roman" w:hAnsi="Times New Roman" w:cs="Times New Roman"/>
                <w:sz w:val="24"/>
                <w:szCs w:val="28"/>
              </w:rPr>
              <w:t>Vibrasi ulur C-H alifatik</w:t>
            </w:r>
          </w:p>
        </w:tc>
        <w:tc>
          <w:tcPr>
            <w:tcW w:w="2871" w:type="dxa"/>
            <w:tcBorders>
              <w:top w:val="single" w:color="auto" w:sz="4" w:space="0"/>
              <w:left w:val="single" w:color="auto" w:sz="4" w:space="0"/>
              <w:bottom w:val="single" w:color="auto" w:sz="4" w:space="0"/>
              <w:right w:val="single" w:color="auto" w:sz="4" w:space="0"/>
            </w:tcBorders>
            <w:vAlign w:val="center"/>
          </w:tcPr>
          <w:p w14:paraId="18D41AB6">
            <w:pPr>
              <w:spacing w:line="240" w:lineRule="auto"/>
              <w:jc w:val="center"/>
              <w:rPr>
                <w:rFonts w:ascii="Times New Roman" w:hAnsi="Times New Roman" w:cs="Times New Roman"/>
                <w:sz w:val="24"/>
                <w:szCs w:val="28"/>
              </w:rPr>
            </w:pPr>
            <w:r>
              <w:rPr>
                <w:rFonts w:ascii="Times New Roman" w:hAnsi="Times New Roman" w:cs="Times New Roman"/>
                <w:sz w:val="24"/>
                <w:szCs w:val="28"/>
              </w:rPr>
              <w:t>2894,07</w:t>
            </w:r>
          </w:p>
        </w:tc>
        <w:tc>
          <w:tcPr>
            <w:tcW w:w="2404" w:type="dxa"/>
            <w:tcBorders>
              <w:top w:val="single" w:color="auto" w:sz="4" w:space="0"/>
              <w:left w:val="single" w:color="auto" w:sz="4" w:space="0"/>
              <w:bottom w:val="single" w:color="auto" w:sz="4" w:space="0"/>
              <w:right w:val="single" w:color="auto" w:sz="4" w:space="0"/>
            </w:tcBorders>
            <w:vAlign w:val="center"/>
          </w:tcPr>
          <w:p w14:paraId="34E7CD7D">
            <w:pPr>
              <w:spacing w:line="240" w:lineRule="auto"/>
              <w:jc w:val="center"/>
              <w:rPr>
                <w:rFonts w:ascii="Times New Roman" w:hAnsi="Times New Roman" w:cs="Times New Roman"/>
                <w:sz w:val="24"/>
                <w:szCs w:val="28"/>
              </w:rPr>
            </w:pPr>
            <w:r>
              <w:rPr>
                <w:rFonts w:ascii="Times New Roman" w:hAnsi="Times New Roman" w:cs="Times New Roman"/>
                <w:sz w:val="24"/>
                <w:szCs w:val="28"/>
              </w:rPr>
              <w:t>2870-2960</w:t>
            </w:r>
          </w:p>
        </w:tc>
      </w:tr>
      <w:tr w14:paraId="5513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6F708252">
            <w:pPr>
              <w:spacing w:line="240" w:lineRule="auto"/>
              <w:jc w:val="both"/>
              <w:rPr>
                <w:rFonts w:ascii="Times New Roman" w:hAnsi="Times New Roman" w:cs="Times New Roman"/>
                <w:sz w:val="24"/>
                <w:szCs w:val="28"/>
              </w:rPr>
            </w:pPr>
            <w:r>
              <w:rPr>
                <w:rFonts w:ascii="Times New Roman" w:hAnsi="Times New Roman" w:cs="Times New Roman"/>
                <w:sz w:val="24"/>
                <w:szCs w:val="28"/>
              </w:rPr>
              <w:t>Vibrasi ulur C=O (Amida I)</w:t>
            </w:r>
          </w:p>
        </w:tc>
        <w:tc>
          <w:tcPr>
            <w:tcW w:w="2871" w:type="dxa"/>
            <w:tcBorders>
              <w:top w:val="single" w:color="auto" w:sz="4" w:space="0"/>
              <w:left w:val="single" w:color="auto" w:sz="4" w:space="0"/>
              <w:bottom w:val="single" w:color="auto" w:sz="4" w:space="0"/>
              <w:right w:val="single" w:color="auto" w:sz="4" w:space="0"/>
            </w:tcBorders>
            <w:vAlign w:val="center"/>
          </w:tcPr>
          <w:p w14:paraId="08C0368B">
            <w:pPr>
              <w:spacing w:line="240" w:lineRule="auto"/>
              <w:jc w:val="center"/>
              <w:rPr>
                <w:rFonts w:ascii="Times New Roman" w:hAnsi="Times New Roman" w:cs="Times New Roman"/>
                <w:sz w:val="24"/>
                <w:szCs w:val="28"/>
              </w:rPr>
            </w:pPr>
            <w:r>
              <w:rPr>
                <w:rFonts w:ascii="Times New Roman" w:hAnsi="Times New Roman" w:cs="Times New Roman"/>
                <w:sz w:val="24"/>
                <w:szCs w:val="28"/>
              </w:rPr>
              <w:t>1648,01</w:t>
            </w:r>
          </w:p>
        </w:tc>
        <w:tc>
          <w:tcPr>
            <w:tcW w:w="2404" w:type="dxa"/>
            <w:tcBorders>
              <w:top w:val="single" w:color="auto" w:sz="4" w:space="0"/>
              <w:left w:val="single" w:color="auto" w:sz="4" w:space="0"/>
              <w:bottom w:val="single" w:color="auto" w:sz="4" w:space="0"/>
              <w:right w:val="single" w:color="auto" w:sz="4" w:space="0"/>
            </w:tcBorders>
            <w:vAlign w:val="center"/>
          </w:tcPr>
          <w:p w14:paraId="11B3753A">
            <w:pPr>
              <w:spacing w:line="240" w:lineRule="auto"/>
              <w:jc w:val="center"/>
              <w:rPr>
                <w:rFonts w:ascii="Times New Roman" w:hAnsi="Times New Roman" w:cs="Times New Roman"/>
                <w:sz w:val="24"/>
                <w:szCs w:val="28"/>
              </w:rPr>
            </w:pPr>
            <w:r>
              <w:rPr>
                <w:rFonts w:ascii="Times New Roman" w:hAnsi="Times New Roman" w:cs="Times New Roman"/>
                <w:sz w:val="24"/>
                <w:szCs w:val="28"/>
              </w:rPr>
              <w:t>1630-1650</w:t>
            </w:r>
          </w:p>
        </w:tc>
      </w:tr>
      <w:tr w14:paraId="618F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147F001B">
            <w:pPr>
              <w:spacing w:line="240" w:lineRule="auto"/>
              <w:jc w:val="both"/>
              <w:rPr>
                <w:rFonts w:ascii="Times New Roman" w:hAnsi="Times New Roman" w:cs="Times New Roman"/>
                <w:sz w:val="24"/>
                <w:szCs w:val="28"/>
                <w:lang w:val="fi-FI"/>
              </w:rPr>
            </w:pPr>
            <w:r>
              <w:rPr>
                <w:rFonts w:ascii="Times New Roman" w:hAnsi="Times New Roman" w:cs="Times New Roman"/>
                <w:sz w:val="24"/>
                <w:szCs w:val="28"/>
                <w:lang w:val="fi-FI"/>
              </w:rPr>
              <w:t>Vibrasi tekuk N-H (Amida II)</w:t>
            </w:r>
          </w:p>
        </w:tc>
        <w:tc>
          <w:tcPr>
            <w:tcW w:w="2871" w:type="dxa"/>
            <w:tcBorders>
              <w:top w:val="single" w:color="auto" w:sz="4" w:space="0"/>
              <w:left w:val="single" w:color="auto" w:sz="4" w:space="0"/>
              <w:bottom w:val="single" w:color="auto" w:sz="4" w:space="0"/>
              <w:right w:val="single" w:color="auto" w:sz="4" w:space="0"/>
            </w:tcBorders>
            <w:vAlign w:val="center"/>
          </w:tcPr>
          <w:p w14:paraId="6C36B0FE">
            <w:pPr>
              <w:spacing w:line="240" w:lineRule="auto"/>
              <w:jc w:val="center"/>
              <w:rPr>
                <w:rFonts w:ascii="Times New Roman" w:hAnsi="Times New Roman" w:cs="Times New Roman"/>
                <w:sz w:val="24"/>
                <w:szCs w:val="28"/>
              </w:rPr>
            </w:pPr>
            <w:r>
              <w:rPr>
                <w:rFonts w:ascii="Times New Roman" w:hAnsi="Times New Roman" w:cs="Times New Roman"/>
                <w:sz w:val="24"/>
                <w:szCs w:val="28"/>
              </w:rPr>
              <w:t>1551,88</w:t>
            </w:r>
          </w:p>
        </w:tc>
        <w:tc>
          <w:tcPr>
            <w:tcW w:w="2404" w:type="dxa"/>
            <w:tcBorders>
              <w:top w:val="single" w:color="auto" w:sz="4" w:space="0"/>
              <w:left w:val="single" w:color="auto" w:sz="4" w:space="0"/>
              <w:bottom w:val="single" w:color="auto" w:sz="4" w:space="0"/>
              <w:right w:val="single" w:color="auto" w:sz="4" w:space="0"/>
            </w:tcBorders>
            <w:vAlign w:val="center"/>
          </w:tcPr>
          <w:p w14:paraId="71F49087">
            <w:pPr>
              <w:spacing w:line="240" w:lineRule="auto"/>
              <w:jc w:val="center"/>
              <w:rPr>
                <w:rFonts w:ascii="Times New Roman" w:hAnsi="Times New Roman" w:cs="Times New Roman"/>
                <w:sz w:val="24"/>
                <w:szCs w:val="28"/>
              </w:rPr>
            </w:pPr>
            <w:r>
              <w:rPr>
                <w:rFonts w:ascii="Times New Roman" w:hAnsi="Times New Roman" w:cs="Times New Roman"/>
                <w:sz w:val="24"/>
                <w:szCs w:val="28"/>
              </w:rPr>
              <w:t>1550-1558</w:t>
            </w:r>
          </w:p>
        </w:tc>
      </w:tr>
      <w:tr w14:paraId="31B4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0C925740">
            <w:pPr>
              <w:spacing w:line="240" w:lineRule="auto"/>
              <w:jc w:val="both"/>
              <w:rPr>
                <w:rFonts w:ascii="Times New Roman" w:hAnsi="Times New Roman" w:cs="Times New Roman"/>
                <w:sz w:val="24"/>
                <w:szCs w:val="28"/>
                <w:lang w:val="fi-FI"/>
              </w:rPr>
            </w:pPr>
            <w:r>
              <w:rPr>
                <w:rFonts w:ascii="Times New Roman" w:hAnsi="Times New Roman" w:cs="Times New Roman"/>
                <w:sz w:val="24"/>
                <w:szCs w:val="28"/>
                <w:lang w:val="fi-FI"/>
              </w:rPr>
              <w:t>Vibrasi ulur C-N (Amida III)</w:t>
            </w:r>
          </w:p>
        </w:tc>
        <w:tc>
          <w:tcPr>
            <w:tcW w:w="2871" w:type="dxa"/>
            <w:tcBorders>
              <w:top w:val="single" w:color="auto" w:sz="4" w:space="0"/>
              <w:left w:val="single" w:color="auto" w:sz="4" w:space="0"/>
              <w:bottom w:val="single" w:color="auto" w:sz="4" w:space="0"/>
              <w:right w:val="single" w:color="auto" w:sz="4" w:space="0"/>
            </w:tcBorders>
            <w:vAlign w:val="center"/>
          </w:tcPr>
          <w:p w14:paraId="74E05FBC">
            <w:pPr>
              <w:spacing w:line="240" w:lineRule="auto"/>
              <w:jc w:val="center"/>
              <w:rPr>
                <w:rFonts w:ascii="Times New Roman" w:hAnsi="Times New Roman" w:cs="Times New Roman"/>
                <w:sz w:val="24"/>
                <w:szCs w:val="28"/>
              </w:rPr>
            </w:pPr>
            <w:r>
              <w:rPr>
                <w:rFonts w:ascii="Times New Roman" w:hAnsi="Times New Roman" w:cs="Times New Roman"/>
                <w:sz w:val="24"/>
                <w:szCs w:val="28"/>
              </w:rPr>
              <w:t>1320,71</w:t>
            </w:r>
          </w:p>
        </w:tc>
        <w:tc>
          <w:tcPr>
            <w:tcW w:w="2404" w:type="dxa"/>
            <w:tcBorders>
              <w:top w:val="single" w:color="auto" w:sz="4" w:space="0"/>
              <w:left w:val="single" w:color="auto" w:sz="4" w:space="0"/>
              <w:bottom w:val="single" w:color="auto" w:sz="4" w:space="0"/>
              <w:right w:val="single" w:color="auto" w:sz="4" w:space="0"/>
            </w:tcBorders>
            <w:vAlign w:val="center"/>
          </w:tcPr>
          <w:p w14:paraId="0D1A62AE">
            <w:pPr>
              <w:spacing w:line="240" w:lineRule="auto"/>
              <w:jc w:val="center"/>
              <w:rPr>
                <w:rFonts w:ascii="Times New Roman" w:hAnsi="Times New Roman" w:cs="Times New Roman"/>
                <w:sz w:val="24"/>
                <w:szCs w:val="28"/>
              </w:rPr>
            </w:pPr>
            <w:r>
              <w:rPr>
                <w:rFonts w:ascii="Times New Roman" w:hAnsi="Times New Roman" w:cs="Times New Roman"/>
                <w:sz w:val="24"/>
                <w:szCs w:val="28"/>
              </w:rPr>
              <w:t>1310-1320</w:t>
            </w:r>
          </w:p>
        </w:tc>
      </w:tr>
      <w:tr w14:paraId="72F1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409F4EF5">
            <w:pPr>
              <w:spacing w:line="240" w:lineRule="auto"/>
              <w:jc w:val="both"/>
              <w:rPr>
                <w:rFonts w:ascii="Times New Roman" w:hAnsi="Times New Roman" w:cs="Times New Roman"/>
                <w:sz w:val="24"/>
                <w:szCs w:val="28"/>
              </w:rPr>
            </w:pPr>
            <w:r>
              <w:rPr>
                <w:rFonts w:ascii="Times New Roman" w:hAnsi="Times New Roman" w:cs="Times New Roman"/>
                <w:sz w:val="24"/>
                <w:szCs w:val="28"/>
              </w:rPr>
              <w:t>Vibrasi ulur C-O</w:t>
            </w:r>
          </w:p>
        </w:tc>
        <w:tc>
          <w:tcPr>
            <w:tcW w:w="2871" w:type="dxa"/>
            <w:tcBorders>
              <w:top w:val="single" w:color="auto" w:sz="4" w:space="0"/>
              <w:left w:val="single" w:color="auto" w:sz="4" w:space="0"/>
              <w:bottom w:val="single" w:color="auto" w:sz="4" w:space="0"/>
              <w:right w:val="single" w:color="auto" w:sz="4" w:space="0"/>
            </w:tcBorders>
            <w:vAlign w:val="center"/>
          </w:tcPr>
          <w:p w14:paraId="4D5A9ACA">
            <w:pPr>
              <w:spacing w:line="240" w:lineRule="auto"/>
              <w:jc w:val="center"/>
              <w:rPr>
                <w:rFonts w:ascii="Times New Roman" w:hAnsi="Times New Roman" w:cs="Times New Roman"/>
                <w:sz w:val="24"/>
                <w:szCs w:val="28"/>
              </w:rPr>
            </w:pPr>
            <w:r>
              <w:rPr>
                <w:rFonts w:ascii="Times New Roman" w:hAnsi="Times New Roman" w:cs="Times New Roman"/>
                <w:sz w:val="24"/>
                <w:szCs w:val="28"/>
              </w:rPr>
              <w:t>1016,37</w:t>
            </w:r>
          </w:p>
        </w:tc>
        <w:tc>
          <w:tcPr>
            <w:tcW w:w="2404" w:type="dxa"/>
            <w:tcBorders>
              <w:top w:val="single" w:color="auto" w:sz="4" w:space="0"/>
              <w:left w:val="single" w:color="auto" w:sz="4" w:space="0"/>
              <w:bottom w:val="single" w:color="auto" w:sz="4" w:space="0"/>
              <w:right w:val="single" w:color="auto" w:sz="4" w:space="0"/>
            </w:tcBorders>
            <w:vAlign w:val="center"/>
          </w:tcPr>
          <w:p w14:paraId="5425E202">
            <w:pPr>
              <w:spacing w:line="240" w:lineRule="auto"/>
              <w:jc w:val="center"/>
              <w:rPr>
                <w:rFonts w:ascii="Times New Roman" w:hAnsi="Times New Roman" w:cs="Times New Roman"/>
                <w:sz w:val="24"/>
                <w:szCs w:val="28"/>
              </w:rPr>
            </w:pPr>
            <w:r>
              <w:rPr>
                <w:rFonts w:ascii="Times New Roman" w:hAnsi="Times New Roman" w:cs="Times New Roman"/>
                <w:sz w:val="24"/>
                <w:szCs w:val="28"/>
              </w:rPr>
              <w:t>1020-1250</w:t>
            </w:r>
          </w:p>
        </w:tc>
      </w:tr>
      <w:tr w14:paraId="1E11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189662FE">
            <w:pPr>
              <w:spacing w:line="240" w:lineRule="auto"/>
              <w:jc w:val="both"/>
              <w:rPr>
                <w:rFonts w:ascii="Times New Roman" w:hAnsi="Times New Roman" w:cs="Times New Roman"/>
                <w:sz w:val="24"/>
                <w:szCs w:val="28"/>
              </w:rPr>
            </w:pPr>
            <w:r>
              <w:rPr>
                <w:rFonts w:ascii="Times New Roman" w:hAnsi="Times New Roman" w:cs="Times New Roman"/>
                <w:sz w:val="24"/>
                <w:szCs w:val="28"/>
              </w:rPr>
              <w:t>Vibrasi ulur β-1,4-glikosidik</w:t>
            </w:r>
          </w:p>
        </w:tc>
        <w:tc>
          <w:tcPr>
            <w:tcW w:w="2871" w:type="dxa"/>
            <w:tcBorders>
              <w:top w:val="single" w:color="auto" w:sz="4" w:space="0"/>
              <w:left w:val="single" w:color="auto" w:sz="4" w:space="0"/>
              <w:bottom w:val="single" w:color="auto" w:sz="4" w:space="0"/>
              <w:right w:val="single" w:color="auto" w:sz="4" w:space="0"/>
            </w:tcBorders>
            <w:vAlign w:val="center"/>
          </w:tcPr>
          <w:p w14:paraId="4895F82B">
            <w:pPr>
              <w:spacing w:line="240" w:lineRule="auto"/>
              <w:jc w:val="center"/>
              <w:rPr>
                <w:rFonts w:ascii="Times New Roman" w:hAnsi="Times New Roman" w:cs="Times New Roman"/>
                <w:sz w:val="24"/>
                <w:szCs w:val="28"/>
              </w:rPr>
            </w:pPr>
            <w:r>
              <w:rPr>
                <w:rFonts w:ascii="Times New Roman" w:hAnsi="Times New Roman" w:cs="Times New Roman"/>
                <w:sz w:val="24"/>
                <w:szCs w:val="28"/>
              </w:rPr>
              <w:t>838,36</w:t>
            </w:r>
          </w:p>
        </w:tc>
        <w:tc>
          <w:tcPr>
            <w:tcW w:w="2404" w:type="dxa"/>
            <w:tcBorders>
              <w:top w:val="single" w:color="auto" w:sz="4" w:space="0"/>
              <w:left w:val="single" w:color="auto" w:sz="4" w:space="0"/>
              <w:bottom w:val="single" w:color="auto" w:sz="4" w:space="0"/>
              <w:right w:val="single" w:color="auto" w:sz="4" w:space="0"/>
            </w:tcBorders>
            <w:vAlign w:val="center"/>
          </w:tcPr>
          <w:p w14:paraId="1EB16660">
            <w:pPr>
              <w:spacing w:line="240" w:lineRule="auto"/>
              <w:jc w:val="center"/>
              <w:rPr>
                <w:rFonts w:ascii="Times New Roman" w:hAnsi="Times New Roman" w:cs="Times New Roman"/>
                <w:sz w:val="24"/>
                <w:szCs w:val="28"/>
              </w:rPr>
            </w:pPr>
            <w:r>
              <w:rPr>
                <w:rFonts w:ascii="Times New Roman" w:hAnsi="Times New Roman" w:cs="Times New Roman"/>
                <w:sz w:val="24"/>
                <w:szCs w:val="28"/>
              </w:rPr>
              <w:t>890-950</w:t>
            </w:r>
          </w:p>
        </w:tc>
      </w:tr>
    </w:tbl>
    <w:p w14:paraId="5BCE31E2">
      <w:pPr>
        <w:spacing w:before="240"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4.1, dapat disimpulkan bahwa kitin hasil isolasi dari cangkang kerang panggang pulut memiliki kemiripan struktur dengan kitin hasil ekstraksi dari spesies lain. Hal ini menunjukkan bahwa proses ekstraksi telah berhasil menghasilkan kitin dengan struktur yang sesuai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{"citationItems":[{"id":"ITEM-1","itemData":{"DOI":"10.1080/1023666X.2014.902577","ISSN":"15635341","abstract":"The contents of the exoskeleton of Parapenaeus longirostris from Moroccan local sources were analyzed and the percentages of inorganic salt, protein, lipid, and chitin were determined. Chitin in the α form was extracted from Parapenaeus longirostris shells by 0.25 M HCl and 1 M NaOH treatment for demineralization and deproteinization, respectively. The obtained chitin was converted into the more useful soluble chitosan. The chemical structure and physico-chemical properties of chitin and chitosan were characterized using Fourier transform-infrared (FT-IR) spectroscopy, nuclear magnetic resonance (NMR) spectroscopy, X-ray diffractometry (XRD), and scanning electron microscopy (SEM). The molecular weight (MW) of chitosan was determined by viscometric methods. The degree of acetylation (DA) of chitin and chitosan was determined by the 1H NMR technique. To the best of our knowledge this is the first report on the extraction and characterization of chitin and chitosan from Parapenaeus longirostris. © 2014 Copyright Taylor &amp; Francis Group, LLC.","author":[{"dropping-particle":"","family":"Dahmane","given":"El Montassir","non-dropping-particle":"","parse-names":false,"suffix":""},{"dropping-particle":"","family":"Taourirte","given":"Moha","non-dropping-particle":"","parse-names":false,"suffix":""},{"dropping-particle":"","family":"Eladlani","given":"Nadia","non-dropping-particle":"","parse-names":false,"suffix":""},{"dropping-particle":"","family":"Rhazi","given":"Mohammed","non-dropping-particle":"","parse-names":false,"suffix":""}],"container-title":"International Journal of Polymer Analysis and Characterization","id":"ITEM-1","issue":"4","issued":{"date-parts":[["2014"]]},"page":"342-351","title":"Extraction and Characterization of Chitin and Chitosan from Parapenaeus longirostris from Moroccan Local Sources","type":"article-journal","volume":"19"},"uris":["http://www.mendeley.com/documents/?uuid=8c8b4739-f940-41c2-9f61-133b4e63abc4"]}],"mendeley":{"formattedCitation":"(Dahmane et al., 2014)","plainTextFormattedCitation":"(Dahmane et al., 2014)","previouslyFormattedCitation":"(Dahmane et al.,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(Mei et al., 2024)</w:t>
      </w:r>
      <w:r>
        <w:rPr>
          <w:rFonts w:ascii="Times New Roman" w:hAnsi="Times New Roman" w:cs="Times New Roman"/>
          <w:sz w:val="24"/>
          <w:szCs w:val="24"/>
        </w:rPr>
        <w:fldChar w:fldCharType="end"/>
      </w:r>
      <w:r>
        <w:rPr>
          <w:rFonts w:ascii="Times New Roman" w:hAnsi="Times New Roman" w:cs="Times New Roman"/>
          <w:sz w:val="24"/>
          <w:szCs w:val="24"/>
        </w:rPr>
        <w:t>.</w:t>
      </w:r>
    </w:p>
    <w:p w14:paraId="2F1D68E3">
      <w:pPr>
        <w:spacing w:before="240" w:after="0" w:line="480" w:lineRule="auto"/>
        <w:ind w:firstLine="720"/>
        <w:jc w:val="both"/>
        <w:rPr>
          <w:rFonts w:ascii="Times New Roman" w:hAnsi="Times New Roman" w:cs="Times New Roman"/>
          <w:sz w:val="24"/>
          <w:szCs w:val="24"/>
        </w:rPr>
      </w:pPr>
    </w:p>
    <w:p w14:paraId="1A01D1BC">
      <w:pPr>
        <w:spacing w:before="240" w:after="0" w:line="480" w:lineRule="auto"/>
        <w:ind w:firstLine="720"/>
        <w:jc w:val="both"/>
        <w:rPr>
          <w:rFonts w:ascii="Times New Roman" w:hAnsi="Times New Roman" w:cs="Times New Roman"/>
          <w:sz w:val="24"/>
          <w:szCs w:val="24"/>
        </w:rPr>
      </w:pPr>
    </w:p>
    <w:p w14:paraId="62A5E2A5">
      <w:pPr>
        <w:spacing w:before="240" w:after="0" w:line="480" w:lineRule="auto"/>
        <w:ind w:firstLine="720"/>
        <w:jc w:val="both"/>
        <w:rPr>
          <w:rFonts w:ascii="Times New Roman" w:hAnsi="Times New Roman" w:cs="Times New Roman"/>
          <w:sz w:val="24"/>
          <w:szCs w:val="24"/>
        </w:rPr>
      </w:pPr>
    </w:p>
    <w:p w14:paraId="66E1E85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4.3.2</w:t>
      </w:r>
      <w:r>
        <w:rPr>
          <w:rFonts w:ascii="Times New Roman" w:hAnsi="Times New Roman" w:cs="Times New Roman"/>
          <w:b/>
          <w:bCs/>
          <w:sz w:val="24"/>
          <w:szCs w:val="24"/>
          <w:lang w:val="en-US"/>
        </w:rPr>
        <w:tab/>
      </w:r>
      <w:r>
        <w:rPr>
          <w:rFonts w:ascii="Times New Roman" w:hAnsi="Times New Roman" w:cs="Times New Roman"/>
          <w:b/>
          <w:bCs/>
          <w:sz w:val="24"/>
          <w:szCs w:val="24"/>
        </w:rPr>
        <w:t>Kitosan Baku</w:t>
      </w:r>
    </w:p>
    <w:p w14:paraId="05939561">
      <w:pPr>
        <w:spacing w:line="240" w:lineRule="auto"/>
        <w:jc w:val="center"/>
        <w:rPr>
          <w:rFonts w:ascii="Times New Roman" w:hAnsi="Times New Roman" w:cs="Times New Roman"/>
          <w:b/>
          <w:bCs/>
          <w:sz w:val="24"/>
          <w:szCs w:val="24"/>
          <w:lang w:val="en-US"/>
        </w:rPr>
      </w:pPr>
      <w:r>
        <w:rPr>
          <w:rFonts w:ascii="Times New Roman" w:hAnsi="Times New Roman" w:cs="Times New Roman"/>
          <w:sz w:val="28"/>
          <w:szCs w:val="28"/>
          <w:lang w:val="en-US"/>
        </w:rPr>
        <w:drawing>
          <wp:inline distT="0" distB="0" distL="0" distR="0">
            <wp:extent cx="4387215" cy="2733675"/>
            <wp:effectExtent l="0" t="0" r="0" b="0"/>
            <wp:docPr id="1715941674"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941674" name="Picture 1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90930" cy="2735928"/>
                    </a:xfrm>
                    <a:prstGeom prst="rect">
                      <a:avLst/>
                    </a:prstGeom>
                    <a:noFill/>
                    <a:ln>
                      <a:noFill/>
                    </a:ln>
                  </pic:spPr>
                </pic:pic>
              </a:graphicData>
            </a:graphic>
          </wp:inline>
        </w:drawing>
      </w:r>
    </w:p>
    <w:p w14:paraId="3C811A2C">
      <w:pPr>
        <w:spacing w:after="0" w:line="480" w:lineRule="auto"/>
        <w:jc w:val="center"/>
        <w:rPr>
          <w:rFonts w:ascii="Times New Roman" w:hAnsi="Times New Roman" w:cs="Times New Roman"/>
          <w:sz w:val="24"/>
          <w:szCs w:val="24"/>
          <w:lang w:val="en-US"/>
        </w:rPr>
      </w:pPr>
      <w:r>
        <w:rPr>
          <w:rFonts w:ascii="Times New Roman" w:hAnsi="Times New Roman" w:cs="Times New Roman"/>
          <w:b/>
          <w:bCs/>
          <w:sz w:val="24"/>
          <w:szCs w:val="24"/>
        </w:rPr>
        <w:t>Gambar 4.2</w:t>
      </w:r>
      <w:r>
        <w:rPr>
          <w:rFonts w:ascii="Times New Roman" w:hAnsi="Times New Roman" w:cs="Times New Roman"/>
          <w:sz w:val="24"/>
          <w:szCs w:val="24"/>
        </w:rPr>
        <w:t xml:space="preserve"> Hasil analisa FTIR dari kitosan baku</w:t>
      </w:r>
    </w:p>
    <w:p w14:paraId="693DC34D">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4.3.3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 xml:space="preserve">Hasil Isolasi Kitosan Kerang Panggang Pulut </w:t>
      </w:r>
    </w:p>
    <w:p w14:paraId="00863971">
      <w:pPr>
        <w:spacing w:after="0" w:line="360" w:lineRule="auto"/>
        <w:jc w:val="center"/>
        <w:rPr>
          <w:rFonts w:ascii="Times New Roman" w:hAnsi="Times New Roman" w:cs="Times New Roman"/>
          <w:b/>
          <w:bCs/>
          <w:sz w:val="24"/>
          <w:szCs w:val="24"/>
          <w:lang w:val="en-US"/>
        </w:rPr>
      </w:pPr>
      <w:r>
        <w:rPr>
          <w:rFonts w:ascii="Times New Roman" w:hAnsi="Times New Roman" w:cs="Times New Roman"/>
          <w:sz w:val="24"/>
          <w:szCs w:val="24"/>
          <w:lang w:val="en-US"/>
        </w:rPr>
        <w:drawing>
          <wp:inline distT="0" distB="0" distL="0" distR="0">
            <wp:extent cx="4137025" cy="2597785"/>
            <wp:effectExtent l="0" t="0" r="0" b="0"/>
            <wp:docPr id="618434091"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34091" name="Picture 1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137025" cy="2598345"/>
                    </a:xfrm>
                    <a:prstGeom prst="rect">
                      <a:avLst/>
                    </a:prstGeom>
                    <a:noFill/>
                    <a:ln>
                      <a:noFill/>
                    </a:ln>
                  </pic:spPr>
                </pic:pic>
              </a:graphicData>
            </a:graphic>
          </wp:inline>
        </w:drawing>
      </w:r>
    </w:p>
    <w:p w14:paraId="31D0C053">
      <w:pPr>
        <w:spacing w:after="0" w:line="480" w:lineRule="auto"/>
        <w:jc w:val="both"/>
        <w:rPr>
          <w:rFonts w:ascii="Times New Roman" w:hAnsi="Times New Roman" w:cs="Times New Roman"/>
          <w:bCs/>
          <w:color w:val="000000"/>
          <w:sz w:val="28"/>
          <w:szCs w:val="28"/>
        </w:rPr>
      </w:pPr>
      <w:r>
        <w:rPr>
          <w:rFonts w:ascii="Times New Roman" w:hAnsi="Times New Roman" w:cs="Times New Roman"/>
          <w:b/>
          <w:bCs/>
          <w:sz w:val="24"/>
          <w:szCs w:val="24"/>
        </w:rPr>
        <w:t>Gambar 4.3</w:t>
      </w:r>
      <w:r>
        <w:rPr>
          <w:rFonts w:ascii="Times New Roman" w:hAnsi="Times New Roman" w:cs="Times New Roman"/>
          <w:sz w:val="24"/>
          <w:szCs w:val="24"/>
        </w:rPr>
        <w:t xml:space="preserve"> Hasil analisa FTIR dari kitosan cangkang kerang panggang pulut</w:t>
      </w:r>
    </w:p>
    <w:p w14:paraId="7B4C8F4E">
      <w:pPr>
        <w:spacing w:line="480" w:lineRule="auto"/>
        <w:ind w:firstLine="720"/>
        <w:jc w:val="both"/>
        <w:rPr>
          <w:rFonts w:ascii="Times New Roman" w:hAnsi="Times New Roman" w:cs="Times New Roman"/>
          <w:b/>
          <w:bCs/>
          <w:sz w:val="24"/>
          <w:szCs w:val="24"/>
          <w:lang w:val="fi-FI"/>
        </w:rPr>
      </w:pPr>
      <w:r>
        <w:rPr>
          <w:rFonts w:ascii="Times New Roman" w:hAnsi="Times New Roman" w:cs="Times New Roman"/>
          <w:sz w:val="24"/>
          <w:szCs w:val="24"/>
        </w:rPr>
        <w:t>Berdasarkan perbandingan spektrum IR kitosan baku dan kitosan isolasi kerang panggang pulut (</w:t>
      </w:r>
      <w:r>
        <w:rPr>
          <w:rFonts w:ascii="Times New Roman" w:hAnsi="Times New Roman" w:cs="Times New Roman"/>
          <w:i/>
          <w:iCs/>
          <w:sz w:val="24"/>
          <w:szCs w:val="24"/>
        </w:rPr>
        <w:t>Atrina pectinata</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menunjukkan gugus fungsi pada masing-masing bilangan gelombang tidak jauh berbeda dengan standar sehingga dapat disimpulkan bahwa senyawa hasil isolasi dari cangkang kerang panggang pulut menghasilkan kitosan yang memenuhi standar. </w:t>
      </w:r>
      <w:r>
        <w:rPr>
          <w:rFonts w:ascii="Times New Roman" w:hAnsi="Times New Roman" w:cs="Times New Roman"/>
          <w:sz w:val="24"/>
          <w:szCs w:val="24"/>
          <w:lang w:val="fi-FI"/>
        </w:rPr>
        <w:t>Penentuan gugus fungsi kitosan baku dan kitosan isolasi dapat dilihat pada tabel 4.2.</w:t>
      </w:r>
    </w:p>
    <w:p w14:paraId="606E25FA">
      <w:pPr>
        <w:spacing w:line="240" w:lineRule="auto"/>
        <w:jc w:val="both"/>
        <w:rPr>
          <w:rFonts w:ascii="Times New Roman" w:hAnsi="Times New Roman" w:cs="Times New Roman"/>
          <w:sz w:val="24"/>
          <w:szCs w:val="24"/>
          <w:lang w:val="fi-FI"/>
        </w:rPr>
      </w:pPr>
      <w:r>
        <w:rPr>
          <w:rFonts w:ascii="Times New Roman" w:hAnsi="Times New Roman" w:cs="Times New Roman"/>
          <w:b/>
          <w:bCs/>
          <w:sz w:val="24"/>
          <w:szCs w:val="24"/>
          <w:lang w:val="fi-FI"/>
        </w:rPr>
        <w:t>Tabel 4.2</w:t>
      </w:r>
      <w:r>
        <w:rPr>
          <w:rFonts w:ascii="Times New Roman" w:hAnsi="Times New Roman" w:cs="Times New Roman"/>
          <w:sz w:val="24"/>
          <w:szCs w:val="24"/>
          <w:lang w:val="fi-FI"/>
        </w:rPr>
        <w:t xml:space="preserve"> Penentuan Gugus Fungsi Dari Kitosan Baku dan Kitosan Isolasi</w:t>
      </w:r>
    </w:p>
    <w:tbl>
      <w:tblPr>
        <w:tblStyle w:val="12"/>
        <w:tblW w:w="78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68"/>
        <w:gridCol w:w="1701"/>
        <w:gridCol w:w="1699"/>
      </w:tblGrid>
      <w:tr w14:paraId="4F04A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vMerge w:val="restart"/>
            <w:tcBorders>
              <w:top w:val="single" w:color="000000" w:sz="4" w:space="0"/>
              <w:left w:val="single" w:color="000000" w:sz="4" w:space="0"/>
              <w:bottom w:val="single" w:color="000000" w:sz="4" w:space="0"/>
              <w:right w:val="single" w:color="000000" w:sz="4" w:space="0"/>
            </w:tcBorders>
            <w:vAlign w:val="center"/>
          </w:tcPr>
          <w:p w14:paraId="4254EAAF">
            <w:pPr>
              <w:pStyle w:val="80"/>
              <w:jc w:val="center"/>
              <w:rPr>
                <w:b/>
                <w:sz w:val="24"/>
              </w:rPr>
            </w:pPr>
            <w:r>
              <w:rPr>
                <w:b/>
                <w:sz w:val="24"/>
              </w:rPr>
              <w:t>Jenis</w:t>
            </w:r>
            <w:r>
              <w:rPr>
                <w:b/>
                <w:spacing w:val="-1"/>
                <w:sz w:val="24"/>
              </w:rPr>
              <w:t xml:space="preserve"> </w:t>
            </w:r>
            <w:r>
              <w:rPr>
                <w:b/>
                <w:spacing w:val="-2"/>
                <w:sz w:val="24"/>
              </w:rPr>
              <w:t>vibrasi</w:t>
            </w:r>
          </w:p>
        </w:tc>
        <w:tc>
          <w:tcPr>
            <w:tcW w:w="3400" w:type="dxa"/>
            <w:gridSpan w:val="2"/>
            <w:tcBorders>
              <w:top w:val="single" w:color="000000" w:sz="4" w:space="0"/>
              <w:left w:val="single" w:color="000000" w:sz="4" w:space="0"/>
              <w:bottom w:val="single" w:color="000000" w:sz="4" w:space="0"/>
              <w:right w:val="single" w:color="000000" w:sz="4" w:space="0"/>
            </w:tcBorders>
          </w:tcPr>
          <w:p w14:paraId="6F6DB376">
            <w:pPr>
              <w:pStyle w:val="80"/>
              <w:jc w:val="center"/>
              <w:rPr>
                <w:b/>
                <w:sz w:val="24"/>
              </w:rPr>
            </w:pPr>
            <w:r>
              <w:rPr>
                <w:b/>
                <w:sz w:val="24"/>
              </w:rPr>
              <w:t>Bilangan</w:t>
            </w:r>
            <w:r>
              <w:rPr>
                <w:b/>
                <w:spacing w:val="-4"/>
                <w:sz w:val="24"/>
              </w:rPr>
              <w:t xml:space="preserve"> </w:t>
            </w:r>
            <w:r>
              <w:rPr>
                <w:b/>
                <w:sz w:val="24"/>
              </w:rPr>
              <w:t>gelombang</w:t>
            </w:r>
            <w:r>
              <w:rPr>
                <w:b/>
                <w:spacing w:val="-2"/>
                <w:sz w:val="24"/>
              </w:rPr>
              <w:t xml:space="preserve"> (cm⁻¹)</w:t>
            </w:r>
          </w:p>
        </w:tc>
      </w:tr>
      <w:tr w14:paraId="37BBC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vMerge w:val="continue"/>
            <w:tcBorders>
              <w:top w:val="single" w:color="000000" w:sz="4" w:space="0"/>
              <w:left w:val="single" w:color="000000" w:sz="4" w:space="0"/>
              <w:bottom w:val="single" w:color="000000" w:sz="4" w:space="0"/>
              <w:right w:val="single" w:color="000000" w:sz="4" w:space="0"/>
            </w:tcBorders>
            <w:vAlign w:val="center"/>
          </w:tcPr>
          <w:p w14:paraId="2F632217">
            <w:pPr>
              <w:spacing w:after="0" w:line="240" w:lineRule="auto"/>
              <w:jc w:val="center"/>
              <w:rPr>
                <w:rFonts w:eastAsia="Times New Roman" w:cs="Times New Roman"/>
                <w:b/>
              </w:rPr>
            </w:pPr>
          </w:p>
        </w:tc>
        <w:tc>
          <w:tcPr>
            <w:tcW w:w="1701" w:type="dxa"/>
            <w:tcBorders>
              <w:top w:val="single" w:color="000000" w:sz="4" w:space="0"/>
              <w:left w:val="single" w:color="000000" w:sz="4" w:space="0"/>
              <w:bottom w:val="single" w:color="000000" w:sz="4" w:space="0"/>
              <w:right w:val="single" w:color="000000" w:sz="4" w:space="0"/>
            </w:tcBorders>
          </w:tcPr>
          <w:p w14:paraId="1D8FBCCC">
            <w:pPr>
              <w:pStyle w:val="80"/>
              <w:jc w:val="center"/>
              <w:rPr>
                <w:b/>
                <w:sz w:val="24"/>
              </w:rPr>
            </w:pPr>
            <w:r>
              <w:rPr>
                <w:b/>
                <w:sz w:val="24"/>
              </w:rPr>
              <w:t>Kitosan</w:t>
            </w:r>
            <w:r>
              <w:rPr>
                <w:b/>
                <w:spacing w:val="-3"/>
                <w:sz w:val="24"/>
              </w:rPr>
              <w:t xml:space="preserve"> </w:t>
            </w:r>
            <w:r>
              <w:rPr>
                <w:b/>
                <w:spacing w:val="-4"/>
                <w:sz w:val="24"/>
              </w:rPr>
              <w:t>baku</w:t>
            </w:r>
          </w:p>
        </w:tc>
        <w:tc>
          <w:tcPr>
            <w:tcW w:w="1699" w:type="dxa"/>
            <w:tcBorders>
              <w:top w:val="single" w:color="000000" w:sz="4" w:space="0"/>
              <w:left w:val="single" w:color="000000" w:sz="4" w:space="0"/>
              <w:bottom w:val="single" w:color="000000" w:sz="4" w:space="0"/>
              <w:right w:val="single" w:color="000000" w:sz="4" w:space="0"/>
            </w:tcBorders>
          </w:tcPr>
          <w:p w14:paraId="1A699F2C">
            <w:pPr>
              <w:pStyle w:val="80"/>
              <w:jc w:val="center"/>
              <w:rPr>
                <w:b/>
                <w:sz w:val="24"/>
              </w:rPr>
            </w:pPr>
            <w:r>
              <w:rPr>
                <w:b/>
                <w:sz w:val="24"/>
              </w:rPr>
              <w:t>Kitosan</w:t>
            </w:r>
            <w:r>
              <w:rPr>
                <w:b/>
                <w:spacing w:val="-1"/>
                <w:sz w:val="24"/>
              </w:rPr>
              <w:t xml:space="preserve"> </w:t>
            </w:r>
            <w:r>
              <w:rPr>
                <w:b/>
                <w:spacing w:val="-2"/>
                <w:sz w:val="24"/>
              </w:rPr>
              <w:t>isolasi</w:t>
            </w:r>
          </w:p>
        </w:tc>
      </w:tr>
      <w:tr w14:paraId="26A1F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1353740F">
            <w:pPr>
              <w:pStyle w:val="80"/>
              <w:jc w:val="center"/>
              <w:rPr>
                <w:sz w:val="24"/>
              </w:rPr>
            </w:pPr>
            <w:r>
              <w:rPr>
                <w:sz w:val="24"/>
              </w:rPr>
              <w:t>Vibrasi</w:t>
            </w:r>
            <w:r>
              <w:rPr>
                <w:spacing w:val="-2"/>
                <w:sz w:val="24"/>
              </w:rPr>
              <w:t xml:space="preserve"> </w:t>
            </w:r>
            <w:r>
              <w:rPr>
                <w:sz w:val="24"/>
              </w:rPr>
              <w:t>pembengkokan O-H</w:t>
            </w:r>
            <w:r>
              <w:rPr>
                <w:spacing w:val="-1"/>
                <w:sz w:val="24"/>
              </w:rPr>
              <w:t xml:space="preserve"> </w:t>
            </w:r>
            <w:r>
              <w:rPr>
                <w:spacing w:val="-2"/>
                <w:sz w:val="24"/>
              </w:rPr>
              <w:t>tumpang</w:t>
            </w:r>
          </w:p>
          <w:p w14:paraId="2ABBA843">
            <w:pPr>
              <w:pStyle w:val="80"/>
              <w:jc w:val="center"/>
              <w:rPr>
                <w:sz w:val="24"/>
              </w:rPr>
            </w:pPr>
            <w:r>
              <w:rPr>
                <w:sz w:val="24"/>
              </w:rPr>
              <w:t>tindih</w:t>
            </w:r>
            <w:r>
              <w:rPr>
                <w:spacing w:val="-2"/>
                <w:sz w:val="24"/>
              </w:rPr>
              <w:t xml:space="preserve"> </w:t>
            </w:r>
            <w:r>
              <w:rPr>
                <w:sz w:val="24"/>
              </w:rPr>
              <w:t>vibrasi</w:t>
            </w:r>
            <w:r>
              <w:rPr>
                <w:spacing w:val="-2"/>
                <w:sz w:val="24"/>
              </w:rPr>
              <w:t xml:space="preserve"> </w:t>
            </w:r>
            <w:r>
              <w:rPr>
                <w:sz w:val="24"/>
              </w:rPr>
              <w:t>peregangan N-</w:t>
            </w:r>
            <w:r>
              <w:rPr>
                <w:spacing w:val="-10"/>
                <w:sz w:val="24"/>
              </w:rPr>
              <w:t>H</w:t>
            </w:r>
          </w:p>
        </w:tc>
        <w:tc>
          <w:tcPr>
            <w:tcW w:w="1701" w:type="dxa"/>
            <w:tcBorders>
              <w:top w:val="single" w:color="000000" w:sz="4" w:space="0"/>
              <w:left w:val="single" w:color="000000" w:sz="4" w:space="0"/>
              <w:bottom w:val="single" w:color="000000" w:sz="4" w:space="0"/>
              <w:right w:val="single" w:color="000000" w:sz="4" w:space="0"/>
            </w:tcBorders>
          </w:tcPr>
          <w:p w14:paraId="66CAFCB8">
            <w:pPr>
              <w:pStyle w:val="80"/>
              <w:jc w:val="center"/>
              <w:rPr>
                <w:sz w:val="24"/>
                <w:lang w:val="en-US"/>
              </w:rPr>
            </w:pPr>
            <w:r>
              <w:rPr>
                <w:spacing w:val="-2"/>
                <w:sz w:val="24"/>
                <w:lang w:val="en-US"/>
              </w:rPr>
              <w:t>3359,19</w:t>
            </w:r>
          </w:p>
        </w:tc>
        <w:tc>
          <w:tcPr>
            <w:tcW w:w="1699" w:type="dxa"/>
            <w:tcBorders>
              <w:top w:val="single" w:color="000000" w:sz="4" w:space="0"/>
              <w:left w:val="single" w:color="000000" w:sz="4" w:space="0"/>
              <w:bottom w:val="single" w:color="000000" w:sz="4" w:space="0"/>
              <w:right w:val="single" w:color="000000" w:sz="4" w:space="0"/>
            </w:tcBorders>
          </w:tcPr>
          <w:p w14:paraId="3896E43F">
            <w:pPr>
              <w:pStyle w:val="80"/>
              <w:jc w:val="center"/>
              <w:rPr>
                <w:sz w:val="24"/>
                <w:lang w:val="en-US"/>
              </w:rPr>
            </w:pPr>
            <w:r>
              <w:rPr>
                <w:spacing w:val="-2"/>
                <w:sz w:val="24"/>
                <w:lang w:val="en-US"/>
              </w:rPr>
              <w:t>3353,44</w:t>
            </w:r>
          </w:p>
        </w:tc>
      </w:tr>
      <w:tr w14:paraId="709D8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42ED1F4C">
            <w:pPr>
              <w:pStyle w:val="80"/>
              <w:jc w:val="center"/>
              <w:rPr>
                <w:sz w:val="24"/>
              </w:rPr>
            </w:pPr>
            <w:r>
              <w:rPr>
                <w:sz w:val="24"/>
              </w:rPr>
              <w:t>Vibrasi</w:t>
            </w:r>
            <w:r>
              <w:rPr>
                <w:spacing w:val="-3"/>
                <w:sz w:val="24"/>
              </w:rPr>
              <w:t xml:space="preserve"> </w:t>
            </w:r>
            <w:r>
              <w:rPr>
                <w:sz w:val="24"/>
              </w:rPr>
              <w:t>peregangan simetris C-</w:t>
            </w:r>
            <w:r>
              <w:rPr>
                <w:spacing w:val="-10"/>
                <w:sz w:val="24"/>
              </w:rPr>
              <w:t>H</w:t>
            </w:r>
          </w:p>
          <w:p w14:paraId="617D499A">
            <w:pPr>
              <w:pStyle w:val="80"/>
              <w:jc w:val="center"/>
              <w:rPr>
                <w:sz w:val="24"/>
              </w:rPr>
            </w:pPr>
            <w:r>
              <w:rPr>
                <w:spacing w:val="-2"/>
                <w:sz w:val="24"/>
              </w:rPr>
              <w:t>Alifatik</w:t>
            </w:r>
          </w:p>
        </w:tc>
        <w:tc>
          <w:tcPr>
            <w:tcW w:w="1701" w:type="dxa"/>
            <w:tcBorders>
              <w:top w:val="single" w:color="000000" w:sz="4" w:space="0"/>
              <w:left w:val="single" w:color="000000" w:sz="4" w:space="0"/>
              <w:bottom w:val="single" w:color="000000" w:sz="4" w:space="0"/>
              <w:right w:val="single" w:color="000000" w:sz="4" w:space="0"/>
            </w:tcBorders>
          </w:tcPr>
          <w:p w14:paraId="7A3A357A">
            <w:pPr>
              <w:pStyle w:val="80"/>
              <w:jc w:val="center"/>
              <w:rPr>
                <w:sz w:val="24"/>
                <w:lang w:val="en-US"/>
              </w:rPr>
            </w:pPr>
            <w:r>
              <w:rPr>
                <w:spacing w:val="-2"/>
                <w:sz w:val="24"/>
              </w:rPr>
              <w:t>2</w:t>
            </w:r>
            <w:r>
              <w:rPr>
                <w:spacing w:val="-2"/>
                <w:sz w:val="24"/>
                <w:lang w:val="en-US"/>
              </w:rPr>
              <w:t>871,10</w:t>
            </w:r>
          </w:p>
        </w:tc>
        <w:tc>
          <w:tcPr>
            <w:tcW w:w="1699" w:type="dxa"/>
            <w:tcBorders>
              <w:top w:val="single" w:color="000000" w:sz="4" w:space="0"/>
              <w:left w:val="single" w:color="000000" w:sz="4" w:space="0"/>
              <w:bottom w:val="single" w:color="000000" w:sz="4" w:space="0"/>
              <w:right w:val="single" w:color="000000" w:sz="4" w:space="0"/>
            </w:tcBorders>
          </w:tcPr>
          <w:p w14:paraId="70C5E5ED">
            <w:pPr>
              <w:pStyle w:val="80"/>
              <w:jc w:val="center"/>
              <w:rPr>
                <w:sz w:val="24"/>
                <w:lang w:val="en-US"/>
              </w:rPr>
            </w:pPr>
            <w:r>
              <w:rPr>
                <w:spacing w:val="-2"/>
                <w:sz w:val="24"/>
              </w:rPr>
              <w:t>2</w:t>
            </w:r>
            <w:r>
              <w:rPr>
                <w:spacing w:val="-2"/>
                <w:sz w:val="24"/>
                <w:lang w:val="en-US"/>
              </w:rPr>
              <w:t>876,84</w:t>
            </w:r>
          </w:p>
        </w:tc>
      </w:tr>
      <w:tr w14:paraId="414F5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169CE7F1">
            <w:pPr>
              <w:pStyle w:val="80"/>
              <w:jc w:val="center"/>
              <w:rPr>
                <w:sz w:val="24"/>
              </w:rPr>
            </w:pPr>
            <w:r>
              <w:rPr>
                <w:sz w:val="24"/>
              </w:rPr>
              <w:t>Vibrasi</w:t>
            </w:r>
            <w:r>
              <w:rPr>
                <w:spacing w:val="-4"/>
                <w:sz w:val="24"/>
              </w:rPr>
              <w:t xml:space="preserve"> </w:t>
            </w:r>
            <w:r>
              <w:rPr>
                <w:sz w:val="24"/>
              </w:rPr>
              <w:t>peregangan</w:t>
            </w:r>
            <w:r>
              <w:rPr>
                <w:spacing w:val="-2"/>
                <w:sz w:val="24"/>
              </w:rPr>
              <w:t xml:space="preserve"> </w:t>
            </w:r>
            <w:r>
              <w:rPr>
                <w:spacing w:val="-5"/>
                <w:sz w:val="24"/>
              </w:rPr>
              <w:t>C=O</w:t>
            </w:r>
          </w:p>
        </w:tc>
        <w:tc>
          <w:tcPr>
            <w:tcW w:w="1701" w:type="dxa"/>
            <w:tcBorders>
              <w:top w:val="single" w:color="000000" w:sz="4" w:space="0"/>
              <w:left w:val="single" w:color="000000" w:sz="4" w:space="0"/>
              <w:bottom w:val="single" w:color="000000" w:sz="4" w:space="0"/>
              <w:right w:val="single" w:color="000000" w:sz="4" w:space="0"/>
            </w:tcBorders>
          </w:tcPr>
          <w:p w14:paraId="7A29BE74">
            <w:pPr>
              <w:pStyle w:val="80"/>
              <w:jc w:val="center"/>
              <w:rPr>
                <w:sz w:val="24"/>
                <w:lang w:val="en-US"/>
              </w:rPr>
            </w:pPr>
            <w:r>
              <w:rPr>
                <w:spacing w:val="-2"/>
                <w:sz w:val="24"/>
                <w:lang w:val="en-US"/>
              </w:rPr>
              <w:t>1648,01</w:t>
            </w:r>
          </w:p>
        </w:tc>
        <w:tc>
          <w:tcPr>
            <w:tcW w:w="1699" w:type="dxa"/>
            <w:tcBorders>
              <w:top w:val="single" w:color="000000" w:sz="4" w:space="0"/>
              <w:left w:val="single" w:color="000000" w:sz="4" w:space="0"/>
              <w:bottom w:val="single" w:color="000000" w:sz="4" w:space="0"/>
              <w:right w:val="single" w:color="000000" w:sz="4" w:space="0"/>
            </w:tcBorders>
          </w:tcPr>
          <w:p w14:paraId="297EEC7C">
            <w:pPr>
              <w:pStyle w:val="80"/>
              <w:jc w:val="center"/>
              <w:rPr>
                <w:sz w:val="24"/>
                <w:lang w:val="en-US"/>
              </w:rPr>
            </w:pPr>
            <w:r>
              <w:rPr>
                <w:spacing w:val="-2"/>
                <w:sz w:val="24"/>
                <w:lang w:val="en-US"/>
              </w:rPr>
              <w:t>1648,01</w:t>
            </w:r>
          </w:p>
        </w:tc>
      </w:tr>
      <w:tr w14:paraId="0EFBE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37631330">
            <w:pPr>
              <w:pStyle w:val="80"/>
              <w:jc w:val="center"/>
              <w:rPr>
                <w:sz w:val="24"/>
                <w:lang w:val="fi-FI"/>
              </w:rPr>
            </w:pPr>
            <w:r>
              <w:rPr>
                <w:sz w:val="24"/>
                <w:lang w:val="fi-FI"/>
              </w:rPr>
              <w:t>Vibrasi peregangan C=O (Protonasi Amida Sekunder)</w:t>
            </w:r>
          </w:p>
        </w:tc>
        <w:tc>
          <w:tcPr>
            <w:tcW w:w="1701" w:type="dxa"/>
            <w:tcBorders>
              <w:top w:val="single" w:color="000000" w:sz="4" w:space="0"/>
              <w:left w:val="single" w:color="000000" w:sz="4" w:space="0"/>
              <w:bottom w:val="single" w:color="000000" w:sz="4" w:space="0"/>
              <w:right w:val="single" w:color="000000" w:sz="4" w:space="0"/>
            </w:tcBorders>
          </w:tcPr>
          <w:p w14:paraId="20D46FB0">
            <w:pPr>
              <w:pStyle w:val="80"/>
              <w:jc w:val="center"/>
              <w:rPr>
                <w:spacing w:val="-2"/>
                <w:sz w:val="24"/>
                <w:lang w:val="en-US"/>
              </w:rPr>
            </w:pPr>
            <w:r>
              <w:rPr>
                <w:spacing w:val="-2"/>
                <w:sz w:val="24"/>
                <w:lang w:val="en-US"/>
              </w:rPr>
              <w:t>1579,11</w:t>
            </w:r>
          </w:p>
        </w:tc>
        <w:tc>
          <w:tcPr>
            <w:tcW w:w="1699" w:type="dxa"/>
            <w:tcBorders>
              <w:top w:val="single" w:color="000000" w:sz="4" w:space="0"/>
              <w:left w:val="single" w:color="000000" w:sz="4" w:space="0"/>
              <w:bottom w:val="single" w:color="000000" w:sz="4" w:space="0"/>
              <w:right w:val="single" w:color="000000" w:sz="4" w:space="0"/>
            </w:tcBorders>
          </w:tcPr>
          <w:p w14:paraId="25493161">
            <w:pPr>
              <w:pStyle w:val="80"/>
              <w:jc w:val="center"/>
              <w:rPr>
                <w:spacing w:val="-2"/>
                <w:sz w:val="24"/>
                <w:lang w:val="en-US"/>
              </w:rPr>
            </w:pPr>
            <w:r>
              <w:rPr>
                <w:spacing w:val="-2"/>
                <w:sz w:val="24"/>
                <w:lang w:val="en-US"/>
              </w:rPr>
              <w:t>1584,84</w:t>
            </w:r>
          </w:p>
        </w:tc>
      </w:tr>
      <w:tr w14:paraId="075A2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4E80D2FE">
            <w:pPr>
              <w:pStyle w:val="80"/>
              <w:jc w:val="center"/>
              <w:rPr>
                <w:sz w:val="24"/>
              </w:rPr>
            </w:pPr>
            <w:r>
              <w:rPr>
                <w:sz w:val="24"/>
              </w:rPr>
              <w:t>Vibrasi</w:t>
            </w:r>
            <w:r>
              <w:rPr>
                <w:spacing w:val="-3"/>
                <w:sz w:val="24"/>
              </w:rPr>
              <w:t xml:space="preserve"> </w:t>
            </w:r>
            <w:r>
              <w:rPr>
                <w:sz w:val="24"/>
              </w:rPr>
              <w:t>peregangan</w:t>
            </w:r>
            <w:r>
              <w:rPr>
                <w:spacing w:val="-1"/>
                <w:sz w:val="24"/>
              </w:rPr>
              <w:t xml:space="preserve"> </w:t>
            </w:r>
            <w:r>
              <w:rPr>
                <w:sz w:val="24"/>
              </w:rPr>
              <w:t>C-</w:t>
            </w:r>
            <w:r>
              <w:rPr>
                <w:spacing w:val="-10"/>
                <w:sz w:val="24"/>
              </w:rPr>
              <w:t>H</w:t>
            </w:r>
          </w:p>
        </w:tc>
        <w:tc>
          <w:tcPr>
            <w:tcW w:w="1701" w:type="dxa"/>
            <w:tcBorders>
              <w:top w:val="single" w:color="000000" w:sz="4" w:space="0"/>
              <w:left w:val="single" w:color="000000" w:sz="4" w:space="0"/>
              <w:bottom w:val="single" w:color="000000" w:sz="4" w:space="0"/>
              <w:right w:val="single" w:color="000000" w:sz="4" w:space="0"/>
            </w:tcBorders>
          </w:tcPr>
          <w:p w14:paraId="137B3682">
            <w:pPr>
              <w:pStyle w:val="80"/>
              <w:jc w:val="center"/>
              <w:rPr>
                <w:sz w:val="24"/>
                <w:lang w:val="en-US"/>
              </w:rPr>
            </w:pPr>
            <w:r>
              <w:rPr>
                <w:spacing w:val="-2"/>
                <w:sz w:val="24"/>
              </w:rPr>
              <w:t>14</w:t>
            </w:r>
            <w:r>
              <w:rPr>
                <w:spacing w:val="-2"/>
                <w:sz w:val="24"/>
                <w:lang w:val="en-US"/>
              </w:rPr>
              <w:t>18,33</w:t>
            </w:r>
          </w:p>
        </w:tc>
        <w:tc>
          <w:tcPr>
            <w:tcW w:w="1699" w:type="dxa"/>
            <w:tcBorders>
              <w:top w:val="single" w:color="000000" w:sz="4" w:space="0"/>
              <w:left w:val="single" w:color="000000" w:sz="4" w:space="0"/>
              <w:bottom w:val="single" w:color="000000" w:sz="4" w:space="0"/>
              <w:right w:val="single" w:color="000000" w:sz="4" w:space="0"/>
            </w:tcBorders>
          </w:tcPr>
          <w:p w14:paraId="2303EC8D">
            <w:pPr>
              <w:pStyle w:val="80"/>
              <w:jc w:val="center"/>
              <w:rPr>
                <w:sz w:val="24"/>
                <w:lang w:val="en-US"/>
              </w:rPr>
            </w:pPr>
            <w:r>
              <w:rPr>
                <w:spacing w:val="-2"/>
                <w:sz w:val="24"/>
              </w:rPr>
              <w:t>14</w:t>
            </w:r>
            <w:r>
              <w:rPr>
                <w:spacing w:val="-2"/>
                <w:sz w:val="24"/>
                <w:lang w:val="en-US"/>
              </w:rPr>
              <w:t>35,55</w:t>
            </w:r>
          </w:p>
        </w:tc>
      </w:tr>
      <w:tr w14:paraId="74EBC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7910388E">
            <w:pPr>
              <w:pStyle w:val="80"/>
              <w:jc w:val="center"/>
              <w:rPr>
                <w:sz w:val="24"/>
              </w:rPr>
            </w:pPr>
            <w:r>
              <w:rPr>
                <w:sz w:val="24"/>
              </w:rPr>
              <w:t>Vibrasi</w:t>
            </w:r>
            <w:r>
              <w:rPr>
                <w:spacing w:val="-3"/>
                <w:sz w:val="24"/>
              </w:rPr>
              <w:t xml:space="preserve"> </w:t>
            </w:r>
            <w:r>
              <w:rPr>
                <w:sz w:val="24"/>
              </w:rPr>
              <w:t>peregangan</w:t>
            </w:r>
            <w:r>
              <w:rPr>
                <w:spacing w:val="-1"/>
                <w:sz w:val="24"/>
              </w:rPr>
              <w:t xml:space="preserve"> </w:t>
            </w:r>
            <w:r>
              <w:rPr>
                <w:sz w:val="24"/>
              </w:rPr>
              <w:t>C-</w:t>
            </w:r>
            <w:r>
              <w:rPr>
                <w:spacing w:val="-10"/>
                <w:sz w:val="24"/>
              </w:rPr>
              <w:t>N</w:t>
            </w:r>
          </w:p>
        </w:tc>
        <w:tc>
          <w:tcPr>
            <w:tcW w:w="1701" w:type="dxa"/>
            <w:tcBorders>
              <w:top w:val="single" w:color="000000" w:sz="4" w:space="0"/>
              <w:left w:val="single" w:color="000000" w:sz="4" w:space="0"/>
              <w:bottom w:val="single" w:color="000000" w:sz="4" w:space="0"/>
              <w:right w:val="single" w:color="000000" w:sz="4" w:space="0"/>
            </w:tcBorders>
          </w:tcPr>
          <w:p w14:paraId="73B05B8C">
            <w:pPr>
              <w:pStyle w:val="80"/>
              <w:jc w:val="center"/>
              <w:rPr>
                <w:sz w:val="24"/>
                <w:lang w:val="en-US"/>
              </w:rPr>
            </w:pPr>
            <w:r>
              <w:rPr>
                <w:spacing w:val="-2"/>
                <w:sz w:val="24"/>
              </w:rPr>
              <w:t>1</w:t>
            </w:r>
            <w:r>
              <w:rPr>
                <w:spacing w:val="-2"/>
                <w:sz w:val="24"/>
                <w:lang w:val="en-US"/>
              </w:rPr>
              <w:t>200,12</w:t>
            </w:r>
          </w:p>
        </w:tc>
        <w:tc>
          <w:tcPr>
            <w:tcW w:w="1699" w:type="dxa"/>
            <w:tcBorders>
              <w:top w:val="single" w:color="000000" w:sz="4" w:space="0"/>
              <w:left w:val="single" w:color="000000" w:sz="4" w:space="0"/>
              <w:bottom w:val="single" w:color="000000" w:sz="4" w:space="0"/>
              <w:right w:val="single" w:color="000000" w:sz="4" w:space="0"/>
            </w:tcBorders>
          </w:tcPr>
          <w:p w14:paraId="28AB79F4">
            <w:pPr>
              <w:pStyle w:val="80"/>
              <w:jc w:val="center"/>
              <w:rPr>
                <w:sz w:val="24"/>
                <w:lang w:val="en-US"/>
              </w:rPr>
            </w:pPr>
            <w:r>
              <w:rPr>
                <w:spacing w:val="-10"/>
                <w:sz w:val="24"/>
                <w:lang w:val="en-US"/>
              </w:rPr>
              <w:t>1200,12</w:t>
            </w:r>
          </w:p>
        </w:tc>
      </w:tr>
      <w:tr w14:paraId="4A0A6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695E5B06">
            <w:pPr>
              <w:pStyle w:val="80"/>
              <w:jc w:val="center"/>
              <w:rPr>
                <w:sz w:val="24"/>
              </w:rPr>
            </w:pPr>
            <w:r>
              <w:rPr>
                <w:sz w:val="24"/>
              </w:rPr>
              <w:t>Vibrasi</w:t>
            </w:r>
            <w:r>
              <w:rPr>
                <w:spacing w:val="-3"/>
                <w:sz w:val="24"/>
              </w:rPr>
              <w:t xml:space="preserve"> </w:t>
            </w:r>
            <w:r>
              <w:rPr>
                <w:sz w:val="24"/>
              </w:rPr>
              <w:t>peregangan</w:t>
            </w:r>
            <w:r>
              <w:rPr>
                <w:spacing w:val="-1"/>
                <w:sz w:val="24"/>
              </w:rPr>
              <w:t xml:space="preserve"> </w:t>
            </w:r>
            <w:r>
              <w:rPr>
                <w:sz w:val="24"/>
              </w:rPr>
              <w:t>C-O-</w:t>
            </w:r>
            <w:r>
              <w:rPr>
                <w:spacing w:val="-10"/>
                <w:sz w:val="24"/>
              </w:rPr>
              <w:t>C</w:t>
            </w:r>
          </w:p>
        </w:tc>
        <w:tc>
          <w:tcPr>
            <w:tcW w:w="1701" w:type="dxa"/>
            <w:tcBorders>
              <w:top w:val="single" w:color="000000" w:sz="4" w:space="0"/>
              <w:left w:val="single" w:color="000000" w:sz="4" w:space="0"/>
              <w:bottom w:val="single" w:color="000000" w:sz="4" w:space="0"/>
              <w:right w:val="single" w:color="000000" w:sz="4" w:space="0"/>
            </w:tcBorders>
          </w:tcPr>
          <w:p w14:paraId="114E61A1">
            <w:pPr>
              <w:pStyle w:val="80"/>
              <w:jc w:val="center"/>
              <w:rPr>
                <w:sz w:val="24"/>
                <w:lang w:val="en-US"/>
              </w:rPr>
            </w:pPr>
            <w:r>
              <w:rPr>
                <w:spacing w:val="-2"/>
                <w:sz w:val="24"/>
              </w:rPr>
              <w:t>106</w:t>
            </w:r>
            <w:r>
              <w:rPr>
                <w:spacing w:val="-2"/>
                <w:sz w:val="24"/>
                <w:lang w:val="en-US"/>
              </w:rPr>
              <w:t>2,31</w:t>
            </w:r>
          </w:p>
        </w:tc>
        <w:tc>
          <w:tcPr>
            <w:tcW w:w="1699" w:type="dxa"/>
            <w:tcBorders>
              <w:top w:val="single" w:color="000000" w:sz="4" w:space="0"/>
              <w:left w:val="single" w:color="000000" w:sz="4" w:space="0"/>
              <w:bottom w:val="single" w:color="000000" w:sz="4" w:space="0"/>
              <w:right w:val="single" w:color="000000" w:sz="4" w:space="0"/>
            </w:tcBorders>
          </w:tcPr>
          <w:p w14:paraId="2E4944D5">
            <w:pPr>
              <w:pStyle w:val="80"/>
              <w:jc w:val="center"/>
              <w:rPr>
                <w:sz w:val="24"/>
                <w:lang w:val="en-US"/>
              </w:rPr>
            </w:pPr>
            <w:r>
              <w:rPr>
                <w:spacing w:val="-2"/>
                <w:sz w:val="24"/>
              </w:rPr>
              <w:t>1</w:t>
            </w:r>
            <w:r>
              <w:rPr>
                <w:spacing w:val="-2"/>
                <w:sz w:val="24"/>
                <w:lang w:val="en-US"/>
              </w:rPr>
              <w:t>068,05</w:t>
            </w:r>
          </w:p>
        </w:tc>
      </w:tr>
      <w:tr w14:paraId="56343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12E8B1C1">
            <w:pPr>
              <w:pStyle w:val="80"/>
              <w:spacing w:line="480" w:lineRule="auto"/>
              <w:jc w:val="center"/>
              <w:rPr>
                <w:sz w:val="24"/>
              </w:rPr>
            </w:pPr>
            <w:r>
              <w:rPr>
                <w:sz w:val="24"/>
              </w:rPr>
              <w:t>Vibrasi</w:t>
            </w:r>
            <w:r>
              <w:rPr>
                <w:spacing w:val="-2"/>
                <w:sz w:val="24"/>
              </w:rPr>
              <w:t xml:space="preserve"> </w:t>
            </w:r>
            <w:r>
              <w:rPr>
                <w:sz w:val="24"/>
              </w:rPr>
              <w:t>ulur</w:t>
            </w:r>
            <w:r>
              <w:rPr>
                <w:spacing w:val="-1"/>
                <w:sz w:val="24"/>
              </w:rPr>
              <w:t xml:space="preserve"> </w:t>
            </w:r>
            <w:r>
              <w:rPr>
                <w:sz w:val="24"/>
              </w:rPr>
              <w:t>β-1,4-</w:t>
            </w:r>
            <w:r>
              <w:rPr>
                <w:spacing w:val="-2"/>
                <w:sz w:val="24"/>
              </w:rPr>
              <w:t>glikosidik</w:t>
            </w:r>
          </w:p>
        </w:tc>
        <w:tc>
          <w:tcPr>
            <w:tcW w:w="1701" w:type="dxa"/>
            <w:tcBorders>
              <w:top w:val="single" w:color="000000" w:sz="4" w:space="0"/>
              <w:left w:val="single" w:color="000000" w:sz="4" w:space="0"/>
              <w:bottom w:val="single" w:color="000000" w:sz="4" w:space="0"/>
              <w:right w:val="single" w:color="000000" w:sz="4" w:space="0"/>
            </w:tcBorders>
          </w:tcPr>
          <w:p w14:paraId="0834E296">
            <w:pPr>
              <w:pStyle w:val="80"/>
              <w:spacing w:line="480" w:lineRule="auto"/>
              <w:jc w:val="center"/>
              <w:rPr>
                <w:sz w:val="24"/>
                <w:lang w:val="en-US"/>
              </w:rPr>
            </w:pPr>
            <w:r>
              <w:rPr>
                <w:spacing w:val="-2"/>
                <w:sz w:val="24"/>
              </w:rPr>
              <w:t>89</w:t>
            </w:r>
            <w:r>
              <w:rPr>
                <w:spacing w:val="-2"/>
                <w:sz w:val="24"/>
                <w:lang w:val="en-US"/>
              </w:rPr>
              <w:t>5,78</w:t>
            </w:r>
          </w:p>
        </w:tc>
        <w:tc>
          <w:tcPr>
            <w:tcW w:w="1699" w:type="dxa"/>
            <w:tcBorders>
              <w:top w:val="single" w:color="000000" w:sz="4" w:space="0"/>
              <w:left w:val="single" w:color="000000" w:sz="4" w:space="0"/>
              <w:bottom w:val="single" w:color="000000" w:sz="4" w:space="0"/>
              <w:right w:val="single" w:color="000000" w:sz="4" w:space="0"/>
            </w:tcBorders>
          </w:tcPr>
          <w:p w14:paraId="6713F806">
            <w:pPr>
              <w:pStyle w:val="80"/>
              <w:spacing w:line="480" w:lineRule="auto"/>
              <w:jc w:val="center"/>
              <w:rPr>
                <w:sz w:val="24"/>
                <w:lang w:val="en-US"/>
              </w:rPr>
            </w:pPr>
            <w:r>
              <w:rPr>
                <w:spacing w:val="-2"/>
                <w:sz w:val="24"/>
              </w:rPr>
              <w:t>8</w:t>
            </w:r>
            <w:r>
              <w:rPr>
                <w:spacing w:val="-2"/>
                <w:sz w:val="24"/>
                <w:lang w:val="en-US"/>
              </w:rPr>
              <w:t>95,78</w:t>
            </w:r>
          </w:p>
        </w:tc>
      </w:tr>
    </w:tbl>
    <w:p w14:paraId="77381F92">
      <w:pPr>
        <w:spacing w:before="100" w:beforeAutospacing="1"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Spektrum pada Gambar 4.2 dan Gambar 4.3</w:t>
      </w:r>
      <w:r>
        <w:rPr>
          <w:rFonts w:ascii="Times New Roman" w:hAnsi="Times New Roman" w:cs="Times New Roman"/>
          <w:b/>
          <w:bCs/>
          <w:sz w:val="24"/>
          <w:szCs w:val="24"/>
        </w:rPr>
        <w:t xml:space="preserve"> </w:t>
      </w:r>
      <w:r>
        <w:rPr>
          <w:rFonts w:ascii="Times New Roman" w:hAnsi="Times New Roman" w:cs="Times New Roman"/>
          <w:sz w:val="24"/>
          <w:szCs w:val="24"/>
        </w:rPr>
        <w:t>menunjukkan bahwa adanya kemiripan antara kitosan baku dengan kitosan dari cangkang kerang pangang pulut. Adanya serapan pada bilangan gelombang 3000-3600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O-H) yaitu 3359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3353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cangkang kerang pangang pulut. Adanya serapan pada bilangan gelombang 1050-1300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C-O) yaitu 1263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12 kitosan  cangkang kerang panggang pulut. Adanya serapan pada bilangan gelombang 2850-2960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C-H alifatik) yaitu 2871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2876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cangkang kerang panggang pulut. Selanjutnya adanya serapan pada bilangan gelombang 1020-1150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C-O-C) yaitu 1062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1068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cangkang kerang panggang pulut. Berdasarkan hasil analisis gugus fungsi ini maka secara kualitatif dapat disimpulkan bahwa kitosan berhasil di isolasi.</w:t>
      </w:r>
    </w:p>
    <w:p w14:paraId="415D5409">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rPr>
        <w:t xml:space="preserve"> </w:t>
      </w:r>
      <w:r>
        <w:rPr>
          <w:rFonts w:ascii="Times New Roman" w:hAnsi="Times New Roman" w:cs="Times New Roman"/>
          <w:sz w:val="24"/>
          <w:szCs w:val="24"/>
          <w:lang w:val="fi-FI"/>
        </w:rPr>
        <w:t>Menurut Silverstein dkk (1981) getaran tekuk NH amida diketahui di daerah 1570-1515 cm-1. Serapan lebar gugus -CH3 pada amida merupakan tumpang tindih dengan vibrasi tekuk gugus NH amida, sehingga tidak tampak pada spekta ini. Serapan tajam pada bilangan gelombang 866 cm-1 memperlihatkan bahwa masih adanya mineral silika pada kitin dengan intensitas lebih rendah. Serapan gugus karbonil pada bilangan gelombang 1624 cm-1 dari amida (a) dan serapan lemah dari gugus amina sekunder yang terdeasetilasi (b) menunjukkan sampel tidak sepenuhnya terdeasetilasi (Saraswathy, dkk, 2001).</w:t>
      </w:r>
    </w:p>
    <w:p w14:paraId="32DE89D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 xml:space="preserve">Spektrum FTIR digunakan untuk mengidentifikasi gugus fungsi pada senyawa kitin dan kitosan. Proses deasetilasi pada kitin menjadi kitosan menyebabkan perubahan pada struktur kimia tertentu, terutama pada gugus amida dan amina. Tabel berikut menunjukkan perbandingan bilangan gelombang dari beberapa gugus fungsi utama yang terdeteksi pada spektrum FTIR kitin dan kitosan, baik standar maupun yang berasal dari cangkang kerang </w:t>
      </w:r>
      <w:r>
        <w:rPr>
          <w:rFonts w:ascii="Times New Roman" w:hAnsi="Times New Roman" w:cs="Times New Roman"/>
          <w:sz w:val="24"/>
          <w:szCs w:val="24"/>
        </w:rPr>
        <w:t>panggang pulut.</w:t>
      </w:r>
    </w:p>
    <w:p w14:paraId="36A5294D">
      <w:pPr>
        <w:adjustRightInd w:val="0"/>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Tabel 4.3 </w:t>
      </w:r>
      <w:r>
        <w:rPr>
          <w:rFonts w:ascii="Times New Roman" w:hAnsi="Times New Roman" w:cs="Times New Roman"/>
          <w:sz w:val="24"/>
          <w:szCs w:val="24"/>
        </w:rPr>
        <w:t>Perbandingan Bilangan Gelombang FTIR Kitin dan Kitosan</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555"/>
        <w:gridCol w:w="1548"/>
        <w:gridCol w:w="1548"/>
        <w:gridCol w:w="1680"/>
      </w:tblGrid>
      <w:tr w14:paraId="5003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vAlign w:val="center"/>
          </w:tcPr>
          <w:p w14:paraId="246E692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Gugus Fungsi</w:t>
            </w:r>
          </w:p>
        </w:tc>
        <w:tc>
          <w:tcPr>
            <w:tcW w:w="1555" w:type="dxa"/>
            <w:tcBorders>
              <w:top w:val="single" w:color="auto" w:sz="4" w:space="0"/>
              <w:left w:val="single" w:color="auto" w:sz="4" w:space="0"/>
              <w:bottom w:val="single" w:color="auto" w:sz="4" w:space="0"/>
              <w:right w:val="single" w:color="auto" w:sz="4" w:space="0"/>
            </w:tcBorders>
            <w:vAlign w:val="center"/>
          </w:tcPr>
          <w:p w14:paraId="30CCD60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Kitin (cm⁻¹)</w:t>
            </w:r>
          </w:p>
        </w:tc>
        <w:tc>
          <w:tcPr>
            <w:tcW w:w="1548" w:type="dxa"/>
            <w:tcBorders>
              <w:top w:val="single" w:color="auto" w:sz="4" w:space="0"/>
              <w:left w:val="single" w:color="auto" w:sz="4" w:space="0"/>
              <w:bottom w:val="single" w:color="auto" w:sz="4" w:space="0"/>
              <w:right w:val="single" w:color="auto" w:sz="4" w:space="0"/>
            </w:tcBorders>
            <w:vAlign w:val="center"/>
          </w:tcPr>
          <w:p w14:paraId="668F4D5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Kitosan Standar (cm⁻¹)</w:t>
            </w:r>
          </w:p>
        </w:tc>
        <w:tc>
          <w:tcPr>
            <w:tcW w:w="1548" w:type="dxa"/>
            <w:tcBorders>
              <w:top w:val="single" w:color="auto" w:sz="4" w:space="0"/>
              <w:left w:val="single" w:color="auto" w:sz="4" w:space="0"/>
              <w:bottom w:val="single" w:color="auto" w:sz="4" w:space="0"/>
              <w:right w:val="single" w:color="auto" w:sz="4" w:space="0"/>
            </w:tcBorders>
            <w:vAlign w:val="center"/>
          </w:tcPr>
          <w:p w14:paraId="1C934FA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Kitosan panggang pulut (cm⁻¹)</w:t>
            </w:r>
          </w:p>
        </w:tc>
        <w:tc>
          <w:tcPr>
            <w:tcW w:w="1680" w:type="dxa"/>
            <w:tcBorders>
              <w:top w:val="single" w:color="auto" w:sz="4" w:space="0"/>
              <w:left w:val="single" w:color="auto" w:sz="4" w:space="0"/>
              <w:bottom w:val="single" w:color="auto" w:sz="4" w:space="0"/>
              <w:right w:val="single" w:color="auto" w:sz="4" w:space="0"/>
            </w:tcBorders>
            <w:vAlign w:val="center"/>
          </w:tcPr>
          <w:p w14:paraId="3554344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Perbedaan &amp; Penjelasan</w:t>
            </w:r>
          </w:p>
        </w:tc>
      </w:tr>
      <w:tr w14:paraId="346A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461FA415">
            <w:pPr>
              <w:spacing w:line="240" w:lineRule="auto"/>
              <w:rPr>
                <w:rFonts w:ascii="Times New Roman" w:hAnsi="Times New Roman" w:cs="Times New Roman"/>
                <w:sz w:val="24"/>
                <w:szCs w:val="24"/>
                <w:lang w:val="fi-FI"/>
              </w:rPr>
            </w:pPr>
            <w:r>
              <w:rPr>
                <w:rFonts w:ascii="Times New Roman" w:hAnsi="Times New Roman" w:cs="Times New Roman"/>
                <w:sz w:val="24"/>
                <w:szCs w:val="24"/>
                <w:lang w:val="fi-FI"/>
              </w:rPr>
              <w:t>Vibrasi ulur O-H &amp; N-H</w:t>
            </w:r>
          </w:p>
        </w:tc>
        <w:tc>
          <w:tcPr>
            <w:tcW w:w="1555" w:type="dxa"/>
            <w:tcBorders>
              <w:top w:val="single" w:color="auto" w:sz="4" w:space="0"/>
              <w:left w:val="single" w:color="auto" w:sz="4" w:space="0"/>
              <w:bottom w:val="single" w:color="auto" w:sz="4" w:space="0"/>
              <w:right w:val="single" w:color="auto" w:sz="4" w:space="0"/>
            </w:tcBorders>
          </w:tcPr>
          <w:p w14:paraId="6C16BA1E">
            <w:pPr>
              <w:spacing w:line="240" w:lineRule="auto"/>
              <w:jc w:val="center"/>
              <w:rPr>
                <w:rFonts w:ascii="Times New Roman" w:hAnsi="Times New Roman" w:cs="Times New Roman"/>
                <w:sz w:val="24"/>
                <w:szCs w:val="24"/>
              </w:rPr>
            </w:pPr>
            <w:r>
              <w:rPr>
                <w:rFonts w:ascii="Times New Roman" w:hAnsi="Times New Roman" w:cs="Times New Roman"/>
                <w:sz w:val="24"/>
                <w:szCs w:val="24"/>
              </w:rPr>
              <w:t>3290,29</w:t>
            </w:r>
          </w:p>
        </w:tc>
        <w:tc>
          <w:tcPr>
            <w:tcW w:w="1548" w:type="dxa"/>
            <w:tcBorders>
              <w:top w:val="single" w:color="auto" w:sz="4" w:space="0"/>
              <w:left w:val="single" w:color="auto" w:sz="4" w:space="0"/>
              <w:bottom w:val="single" w:color="auto" w:sz="4" w:space="0"/>
              <w:right w:val="single" w:color="auto" w:sz="4" w:space="0"/>
            </w:tcBorders>
          </w:tcPr>
          <w:p w14:paraId="339354DA">
            <w:pPr>
              <w:spacing w:line="240" w:lineRule="auto"/>
              <w:jc w:val="center"/>
              <w:rPr>
                <w:rFonts w:ascii="Times New Roman" w:hAnsi="Times New Roman" w:cs="Times New Roman"/>
                <w:sz w:val="24"/>
                <w:szCs w:val="24"/>
              </w:rPr>
            </w:pPr>
            <w:r>
              <w:rPr>
                <w:rFonts w:ascii="Times New Roman" w:hAnsi="Times New Roman" w:cs="Times New Roman"/>
                <w:sz w:val="24"/>
                <w:szCs w:val="24"/>
              </w:rPr>
              <w:t>3359,19</w:t>
            </w:r>
          </w:p>
        </w:tc>
        <w:tc>
          <w:tcPr>
            <w:tcW w:w="1548" w:type="dxa"/>
            <w:tcBorders>
              <w:top w:val="single" w:color="auto" w:sz="4" w:space="0"/>
              <w:left w:val="single" w:color="auto" w:sz="4" w:space="0"/>
              <w:bottom w:val="single" w:color="auto" w:sz="4" w:space="0"/>
              <w:right w:val="single" w:color="auto" w:sz="4" w:space="0"/>
            </w:tcBorders>
          </w:tcPr>
          <w:p w14:paraId="1ED44EA9">
            <w:pPr>
              <w:spacing w:line="240" w:lineRule="auto"/>
              <w:jc w:val="center"/>
              <w:rPr>
                <w:rFonts w:ascii="Times New Roman" w:hAnsi="Times New Roman" w:cs="Times New Roman"/>
                <w:sz w:val="24"/>
                <w:szCs w:val="24"/>
              </w:rPr>
            </w:pPr>
            <w:r>
              <w:rPr>
                <w:rFonts w:ascii="Times New Roman" w:hAnsi="Times New Roman" w:cs="Times New Roman"/>
                <w:sz w:val="24"/>
                <w:szCs w:val="24"/>
              </w:rPr>
              <w:t>3353,44</w:t>
            </w:r>
          </w:p>
        </w:tc>
        <w:tc>
          <w:tcPr>
            <w:tcW w:w="1680" w:type="dxa"/>
            <w:tcBorders>
              <w:top w:val="single" w:color="auto" w:sz="4" w:space="0"/>
              <w:left w:val="single" w:color="auto" w:sz="4" w:space="0"/>
              <w:bottom w:val="single" w:color="auto" w:sz="4" w:space="0"/>
              <w:right w:val="single" w:color="auto" w:sz="4" w:space="0"/>
            </w:tcBorders>
          </w:tcPr>
          <w:p w14:paraId="29FA0CC1">
            <w:pPr>
              <w:spacing w:line="240" w:lineRule="auto"/>
              <w:rPr>
                <w:rFonts w:ascii="Times New Roman" w:hAnsi="Times New Roman" w:cs="Times New Roman"/>
                <w:sz w:val="24"/>
                <w:szCs w:val="24"/>
              </w:rPr>
            </w:pPr>
            <w:r>
              <w:rPr>
                <w:rFonts w:ascii="Times New Roman" w:hAnsi="Times New Roman" w:cs="Times New Roman"/>
                <w:sz w:val="24"/>
                <w:szCs w:val="24"/>
              </w:rPr>
              <w:t>Perbedaan kecil akibat tingkat hidrasi dan ikatan H yang berubah.</w:t>
            </w:r>
          </w:p>
        </w:tc>
      </w:tr>
      <w:tr w14:paraId="6565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5A461BCF">
            <w:pPr>
              <w:rPr>
                <w:rFonts w:ascii="Times New Roman" w:hAnsi="Times New Roman" w:cs="Times New Roman"/>
                <w:sz w:val="24"/>
                <w:szCs w:val="24"/>
              </w:rPr>
            </w:pPr>
            <w:r>
              <w:rPr>
                <w:rFonts w:ascii="Times New Roman" w:hAnsi="Times New Roman" w:cs="Times New Roman"/>
                <w:sz w:val="24"/>
                <w:szCs w:val="24"/>
              </w:rPr>
              <w:t>Vibrasi ulur C-H alifatik</w:t>
            </w:r>
          </w:p>
        </w:tc>
        <w:tc>
          <w:tcPr>
            <w:tcW w:w="1555" w:type="dxa"/>
            <w:tcBorders>
              <w:top w:val="single" w:color="auto" w:sz="4" w:space="0"/>
              <w:left w:val="single" w:color="auto" w:sz="4" w:space="0"/>
              <w:bottom w:val="single" w:color="auto" w:sz="4" w:space="0"/>
              <w:right w:val="single" w:color="auto" w:sz="4" w:space="0"/>
            </w:tcBorders>
          </w:tcPr>
          <w:p w14:paraId="558A491F">
            <w:pPr>
              <w:jc w:val="center"/>
              <w:rPr>
                <w:rFonts w:ascii="Times New Roman" w:hAnsi="Times New Roman" w:cs="Times New Roman"/>
                <w:sz w:val="24"/>
                <w:szCs w:val="24"/>
              </w:rPr>
            </w:pPr>
            <w:r>
              <w:rPr>
                <w:rFonts w:ascii="Times New Roman" w:hAnsi="Times New Roman" w:cs="Times New Roman"/>
                <w:sz w:val="24"/>
                <w:szCs w:val="24"/>
              </w:rPr>
              <w:t>2894,07</w:t>
            </w:r>
          </w:p>
        </w:tc>
        <w:tc>
          <w:tcPr>
            <w:tcW w:w="1548" w:type="dxa"/>
            <w:tcBorders>
              <w:top w:val="single" w:color="auto" w:sz="4" w:space="0"/>
              <w:left w:val="single" w:color="auto" w:sz="4" w:space="0"/>
              <w:bottom w:val="single" w:color="auto" w:sz="4" w:space="0"/>
              <w:right w:val="single" w:color="auto" w:sz="4" w:space="0"/>
            </w:tcBorders>
          </w:tcPr>
          <w:p w14:paraId="4A4F6219">
            <w:pPr>
              <w:jc w:val="center"/>
              <w:rPr>
                <w:rFonts w:ascii="Times New Roman" w:hAnsi="Times New Roman" w:cs="Times New Roman"/>
                <w:sz w:val="24"/>
                <w:szCs w:val="24"/>
              </w:rPr>
            </w:pPr>
            <w:r>
              <w:rPr>
                <w:rFonts w:ascii="Times New Roman" w:hAnsi="Times New Roman" w:cs="Times New Roman"/>
                <w:sz w:val="24"/>
                <w:szCs w:val="24"/>
              </w:rPr>
              <w:t>2871,10</w:t>
            </w:r>
          </w:p>
        </w:tc>
        <w:tc>
          <w:tcPr>
            <w:tcW w:w="1548" w:type="dxa"/>
            <w:tcBorders>
              <w:top w:val="single" w:color="auto" w:sz="4" w:space="0"/>
              <w:left w:val="single" w:color="auto" w:sz="4" w:space="0"/>
              <w:bottom w:val="single" w:color="auto" w:sz="4" w:space="0"/>
              <w:right w:val="single" w:color="auto" w:sz="4" w:space="0"/>
            </w:tcBorders>
          </w:tcPr>
          <w:p w14:paraId="634A4A09">
            <w:pPr>
              <w:jc w:val="center"/>
              <w:rPr>
                <w:rFonts w:ascii="Times New Roman" w:hAnsi="Times New Roman" w:cs="Times New Roman"/>
                <w:sz w:val="24"/>
                <w:szCs w:val="24"/>
              </w:rPr>
            </w:pPr>
            <w:r>
              <w:rPr>
                <w:rFonts w:ascii="Times New Roman" w:hAnsi="Times New Roman" w:cs="Times New Roman"/>
                <w:sz w:val="24"/>
                <w:szCs w:val="24"/>
              </w:rPr>
              <w:t>2876,84</w:t>
            </w:r>
          </w:p>
        </w:tc>
        <w:tc>
          <w:tcPr>
            <w:tcW w:w="1680" w:type="dxa"/>
            <w:tcBorders>
              <w:top w:val="single" w:color="auto" w:sz="4" w:space="0"/>
              <w:left w:val="single" w:color="auto" w:sz="4" w:space="0"/>
              <w:bottom w:val="single" w:color="auto" w:sz="4" w:space="0"/>
              <w:right w:val="single" w:color="auto" w:sz="4" w:space="0"/>
            </w:tcBorders>
          </w:tcPr>
          <w:p w14:paraId="23E1DD6E">
            <w:pPr>
              <w:rPr>
                <w:rFonts w:ascii="Times New Roman" w:hAnsi="Times New Roman" w:cs="Times New Roman"/>
                <w:sz w:val="24"/>
                <w:szCs w:val="24"/>
              </w:rPr>
            </w:pPr>
            <w:r>
              <w:rPr>
                <w:rFonts w:ascii="Times New Roman" w:hAnsi="Times New Roman" w:cs="Times New Roman"/>
                <w:sz w:val="24"/>
                <w:szCs w:val="24"/>
              </w:rPr>
              <w:t>Perbedaan kecil : rantai alifatik tetap ada.</w:t>
            </w:r>
          </w:p>
        </w:tc>
      </w:tr>
      <w:tr w14:paraId="3201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57C4669F">
            <w:pPr>
              <w:rPr>
                <w:rFonts w:ascii="Times New Roman" w:hAnsi="Times New Roman" w:cs="Times New Roman"/>
                <w:sz w:val="24"/>
                <w:szCs w:val="24"/>
              </w:rPr>
            </w:pPr>
            <w:r>
              <w:rPr>
                <w:rFonts w:ascii="Times New Roman" w:hAnsi="Times New Roman" w:cs="Times New Roman"/>
                <w:sz w:val="24"/>
                <w:szCs w:val="24"/>
              </w:rPr>
              <w:t>Vibrasi ulur C=O (Amida I)</w:t>
            </w:r>
          </w:p>
        </w:tc>
        <w:tc>
          <w:tcPr>
            <w:tcW w:w="1555" w:type="dxa"/>
            <w:tcBorders>
              <w:top w:val="single" w:color="auto" w:sz="4" w:space="0"/>
              <w:left w:val="single" w:color="auto" w:sz="4" w:space="0"/>
              <w:bottom w:val="single" w:color="auto" w:sz="4" w:space="0"/>
              <w:right w:val="single" w:color="auto" w:sz="4" w:space="0"/>
            </w:tcBorders>
          </w:tcPr>
          <w:p w14:paraId="56A161C8">
            <w:pPr>
              <w:jc w:val="center"/>
              <w:rPr>
                <w:rFonts w:ascii="Times New Roman" w:hAnsi="Times New Roman" w:cs="Times New Roman"/>
                <w:sz w:val="24"/>
                <w:szCs w:val="24"/>
              </w:rPr>
            </w:pPr>
            <w:r>
              <w:rPr>
                <w:rFonts w:ascii="Times New Roman" w:hAnsi="Times New Roman" w:cs="Times New Roman"/>
                <w:sz w:val="24"/>
                <w:szCs w:val="24"/>
              </w:rPr>
              <w:t>1648.01</w:t>
            </w:r>
          </w:p>
        </w:tc>
        <w:tc>
          <w:tcPr>
            <w:tcW w:w="1548" w:type="dxa"/>
            <w:tcBorders>
              <w:top w:val="single" w:color="auto" w:sz="4" w:space="0"/>
              <w:left w:val="single" w:color="auto" w:sz="4" w:space="0"/>
              <w:bottom w:val="single" w:color="auto" w:sz="4" w:space="0"/>
              <w:right w:val="single" w:color="auto" w:sz="4" w:space="0"/>
            </w:tcBorders>
          </w:tcPr>
          <w:p w14:paraId="5D1E5EBA">
            <w:pPr>
              <w:jc w:val="center"/>
              <w:rPr>
                <w:rFonts w:ascii="Times New Roman" w:hAnsi="Times New Roman" w:cs="Times New Roman"/>
                <w:sz w:val="24"/>
                <w:szCs w:val="24"/>
              </w:rPr>
            </w:pPr>
            <w:r>
              <w:rPr>
                <w:rFonts w:ascii="Times New Roman" w:hAnsi="Times New Roman" w:cs="Times New Roman"/>
                <w:sz w:val="24"/>
                <w:szCs w:val="24"/>
              </w:rPr>
              <w:t>1648,01</w:t>
            </w:r>
          </w:p>
        </w:tc>
        <w:tc>
          <w:tcPr>
            <w:tcW w:w="1548" w:type="dxa"/>
            <w:tcBorders>
              <w:top w:val="single" w:color="auto" w:sz="4" w:space="0"/>
              <w:left w:val="single" w:color="auto" w:sz="4" w:space="0"/>
              <w:bottom w:val="single" w:color="auto" w:sz="4" w:space="0"/>
              <w:right w:val="single" w:color="auto" w:sz="4" w:space="0"/>
            </w:tcBorders>
          </w:tcPr>
          <w:p w14:paraId="436570D6">
            <w:pPr>
              <w:jc w:val="center"/>
              <w:rPr>
                <w:rFonts w:ascii="Times New Roman" w:hAnsi="Times New Roman" w:cs="Times New Roman"/>
                <w:sz w:val="24"/>
                <w:szCs w:val="24"/>
              </w:rPr>
            </w:pPr>
            <w:r>
              <w:rPr>
                <w:rFonts w:ascii="Times New Roman" w:hAnsi="Times New Roman" w:cs="Times New Roman"/>
                <w:sz w:val="24"/>
                <w:szCs w:val="24"/>
              </w:rPr>
              <w:t>1648,01</w:t>
            </w:r>
          </w:p>
        </w:tc>
        <w:tc>
          <w:tcPr>
            <w:tcW w:w="1680" w:type="dxa"/>
            <w:tcBorders>
              <w:top w:val="single" w:color="auto" w:sz="4" w:space="0"/>
              <w:left w:val="single" w:color="auto" w:sz="4" w:space="0"/>
              <w:bottom w:val="single" w:color="auto" w:sz="4" w:space="0"/>
              <w:right w:val="single" w:color="auto" w:sz="4" w:space="0"/>
            </w:tcBorders>
          </w:tcPr>
          <w:p w14:paraId="508406D0">
            <w:pPr>
              <w:rPr>
                <w:rFonts w:ascii="Times New Roman" w:hAnsi="Times New Roman" w:cs="Times New Roman"/>
                <w:sz w:val="24"/>
                <w:szCs w:val="24"/>
              </w:rPr>
            </w:pPr>
            <w:r>
              <w:rPr>
                <w:rFonts w:ascii="Times New Roman" w:hAnsi="Times New Roman" w:cs="Times New Roman"/>
                <w:sz w:val="24"/>
                <w:szCs w:val="24"/>
              </w:rPr>
              <w:t>Tidak berubah; menunjukkan sebagian gugus amida masih ada.</w:t>
            </w:r>
          </w:p>
        </w:tc>
      </w:tr>
      <w:tr w14:paraId="39BC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4D741AB0">
            <w:pPr>
              <w:rPr>
                <w:rFonts w:ascii="Times New Roman" w:hAnsi="Times New Roman" w:cs="Times New Roman"/>
                <w:sz w:val="24"/>
                <w:szCs w:val="24"/>
                <w:lang w:val="fi-FI"/>
              </w:rPr>
            </w:pPr>
            <w:r>
              <w:rPr>
                <w:rFonts w:ascii="Times New Roman" w:hAnsi="Times New Roman" w:cs="Times New Roman"/>
                <w:sz w:val="24"/>
                <w:szCs w:val="24"/>
                <w:lang w:val="fi-FI"/>
              </w:rPr>
              <w:t>Vibrasi tekuk N-H (Amida II)</w:t>
            </w:r>
          </w:p>
        </w:tc>
        <w:tc>
          <w:tcPr>
            <w:tcW w:w="1555" w:type="dxa"/>
            <w:tcBorders>
              <w:top w:val="single" w:color="auto" w:sz="4" w:space="0"/>
              <w:left w:val="single" w:color="auto" w:sz="4" w:space="0"/>
              <w:bottom w:val="single" w:color="auto" w:sz="4" w:space="0"/>
              <w:right w:val="single" w:color="auto" w:sz="4" w:space="0"/>
            </w:tcBorders>
          </w:tcPr>
          <w:p w14:paraId="0B6D0F7B">
            <w:pPr>
              <w:jc w:val="center"/>
              <w:rPr>
                <w:rFonts w:ascii="Times New Roman" w:hAnsi="Times New Roman" w:cs="Times New Roman"/>
                <w:sz w:val="24"/>
                <w:szCs w:val="24"/>
              </w:rPr>
            </w:pPr>
            <w:r>
              <w:rPr>
                <w:rFonts w:ascii="Times New Roman" w:hAnsi="Times New Roman" w:cs="Times New Roman"/>
                <w:sz w:val="24"/>
                <w:szCs w:val="24"/>
              </w:rPr>
              <w:t>1551,88</w:t>
            </w:r>
          </w:p>
        </w:tc>
        <w:tc>
          <w:tcPr>
            <w:tcW w:w="1548" w:type="dxa"/>
            <w:tcBorders>
              <w:top w:val="single" w:color="auto" w:sz="4" w:space="0"/>
              <w:left w:val="single" w:color="auto" w:sz="4" w:space="0"/>
              <w:bottom w:val="single" w:color="auto" w:sz="4" w:space="0"/>
              <w:right w:val="single" w:color="auto" w:sz="4" w:space="0"/>
            </w:tcBorders>
          </w:tcPr>
          <w:p w14:paraId="0026DF78">
            <w:pPr>
              <w:jc w:val="center"/>
              <w:rPr>
                <w:rFonts w:ascii="Times New Roman" w:hAnsi="Times New Roman" w:cs="Times New Roman"/>
                <w:sz w:val="24"/>
                <w:szCs w:val="24"/>
              </w:rPr>
            </w:pPr>
            <w:r>
              <w:rPr>
                <w:rFonts w:ascii="Times New Roman" w:hAnsi="Times New Roman" w:cs="Times New Roman"/>
                <w:sz w:val="24"/>
                <w:szCs w:val="24"/>
              </w:rPr>
              <w:t>1579,11</w:t>
            </w:r>
          </w:p>
        </w:tc>
        <w:tc>
          <w:tcPr>
            <w:tcW w:w="1548" w:type="dxa"/>
            <w:tcBorders>
              <w:top w:val="single" w:color="auto" w:sz="4" w:space="0"/>
              <w:left w:val="single" w:color="auto" w:sz="4" w:space="0"/>
              <w:bottom w:val="single" w:color="auto" w:sz="4" w:space="0"/>
              <w:right w:val="single" w:color="auto" w:sz="4" w:space="0"/>
            </w:tcBorders>
          </w:tcPr>
          <w:p w14:paraId="0E19651A">
            <w:pPr>
              <w:jc w:val="center"/>
              <w:rPr>
                <w:rFonts w:ascii="Times New Roman" w:hAnsi="Times New Roman" w:cs="Times New Roman"/>
                <w:sz w:val="24"/>
                <w:szCs w:val="24"/>
              </w:rPr>
            </w:pPr>
            <w:r>
              <w:rPr>
                <w:rFonts w:ascii="Times New Roman" w:hAnsi="Times New Roman" w:cs="Times New Roman"/>
                <w:sz w:val="24"/>
                <w:szCs w:val="24"/>
              </w:rPr>
              <w:t>1584,84</w:t>
            </w:r>
          </w:p>
        </w:tc>
        <w:tc>
          <w:tcPr>
            <w:tcW w:w="1680" w:type="dxa"/>
            <w:tcBorders>
              <w:top w:val="single" w:color="auto" w:sz="4" w:space="0"/>
              <w:left w:val="single" w:color="auto" w:sz="4" w:space="0"/>
              <w:bottom w:val="single" w:color="auto" w:sz="4" w:space="0"/>
              <w:right w:val="single" w:color="auto" w:sz="4" w:space="0"/>
            </w:tcBorders>
          </w:tcPr>
          <w:p w14:paraId="7299E732">
            <w:pPr>
              <w:rPr>
                <w:rFonts w:ascii="Times New Roman" w:hAnsi="Times New Roman" w:cs="Times New Roman"/>
                <w:sz w:val="24"/>
                <w:szCs w:val="24"/>
              </w:rPr>
            </w:pPr>
            <w:r>
              <w:rPr>
                <w:rFonts w:ascii="Times New Roman" w:hAnsi="Times New Roman" w:cs="Times New Roman"/>
                <w:sz w:val="24"/>
                <w:szCs w:val="24"/>
              </w:rPr>
              <w:t>Bergeser naik; lingkungan kimia N-H berubah.</w:t>
            </w:r>
          </w:p>
        </w:tc>
      </w:tr>
      <w:tr w14:paraId="3712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69D71869">
            <w:pPr>
              <w:rPr>
                <w:rFonts w:ascii="Times New Roman" w:hAnsi="Times New Roman" w:cs="Times New Roman"/>
                <w:sz w:val="24"/>
                <w:szCs w:val="24"/>
                <w:lang w:val="fi-FI"/>
              </w:rPr>
            </w:pPr>
            <w:r>
              <w:rPr>
                <w:rFonts w:ascii="Times New Roman" w:hAnsi="Times New Roman" w:cs="Times New Roman"/>
                <w:sz w:val="24"/>
                <w:szCs w:val="24"/>
                <w:lang w:val="fi-FI"/>
              </w:rPr>
              <w:t>Vibrasi ulur C-N (Amida III)</w:t>
            </w:r>
          </w:p>
        </w:tc>
        <w:tc>
          <w:tcPr>
            <w:tcW w:w="1555" w:type="dxa"/>
            <w:tcBorders>
              <w:top w:val="single" w:color="auto" w:sz="4" w:space="0"/>
              <w:left w:val="single" w:color="auto" w:sz="4" w:space="0"/>
              <w:bottom w:val="single" w:color="auto" w:sz="4" w:space="0"/>
              <w:right w:val="single" w:color="auto" w:sz="4" w:space="0"/>
            </w:tcBorders>
          </w:tcPr>
          <w:p w14:paraId="0D38173D">
            <w:pPr>
              <w:jc w:val="center"/>
              <w:rPr>
                <w:rFonts w:ascii="Times New Roman" w:hAnsi="Times New Roman" w:cs="Times New Roman"/>
                <w:sz w:val="24"/>
                <w:szCs w:val="24"/>
              </w:rPr>
            </w:pPr>
            <w:r>
              <w:rPr>
                <w:rFonts w:ascii="Times New Roman" w:hAnsi="Times New Roman" w:cs="Times New Roman"/>
                <w:sz w:val="24"/>
                <w:szCs w:val="24"/>
              </w:rPr>
              <w:t>1320.71</w:t>
            </w:r>
          </w:p>
        </w:tc>
        <w:tc>
          <w:tcPr>
            <w:tcW w:w="1548" w:type="dxa"/>
            <w:tcBorders>
              <w:top w:val="single" w:color="auto" w:sz="4" w:space="0"/>
              <w:left w:val="single" w:color="auto" w:sz="4" w:space="0"/>
              <w:bottom w:val="single" w:color="auto" w:sz="4" w:space="0"/>
              <w:right w:val="single" w:color="auto" w:sz="4" w:space="0"/>
            </w:tcBorders>
          </w:tcPr>
          <w:p w14:paraId="713265E2">
            <w:pPr>
              <w:jc w:val="center"/>
              <w:rPr>
                <w:rFonts w:ascii="Times New Roman" w:hAnsi="Times New Roman" w:cs="Times New Roman"/>
                <w:sz w:val="24"/>
                <w:szCs w:val="24"/>
              </w:rPr>
            </w:pPr>
            <w:r>
              <w:rPr>
                <w:rFonts w:ascii="Times New Roman" w:hAnsi="Times New Roman" w:cs="Times New Roman"/>
                <w:sz w:val="24"/>
                <w:szCs w:val="24"/>
              </w:rPr>
              <w:t>1200,12</w:t>
            </w:r>
          </w:p>
        </w:tc>
        <w:tc>
          <w:tcPr>
            <w:tcW w:w="1548" w:type="dxa"/>
            <w:tcBorders>
              <w:top w:val="single" w:color="auto" w:sz="4" w:space="0"/>
              <w:left w:val="single" w:color="auto" w:sz="4" w:space="0"/>
              <w:bottom w:val="single" w:color="auto" w:sz="4" w:space="0"/>
              <w:right w:val="single" w:color="auto" w:sz="4" w:space="0"/>
            </w:tcBorders>
          </w:tcPr>
          <w:p w14:paraId="531CB4C4">
            <w:pPr>
              <w:jc w:val="center"/>
              <w:rPr>
                <w:rFonts w:ascii="Times New Roman" w:hAnsi="Times New Roman" w:cs="Times New Roman"/>
                <w:sz w:val="24"/>
                <w:szCs w:val="24"/>
              </w:rPr>
            </w:pPr>
            <w:r>
              <w:rPr>
                <w:rFonts w:ascii="Times New Roman" w:hAnsi="Times New Roman" w:cs="Times New Roman"/>
                <w:sz w:val="24"/>
                <w:szCs w:val="24"/>
              </w:rPr>
              <w:t>1200,12</w:t>
            </w:r>
          </w:p>
        </w:tc>
        <w:tc>
          <w:tcPr>
            <w:tcW w:w="1680" w:type="dxa"/>
            <w:tcBorders>
              <w:top w:val="single" w:color="auto" w:sz="4" w:space="0"/>
              <w:left w:val="single" w:color="auto" w:sz="4" w:space="0"/>
              <w:bottom w:val="single" w:color="auto" w:sz="4" w:space="0"/>
              <w:right w:val="single" w:color="auto" w:sz="4" w:space="0"/>
            </w:tcBorders>
          </w:tcPr>
          <w:p w14:paraId="25C0EC05">
            <w:pPr>
              <w:rPr>
                <w:rFonts w:ascii="Times New Roman" w:hAnsi="Times New Roman" w:cs="Times New Roman"/>
                <w:sz w:val="24"/>
                <w:szCs w:val="24"/>
              </w:rPr>
            </w:pPr>
            <w:r>
              <w:rPr>
                <w:rFonts w:ascii="Times New Roman" w:hAnsi="Times New Roman" w:cs="Times New Roman"/>
                <w:sz w:val="24"/>
                <w:szCs w:val="24"/>
              </w:rPr>
              <w:t>Berubah signifikan akibat deasetilasi.</w:t>
            </w:r>
          </w:p>
        </w:tc>
      </w:tr>
      <w:tr w14:paraId="7D1B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6BB09E9C">
            <w:pPr>
              <w:rPr>
                <w:rFonts w:ascii="Times New Roman" w:hAnsi="Times New Roman" w:cs="Times New Roman"/>
                <w:sz w:val="24"/>
                <w:szCs w:val="24"/>
                <w:lang w:val="fi-FI"/>
              </w:rPr>
            </w:pPr>
            <w:r>
              <w:rPr>
                <w:rFonts w:ascii="Times New Roman" w:hAnsi="Times New Roman" w:cs="Times New Roman"/>
                <w:sz w:val="24"/>
                <w:szCs w:val="24"/>
                <w:lang w:val="fi-FI"/>
              </w:rPr>
              <w:t>Vibrasi ulur C-O-C</w:t>
            </w:r>
          </w:p>
        </w:tc>
        <w:tc>
          <w:tcPr>
            <w:tcW w:w="1555" w:type="dxa"/>
            <w:tcBorders>
              <w:top w:val="single" w:color="auto" w:sz="4" w:space="0"/>
              <w:left w:val="single" w:color="auto" w:sz="4" w:space="0"/>
              <w:bottom w:val="single" w:color="auto" w:sz="4" w:space="0"/>
              <w:right w:val="single" w:color="auto" w:sz="4" w:space="0"/>
            </w:tcBorders>
          </w:tcPr>
          <w:p w14:paraId="69E12367">
            <w:pPr>
              <w:jc w:val="center"/>
              <w:rPr>
                <w:rFonts w:ascii="Times New Roman" w:hAnsi="Times New Roman" w:cs="Times New Roman"/>
                <w:sz w:val="24"/>
                <w:szCs w:val="24"/>
              </w:rPr>
            </w:pPr>
            <w:r>
              <w:rPr>
                <w:rFonts w:ascii="Times New Roman" w:hAnsi="Times New Roman" w:cs="Times New Roman"/>
                <w:sz w:val="24"/>
                <w:szCs w:val="24"/>
              </w:rPr>
              <w:t>1062.31</w:t>
            </w:r>
          </w:p>
        </w:tc>
        <w:tc>
          <w:tcPr>
            <w:tcW w:w="1548" w:type="dxa"/>
            <w:tcBorders>
              <w:top w:val="single" w:color="auto" w:sz="4" w:space="0"/>
              <w:left w:val="single" w:color="auto" w:sz="4" w:space="0"/>
              <w:bottom w:val="single" w:color="auto" w:sz="4" w:space="0"/>
              <w:right w:val="single" w:color="auto" w:sz="4" w:space="0"/>
            </w:tcBorders>
          </w:tcPr>
          <w:p w14:paraId="355FF6B8">
            <w:pPr>
              <w:jc w:val="center"/>
              <w:rPr>
                <w:rFonts w:ascii="Times New Roman" w:hAnsi="Times New Roman" w:cs="Times New Roman"/>
                <w:sz w:val="24"/>
                <w:szCs w:val="24"/>
              </w:rPr>
            </w:pPr>
            <w:r>
              <w:rPr>
                <w:rFonts w:ascii="Times New Roman" w:hAnsi="Times New Roman" w:cs="Times New Roman"/>
                <w:sz w:val="24"/>
                <w:szCs w:val="24"/>
              </w:rPr>
              <w:t>1062,31</w:t>
            </w:r>
          </w:p>
        </w:tc>
        <w:tc>
          <w:tcPr>
            <w:tcW w:w="1548" w:type="dxa"/>
            <w:tcBorders>
              <w:top w:val="single" w:color="auto" w:sz="4" w:space="0"/>
              <w:left w:val="single" w:color="auto" w:sz="4" w:space="0"/>
              <w:bottom w:val="single" w:color="auto" w:sz="4" w:space="0"/>
              <w:right w:val="single" w:color="auto" w:sz="4" w:space="0"/>
            </w:tcBorders>
          </w:tcPr>
          <w:p w14:paraId="3260A250">
            <w:pPr>
              <w:jc w:val="center"/>
              <w:rPr>
                <w:rFonts w:ascii="Times New Roman" w:hAnsi="Times New Roman" w:cs="Times New Roman"/>
                <w:sz w:val="24"/>
                <w:szCs w:val="24"/>
              </w:rPr>
            </w:pPr>
            <w:r>
              <w:rPr>
                <w:rFonts w:ascii="Times New Roman" w:hAnsi="Times New Roman" w:cs="Times New Roman"/>
                <w:sz w:val="24"/>
                <w:szCs w:val="24"/>
              </w:rPr>
              <w:t>1062,31</w:t>
            </w:r>
          </w:p>
        </w:tc>
        <w:tc>
          <w:tcPr>
            <w:tcW w:w="1680" w:type="dxa"/>
            <w:tcBorders>
              <w:top w:val="single" w:color="auto" w:sz="4" w:space="0"/>
              <w:left w:val="single" w:color="auto" w:sz="4" w:space="0"/>
              <w:bottom w:val="single" w:color="auto" w:sz="4" w:space="0"/>
              <w:right w:val="single" w:color="auto" w:sz="4" w:space="0"/>
            </w:tcBorders>
          </w:tcPr>
          <w:p w14:paraId="5D2065C1">
            <w:pPr>
              <w:rPr>
                <w:rFonts w:ascii="Times New Roman" w:hAnsi="Times New Roman" w:cs="Times New Roman"/>
                <w:sz w:val="24"/>
                <w:szCs w:val="24"/>
                <w:lang w:val="fi-FI"/>
              </w:rPr>
            </w:pPr>
            <w:r>
              <w:rPr>
                <w:rFonts w:ascii="Times New Roman" w:hAnsi="Times New Roman" w:cs="Times New Roman"/>
                <w:sz w:val="24"/>
                <w:szCs w:val="24"/>
                <w:lang w:val="fi-FI"/>
              </w:rPr>
              <w:t>Tidak berubah; struktur kerangka polisakarida tetap.</w:t>
            </w:r>
          </w:p>
        </w:tc>
      </w:tr>
      <w:tr w14:paraId="4CB2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29475162">
            <w:pPr>
              <w:rPr>
                <w:rFonts w:ascii="Times New Roman" w:hAnsi="Times New Roman" w:cs="Times New Roman"/>
                <w:sz w:val="24"/>
                <w:szCs w:val="24"/>
              </w:rPr>
            </w:pPr>
            <w:r>
              <w:rPr>
                <w:rFonts w:ascii="Times New Roman" w:hAnsi="Times New Roman" w:cs="Times New Roman"/>
                <w:sz w:val="24"/>
                <w:szCs w:val="24"/>
              </w:rPr>
              <w:t>Vibrasi ulur β-1,4-glikosidik</w:t>
            </w:r>
          </w:p>
        </w:tc>
        <w:tc>
          <w:tcPr>
            <w:tcW w:w="1555" w:type="dxa"/>
            <w:tcBorders>
              <w:top w:val="single" w:color="auto" w:sz="4" w:space="0"/>
              <w:left w:val="single" w:color="auto" w:sz="4" w:space="0"/>
              <w:bottom w:val="single" w:color="auto" w:sz="4" w:space="0"/>
              <w:right w:val="single" w:color="auto" w:sz="4" w:space="0"/>
            </w:tcBorders>
          </w:tcPr>
          <w:p w14:paraId="47C70CA7">
            <w:pPr>
              <w:jc w:val="center"/>
              <w:rPr>
                <w:rFonts w:ascii="Times New Roman" w:hAnsi="Times New Roman" w:cs="Times New Roman"/>
                <w:sz w:val="24"/>
                <w:szCs w:val="24"/>
              </w:rPr>
            </w:pPr>
            <w:r>
              <w:rPr>
                <w:rFonts w:ascii="Times New Roman" w:hAnsi="Times New Roman" w:cs="Times New Roman"/>
                <w:sz w:val="24"/>
                <w:szCs w:val="24"/>
              </w:rPr>
              <w:t>838,36</w:t>
            </w:r>
          </w:p>
        </w:tc>
        <w:tc>
          <w:tcPr>
            <w:tcW w:w="1548" w:type="dxa"/>
            <w:tcBorders>
              <w:top w:val="single" w:color="auto" w:sz="4" w:space="0"/>
              <w:left w:val="single" w:color="auto" w:sz="4" w:space="0"/>
              <w:bottom w:val="single" w:color="auto" w:sz="4" w:space="0"/>
              <w:right w:val="single" w:color="auto" w:sz="4" w:space="0"/>
            </w:tcBorders>
          </w:tcPr>
          <w:p w14:paraId="676D7A07">
            <w:pPr>
              <w:jc w:val="center"/>
              <w:rPr>
                <w:rFonts w:ascii="Times New Roman" w:hAnsi="Times New Roman" w:cs="Times New Roman"/>
                <w:sz w:val="24"/>
                <w:szCs w:val="24"/>
              </w:rPr>
            </w:pPr>
            <w:r>
              <w:rPr>
                <w:rFonts w:ascii="Times New Roman" w:hAnsi="Times New Roman" w:cs="Times New Roman"/>
                <w:sz w:val="24"/>
                <w:szCs w:val="24"/>
              </w:rPr>
              <w:t>895,78</w:t>
            </w:r>
          </w:p>
        </w:tc>
        <w:tc>
          <w:tcPr>
            <w:tcW w:w="1548" w:type="dxa"/>
            <w:tcBorders>
              <w:top w:val="single" w:color="auto" w:sz="4" w:space="0"/>
              <w:left w:val="single" w:color="auto" w:sz="4" w:space="0"/>
              <w:bottom w:val="single" w:color="auto" w:sz="4" w:space="0"/>
              <w:right w:val="single" w:color="auto" w:sz="4" w:space="0"/>
            </w:tcBorders>
          </w:tcPr>
          <w:p w14:paraId="0FC2BB78">
            <w:pPr>
              <w:jc w:val="center"/>
              <w:rPr>
                <w:rFonts w:ascii="Times New Roman" w:hAnsi="Times New Roman" w:cs="Times New Roman"/>
                <w:sz w:val="24"/>
                <w:szCs w:val="24"/>
              </w:rPr>
            </w:pPr>
            <w:r>
              <w:rPr>
                <w:rFonts w:ascii="Times New Roman" w:hAnsi="Times New Roman" w:cs="Times New Roman"/>
                <w:sz w:val="24"/>
                <w:szCs w:val="24"/>
              </w:rPr>
              <w:t>895,78</w:t>
            </w:r>
          </w:p>
        </w:tc>
        <w:tc>
          <w:tcPr>
            <w:tcW w:w="1680" w:type="dxa"/>
            <w:tcBorders>
              <w:top w:val="single" w:color="auto" w:sz="4" w:space="0"/>
              <w:left w:val="single" w:color="auto" w:sz="4" w:space="0"/>
              <w:bottom w:val="single" w:color="auto" w:sz="4" w:space="0"/>
              <w:right w:val="single" w:color="auto" w:sz="4" w:space="0"/>
            </w:tcBorders>
          </w:tcPr>
          <w:p w14:paraId="12B590CA">
            <w:pPr>
              <w:rPr>
                <w:rFonts w:ascii="Times New Roman" w:hAnsi="Times New Roman" w:cs="Times New Roman"/>
                <w:sz w:val="24"/>
                <w:szCs w:val="24"/>
              </w:rPr>
            </w:pPr>
            <w:r>
              <w:rPr>
                <w:rFonts w:ascii="Times New Roman" w:hAnsi="Times New Roman" w:cs="Times New Roman"/>
                <w:sz w:val="24"/>
                <w:szCs w:val="24"/>
              </w:rPr>
              <w:t>Tetap muncul; struktur dasar β-glikosidik tidak berubah.</w:t>
            </w:r>
          </w:p>
        </w:tc>
      </w:tr>
    </w:tbl>
    <w:p w14:paraId="7A8B6663">
      <w:pPr>
        <w:spacing w:before="100" w:beforeAutospacing="1"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Berdasarkan perbandingan spektra inframerah antara kitin, kitosan baku, dan kitosan hasil isolasi, terlihat bahwa gugus fungsi pada masing-masing bilangan gelombang tidak mengalami perubahan signifikan. Hal ini menunjukkan bahwa proses deasetilasi hanya menyebabkan pergeseran pada pita-pita yang berkaitan dengan gugus amida tanpa mengubah struktur dasar rantai polisakarida. Dengan demikian, dapat disimpulkan bahwa kitosan yang dihasilkan dari cangkang kerang panggang pulut memenuhi standar kitosan.</w:t>
      </w:r>
    </w:p>
    <w:p w14:paraId="66237961">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4.4 Hasil Karakterisasai Kitosan</w:t>
      </w:r>
    </w:p>
    <w:p w14:paraId="3CCD1B61">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Hasil kitosan yang diperoleh dari proses isolasi secara bertahap selanjutnya di karakterisasi dengan beberapa spesifik. Karakterisasi kitosan bertujuan untuk mengetahui apakah kitosan yang diperoleh telah memenuhi standar yang telah ditetapkan. Karakterisasi kitosan meliputi organoleptik (tekstur, warna, dan bau), rendemen kitin menjadi kitosan, kadar air, kadar abu, tingkat kelarutan kitosan, dan derajat deasetilasi.</w:t>
      </w:r>
    </w:p>
    <w:p w14:paraId="0A8B8F6A">
      <w:pPr>
        <w:spacing w:after="0" w:line="480" w:lineRule="auto"/>
        <w:ind w:firstLine="720"/>
        <w:jc w:val="both"/>
        <w:rPr>
          <w:rFonts w:ascii="Times New Roman" w:hAnsi="Times New Roman" w:cs="Times New Roman"/>
          <w:b/>
          <w:color w:val="000000"/>
          <w:sz w:val="24"/>
          <w:szCs w:val="24"/>
        </w:rPr>
      </w:pPr>
    </w:p>
    <w:p w14:paraId="551FAB64">
      <w:pPr>
        <w:spacing w:after="0" w:line="480" w:lineRule="auto"/>
        <w:ind w:firstLine="720"/>
        <w:jc w:val="both"/>
        <w:rPr>
          <w:rFonts w:ascii="Times New Roman" w:hAnsi="Times New Roman" w:cs="Times New Roman"/>
          <w:b/>
          <w:color w:val="000000"/>
          <w:sz w:val="24"/>
          <w:szCs w:val="24"/>
        </w:rPr>
      </w:pPr>
    </w:p>
    <w:p w14:paraId="5800D91C">
      <w:pPr>
        <w:spacing w:after="0" w:line="276" w:lineRule="auto"/>
        <w:ind w:left="1134" w:hanging="1134"/>
        <w:jc w:val="both"/>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Tabel 4.4</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 xml:space="preserve">Hasil Karakterisasi Kitosan Isolasi dan Perbandingan dengan </w:t>
      </w:r>
      <w:r>
        <w:rPr>
          <w:rFonts w:ascii="Times New Roman" w:hAnsi="Times New Roman" w:cs="Times New Roman"/>
          <w:color w:val="000000"/>
          <w:sz w:val="24"/>
          <w:szCs w:val="24"/>
        </w:rPr>
        <w:t>SNI 7949, Tahun 2013</w:t>
      </w:r>
    </w:p>
    <w:tbl>
      <w:tblPr>
        <w:tblStyle w:val="22"/>
        <w:tblW w:w="7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3402"/>
        <w:gridCol w:w="2177"/>
      </w:tblGrid>
      <w:tr w14:paraId="0D55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vAlign w:val="center"/>
          </w:tcPr>
          <w:p w14:paraId="6E02AF88">
            <w:pPr>
              <w:spacing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Spesifikasi</w:t>
            </w:r>
          </w:p>
        </w:tc>
        <w:tc>
          <w:tcPr>
            <w:tcW w:w="3402" w:type="dxa"/>
            <w:vAlign w:val="center"/>
          </w:tcPr>
          <w:p w14:paraId="71E499F4">
            <w:pPr>
              <w:spacing w:line="240" w:lineRule="auto"/>
              <w:jc w:val="center"/>
              <w:rPr>
                <w:rFonts w:ascii="Times New Roman" w:hAnsi="Times New Roman" w:cs="Times New Roman"/>
                <w:b/>
                <w:bCs/>
                <w:color w:val="000000"/>
                <w:sz w:val="24"/>
                <w:szCs w:val="24"/>
                <w:lang w:val="fi-FI"/>
              </w:rPr>
            </w:pPr>
            <w:r>
              <w:rPr>
                <w:rFonts w:ascii="Times New Roman" w:hAnsi="Times New Roman" w:cs="Times New Roman"/>
                <w:b/>
                <w:bCs/>
                <w:color w:val="000000"/>
                <w:sz w:val="24"/>
                <w:szCs w:val="24"/>
                <w:lang w:val="fi-FI"/>
              </w:rPr>
              <w:t>Hasil isolasi kerang panggang pulut (atrina pectinata)</w:t>
            </w:r>
          </w:p>
        </w:tc>
        <w:tc>
          <w:tcPr>
            <w:tcW w:w="2177" w:type="dxa"/>
            <w:vAlign w:val="center"/>
          </w:tcPr>
          <w:p w14:paraId="2E2D142D">
            <w:pPr>
              <w:spacing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Standar nasional Indonesia (SNI)</w:t>
            </w:r>
          </w:p>
        </w:tc>
      </w:tr>
      <w:tr w14:paraId="4902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129F176A">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Warna</w:t>
            </w:r>
          </w:p>
        </w:tc>
        <w:tc>
          <w:tcPr>
            <w:tcW w:w="3402" w:type="dxa"/>
          </w:tcPr>
          <w:p w14:paraId="13E9A20F">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Putih</w:t>
            </w:r>
          </w:p>
        </w:tc>
        <w:tc>
          <w:tcPr>
            <w:tcW w:w="2177" w:type="dxa"/>
          </w:tcPr>
          <w:p w14:paraId="34DBAA41">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Coklat muda sampai putih</w:t>
            </w:r>
          </w:p>
        </w:tc>
      </w:tr>
      <w:tr w14:paraId="045A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0347E71B">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Tekstur</w:t>
            </w:r>
          </w:p>
        </w:tc>
        <w:tc>
          <w:tcPr>
            <w:tcW w:w="3402" w:type="dxa"/>
          </w:tcPr>
          <w:p w14:paraId="611D8ACF">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Serbuk halus </w:t>
            </w:r>
          </w:p>
        </w:tc>
        <w:tc>
          <w:tcPr>
            <w:tcW w:w="2177" w:type="dxa"/>
          </w:tcPr>
          <w:p w14:paraId="6219628B">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Serpihan dan serbuk halus</w:t>
            </w:r>
          </w:p>
        </w:tc>
      </w:tr>
      <w:tr w14:paraId="6B67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6918D8FF">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Bau</w:t>
            </w:r>
          </w:p>
        </w:tc>
        <w:tc>
          <w:tcPr>
            <w:tcW w:w="3402" w:type="dxa"/>
          </w:tcPr>
          <w:p w14:paraId="488AF306">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Tidak berbau</w:t>
            </w:r>
          </w:p>
        </w:tc>
        <w:tc>
          <w:tcPr>
            <w:tcW w:w="2177" w:type="dxa"/>
          </w:tcPr>
          <w:p w14:paraId="013E9953">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Tidak berbau</w:t>
            </w:r>
          </w:p>
        </w:tc>
      </w:tr>
      <w:tr w14:paraId="3EE9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3D0B74FB">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Kadar air</w:t>
            </w:r>
          </w:p>
        </w:tc>
        <w:tc>
          <w:tcPr>
            <w:tcW w:w="3402" w:type="dxa"/>
          </w:tcPr>
          <w:p w14:paraId="09B9F7ED">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4,26%</w:t>
            </w:r>
          </w:p>
        </w:tc>
        <w:tc>
          <w:tcPr>
            <w:tcW w:w="2177" w:type="dxa"/>
          </w:tcPr>
          <w:p w14:paraId="04E9E4B9">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 12%</w:t>
            </w:r>
          </w:p>
        </w:tc>
      </w:tr>
      <w:tr w14:paraId="2DAE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62CBFC34">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Kadar abu</w:t>
            </w:r>
          </w:p>
        </w:tc>
        <w:tc>
          <w:tcPr>
            <w:tcW w:w="3402" w:type="dxa"/>
          </w:tcPr>
          <w:p w14:paraId="1AA75CFA">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3,84%</w:t>
            </w:r>
          </w:p>
        </w:tc>
        <w:tc>
          <w:tcPr>
            <w:tcW w:w="2177" w:type="dxa"/>
          </w:tcPr>
          <w:p w14:paraId="4CBFED13">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5%</w:t>
            </w:r>
          </w:p>
        </w:tc>
      </w:tr>
      <w:tr w14:paraId="09DB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581B367D">
            <w:pPr>
              <w:spacing w:line="240" w:lineRule="auto"/>
              <w:jc w:val="center"/>
              <w:rPr>
                <w:rFonts w:ascii="Times New Roman" w:hAnsi="Times New Roman" w:cs="Times New Roman"/>
                <w:color w:val="000000"/>
                <w:sz w:val="24"/>
                <w:szCs w:val="24"/>
                <w:lang w:val="fi-FI"/>
              </w:rPr>
            </w:pPr>
            <w:r>
              <w:rPr>
                <w:rFonts w:ascii="Times New Roman" w:hAnsi="Times New Roman" w:cs="Times New Roman"/>
                <w:color w:val="000000"/>
                <w:sz w:val="24"/>
                <w:szCs w:val="24"/>
                <w:lang w:val="fi-FI"/>
              </w:rPr>
              <w:t>Kelarutan kitosan dalam asam asetat</w:t>
            </w:r>
          </w:p>
        </w:tc>
        <w:tc>
          <w:tcPr>
            <w:tcW w:w="3402" w:type="dxa"/>
          </w:tcPr>
          <w:p w14:paraId="63D0533E">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Larut </w:t>
            </w:r>
          </w:p>
        </w:tc>
        <w:tc>
          <w:tcPr>
            <w:tcW w:w="2177" w:type="dxa"/>
          </w:tcPr>
          <w:p w14:paraId="5EDBBB53">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Larut</w:t>
            </w:r>
          </w:p>
        </w:tc>
      </w:tr>
      <w:tr w14:paraId="1181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2FF1AD78">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Derajat deasetilasi</w:t>
            </w:r>
          </w:p>
        </w:tc>
        <w:tc>
          <w:tcPr>
            <w:tcW w:w="3402" w:type="dxa"/>
          </w:tcPr>
          <w:p w14:paraId="4AB6B5BD">
            <w:pPr>
              <w:spacing w:line="240" w:lineRule="auto"/>
              <w:jc w:val="center"/>
              <w:rPr>
                <w:rFonts w:ascii="Times New Roman" w:hAnsi="Times New Roman" w:cs="Times New Roman"/>
                <w:color w:val="000000"/>
                <w:sz w:val="24"/>
                <w:szCs w:val="24"/>
                <w:lang w:val="en-US"/>
              </w:rPr>
            </w:pPr>
            <w:r>
              <w:rPr>
                <w:rFonts w:ascii="Times New Roman" w:hAnsi="Times New Roman" w:cs="Times New Roman" w:eastAsiaTheme="minorEastAsia"/>
                <w:spacing w:val="-5"/>
                <w:sz w:val="24"/>
                <w:szCs w:val="24"/>
              </w:rPr>
              <w:t>76,68%</w:t>
            </w:r>
          </w:p>
        </w:tc>
        <w:tc>
          <w:tcPr>
            <w:tcW w:w="2177" w:type="dxa"/>
          </w:tcPr>
          <w:p w14:paraId="299AA7F1">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Minimal 75 %</w:t>
            </w:r>
          </w:p>
        </w:tc>
      </w:tr>
    </w:tbl>
    <w:p w14:paraId="5AFA60B1">
      <w:pPr>
        <w:spacing w:before="240"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4.4.1</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Uji Organoleptik</w:t>
      </w:r>
    </w:p>
    <w:p w14:paraId="4F093C22">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Uji Organoleptik atau uji indera atau uji sensori merupakan cara pengujian dengan menggunakan indera manusia untuk pengukuran daya penerimaan terhadap produk. Pengujian organoleptik mempunyai peranan penting dalam penerapan mutu. Pada tahap organoleptik ini, yang dilihat adalah bagaimana warna, tekstur, dan bau dari kitosan yang telah di isolasi setelah serbuk sampel melewati proses deproteinasi, demineralisasai, depigmentasi dan deasetilasi kitin menjadi kitosan.  </w:t>
      </w:r>
    </w:p>
    <w:p w14:paraId="54E0B1F6">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Hasil dari penelitian ini menunjukkan warna yang di dapat dari hasil isolasi adalah putih dan telah memenuhi syarat SNI 7949-2013, dimana warna yang baik untuk kitosan menurut standar nasional Indonesia (SNI) adalah coklat muda sampai putih. </w:t>
      </w:r>
      <w:r>
        <w:rPr>
          <w:rFonts w:ascii="Times New Roman" w:hAnsi="Times New Roman" w:cs="Times New Roman"/>
          <w:color w:val="000000"/>
          <w:sz w:val="24"/>
          <w:szCs w:val="24"/>
          <w:lang w:val="en-US"/>
        </w:rPr>
        <w:t xml:space="preserve">Tekstur kitosan yang diperoleh pada penelitian ini adalah serbuk halus dan telah memenuhi standar nasional Indonesia. Hasil kitosan yang diperoleh tidak menimbulkan bau yang mengganggu indra penciuman, sehingga dapat dikatakan tidak berbau. Hal ini menunjukkan bahwa kitosan memenuhi syarat SNI </w:t>
      </w:r>
      <w:r>
        <w:rPr>
          <w:rFonts w:ascii="Times New Roman" w:hAnsi="Times New Roman" w:cs="Times New Roman"/>
          <w:color w:val="000000"/>
          <w:sz w:val="24"/>
          <w:szCs w:val="24"/>
        </w:rPr>
        <w:t xml:space="preserve">7949 Tahun 2013 </w:t>
      </w:r>
      <w:r>
        <w:rPr>
          <w:rFonts w:ascii="Times New Roman" w:hAnsi="Times New Roman" w:cs="Times New Roman"/>
          <w:color w:val="000000"/>
          <w:sz w:val="24"/>
          <w:szCs w:val="24"/>
          <w:lang w:val="en-US"/>
        </w:rPr>
        <w:t>dimana mutu kitosan yang bagus tidak menimbulkan bau apapun.</w:t>
      </w:r>
    </w:p>
    <w:p w14:paraId="47C8BCDF">
      <w:pPr>
        <w:spacing w:after="0" w:line="480" w:lineRule="auto"/>
        <w:ind w:firstLine="720"/>
        <w:jc w:val="both"/>
        <w:rPr>
          <w:rFonts w:ascii="Times New Roman" w:hAnsi="Times New Roman" w:cs="Times New Roman"/>
          <w:color w:val="000000"/>
          <w:sz w:val="24"/>
          <w:szCs w:val="24"/>
          <w:lang w:val="en-US"/>
        </w:rPr>
      </w:pPr>
    </w:p>
    <w:p w14:paraId="11F0E987">
      <w:pPr>
        <w:spacing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4.4.2</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Rendemen</w:t>
      </w:r>
    </w:p>
    <w:p w14:paraId="3A9E7C85">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Rendemen merupakan perbandingan persentase berat kitosan yang dihasilkan dengan berat kitin yang digunakan. Semakin tinggi rendemen yang dihasilkan menandakan berat kitosan semakin berat. Uji rendemen dilakukan untuk mengetahui efesiensi pengolahan bahan kitosan.</w:t>
      </w:r>
    </w:p>
    <w:p w14:paraId="3EA4B578">
      <w:pPr>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Tabel 4.5</w:t>
      </w:r>
      <w:r>
        <w:rPr>
          <w:rFonts w:ascii="Times New Roman" w:hAnsi="Times New Roman" w:cs="Times New Roman"/>
          <w:color w:val="000000"/>
          <w:sz w:val="24"/>
          <w:szCs w:val="24"/>
        </w:rPr>
        <w:t xml:space="preserve">  Hasil Randemen Dari Tahap Isolasi Kitosan</w:t>
      </w:r>
    </w:p>
    <w:tbl>
      <w:tblPr>
        <w:tblStyle w:val="22"/>
        <w:tblW w:w="7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2"/>
        <w:gridCol w:w="1519"/>
        <w:gridCol w:w="1736"/>
        <w:gridCol w:w="1616"/>
        <w:gridCol w:w="1427"/>
      </w:tblGrid>
      <w:tr w14:paraId="63A8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74" w:type="dxa"/>
            <w:vAlign w:val="center"/>
          </w:tcPr>
          <w:p w14:paraId="73FE6519">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Sampel</w:t>
            </w:r>
          </w:p>
        </w:tc>
        <w:tc>
          <w:tcPr>
            <w:tcW w:w="1503" w:type="dxa"/>
            <w:vAlign w:val="center"/>
          </w:tcPr>
          <w:p w14:paraId="3983C2CC">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Deproteinasi (%)</w:t>
            </w:r>
          </w:p>
        </w:tc>
        <w:tc>
          <w:tcPr>
            <w:tcW w:w="1656" w:type="dxa"/>
            <w:vAlign w:val="center"/>
          </w:tcPr>
          <w:p w14:paraId="11C978C2">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Demineralisasi (%)</w:t>
            </w:r>
          </w:p>
        </w:tc>
        <w:tc>
          <w:tcPr>
            <w:tcW w:w="1550" w:type="dxa"/>
            <w:vAlign w:val="center"/>
          </w:tcPr>
          <w:p w14:paraId="29F72D59">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Depigmentasi (%)</w:t>
            </w:r>
          </w:p>
        </w:tc>
        <w:tc>
          <w:tcPr>
            <w:tcW w:w="1467" w:type="dxa"/>
            <w:vAlign w:val="center"/>
          </w:tcPr>
          <w:p w14:paraId="09A02B1A">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Deasetilasi (%)</w:t>
            </w:r>
          </w:p>
        </w:tc>
      </w:tr>
      <w:tr w14:paraId="09DA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74" w:type="dxa"/>
          </w:tcPr>
          <w:p w14:paraId="0171B0DB">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Cangkang kerang panggang pulut</w:t>
            </w:r>
          </w:p>
        </w:tc>
        <w:tc>
          <w:tcPr>
            <w:tcW w:w="1503" w:type="dxa"/>
            <w:vAlign w:val="center"/>
          </w:tcPr>
          <w:p w14:paraId="1F8433BE">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83,6%</w:t>
            </w:r>
          </w:p>
        </w:tc>
        <w:tc>
          <w:tcPr>
            <w:tcW w:w="1656" w:type="dxa"/>
            <w:vAlign w:val="center"/>
          </w:tcPr>
          <w:p w14:paraId="10EF6302">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55,8%</w:t>
            </w:r>
          </w:p>
        </w:tc>
        <w:tc>
          <w:tcPr>
            <w:tcW w:w="1550" w:type="dxa"/>
            <w:vAlign w:val="center"/>
          </w:tcPr>
          <w:p w14:paraId="3CD08AB7">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97%</w:t>
            </w:r>
          </w:p>
        </w:tc>
        <w:tc>
          <w:tcPr>
            <w:tcW w:w="1467" w:type="dxa"/>
            <w:vAlign w:val="center"/>
          </w:tcPr>
          <w:p w14:paraId="444486F3">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63,46%</w:t>
            </w:r>
          </w:p>
        </w:tc>
      </w:tr>
    </w:tbl>
    <w:p w14:paraId="34F9C203">
      <w:pPr>
        <w:spacing w:before="240"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Berdasarkan Tabel 4.5,</w:t>
      </w:r>
      <w:r>
        <w:t xml:space="preserve"> </w:t>
      </w:r>
      <w:r>
        <w:rPr>
          <w:rFonts w:ascii="Times New Roman" w:hAnsi="Times New Roman" w:cs="Times New Roman"/>
          <w:color w:val="000000"/>
          <w:sz w:val="24"/>
          <w:szCs w:val="24"/>
        </w:rPr>
        <w:t>terlihat bahwa terjadi penurunan rendemen serbuk seiring dengan proses isolasi. Perbedaan nilai rendemen pada tabel tersebut disebabkan karena proses deproteinasi dan demineralisasi. Semakin lama prosesnya maka semakin banyaknya mineral dan protein yang tereliminasi sehingga menyebabkan berat kitosan yang dihasilkan semakin berkurang. Penurunan rendemen paling besar terjadi pada proses demineralisasi dikarenakan kandungan mineral pada permukaan merupakan kandungan yang paling banyak. Selain itu, proses pencucian dengan aquades juga dapat mempengaruhi rendemen kitosan. Rendahnya rendemen kitosan akan meningkatkan kemurnian kitosan karena semakin banyaknya gugus asetil yang dilepaskan dari kitin. Hasil rendemen transformasi kitin menjadi kitosan adalah 63,46 %, serta memiliki tekstur serbuk halus berwarna putih dan tidak berbau.</w:t>
      </w:r>
    </w:p>
    <w:p w14:paraId="4408BB20">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Sejalan dengan penelitian Destrianingtyas (2024), terjadinya penurunan randemen disetiap proses isolasi kitosan </w:t>
      </w:r>
      <w:r>
        <w:rPr>
          <w:rFonts w:ascii="Times New Roman" w:hAnsi="Times New Roman" w:cs="Times New Roman"/>
          <w:color w:val="000000"/>
          <w:sz w:val="24"/>
          <w:szCs w:val="24"/>
          <w:lang w:val="en-US"/>
        </w:rPr>
        <w:t>cangkang kerang mutiara (</w:t>
      </w:r>
      <w:r>
        <w:rPr>
          <w:rFonts w:ascii="Times New Roman" w:hAnsi="Times New Roman" w:cs="Times New Roman"/>
          <w:i/>
          <w:iCs/>
          <w:color w:val="000000"/>
          <w:sz w:val="24"/>
          <w:szCs w:val="24"/>
          <w:lang w:val="en-US"/>
        </w:rPr>
        <w:t>pinctada maxima</w:t>
      </w:r>
      <w:r>
        <w:rPr>
          <w:rFonts w:ascii="Times New Roman" w:hAnsi="Times New Roman" w:cs="Times New Roman"/>
          <w:color w:val="000000"/>
          <w:sz w:val="24"/>
          <w:szCs w:val="24"/>
          <w:lang w:val="en-US"/>
        </w:rPr>
        <w:t>). Dimana randemen deproteinasi sebesar 95,68%, randemen demineralisasi 36,26% dan deasetilasi 21,76%. Hal ini dapat terjadi karena semakin lama prosesnya maka semakin banyaknya mineral dan protein yang tereliminasi sehingga menyebabkan berat kitosan yang dihasilkan semakin berkurang.</w:t>
      </w:r>
    </w:p>
    <w:p w14:paraId="5004838C">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4.4.3</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Kadar Air</w:t>
      </w:r>
    </w:p>
    <w:p w14:paraId="421105A2">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Kadar air merupakan salah satu parameter yang sangat penting untuk menentukan mutu kitosan. Penentuan kadar air memperlihatkan jumlah kandungan air dalam kitosan. Kadar air dalam kitosan diketahui dari banyaknya air yang menguap setelah perlakuan pemanasan. Karena ada hubungan antara kandungan air dan proses metabolisme, selama penyimpanan kitosan terjadi aktivitas enzimatik dan mikroba, serta berkembangnya bau tengik yang disebabkan oleh aktivitas kimia non-enzimatik, mengakibatkan perubahan kualitas dan penampakan kitosan.</w:t>
      </w:r>
    </w:p>
    <w:p w14:paraId="5F876374">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tabel 4.4, kadar air yang diperoleh yaitu sebesar 4,26 %. Hasil ini menunjukkan bahwa kadar air kitosan hasil isolasi telah memenuhi syarat dan tidak melebihi batas maksimum standar mutu kitosan. Menurut Standar Nasional Indonesia (SNI) 7949 : 2013, standar maksimal kadar air kitosan sebesar ≤ 12%. Kadar air yang rendah disebabkan oleh proses pengeringan yang berulang-ulang. Kitosan mudah menyerap udara dan uap air disekitarnya dimana gugus amina, N-asetil dan hidroksil akan pada kitosan akan berikatan hidrogen dengan H2O di udara. Oleh karena itu, kadar air kitosan dipengaruhi berbagai faktor, termasuk proses pengeringan, durasi pengeringan, jumlah sampel yang dikeringkan, dan luas permukaan tempat kitosan dikeringkan. </w:t>
      </w:r>
    </w:p>
    <w:p w14:paraId="0272974A">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4.4.4</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Kadar Abu</w:t>
      </w:r>
    </w:p>
    <w:p w14:paraId="36009FD1">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Kandungan mineral kitosan ditentukan melalui uji kadar abu. Tujuan pengujian kadar abu adalah untuk mengetahui seberapa larut kitosan dalam pelarut. Kadar abu menunjukkan tingkat keberhasilan demineralisas dan kemurnian kitosan meningkat dengan kadar abu yang lebih rendah. Sisa abu dalam kitosan dapat mempengaruhi kelarutannya dan berkontribusi terhadap penurunan viskositas. </w:t>
      </w:r>
      <w:r>
        <w:rPr>
          <w:rFonts w:ascii="Times New Roman" w:hAnsi="Times New Roman" w:cs="Times New Roman"/>
          <w:color w:val="000000"/>
          <w:sz w:val="24"/>
          <w:szCs w:val="24"/>
          <w:lang w:val="fi-FI"/>
        </w:rPr>
        <w:t>Semakin rendah nilai kadar abu, maka tingkat kemurnian kitosan semakin tinggi, dan sebaliknya.</w:t>
      </w:r>
    </w:p>
    <w:p w14:paraId="4ABD9288">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karakterisasi kadar abu kitosan cangkang kerang panggang pulut yang diisolasi ditunjukkan dalam Tabel 4.4, Kadar abu kitosan yang dihasilkan dari isolasi tidak melebihi batas maksimum standar mutu kitosan, seperti yang ditunjukkan oleh tabel dengan kadar abu kitosan cangkang kerang panggang pulut sebesar 3,84 %. Hasil tersebut menunjukkan bahwa kadar abu kitosan yang dihasilkan dari isolasi memenuhi persyaratan dan tidak melebihi batas maksimum yang ditetapkan oleh SNI 7949:2013, yakni sebesar ≤ 5%.  Hal ini sesuai dengan pernyataan Luthfiyana (2022), bahwa semakin tinggi konsentrasi asam klorida maka persentase kadar abu kitosan semakin menurun akibat meningkatnya reaktivitas asam klorida dan berkurangnya senyawa anorganik dalam sampel.    </w:t>
      </w:r>
    </w:p>
    <w:p w14:paraId="3260CFA6">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4.4.5</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 xml:space="preserve">Kelarutan </w:t>
      </w:r>
    </w:p>
    <w:p w14:paraId="74CF4225">
      <w:pPr>
        <w:spacing w:after="0" w:line="480" w:lineRule="auto"/>
        <w:ind w:firstLine="720"/>
        <w:jc w:val="both"/>
        <w:rPr>
          <w:rFonts w:ascii="Times New Roman" w:hAnsi="Times New Roman" w:cs="Times New Roman"/>
          <w:b/>
          <w:bCs/>
          <w:color w:val="000000"/>
          <w:sz w:val="24"/>
          <w:szCs w:val="24"/>
        </w:rPr>
      </w:pPr>
      <w:r>
        <w:rPr>
          <w:rFonts w:ascii="Times New Roman" w:hAnsi="Times New Roman" w:cs="Times New Roman"/>
          <w:color w:val="000000"/>
          <w:sz w:val="24"/>
          <w:szCs w:val="24"/>
        </w:rPr>
        <w:t>Kelarutan kitosan dalam asam asetat merupakan salah satu parameter yang dapat dijadikan sebagai standar penilaian mutu kitosan. Semakin tinggi kelarutan kitosan dalam asam asetat  2 % berarti mutu kitosan yang dihasilkan semakin baik. Pada penelitian ini dilakukan dengan melarutkan 1 g kitosan dengan asam asetat 2%, hasil yang diperoleh dari kitosan cangkang kerang panggang pulut yaitu dapat larut dalam asam asetat 2% dan kitosan cangkang kerang panggang pulut dapat larut dengan sempurna. Hal ini dapat terjadi akibat adanya gugus amina pada kitosan yang dapat membentuk ikatan hidrogen antara H+ dari asam asetat dan N dari amina yang memiliki elektron bebas (Sinaga et al., 2024).</w:t>
      </w:r>
    </w:p>
    <w:p w14:paraId="7B33A5F9">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4.4.6</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Derajat Deasetilasi</w:t>
      </w:r>
    </w:p>
    <w:p w14:paraId="1C8D7D80">
      <w:pPr>
        <w:spacing w:after="0" w:line="480" w:lineRule="auto"/>
        <w:ind w:firstLine="720"/>
        <w:jc w:val="both"/>
        <w:rPr>
          <w:lang w:val="fi-FI"/>
        </w:rPr>
      </w:pPr>
      <w:r>
        <w:rPr>
          <w:rFonts w:ascii="Times New Roman" w:hAnsi="Times New Roman" w:cs="Times New Roman"/>
          <w:color w:val="000000"/>
          <w:sz w:val="24"/>
          <w:szCs w:val="24"/>
        </w:rPr>
        <w:t>Derajat deasetilasi (DD) adalah parameter utama yang digunakan untuk mengukur tingkat kemurnian kitosan, dimana nilai ini menunjukkan sejauh mana gugus asetil (-COCH</w:t>
      </w:r>
      <w:r>
        <w:rPr>
          <w:rFonts w:ascii="Times New Roman" w:hAnsi="Times New Roman" w:cs="Times New Roman"/>
          <w:color w:val="000000"/>
          <w:sz w:val="24"/>
          <w:szCs w:val="24"/>
          <w:vertAlign w:val="subscript"/>
          <w:lang w:val="en-US"/>
        </w:rPr>
        <w:t>3</w:t>
      </w:r>
      <w:r>
        <w:rPr>
          <w:rFonts w:ascii="Times New Roman" w:hAnsi="Times New Roman" w:cs="Times New Roman"/>
          <w:color w:val="000000"/>
          <w:sz w:val="24"/>
          <w:szCs w:val="24"/>
        </w:rPr>
        <w:t>) pada kitin telah diubah menjadi gugus amina (-NH</w:t>
      </w:r>
      <w:r>
        <w:rPr>
          <w:rFonts w:ascii="Times New Roman" w:hAnsi="Times New Roman" w:cs="Times New Roman"/>
          <w:color w:val="000000"/>
          <w:sz w:val="24"/>
          <w:szCs w:val="24"/>
          <w:vertAlign w:val="subscript"/>
          <w:lang w:val="en-US"/>
        </w:rPr>
        <w:t>2</w:t>
      </w:r>
      <w:r>
        <w:rPr>
          <w:rFonts w:ascii="Times New Roman" w:hAnsi="Times New Roman" w:cs="Times New Roman"/>
          <w:color w:val="000000"/>
          <w:sz w:val="24"/>
          <w:szCs w:val="24"/>
        </w:rPr>
        <w:t xml:space="preserve">) pada kitosan. </w:t>
      </w:r>
      <w:r>
        <w:rPr>
          <w:rFonts w:ascii="Times New Roman" w:hAnsi="Times New Roman" w:cs="Times New Roman"/>
          <w:sz w:val="24"/>
          <w:szCs w:val="24"/>
          <w:lang w:val="fi-FI"/>
        </w:rPr>
        <w:t>Semakin tinggi derajat deasetilasi kitosan, maka gugus asetil kitosan semakin rendah sehingga interaksi antar ion dan ikatan hidrogennya semakin kuat.</w:t>
      </w:r>
      <w:r>
        <w:rPr>
          <w:rFonts w:ascii="Times New Roman" w:hAnsi="Times New Roman" w:cs="Times New Roman"/>
          <w:b/>
          <w:bCs/>
          <w:sz w:val="24"/>
          <w:szCs w:val="24"/>
          <w:lang w:val="fi-FI"/>
        </w:rPr>
        <w:t xml:space="preserve">  </w:t>
      </w:r>
      <w:r>
        <w:rPr>
          <w:rFonts w:ascii="Times New Roman" w:hAnsi="Times New Roman" w:cs="Times New Roman"/>
          <w:sz w:val="24"/>
          <w:szCs w:val="24"/>
          <w:lang w:val="fi-FI"/>
        </w:rPr>
        <w:t>Derajat deasetilasi yang tinggi menunjukkan bahwa gugus asetil yang terkandung dalam kitosan adalah rendah, yang berarti proses deasetilasi kitin menjadi kitosan telah berjalannya dengan sempurna</w:t>
      </w:r>
      <w:r>
        <w:rPr>
          <w:lang w:val="fi-FI"/>
        </w:rPr>
        <w:t>.</w:t>
      </w:r>
    </w:p>
    <w:p w14:paraId="4AB78A70">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hasil spektrum FTIR yang diperoleh dapat dilihat pada tabel 4.4, kitosan hasil isolasi dari cangkang kerang panggang pulut menunjukkan nilai derajat deasetilasi sebesar </w:t>
      </w:r>
      <w:r>
        <w:rPr>
          <w:rFonts w:ascii="Times New Roman" w:hAnsi="Times New Roman" w:cs="Times New Roman" w:eastAsiaTheme="minorEastAsia"/>
          <w:spacing w:val="-5"/>
          <w:sz w:val="24"/>
          <w:szCs w:val="24"/>
        </w:rPr>
        <w:t xml:space="preserve">76,68% dan telah memenuhi persyaratan SNI. </w:t>
      </w:r>
      <w:r>
        <w:rPr>
          <w:rFonts w:ascii="Times New Roman" w:hAnsi="Times New Roman" w:cs="Times New Roman"/>
          <w:color w:val="000000"/>
          <w:sz w:val="24"/>
          <w:szCs w:val="24"/>
        </w:rPr>
        <w:t xml:space="preserve">Hal ini menggambarkan bahwa sebagian besar gugus asetil telah berhasil dihilangkan, yang berarti proses deasetilasi telah berlangsung secara efektif. Hasil ini sejalan dengan standar mutu yang ditetapkan dalam SNI 7949 Tahun 2013, di mana nilai minimal derajat deasetilasi untuk kitosan sebesar 75%. </w:t>
      </w:r>
    </w:p>
    <w:p w14:paraId="550E55C3">
      <w:pPr>
        <w:spacing w:line="480" w:lineRule="auto"/>
        <w:ind w:firstLine="720"/>
        <w:jc w:val="both"/>
        <w:rPr>
          <w:rFonts w:ascii="Times New Roman" w:hAnsi="Times New Roman" w:cs="Times New Roman"/>
          <w:sz w:val="24"/>
          <w:szCs w:val="24"/>
          <w:lang w:val="zh-CN"/>
        </w:rPr>
      </w:pPr>
      <w:r>
        <w:rPr>
          <w:rFonts w:ascii="Times New Roman" w:hAnsi="Times New Roman" w:cs="Times New Roman"/>
          <w:color w:val="000000"/>
          <w:sz w:val="28"/>
          <w:szCs w:val="28"/>
        </w:rPr>
        <w:t xml:space="preserve"> </w:t>
      </w:r>
      <w:r>
        <w:rPr>
          <w:rFonts w:ascii="Times New Roman" w:hAnsi="Times New Roman" w:cs="Times New Roman"/>
          <w:sz w:val="24"/>
          <w:szCs w:val="24"/>
          <w:lang w:val="zh-CN"/>
        </w:rPr>
        <w:t>Dalam penelitian ini, penentuan nilai DD dilakukan dengan menggunakan metode spektroskopi FTIR (</w:t>
      </w:r>
      <w:r>
        <w:rPr>
          <w:rFonts w:ascii="Times New Roman" w:hAnsi="Times New Roman" w:cs="Times New Roman"/>
          <w:i/>
          <w:iCs/>
          <w:sz w:val="24"/>
          <w:szCs w:val="24"/>
          <w:lang w:val="zh-CN"/>
        </w:rPr>
        <w:t>Fourier Transform Infrared</w:t>
      </w:r>
      <w:r>
        <w:rPr>
          <w:rFonts w:ascii="Times New Roman" w:hAnsi="Times New Roman" w:cs="Times New Roman"/>
          <w:sz w:val="24"/>
          <w:szCs w:val="24"/>
          <w:lang w:val="zh-CN"/>
        </w:rPr>
        <w:t xml:space="preserve">) berdasarkan pendekatan Robert dan Domzy dengan metode </w:t>
      </w:r>
      <w:r>
        <w:rPr>
          <w:rFonts w:ascii="Times New Roman" w:hAnsi="Times New Roman" w:cs="Times New Roman"/>
          <w:i/>
          <w:iCs/>
          <w:sz w:val="24"/>
          <w:szCs w:val="24"/>
          <w:lang w:val="zh-CN"/>
        </w:rPr>
        <w:t>baseline</w:t>
      </w:r>
      <w:r>
        <w:rPr>
          <w:rFonts w:ascii="Times New Roman" w:hAnsi="Times New Roman" w:cs="Times New Roman"/>
          <w:sz w:val="24"/>
          <w:szCs w:val="24"/>
          <w:lang w:val="zh-CN"/>
        </w:rPr>
        <w:t>. Metode ini melibatkan pengukuran dua pita serapan karakteristik, yaitu pita pada bilangan gelombang sekitar 1648 cm⁻¹ yang menunjukkan gugus amida I (C=O), dan pita pada 3353 cm⁻¹ yang menunjukkan gugus hidroksil (O–H). Penarikan garis absorbansi dilakukan menggunakan metode baseline, yaitu dengan menarik garis lurus horizontal dari kedua sisi kaki puncak serapan (</w:t>
      </w:r>
      <w:r>
        <w:rPr>
          <w:rFonts w:ascii="Times New Roman" w:hAnsi="Times New Roman" w:cs="Times New Roman"/>
          <w:i/>
          <w:iCs/>
          <w:sz w:val="24"/>
          <w:szCs w:val="24"/>
          <w:lang w:val="zh-CN"/>
        </w:rPr>
        <w:t>shoulder-to-shoulder</w:t>
      </w:r>
      <w:r>
        <w:rPr>
          <w:rFonts w:ascii="Times New Roman" w:hAnsi="Times New Roman" w:cs="Times New Roman"/>
          <w:sz w:val="24"/>
          <w:szCs w:val="24"/>
          <w:lang w:val="zh-CN"/>
        </w:rPr>
        <w:t xml:space="preserve">) pada masing-masing bilangan gelombang. Garis ini menjadi acuan baseline, dan absorbansi dihitung sebagai tinggi puncak dari baseline hingga titik maksimum puncak spektrum </w:t>
      </w:r>
      <w:r>
        <w:rPr>
          <w:rFonts w:ascii="Times New Roman" w:hAnsi="Times New Roman" w:eastAsia="Times New Roman" w:cs="Times New Roman"/>
          <w:bCs/>
          <w:sz w:val="24"/>
          <w:szCs w:val="24"/>
        </w:rPr>
        <w:t>Cahyaningtyas</w:t>
      </w:r>
      <w:r>
        <w:t xml:space="preserve">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zh-CN"/>
        </w:rPr>
        <w:instrText xml:space="preserve">ADDIN CSL_CITATION {"citationItems":[{"id":"ITEM-1","itemData":{"DOI":"10.1016/j.ijbiomac.2021.01.010","ISSN":"18790003","PMID":"33418043","abstract":"In recent years, chitosan has attracted considerable interest in many fields due to its sufficient charge density under biological, non-hazardous conditions. Since chitosan originates from natural resources and has two different monomer units, its characterization must be carried out in a goal-oriented and precise manner. This work focuses on the characterization of chitosans most important parameters – solubility, crystallinity, degree of deacetylation (DD) and molecular weight – in a simple and convenient way. The DD was determined using Nuclear Magnetic Resonance spectroscopy (NMR), Particle Charge Detection (PCD), Fourier Transform Infrared spectroscopy (FTIR), CHN elemental analysis (CHN-EA) and conductometric/potentiometric titration with special attention to its physical state as solid or liquid. Investigation of DD by FTIR was successfully determined by calculating peak heights, peak areas and peak deconvolution from a linear combination of Gaussian and Lorentzian functions. Asymmetrical flow field flow fractionation with light scattering detection (AF4-LS) was applied in order to calculate molar masses and radii. In addition, pH-potentiometric titrations demonstrated a reproducible displacement of the point of zero charge (PZC) in form of a hysteresis depending on the titration direction. The DD affects the crystallinity, which was determined by deconvolution of the crystalline and amorphous domains.","author":[{"dropping-particle":"","family":"Weibplog","given":"Janek","non-dropping-particle":"","parse-names":false,"suffix":""},{"dropping-particle":"","family":"Vehlow","given":"David","non-dropping-particle":"","parse-names":false,"suffix":""},{"dropping-particle":"","family":"Müller","given":"Martin","non-dropping-particle":"","parse-names":false,"suffix":""},{"dropping-particle":"","family":"Kohn","given":"Benjamin","non-dropping-particle":"","parse-names":false,"suffix":""},{"dropping-particle":"","family":"Scheler","given":"Ulrich","non-dropping-particle":"","parse-names":false,"suffix":""},{"dropping-particle":"","family":"Boye","given":"Susanne","non-dropping-particle":"","parse-names":false,"suffix":""},{"dropping-particle":"","family":"Schwarz","given":"Simona","non-dropping-particle":"","parse-names":false,"suffix":""}],"container-title":"International Journal of Biological Macromolecules","id":"ITEM-1","issued":{"date-parts":[["2021"]]},"page":"242-261","title":"Characterization of chitosan with different degree of deacetylation and equal viscosity in dissolved and solid state – Insights by various complimentary methods","type":"article-journal","volume":"171"},"uris":["http://www.mendeley.com/documents/?uuid=05b5cd33-5421-41d5-9180-b3a55f3a3190"]}],"mendeley":{"formattedCitation":"(Weibplog et al., 2021)","plainTextFormattedCitation":"(Weibplog et al., 2021)","previouslyFormattedCitation":"(Weibplog et al., 2021)"},"properties":{"noteIndex":0},"schema":"https://github.com/citation-style-language/schema/raw/master/csl-citation.json"}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zh-CN"/>
        </w:rPr>
        <w:t>(Weibplog et al., 2021)</w:t>
      </w:r>
      <w:r>
        <w:rPr>
          <w:rFonts w:ascii="Times New Roman" w:hAnsi="Times New Roman" w:cs="Times New Roman"/>
          <w:sz w:val="24"/>
          <w:szCs w:val="24"/>
          <w:lang w:val="fi-FI"/>
        </w:rPr>
        <w:fldChar w:fldCharType="end"/>
      </w:r>
      <w:r>
        <w:rPr>
          <w:rFonts w:ascii="Times New Roman" w:hAnsi="Times New Roman" w:cs="Times New Roman"/>
          <w:sz w:val="24"/>
          <w:szCs w:val="24"/>
          <w:lang w:val="zh-CN"/>
        </w:rPr>
        <w:t>.</w:t>
      </w:r>
    </w:p>
    <w:p w14:paraId="2C697954">
      <w:pPr>
        <w:spacing w:line="480" w:lineRule="auto"/>
        <w:ind w:firstLine="720"/>
        <w:jc w:val="both"/>
        <w:rPr>
          <w:rFonts w:ascii="Times New Roman" w:hAnsi="Times New Roman" w:cs="Times New Roman"/>
          <w:sz w:val="24"/>
          <w:szCs w:val="24"/>
          <w:lang w:val="zh-CN"/>
        </w:rPr>
      </w:pPr>
      <w:r>
        <w:rPr>
          <w:lang w:val="en-US"/>
        </w:rPr>
        <w:drawing>
          <wp:inline distT="0" distB="0" distL="0" distR="0">
            <wp:extent cx="4537075" cy="3361690"/>
            <wp:effectExtent l="0" t="0" r="0" b="0"/>
            <wp:docPr id="1679578111"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78111" name="Picture 205"/>
                    <pic:cNvPicPr>
                      <a:picLocks noChangeAspect="1" noChangeArrowheads="1"/>
                    </pic:cNvPicPr>
                  </pic:nvPicPr>
                  <pic:blipFill>
                    <a:blip r:embed="rId14">
                      <a:extLst>
                        <a:ext uri="{28A0092B-C50C-407E-A947-70E740481C1C}">
                          <a14:useLocalDpi xmlns:a14="http://schemas.microsoft.com/office/drawing/2010/main" val="0"/>
                        </a:ext>
                      </a:extLst>
                    </a:blip>
                    <a:srcRect l="1343" t="1287" r="3587"/>
                    <a:stretch>
                      <a:fillRect/>
                    </a:stretch>
                  </pic:blipFill>
                  <pic:spPr>
                    <a:xfrm>
                      <a:off x="0" y="0"/>
                      <a:ext cx="4544450" cy="3367077"/>
                    </a:xfrm>
                    <a:prstGeom prst="rect">
                      <a:avLst/>
                    </a:prstGeom>
                    <a:noFill/>
                    <a:ln>
                      <a:noFill/>
                    </a:ln>
                  </pic:spPr>
                </pic:pic>
              </a:graphicData>
            </a:graphic>
          </wp:inline>
        </w:drawing>
      </w:r>
      <w:r>
        <w:rPr>
          <w:rFonts w:ascii="Times New Roman" w:hAnsi="Times New Roman" w:cs="Times New Roman"/>
          <w:b/>
          <w:bCs/>
          <w:sz w:val="24"/>
          <w:szCs w:val="24"/>
          <w:lang w:val="zh-CN"/>
        </w:rPr>
        <w:t xml:space="preserve">   Gambar 4.4</w:t>
      </w:r>
      <w:r>
        <w:rPr>
          <w:rFonts w:ascii="Times New Roman" w:hAnsi="Times New Roman" w:cs="Times New Roman"/>
          <w:sz w:val="24"/>
          <w:szCs w:val="24"/>
          <w:lang w:val="zh-CN"/>
        </w:rPr>
        <w:t xml:space="preserve"> </w:t>
      </w:r>
      <w:r>
        <w:rPr>
          <w:rFonts w:ascii="Times New Roman" w:hAnsi="Times New Roman" w:cs="Times New Roman"/>
          <w:sz w:val="24"/>
          <w:szCs w:val="24"/>
          <w:lang w:val="en-US"/>
        </w:rPr>
        <w:t>Perhitungan Derajat Deasetilasi Kitosan Kerang Panggang Pulut</w:t>
      </w:r>
    </w:p>
    <w:p w14:paraId="3F42B256">
      <w:pPr>
        <w:spacing w:line="276" w:lineRule="auto"/>
        <w:jc w:val="both"/>
        <w:rPr>
          <w:rFonts w:ascii="Times New Roman" w:hAnsi="Times New Roman" w:cs="Times New Roman" w:eastAsiaTheme="minorEastAsia"/>
          <w:sz w:val="24"/>
          <w:szCs w:val="24"/>
          <w:lang w:val="zh-CN"/>
        </w:rPr>
      </w:pPr>
      <w:r>
        <w:rPr>
          <w:rFonts w:ascii="Times New Roman" w:hAnsi="Times New Roman" w:cs="Times New Roman"/>
          <w:sz w:val="24"/>
          <w:szCs w:val="24"/>
          <w:lang w:val="zh-CN"/>
        </w:rPr>
        <w:t>Rumus:</w:t>
      </w:r>
      <m:oMath>
        <m:r>
          <m:rPr/>
          <w:rPr>
            <w:rFonts w:ascii="Cambria Math" w:hAnsi="Cambria Math" w:cs="Times New Roman"/>
            <w:sz w:val="24"/>
            <w:szCs w:val="24"/>
            <w:lang w:val="zh-CN"/>
          </w:rPr>
          <m:t xml:space="preserve"> %</m:t>
        </m:r>
        <m:r>
          <m:rPr/>
          <w:rPr>
            <w:rFonts w:ascii="Cambria Math" w:hAnsi="Cambria Math" w:cs="Times New Roman"/>
            <w:sz w:val="24"/>
            <w:szCs w:val="24"/>
            <w:lang w:val="fi-FI"/>
          </w:rPr>
          <m:t>DD</m:t>
        </m:r>
        <m:r>
          <m:rPr/>
          <w:rPr>
            <w:rFonts w:ascii="Cambria Math" w:hAnsi="Cambria Math" w:cs="Times New Roman"/>
            <w:sz w:val="24"/>
            <w:szCs w:val="24"/>
            <w:lang w:val="zh-CN"/>
          </w:rPr>
          <m:t>=1−</m:t>
        </m:r>
        <m:d>
          <m:dPr>
            <m:ctrlPr>
              <w:rPr>
                <w:rFonts w:ascii="Cambria Math" w:hAnsi="Cambria Math" w:cs="Times New Roman"/>
                <w:i/>
                <w:sz w:val="24"/>
                <w:szCs w:val="24"/>
                <w:lang w:val="fi-FI"/>
              </w:rPr>
            </m:ctrlPr>
          </m:dPr>
          <m:e>
            <m:f>
              <m:fPr>
                <m:ctrlPr>
                  <w:rPr>
                    <w:rFonts w:ascii="Cambria Math" w:hAnsi="Cambria Math" w:cs="Times New Roman"/>
                    <w:i/>
                    <w:sz w:val="24"/>
                    <w:szCs w:val="24"/>
                    <w:lang w:val="fi-FI"/>
                  </w:rPr>
                </m:ctrlPr>
              </m:fPr>
              <m:num>
                <m:r>
                  <m:rPr/>
                  <w:rPr>
                    <w:rFonts w:ascii="Cambria Math" w:hAnsi="Cambria Math" w:cs="Times New Roman"/>
                    <w:sz w:val="24"/>
                    <w:szCs w:val="24"/>
                    <w:lang w:val="fi-FI"/>
                  </w:rPr>
                  <m:t>A</m:t>
                </m:r>
                <m:r>
                  <m:rPr/>
                  <w:rPr>
                    <w:rFonts w:ascii="Cambria Math" w:hAnsi="Cambria Math" w:cs="Times New Roman"/>
                    <w:sz w:val="24"/>
                    <w:szCs w:val="24"/>
                    <w:lang w:val="zh-CN"/>
                  </w:rPr>
                  <m:t>1655</m:t>
                </m:r>
                <m:ctrlPr>
                  <w:rPr>
                    <w:rFonts w:ascii="Cambria Math" w:hAnsi="Cambria Math" w:cs="Times New Roman"/>
                    <w:i/>
                    <w:sz w:val="24"/>
                    <w:szCs w:val="24"/>
                    <w:lang w:val="fi-FI"/>
                  </w:rPr>
                </m:ctrlPr>
              </m:num>
              <m:den>
                <m:r>
                  <m:rPr/>
                  <w:rPr>
                    <w:rFonts w:ascii="Cambria Math" w:hAnsi="Cambria Math" w:cs="Times New Roman"/>
                    <w:sz w:val="24"/>
                    <w:szCs w:val="24"/>
                    <w:lang w:val="fi-FI"/>
                  </w:rPr>
                  <m:t>A</m:t>
                </m:r>
                <m:r>
                  <m:rPr/>
                  <w:rPr>
                    <w:rFonts w:ascii="Cambria Math" w:hAnsi="Cambria Math" w:cs="Times New Roman"/>
                    <w:sz w:val="24"/>
                    <w:szCs w:val="24"/>
                    <w:lang w:val="zh-CN"/>
                  </w:rPr>
                  <m:t>3450</m:t>
                </m:r>
                <m:ctrlPr>
                  <w:rPr>
                    <w:rFonts w:ascii="Cambria Math" w:hAnsi="Cambria Math" w:cs="Times New Roman"/>
                    <w:i/>
                    <w:sz w:val="24"/>
                    <w:szCs w:val="24"/>
                    <w:lang w:val="fi-FI"/>
                  </w:rPr>
                </m:ctrlPr>
              </m:den>
            </m:f>
            <m:r>
              <m:rPr/>
              <w:rPr>
                <w:rFonts w:ascii="Cambria Math" w:hAnsi="Cambria Math" w:cs="Times New Roman"/>
                <w:sz w:val="24"/>
                <w:szCs w:val="24"/>
                <w:lang w:val="zh-CN"/>
              </w:rPr>
              <m:t>×</m:t>
            </m:r>
            <m:f>
              <m:fPr>
                <m:ctrlPr>
                  <w:rPr>
                    <w:rFonts w:ascii="Cambria Math" w:hAnsi="Cambria Math" w:cs="Times New Roman"/>
                    <w:i/>
                    <w:sz w:val="24"/>
                    <w:szCs w:val="24"/>
                    <w:lang w:val="fi-FI"/>
                  </w:rPr>
                </m:ctrlPr>
              </m:fPr>
              <m:num>
                <m:r>
                  <m:rPr/>
                  <w:rPr>
                    <w:rFonts w:ascii="Cambria Math" w:hAnsi="Cambria Math" w:cs="Times New Roman"/>
                    <w:sz w:val="24"/>
                    <w:szCs w:val="24"/>
                    <w:lang w:val="zh-CN"/>
                  </w:rPr>
                  <m:t>1</m:t>
                </m:r>
                <m:ctrlPr>
                  <w:rPr>
                    <w:rFonts w:ascii="Cambria Math" w:hAnsi="Cambria Math" w:cs="Times New Roman"/>
                    <w:i/>
                    <w:sz w:val="24"/>
                    <w:szCs w:val="24"/>
                    <w:lang w:val="fi-FI"/>
                  </w:rPr>
                </m:ctrlPr>
              </m:num>
              <m:den>
                <m:r>
                  <m:rPr/>
                  <w:rPr>
                    <w:rFonts w:ascii="Cambria Math" w:hAnsi="Cambria Math" w:cs="Times New Roman"/>
                    <w:sz w:val="24"/>
                    <w:szCs w:val="24"/>
                    <w:lang w:val="zh-CN"/>
                  </w:rPr>
                  <m:t>1,33</m:t>
                </m:r>
                <m:ctrlPr>
                  <w:rPr>
                    <w:rFonts w:ascii="Cambria Math" w:hAnsi="Cambria Math" w:cs="Times New Roman"/>
                    <w:i/>
                    <w:sz w:val="24"/>
                    <w:szCs w:val="24"/>
                    <w:lang w:val="fi-FI"/>
                  </w:rPr>
                </m:ctrlPr>
              </m:den>
            </m:f>
            <m:ctrlPr>
              <w:rPr>
                <w:rFonts w:ascii="Cambria Math" w:hAnsi="Cambria Math" w:cs="Times New Roman"/>
                <w:i/>
                <w:sz w:val="24"/>
                <w:szCs w:val="24"/>
                <w:lang w:val="fi-FI"/>
              </w:rPr>
            </m:ctrlPr>
          </m:e>
        </m:d>
      </m:oMath>
    </w:p>
    <w:p w14:paraId="611072B2">
      <w:pPr>
        <w:spacing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Keterangan</w:t>
      </w:r>
      <w:r>
        <w:rPr>
          <w:rFonts w:ascii="Times New Roman" w:hAnsi="Times New Roman" w:cs="Times New Roman"/>
          <w:sz w:val="24"/>
          <w:szCs w:val="24"/>
          <w:lang w:val="zh-CN"/>
        </w:rPr>
        <w:tab/>
      </w:r>
      <w:r>
        <w:rPr>
          <w:rFonts w:ascii="Times New Roman" w:hAnsi="Times New Roman" w:cs="Times New Roman"/>
          <w:sz w:val="24"/>
          <w:szCs w:val="24"/>
          <w:lang w:val="zh-CN"/>
        </w:rPr>
        <w:t>: A</w:t>
      </w:r>
      <w:r>
        <w:rPr>
          <w:rFonts w:ascii="Times New Roman" w:hAnsi="Times New Roman" w:cs="Times New Roman"/>
          <w:sz w:val="24"/>
          <w:szCs w:val="24"/>
          <w:vertAlign w:val="subscript"/>
          <w:lang w:val="zh-CN"/>
        </w:rPr>
        <w:t>1655</w:t>
      </w:r>
      <w:r>
        <w:rPr>
          <w:rFonts w:ascii="Times New Roman" w:hAnsi="Times New Roman" w:cs="Times New Roman"/>
          <w:sz w:val="24"/>
          <w:szCs w:val="24"/>
          <w:lang w:val="zh-CN"/>
        </w:rPr>
        <w:t>= Absorbansi pada 1655 cm⁻¹ (puncak amida I)</w:t>
      </w:r>
    </w:p>
    <w:p w14:paraId="4207BB65">
      <w:pPr>
        <w:spacing w:line="276" w:lineRule="auto"/>
        <w:ind w:left="720" w:firstLine="720"/>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  A</w:t>
      </w:r>
      <w:r>
        <w:rPr>
          <w:rFonts w:ascii="Times New Roman" w:hAnsi="Times New Roman" w:cs="Times New Roman"/>
          <w:sz w:val="24"/>
          <w:szCs w:val="24"/>
          <w:vertAlign w:val="subscript"/>
          <w:lang w:val="zh-CN"/>
        </w:rPr>
        <w:t>3450</w:t>
      </w:r>
      <w:r>
        <w:rPr>
          <w:rFonts w:ascii="Times New Roman" w:hAnsi="Times New Roman" w:cs="Times New Roman"/>
          <w:sz w:val="24"/>
          <w:szCs w:val="24"/>
          <w:lang w:val="zh-CN"/>
        </w:rPr>
        <w:t>= Absorbansi pada 3450 cm⁻¹ (puncak OH)</w:t>
      </w:r>
    </w:p>
    <w:p w14:paraId="4D6790A3">
      <w:pPr>
        <w:spacing w:line="276" w:lineRule="auto"/>
        <w:ind w:left="1440"/>
        <w:jc w:val="both"/>
        <w:rPr>
          <w:rFonts w:ascii="Times New Roman" w:hAnsi="Times New Roman" w:cs="Times New Roman" w:eastAsiaTheme="minorEastAsia"/>
          <w:b/>
          <w:bCs/>
          <w:sz w:val="24"/>
          <w:szCs w:val="24"/>
          <w:lang w:val="fi-FI"/>
        </w:rPr>
      </w:pPr>
      <w:r>
        <w:rPr>
          <w:rFonts w:ascii="Times New Roman" w:hAnsi="Times New Roman" w:cs="Times New Roman"/>
          <w:sz w:val="24"/>
          <w:szCs w:val="24"/>
          <w:lang w:val="fi-FI"/>
        </w:rPr>
        <w:t xml:space="preserve">  1.33= Konstanta koreksi dari nilai rasio absorbansi kitin murni</w:t>
      </w:r>
    </w:p>
    <w:p w14:paraId="54888057">
      <w:pPr>
        <w:pStyle w:val="14"/>
        <w:tabs>
          <w:tab w:val="left" w:pos="2289"/>
        </w:tabs>
        <w:spacing w:before="242" w:line="276" w:lineRule="auto"/>
      </w:pPr>
      <w:r>
        <w:t>Diketahui</w:t>
      </w:r>
      <w:r>
        <w:rPr>
          <w:spacing w:val="-10"/>
        </w:rPr>
        <w:t>:</w:t>
      </w:r>
      <w:r>
        <w:t xml:space="preserve">       AB</w:t>
      </w:r>
      <w:r>
        <w:rPr>
          <w:spacing w:val="-3"/>
        </w:rPr>
        <w:t xml:space="preserve"> </w:t>
      </w:r>
      <w:r>
        <w:t>=</w:t>
      </w:r>
      <w:r>
        <w:rPr>
          <w:spacing w:val="-1"/>
        </w:rPr>
        <w:t xml:space="preserve"> 86,01</w:t>
      </w:r>
    </w:p>
    <w:p w14:paraId="3F882960">
      <w:pPr>
        <w:pStyle w:val="14"/>
        <w:spacing w:before="137" w:line="276" w:lineRule="auto"/>
        <w:ind w:left="720" w:firstLine="720"/>
      </w:pPr>
      <w:r>
        <w:t>AC</w:t>
      </w:r>
      <w:r>
        <w:rPr>
          <w:spacing w:val="-3"/>
        </w:rPr>
        <w:t xml:space="preserve"> </w:t>
      </w:r>
      <w:r>
        <w:t>=</w:t>
      </w:r>
      <w:r>
        <w:rPr>
          <w:spacing w:val="-1"/>
        </w:rPr>
        <w:t xml:space="preserve"> 100</w:t>
      </w:r>
    </w:p>
    <w:p w14:paraId="130E7AEB">
      <w:pPr>
        <w:pStyle w:val="14"/>
        <w:spacing w:before="137" w:line="276" w:lineRule="auto"/>
        <w:ind w:left="720" w:firstLine="720"/>
      </w:pPr>
      <w:r>
        <w:t>DE</w:t>
      </w:r>
      <w:r>
        <w:rPr>
          <w:spacing w:val="3"/>
        </w:rPr>
        <w:t xml:space="preserve"> </w:t>
      </w:r>
      <w:r>
        <w:t>=</w:t>
      </w:r>
      <w:r>
        <w:rPr>
          <w:spacing w:val="2"/>
        </w:rPr>
        <w:t xml:space="preserve"> 94,85</w:t>
      </w:r>
    </w:p>
    <w:p w14:paraId="2523C86A">
      <w:pPr>
        <w:spacing w:before="141" w:line="276" w:lineRule="auto"/>
        <w:ind w:left="720" w:firstLine="720"/>
        <w:rPr>
          <w:rFonts w:ascii="Times New Roman" w:hAnsi="Times New Roman" w:cs="Times New Roman"/>
          <w:spacing w:val="-1"/>
          <w:position w:val="2"/>
          <w:sz w:val="24"/>
          <w:szCs w:val="24"/>
        </w:rPr>
      </w:pPr>
      <w:r>
        <w:rPr>
          <w:rFonts w:ascii="Times New Roman" w:hAnsi="Times New Roman" w:cs="Times New Roman"/>
          <w:position w:val="2"/>
          <w:sz w:val="24"/>
          <w:szCs w:val="24"/>
        </w:rPr>
        <w:t xml:space="preserve">DF </w:t>
      </w:r>
      <w:r>
        <w:rPr>
          <w:rFonts w:ascii="Times New Roman" w:hAnsi="Times New Roman" w:cs="Times New Roman"/>
          <w:spacing w:val="-3"/>
          <w:sz w:val="18"/>
          <w:szCs w:val="24"/>
        </w:rPr>
        <w:t xml:space="preserve"> </w:t>
      </w:r>
      <w:r>
        <w:rPr>
          <w:rFonts w:ascii="Times New Roman" w:hAnsi="Times New Roman" w:cs="Times New Roman"/>
          <w:position w:val="2"/>
          <w:sz w:val="24"/>
          <w:szCs w:val="24"/>
        </w:rPr>
        <w:t>=</w:t>
      </w:r>
      <w:r>
        <w:rPr>
          <w:rFonts w:ascii="Times New Roman" w:hAnsi="Times New Roman" w:cs="Times New Roman"/>
          <w:spacing w:val="-1"/>
          <w:position w:val="2"/>
          <w:sz w:val="24"/>
          <w:szCs w:val="24"/>
        </w:rPr>
        <w:t xml:space="preserve"> 99,40</w:t>
      </w:r>
    </w:p>
    <w:p w14:paraId="6C08FA78">
      <w:pPr>
        <w:spacing w:before="141" w:line="276" w:lineRule="auto"/>
        <w:rPr>
          <w:rFonts w:ascii="Times New Roman" w:hAnsi="Times New Roman" w:cs="Times New Roman"/>
          <w:spacing w:val="-1"/>
          <w:position w:val="2"/>
          <w:sz w:val="24"/>
          <w:szCs w:val="24"/>
        </w:rPr>
      </w:pPr>
      <w:r>
        <w:rPr>
          <w:rFonts w:ascii="Times New Roman" w:hAnsi="Times New Roman" w:cs="Times New Roman"/>
          <w:spacing w:val="-1"/>
          <w:position w:val="2"/>
          <w:sz w:val="24"/>
          <w:szCs w:val="24"/>
        </w:rPr>
        <w:t>Penyelesaian:</w:t>
      </w:r>
    </w:p>
    <w:p w14:paraId="470FC95C">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spacing w:val="-1"/>
          <w:position w:val="2"/>
          <w:sz w:val="24"/>
          <w:szCs w:val="24"/>
        </w:rPr>
        <w:tab/>
      </w:r>
      <w:r>
        <w:rPr>
          <w:rFonts w:ascii="Times New Roman" w:hAnsi="Times New Roman" w:cs="Times New Roman"/>
          <w:spacing w:val="-1"/>
          <w:position w:val="2"/>
          <w:sz w:val="24"/>
          <w:szCs w:val="24"/>
        </w:rPr>
        <w:t xml:space="preserve">   </w:t>
      </w:r>
      <w:r>
        <w:rPr>
          <w:rFonts w:ascii="Times New Roman" w:hAnsi="Times New Roman" w:cs="Times New Roman"/>
          <w:sz w:val="24"/>
          <w:szCs w:val="24"/>
        </w:rPr>
        <w:t>A1648</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DF</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DE</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99,40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94,85</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0,0203</w:t>
      </w:r>
    </w:p>
    <w:p w14:paraId="22068581">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position w:val="2"/>
          <w:sz w:val="24"/>
          <w:szCs w:val="24"/>
        </w:rPr>
        <w:tab/>
      </w:r>
      <w:r>
        <w:rPr>
          <w:rFonts w:ascii="Times New Roman" w:hAnsi="Times New Roman" w:cs="Times New Roman"/>
          <w:position w:val="2"/>
          <w:sz w:val="24"/>
          <w:szCs w:val="24"/>
        </w:rPr>
        <w:t xml:space="preserve">   </w:t>
      </w:r>
      <w:r>
        <w:rPr>
          <w:rFonts w:ascii="Times New Roman" w:hAnsi="Times New Roman" w:cs="Times New Roman"/>
          <w:sz w:val="24"/>
          <w:szCs w:val="24"/>
        </w:rPr>
        <w:t>A3353</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AC</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AB</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100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86,01</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0,0654</w:t>
      </w:r>
    </w:p>
    <w:p w14:paraId="1994F2BE">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 1648</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 3353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33670D5A">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0,0203</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0,0654</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35876E0D">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(0,3103 × 0,7518)</w:t>
      </w:r>
    </w:p>
    <w:p w14:paraId="19655340">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(0,2332) = 0,7621</w:t>
      </w:r>
    </w:p>
    <w:p w14:paraId="7BA1863B">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DD = 76,68%</w:t>
      </w:r>
    </w:p>
    <w:p w14:paraId="2445C90A">
      <w:pPr>
        <w:spacing w:after="0" w:line="240" w:lineRule="auto"/>
        <w:ind w:left="426" w:hanging="426"/>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4.5</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Hasil Pembuatan </w:t>
      </w:r>
      <w:r>
        <w:rPr>
          <w:rFonts w:ascii="Times New Roman" w:hAnsi="Times New Roman" w:cs="Times New Roman"/>
          <w:b/>
          <w:bCs/>
          <w:i/>
          <w:iCs/>
          <w:color w:val="000000"/>
          <w:sz w:val="24"/>
          <w:szCs w:val="24"/>
          <w:lang w:val="en-US"/>
        </w:rPr>
        <w:t>Edible Coating</w:t>
      </w:r>
      <w:r>
        <w:rPr>
          <w:rFonts w:ascii="Times New Roman" w:hAnsi="Times New Roman" w:cs="Times New Roman"/>
          <w:b/>
          <w:bCs/>
          <w:color w:val="000000"/>
          <w:sz w:val="24"/>
          <w:szCs w:val="24"/>
          <w:lang w:val="en-US"/>
        </w:rPr>
        <w:t xml:space="preserve"> Dari Kitosan Cangkang Kerang Panggang Pulut</w:t>
      </w:r>
    </w:p>
    <w:p w14:paraId="0E2651FB">
      <w:pPr>
        <w:spacing w:after="0" w:line="240" w:lineRule="auto"/>
        <w:ind w:left="426" w:hanging="426"/>
        <w:jc w:val="both"/>
        <w:rPr>
          <w:rFonts w:ascii="Times New Roman" w:hAnsi="Times New Roman" w:cs="Times New Roman"/>
          <w:b/>
          <w:bCs/>
          <w:color w:val="000000"/>
          <w:sz w:val="24"/>
          <w:szCs w:val="24"/>
          <w:lang w:val="en-US"/>
        </w:rPr>
      </w:pPr>
    </w:p>
    <w:p w14:paraId="1A578E4B">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Kitosan yang telah diisolasi kemudian </w:t>
      </w:r>
      <w:r>
        <w:rPr>
          <w:rFonts w:ascii="Times New Roman" w:hAnsi="Times New Roman" w:cs="Times New Roman"/>
          <w:color w:val="000000"/>
          <w:sz w:val="24"/>
          <w:szCs w:val="24"/>
        </w:rPr>
        <w:t xml:space="preserve">dilarutkan dalam larutan </w:t>
      </w:r>
      <w:r>
        <w:rPr>
          <w:rFonts w:ascii="Times New Roman" w:hAnsi="Times New Roman" w:cs="Times New Roman"/>
          <w:color w:val="000000"/>
          <w:sz w:val="24"/>
          <w:szCs w:val="24"/>
          <w:lang w:val="en-US"/>
        </w:rPr>
        <w:t>asam asetat 1% untuk membentuk larutan kitosan</w:t>
      </w:r>
      <w:r>
        <w:t xml:space="preserve"> </w:t>
      </w:r>
      <w:r>
        <w:rPr>
          <w:rFonts w:ascii="Times New Roman" w:hAnsi="Times New Roman" w:cs="Times New Roman"/>
          <w:color w:val="000000"/>
          <w:sz w:val="24"/>
          <w:szCs w:val="24"/>
        </w:rPr>
        <w:t xml:space="preserve">yang digunakan sebagai bahan dasar pembuatan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Dalam penelitian ini, digunakan variasi konsentrasi kitosan sebesar 3%, 6%, dan 9%</w:t>
      </w:r>
      <w:r>
        <w:rPr>
          <w:rFonts w:ascii="Times New Roman" w:hAnsi="Times New Roman" w:cs="Times New Roman"/>
          <w:color w:val="000000"/>
          <w:sz w:val="24"/>
          <w:szCs w:val="24"/>
          <w:lang w:val="en-US"/>
        </w:rPr>
        <w:t xml:space="preserve"> untuk menghasilkan </w:t>
      </w:r>
      <w:r>
        <w:rPr>
          <w:rFonts w:ascii="Times New Roman" w:hAnsi="Times New Roman" w:cs="Times New Roman"/>
          <w:i/>
          <w:iCs/>
          <w:color w:val="000000"/>
          <w:sz w:val="24"/>
          <w:szCs w:val="24"/>
          <w:lang w:val="en-US"/>
        </w:rPr>
        <w:t>coating</w:t>
      </w:r>
      <w:r>
        <w:rPr>
          <w:rFonts w:ascii="Times New Roman" w:hAnsi="Times New Roman" w:cs="Times New Roman"/>
          <w:color w:val="000000"/>
          <w:sz w:val="24"/>
          <w:szCs w:val="24"/>
          <w:lang w:val="en-US"/>
        </w:rPr>
        <w:t xml:space="preserve"> dengan sifat fisik yang sesuai </w:t>
      </w:r>
      <w:r>
        <w:rPr>
          <w:rFonts w:ascii="Times New Roman" w:hAnsi="Times New Roman" w:cs="Times New Roman"/>
          <w:color w:val="000000"/>
          <w:sz w:val="24"/>
          <w:szCs w:val="24"/>
        </w:rPr>
        <w:t>dan efektivitasnya sebagai pelapis</w:t>
      </w:r>
      <w:r>
        <w:rPr>
          <w:rFonts w:ascii="Times New Roman" w:hAnsi="Times New Roman" w:cs="Times New Roman"/>
          <w:color w:val="000000"/>
          <w:sz w:val="24"/>
          <w:szCs w:val="24"/>
          <w:lang w:val="en-US"/>
        </w:rPr>
        <w:t xml:space="preserve">. Kemudian </w:t>
      </w:r>
      <w:r>
        <w:rPr>
          <w:rFonts w:ascii="Times New Roman" w:hAnsi="Times New Roman" w:cs="Times New Roman"/>
          <w:color w:val="000000"/>
          <w:sz w:val="24"/>
          <w:szCs w:val="24"/>
        </w:rPr>
        <w:t xml:space="preserve">penambahan gliserol 1% sebagai </w:t>
      </w:r>
      <w:r>
        <w:rPr>
          <w:rFonts w:ascii="Times New Roman" w:hAnsi="Times New Roman" w:cs="Times New Roman"/>
          <w:i/>
          <w:iCs/>
          <w:color w:val="000000"/>
          <w:sz w:val="24"/>
          <w:szCs w:val="24"/>
        </w:rPr>
        <w:t>plasticizer</w:t>
      </w:r>
      <w:r>
        <w:rPr>
          <w:rFonts w:ascii="Times New Roman" w:hAnsi="Times New Roman" w:cs="Times New Roman"/>
          <w:color w:val="000000"/>
          <w:sz w:val="24"/>
          <w:szCs w:val="24"/>
        </w:rPr>
        <w:t xml:space="preserve"> ke dalam larutan kitosan bertujuan untuk meningkatkan fleksibilitas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yang dihasilkan. Gliserol bekerja dengan mengurangi gaya intermolekuler antar rantai polimer kitosan, sehingga meningkatkan mobilitas rantai dan menghasilkan pelapis yang lebih lentur serta tidak mudah retak. Peningkatan jumlah gliserol dapat menurunkan kekuatan gaya antar molekul, sehingga mobilitas antar rantai molekul meningkat, menghasilkan film yang lebih fleksibel dan elastis (Fatnasari et al., 2018).</w:t>
      </w:r>
    </w:p>
    <w:p w14:paraId="09DC1337">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pengamatan menunjukkan bahwa larutan kitosan dengan konsentrasi yang lebih tinggi cenderung lebih keruh dibandingkan dengan konsentrasi yang lebih rendah. Kekeruhan ini disebabkan oleh peningkatan jumlah partikel kitosan yang tidak larut sempurna dalam larutan, yang dapat mempengaruhi homogenitas dan kualitas film yang dihasilkan. Konsentrasi kitosan yang lebih tinggi memiliki keuntungan dalam meningkatkan efektivitas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dalam menghambat pertumbuhan mikroba dan memperpanjang umur simpan produk makanan.  Namun, konsentrasi yang terlalu tinggi juga dapat menyebabkan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menjadi lebih kental, sehingga susah diaplikasikan dan dapat mengurangi efektivitas pelapisan dan meningkatkan resiko kontaminasi mikroorganisme.</w:t>
      </w:r>
    </w:p>
    <w:p w14:paraId="10F1E0D6">
      <w:pPr>
        <w:spacing w:after="0" w:line="480" w:lineRule="auto"/>
        <w:jc w:val="both"/>
        <w:rPr>
          <w:rFonts w:ascii="Times New Roman" w:hAnsi="Times New Roman" w:cs="Times New Roman"/>
          <w:b/>
          <w:bCs/>
          <w:color w:val="000000"/>
          <w:sz w:val="24"/>
          <w:szCs w:val="24"/>
          <w:lang w:val="fi-FI"/>
        </w:rPr>
      </w:pPr>
      <w:r>
        <w:rPr>
          <w:rFonts w:ascii="Times New Roman" w:hAnsi="Times New Roman" w:cs="Times New Roman"/>
          <w:b/>
          <w:bCs/>
          <w:color w:val="000000"/>
          <w:sz w:val="24"/>
          <w:szCs w:val="24"/>
          <w:lang w:val="fi-FI"/>
        </w:rPr>
        <w:t xml:space="preserve">4.6 Hasil Uji Aktivitas Antibakteri </w:t>
      </w:r>
      <w:r>
        <w:rPr>
          <w:rFonts w:ascii="Times New Roman" w:hAnsi="Times New Roman" w:cs="Times New Roman"/>
          <w:b/>
          <w:bCs/>
          <w:i/>
          <w:iCs/>
          <w:color w:val="000000"/>
          <w:sz w:val="24"/>
          <w:szCs w:val="24"/>
          <w:lang w:val="fi-FI"/>
        </w:rPr>
        <w:t>Staphylococcus aureus</w:t>
      </w:r>
    </w:p>
    <w:p w14:paraId="5A23ED26">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rPr>
        <w:t xml:space="preserve">Uji mikrobiologi merupakan salah satu indikator dalam menentukan kualitas larutan kitosan yang dihasilkan, karena larutan ini akan digunakan sebagai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pada sampel paprika merah. Larutan kitosan yang memiliki aktivitas antibakteri dapat berfungsi efektif sebagai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karena tujuan pembuatan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adalah untuk menghambat pertumbuhan mikroba sehingga dapat memperpanjang masa simpan buah dan sayur serta mencegah kerusakan.</w:t>
      </w:r>
    </w:p>
    <w:p w14:paraId="0974ADC0">
      <w:pPr>
        <w:spacing w:after="0" w:line="480" w:lineRule="auto"/>
        <w:ind w:firstLine="720"/>
        <w:jc w:val="both"/>
        <w:rPr>
          <w:rFonts w:ascii="Times New Roman" w:hAnsi="Times New Roman" w:cs="Times New Roman"/>
          <w:color w:val="000000"/>
          <w:sz w:val="24"/>
          <w:szCs w:val="24"/>
        </w:rPr>
      </w:pPr>
      <w:bookmarkStart w:id="0" w:name="_Hlk197729231"/>
      <w:r>
        <w:rPr>
          <w:lang w:val="en-US"/>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-2863850</wp:posOffset>
                </wp:positionH>
                <wp:positionV relativeFrom="paragraph">
                  <wp:posOffset>4363085</wp:posOffset>
                </wp:positionV>
                <wp:extent cx="347345" cy="274320"/>
                <wp:effectExtent l="0" t="0" r="14605" b="11430"/>
                <wp:wrapNone/>
                <wp:docPr id="2125855600" name="Text Box 184"/>
                <wp:cNvGraphicFramePr/>
                <a:graphic xmlns:a="http://schemas.openxmlformats.org/drawingml/2006/main">
                  <a:graphicData uri="http://schemas.microsoft.com/office/word/2010/wordprocessingShape">
                    <wps:wsp>
                      <wps:cNvSpPr txBox="1"/>
                      <wps:spPr>
                        <a:xfrm>
                          <a:off x="0" y="0"/>
                          <a:ext cx="347345" cy="274320"/>
                        </a:xfrm>
                        <a:prstGeom prst="rect">
                          <a:avLst/>
                        </a:prstGeom>
                        <a:solidFill>
                          <a:schemeClr val="bg2">
                            <a:lumMod val="10000"/>
                          </a:schemeClr>
                        </a:solidFill>
                        <a:ln w="6350">
                          <a:solidFill>
                            <a:schemeClr val="tx1"/>
                          </a:solidFill>
                        </a:ln>
                      </wps:spPr>
                      <wps:txbx>
                        <w:txbxContent>
                          <w:p w14:paraId="6BCB6D37">
                            <w:pPr>
                              <w:rPr>
                                <w:rFonts w:ascii="Times New Roman" w:hAnsi="Times New Roman" w:cs="Times New Roman"/>
                                <w:sz w:val="24"/>
                                <w:szCs w:val="24"/>
                              </w:rPr>
                            </w:pPr>
                            <w:r>
                              <w:rPr>
                                <w:rFonts w:ascii="Times New Roman" w:hAnsi="Times New Roman" w:cs="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84" o:spid="_x0000_s1026" o:spt="202" type="#_x0000_t202" style="position:absolute;left:0pt;margin-left:-225.5pt;margin-top:343.55pt;height:21.6pt;width:27.35pt;z-index:251659264;mso-width-relative:page;mso-height-relative:page;" fillcolor="#1E1C11 [334]" filled="t" stroked="t" coordsize="21600,21600" o:gfxdata="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8QMSo3QAAAA0BAAAPAAAAAAAAAAEAIAAAACIAAABkcnMvZG93bnJldi54bWxQSwEC&#10;FAAUAAAACACHTuJAzton42ECAADjBAAADgAAAAAAAAABACAAAAAsAQAAZHJzL2Uyb0RvYy54bWxQ&#10;SwUGAAAAAAYABgBZAQAA/wUAAAAA&#10;">
                <v:fill on="t" focussize="0,0"/>
                <v:stroke weight="0.5pt" color="#000000 [3213]" joinstyle="round"/>
                <v:imagedata o:title=""/>
                <o:lock v:ext="edit" aspectratio="f"/>
                <v:textbox>
                  <w:txbxContent>
                    <w:p w14:paraId="6BCB6D37">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Pr>
          <w:rFonts w:ascii="Times New Roman" w:hAnsi="Times New Roman" w:cs="Times New Roman"/>
          <w:color w:val="000000"/>
          <w:sz w:val="24"/>
          <w:szCs w:val="24"/>
        </w:rPr>
        <w:t>Penelitian ini dilakukan menggunakan metode difusi cakram. Metode ini merupakan teknik yang umum digunakan untuk menguji sensitivitas bakteri terhadap senyawa antibakteri. Pada metode ini, kertas cakram yang telah diserap dengan senyawa uji diletakkan pada permukaan media agar yang telah diinokulasi dengan bakteri patogen. Setelah inkubasi, terbentuknya zona bening di sekitar cakram menunjukkan adanya aktivitas antibakteri dari senyawa tersebut. Diameter zona hambat yang terbentuk dapat diukur untuk menentukan tingkat efektivitas senyawa dalam menghambat pertumbuhan bakteri.</w:t>
      </w:r>
    </w:p>
    <w:p w14:paraId="7CABD9CB">
      <w:pPr>
        <w:tabs>
          <w:tab w:val="left" w:pos="2410"/>
          <w:tab w:val="left" w:pos="4820"/>
        </w:tabs>
        <w:spacing w:after="0" w:line="240" w:lineRule="auto"/>
        <w:jc w:val="center"/>
        <w:rPr>
          <w:rFonts w:ascii="Times New Roman" w:hAnsi="Times New Roman" w:cs="Times New Roman"/>
          <w:b/>
          <w:bCs/>
          <w:color w:val="000000"/>
          <w:sz w:val="24"/>
          <w:szCs w:val="24"/>
          <w:lang w:val="en-US"/>
        </w:rPr>
      </w:pPr>
      <w:r>
        <w:rPr>
          <w:lang w:val="en-US"/>
        </w:rPr>
        <w:drawing>
          <wp:inline distT="0" distB="0" distL="0" distR="0">
            <wp:extent cx="1374775" cy="1439545"/>
            <wp:effectExtent l="0" t="0" r="0" b="8255"/>
            <wp:docPr id="1459357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5768"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374775" cy="1439545"/>
                    </a:xfrm>
                    <a:prstGeom prst="rect">
                      <a:avLst/>
                    </a:prstGeom>
                    <a:noFill/>
                    <a:ln>
                      <a:noFill/>
                    </a:ln>
                  </pic:spPr>
                </pic:pic>
              </a:graphicData>
            </a:graphic>
          </wp:inline>
        </w:drawing>
      </w:r>
      <w:r>
        <w:rPr>
          <w:rFonts w:ascii="Times New Roman" w:hAnsi="Times New Roman" w:cs="Times New Roman"/>
          <w:b/>
          <w:bCs/>
          <w:color w:val="000000"/>
          <w:sz w:val="24"/>
          <w:szCs w:val="24"/>
          <w:lang w:val="en-US"/>
        </w:rPr>
        <w:tab/>
      </w:r>
      <w:r>
        <w:rPr>
          <w:lang w:val="en-US"/>
        </w:rPr>
        <w:drawing>
          <wp:inline distT="0" distB="0" distL="0" distR="0">
            <wp:extent cx="1338580" cy="1439545"/>
            <wp:effectExtent l="0" t="0" r="0" b="8255"/>
            <wp:docPr id="12137208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2082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338580" cy="1439545"/>
                    </a:xfrm>
                    <a:prstGeom prst="rect">
                      <a:avLst/>
                    </a:prstGeom>
                    <a:noFill/>
                    <a:ln>
                      <a:noFill/>
                    </a:ln>
                  </pic:spPr>
                </pic:pic>
              </a:graphicData>
            </a:graphic>
          </wp:inline>
        </w:drawing>
      </w:r>
      <w:r>
        <w:rPr>
          <w:rFonts w:ascii="Times New Roman" w:hAnsi="Times New Roman" w:cs="Times New Roman"/>
          <w:b/>
          <w:bCs/>
          <w:color w:val="000000"/>
          <w:sz w:val="24"/>
          <w:szCs w:val="24"/>
          <w:lang w:val="en-US"/>
        </w:rPr>
        <w:tab/>
      </w:r>
      <w:r>
        <w:rPr>
          <w:lang w:val="en-US"/>
        </w:rPr>
        <w:drawing>
          <wp:inline distT="0" distB="0" distL="0" distR="0">
            <wp:extent cx="1356995" cy="1439545"/>
            <wp:effectExtent l="0" t="0" r="0" b="8255"/>
            <wp:docPr id="6268098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09872"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356995" cy="1439545"/>
                    </a:xfrm>
                    <a:prstGeom prst="rect">
                      <a:avLst/>
                    </a:prstGeom>
                    <a:noFill/>
                    <a:ln>
                      <a:noFill/>
                    </a:ln>
                  </pic:spPr>
                </pic:pic>
              </a:graphicData>
            </a:graphic>
          </wp:inline>
        </w:drawing>
      </w:r>
    </w:p>
    <w:p w14:paraId="2F15D4D8">
      <w:pPr>
        <w:spacing w:after="12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  a</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    b</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         c</w:t>
      </w:r>
    </w:p>
    <w:p w14:paraId="32495CEF">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Gambar 4.5 </w:t>
      </w:r>
      <w:r>
        <w:rPr>
          <w:rFonts w:ascii="Times New Roman" w:hAnsi="Times New Roman" w:cs="Times New Roman"/>
          <w:color w:val="000000"/>
          <w:sz w:val="24"/>
          <w:szCs w:val="24"/>
        </w:rPr>
        <w:t xml:space="preserve">Hasil Uji Antibakteri Edible Coating Berbahan  Kitosan Kerang Panggang Pulut Terhadap Bakteri </w:t>
      </w:r>
      <w:r>
        <w:rPr>
          <w:rFonts w:ascii="Times New Roman" w:hAnsi="Times New Roman" w:cs="Times New Roman"/>
          <w:i/>
          <w:iCs/>
          <w:color w:val="000000"/>
          <w:sz w:val="24"/>
          <w:szCs w:val="24"/>
        </w:rPr>
        <w:t>Staphylococcus aureus</w:t>
      </w:r>
      <w:r>
        <w:rPr>
          <w:rFonts w:ascii="Times New Roman" w:hAnsi="Times New Roman" w:cs="Times New Roman"/>
          <w:color w:val="000000"/>
          <w:sz w:val="24"/>
          <w:szCs w:val="24"/>
        </w:rPr>
        <w:t xml:space="preserve"> (a) Pengulangan 1, (b) Pengulangan 2, (c) Pengulangan 3</w:t>
      </w:r>
    </w:p>
    <w:p w14:paraId="41A413F2">
      <w:pPr>
        <w:spacing w:after="0" w:line="240" w:lineRule="auto"/>
        <w:jc w:val="both"/>
        <w:rPr>
          <w:rFonts w:ascii="Times New Roman" w:hAnsi="Times New Roman" w:cs="Times New Roman"/>
          <w:color w:val="000000"/>
          <w:sz w:val="24"/>
          <w:szCs w:val="24"/>
        </w:rPr>
      </w:pPr>
    </w:p>
    <w:p w14:paraId="5368F241">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Berdasarkan Gambar 4.5 menunjukkan bahwa terbentuknya zona bening di sekitar cakram yang berisi larutan</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kitosan, menandakan adanya aktivitas penghambatan terhadap pertumbuhan bakteri </w:t>
      </w:r>
      <w:r>
        <w:rPr>
          <w:rFonts w:ascii="Times New Roman" w:hAnsi="Times New Roman" w:cs="Times New Roman"/>
          <w:i/>
          <w:iCs/>
          <w:color w:val="000000"/>
          <w:sz w:val="24"/>
          <w:szCs w:val="24"/>
        </w:rPr>
        <w:t>Stahpylococcus aureus</w:t>
      </w:r>
      <w:r>
        <w:rPr>
          <w:rFonts w:ascii="Times New Roman" w:hAnsi="Times New Roman" w:cs="Times New Roman"/>
          <w:color w:val="000000"/>
          <w:sz w:val="24"/>
          <w:szCs w:val="24"/>
        </w:rPr>
        <w:t>. Semakin besar diameter zona bening yang terbentuk, maka semakin tinggi aktivitas antibakteri larutan tersebut. Sebagai kontrol positif, antibiotik eritromisin menunjukkan zona hambat yang lebih besar dibandingkan dengan larutan kitosan</w:t>
      </w:r>
      <w:r>
        <w:rPr>
          <w:rFonts w:ascii="Times New Roman" w:hAnsi="Times New Roman" w:cs="Times New Roman"/>
          <w:i/>
          <w:iCs/>
          <w:color w:val="000000"/>
          <w:sz w:val="24"/>
          <w:szCs w:val="24"/>
        </w:rPr>
        <w:t>,</w:t>
      </w:r>
      <w:r>
        <w:rPr>
          <w:rFonts w:ascii="Times New Roman" w:hAnsi="Times New Roman" w:cs="Times New Roman"/>
          <w:color w:val="000000"/>
          <w:sz w:val="24"/>
          <w:szCs w:val="24"/>
        </w:rPr>
        <w:t>sementara kontrol negatif (akuades steril) tidak menunjukkan zona hambat.</w:t>
      </w:r>
    </w:p>
    <w:p w14:paraId="1CB60960">
      <w:pPr>
        <w:spacing w:line="240" w:lineRule="auto"/>
        <w:ind w:left="1134" w:hanging="1134"/>
        <w:jc w:val="both"/>
        <w:rPr>
          <w:rFonts w:ascii="Times New Roman" w:hAnsi="Times New Roman" w:cs="Times New Roman"/>
          <w:i/>
          <w:iCs/>
          <w:color w:val="000000"/>
          <w:sz w:val="24"/>
          <w:szCs w:val="24"/>
          <w:lang w:val="en-US"/>
        </w:rPr>
      </w:pPr>
      <w:r>
        <w:rPr>
          <w:rFonts w:ascii="Times New Roman" w:hAnsi="Times New Roman" w:cs="Times New Roman"/>
          <w:b/>
          <w:bCs/>
          <w:color w:val="000000"/>
          <w:sz w:val="24"/>
          <w:szCs w:val="24"/>
          <w:lang w:val="en-US"/>
        </w:rPr>
        <w:t>Tabel 4.6</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 xml:space="preserve">Hasil Pengukuran Zona Hambat Terhadap Bakteri </w:t>
      </w:r>
      <w:r>
        <w:rPr>
          <w:rFonts w:ascii="Times New Roman" w:hAnsi="Times New Roman" w:cs="Times New Roman"/>
          <w:i/>
          <w:iCs/>
          <w:color w:val="000000"/>
          <w:sz w:val="24"/>
          <w:szCs w:val="24"/>
          <w:lang w:val="en-US"/>
        </w:rPr>
        <w:t>Staphylococcus aureus</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559"/>
        <w:gridCol w:w="1559"/>
        <w:gridCol w:w="1560"/>
        <w:gridCol w:w="1239"/>
      </w:tblGrid>
      <w:tr w14:paraId="0955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vMerge w:val="restart"/>
          </w:tcPr>
          <w:p w14:paraId="23735404">
            <w:pPr>
              <w:spacing w:line="240" w:lineRule="auto"/>
              <w:jc w:val="center"/>
              <w:rPr>
                <w:rFonts w:ascii="Times New Roman" w:hAnsi="Times New Roman" w:cs="Times New Roman"/>
                <w:b/>
                <w:bCs/>
                <w:color w:val="000000"/>
                <w:sz w:val="24"/>
                <w:szCs w:val="24"/>
                <w:lang w:val="en-US"/>
              </w:rPr>
            </w:pPr>
          </w:p>
          <w:p w14:paraId="4616FD2B">
            <w:pPr>
              <w:spacing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Formulasi</w:t>
            </w:r>
          </w:p>
        </w:tc>
        <w:tc>
          <w:tcPr>
            <w:tcW w:w="4678" w:type="dxa"/>
            <w:gridSpan w:val="3"/>
            <w:vAlign w:val="center"/>
          </w:tcPr>
          <w:p w14:paraId="36BD75BD">
            <w:pPr>
              <w:spacing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Zona hambat (mm)</w:t>
            </w:r>
          </w:p>
        </w:tc>
        <w:tc>
          <w:tcPr>
            <w:tcW w:w="1239" w:type="dxa"/>
            <w:vMerge w:val="restart"/>
            <w:vAlign w:val="center"/>
          </w:tcPr>
          <w:p w14:paraId="3F31D95C">
            <w:pPr>
              <w:spacing w:line="240" w:lineRule="auto"/>
              <w:jc w:val="center"/>
              <w:rPr>
                <w:rFonts w:ascii="Times New Roman" w:hAnsi="Times New Roman" w:cs="Times New Roman"/>
                <w:b/>
                <w:bCs/>
                <w:color w:val="000000"/>
                <w:sz w:val="24"/>
                <w:szCs w:val="24"/>
                <w:lang w:val="en-US"/>
              </w:rPr>
            </w:pPr>
          </w:p>
          <w:p w14:paraId="2D2FD956">
            <w:pPr>
              <w:spacing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Rata-rata</w:t>
            </w:r>
          </w:p>
        </w:tc>
      </w:tr>
      <w:tr w14:paraId="7ABA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vMerge w:val="continue"/>
          </w:tcPr>
          <w:p w14:paraId="5BE66571">
            <w:pPr>
              <w:spacing w:line="240" w:lineRule="auto"/>
              <w:jc w:val="center"/>
              <w:rPr>
                <w:rFonts w:ascii="Times New Roman" w:hAnsi="Times New Roman" w:cs="Times New Roman"/>
                <w:b/>
                <w:bCs/>
                <w:color w:val="000000"/>
                <w:sz w:val="24"/>
                <w:szCs w:val="24"/>
                <w:lang w:val="en-US"/>
              </w:rPr>
            </w:pPr>
          </w:p>
        </w:tc>
        <w:tc>
          <w:tcPr>
            <w:tcW w:w="1559" w:type="dxa"/>
            <w:vAlign w:val="center"/>
          </w:tcPr>
          <w:p w14:paraId="7C987160">
            <w:pPr>
              <w:spacing w:line="240" w:lineRule="auto"/>
              <w:ind w:left="-107" w:right="-111"/>
              <w:jc w:val="center"/>
              <w:rPr>
                <w:rFonts w:ascii="Times New Roman" w:hAnsi="Times New Roman" w:cs="Times New Roman"/>
                <w:b/>
                <w:bCs/>
                <w:color w:val="000000"/>
                <w:lang w:val="en-US"/>
              </w:rPr>
            </w:pPr>
            <w:r>
              <w:rPr>
                <w:rFonts w:ascii="Times New Roman" w:hAnsi="Times New Roman" w:cs="Times New Roman"/>
                <w:b/>
                <w:bCs/>
                <w:color w:val="000000"/>
                <w:lang w:val="en-US"/>
              </w:rPr>
              <w:t>Pengulangan 1</w:t>
            </w:r>
          </w:p>
        </w:tc>
        <w:tc>
          <w:tcPr>
            <w:tcW w:w="1559" w:type="dxa"/>
            <w:vAlign w:val="center"/>
          </w:tcPr>
          <w:p w14:paraId="4EC77F77">
            <w:pPr>
              <w:spacing w:line="240" w:lineRule="auto"/>
              <w:ind w:left="-107" w:right="-111"/>
              <w:jc w:val="center"/>
              <w:rPr>
                <w:rFonts w:ascii="Times New Roman" w:hAnsi="Times New Roman" w:cs="Times New Roman"/>
                <w:b/>
                <w:bCs/>
                <w:color w:val="000000"/>
                <w:lang w:val="en-US"/>
              </w:rPr>
            </w:pPr>
            <w:r>
              <w:rPr>
                <w:rFonts w:ascii="Times New Roman" w:hAnsi="Times New Roman" w:cs="Times New Roman"/>
                <w:b/>
                <w:bCs/>
                <w:color w:val="000000"/>
                <w:lang w:val="en-US"/>
              </w:rPr>
              <w:t>Pengulangan 2</w:t>
            </w:r>
          </w:p>
        </w:tc>
        <w:tc>
          <w:tcPr>
            <w:tcW w:w="1560" w:type="dxa"/>
            <w:vAlign w:val="center"/>
          </w:tcPr>
          <w:p w14:paraId="0CB995F5">
            <w:pPr>
              <w:spacing w:line="240" w:lineRule="auto"/>
              <w:ind w:left="-107" w:right="-111"/>
              <w:jc w:val="center"/>
              <w:rPr>
                <w:rFonts w:ascii="Times New Roman" w:hAnsi="Times New Roman" w:cs="Times New Roman"/>
                <w:b/>
                <w:bCs/>
                <w:color w:val="000000"/>
                <w:lang w:val="en-US"/>
              </w:rPr>
            </w:pPr>
            <w:r>
              <w:rPr>
                <w:rFonts w:ascii="Times New Roman" w:hAnsi="Times New Roman" w:cs="Times New Roman"/>
                <w:b/>
                <w:bCs/>
                <w:color w:val="000000"/>
                <w:lang w:val="en-US"/>
              </w:rPr>
              <w:t>Pengulangan 3</w:t>
            </w:r>
          </w:p>
        </w:tc>
        <w:tc>
          <w:tcPr>
            <w:tcW w:w="1239" w:type="dxa"/>
            <w:vMerge w:val="continue"/>
            <w:vAlign w:val="center"/>
          </w:tcPr>
          <w:p w14:paraId="54D2C957">
            <w:pPr>
              <w:spacing w:line="240" w:lineRule="auto"/>
              <w:jc w:val="center"/>
              <w:rPr>
                <w:rFonts w:ascii="Times New Roman" w:hAnsi="Times New Roman" w:cs="Times New Roman"/>
                <w:b/>
                <w:bCs/>
                <w:color w:val="000000"/>
                <w:sz w:val="24"/>
                <w:szCs w:val="24"/>
                <w:lang w:val="en-US"/>
              </w:rPr>
            </w:pPr>
          </w:p>
        </w:tc>
      </w:tr>
      <w:tr w14:paraId="0997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5E7ADC94">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Konsentrasi 3%</w:t>
            </w:r>
          </w:p>
        </w:tc>
        <w:tc>
          <w:tcPr>
            <w:tcW w:w="1559" w:type="dxa"/>
            <w:vAlign w:val="center"/>
          </w:tcPr>
          <w:p w14:paraId="0DCE3BC4">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20,0 mm</w:t>
            </w:r>
          </w:p>
        </w:tc>
        <w:tc>
          <w:tcPr>
            <w:tcW w:w="1559" w:type="dxa"/>
            <w:vAlign w:val="center"/>
          </w:tcPr>
          <w:p w14:paraId="61F15C7C">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22,4 mm</w:t>
            </w:r>
          </w:p>
        </w:tc>
        <w:tc>
          <w:tcPr>
            <w:tcW w:w="1560" w:type="dxa"/>
            <w:vAlign w:val="center"/>
          </w:tcPr>
          <w:p w14:paraId="76E9E710">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19,8 mm</w:t>
            </w:r>
          </w:p>
        </w:tc>
        <w:tc>
          <w:tcPr>
            <w:tcW w:w="1239" w:type="dxa"/>
            <w:vAlign w:val="center"/>
          </w:tcPr>
          <w:p w14:paraId="5EBA8133">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20,7 mm</w:t>
            </w:r>
          </w:p>
        </w:tc>
      </w:tr>
      <w:tr w14:paraId="574B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6CF01A0A">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Konsentrasi 6%</w:t>
            </w:r>
          </w:p>
        </w:tc>
        <w:tc>
          <w:tcPr>
            <w:tcW w:w="1559" w:type="dxa"/>
            <w:vAlign w:val="center"/>
          </w:tcPr>
          <w:p w14:paraId="0DD115D7">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22,7 mm</w:t>
            </w:r>
          </w:p>
        </w:tc>
        <w:tc>
          <w:tcPr>
            <w:tcW w:w="1559" w:type="dxa"/>
            <w:vAlign w:val="center"/>
          </w:tcPr>
          <w:p w14:paraId="4CFC4F1B">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20 mm</w:t>
            </w:r>
          </w:p>
        </w:tc>
        <w:tc>
          <w:tcPr>
            <w:tcW w:w="1560" w:type="dxa"/>
            <w:vAlign w:val="center"/>
          </w:tcPr>
          <w:p w14:paraId="612E28FC">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25,5 mm</w:t>
            </w:r>
          </w:p>
        </w:tc>
        <w:tc>
          <w:tcPr>
            <w:tcW w:w="1239" w:type="dxa"/>
            <w:vAlign w:val="center"/>
          </w:tcPr>
          <w:p w14:paraId="5B4DBB64">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22,7 mm</w:t>
            </w:r>
          </w:p>
        </w:tc>
      </w:tr>
      <w:tr w14:paraId="40EE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003CEAA1">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Konsentrasi 9%</w:t>
            </w:r>
          </w:p>
        </w:tc>
        <w:tc>
          <w:tcPr>
            <w:tcW w:w="1559" w:type="dxa"/>
            <w:vAlign w:val="center"/>
          </w:tcPr>
          <w:p w14:paraId="5DBA6452">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22 mm</w:t>
            </w:r>
          </w:p>
        </w:tc>
        <w:tc>
          <w:tcPr>
            <w:tcW w:w="1559" w:type="dxa"/>
            <w:vAlign w:val="center"/>
          </w:tcPr>
          <w:p w14:paraId="153AA35A">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25,7 mm</w:t>
            </w:r>
          </w:p>
        </w:tc>
        <w:tc>
          <w:tcPr>
            <w:tcW w:w="1560" w:type="dxa"/>
            <w:vAlign w:val="center"/>
          </w:tcPr>
          <w:p w14:paraId="6A12C30E">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23,8 mm</w:t>
            </w:r>
          </w:p>
        </w:tc>
        <w:tc>
          <w:tcPr>
            <w:tcW w:w="1239" w:type="dxa"/>
            <w:vAlign w:val="center"/>
          </w:tcPr>
          <w:p w14:paraId="38B4C206">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23,8 mm</w:t>
            </w:r>
          </w:p>
        </w:tc>
      </w:tr>
      <w:tr w14:paraId="41DB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5EE808FA">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Kontrol + (Eritromisin)</w:t>
            </w:r>
          </w:p>
        </w:tc>
        <w:tc>
          <w:tcPr>
            <w:tcW w:w="1559" w:type="dxa"/>
            <w:vAlign w:val="center"/>
          </w:tcPr>
          <w:p w14:paraId="64AF2337">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23,5 mm</w:t>
            </w:r>
          </w:p>
        </w:tc>
        <w:tc>
          <w:tcPr>
            <w:tcW w:w="1559" w:type="dxa"/>
            <w:vAlign w:val="center"/>
          </w:tcPr>
          <w:p w14:paraId="32559E29">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22,4 mm</w:t>
            </w:r>
          </w:p>
        </w:tc>
        <w:tc>
          <w:tcPr>
            <w:tcW w:w="1560" w:type="dxa"/>
            <w:vAlign w:val="center"/>
          </w:tcPr>
          <w:p w14:paraId="3EAC01C1">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26,1 mm</w:t>
            </w:r>
          </w:p>
        </w:tc>
        <w:tc>
          <w:tcPr>
            <w:tcW w:w="1239" w:type="dxa"/>
            <w:vAlign w:val="center"/>
          </w:tcPr>
          <w:p w14:paraId="5042F823">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24 mm</w:t>
            </w:r>
          </w:p>
        </w:tc>
      </w:tr>
      <w:tr w14:paraId="76EA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5D5AC736">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Kontrol – (Aquadest Steril)</w:t>
            </w:r>
          </w:p>
        </w:tc>
        <w:tc>
          <w:tcPr>
            <w:tcW w:w="1559" w:type="dxa"/>
            <w:vAlign w:val="center"/>
          </w:tcPr>
          <w:p w14:paraId="29274CAE">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p>
        </w:tc>
        <w:tc>
          <w:tcPr>
            <w:tcW w:w="1559" w:type="dxa"/>
            <w:vAlign w:val="center"/>
          </w:tcPr>
          <w:p w14:paraId="6812E41C">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p>
        </w:tc>
        <w:tc>
          <w:tcPr>
            <w:tcW w:w="1560" w:type="dxa"/>
            <w:vAlign w:val="center"/>
          </w:tcPr>
          <w:p w14:paraId="23EC4D8C">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p>
        </w:tc>
        <w:tc>
          <w:tcPr>
            <w:tcW w:w="1239" w:type="dxa"/>
            <w:vAlign w:val="center"/>
          </w:tcPr>
          <w:p w14:paraId="05B044FF">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p>
        </w:tc>
      </w:tr>
    </w:tbl>
    <w:p w14:paraId="0EE689B8">
      <w:pPr>
        <w:spacing w:before="240"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Tabel 4.6 menunjukkan hasil pengukuran aktivitas antibakteri larutan kitosan cangkang kerang panggang pulut terhadap bakteri </w:t>
      </w:r>
      <w:r>
        <w:rPr>
          <w:rFonts w:ascii="Times New Roman" w:hAnsi="Times New Roman" w:cs="Times New Roman"/>
          <w:i/>
          <w:iCs/>
          <w:color w:val="000000"/>
          <w:sz w:val="24"/>
          <w:szCs w:val="24"/>
        </w:rPr>
        <w:t>Staphylococcus aureus</w:t>
      </w:r>
      <w:r>
        <w:rPr>
          <w:rFonts w:ascii="Times New Roman" w:hAnsi="Times New Roman" w:cs="Times New Roman"/>
          <w:color w:val="000000"/>
          <w:sz w:val="24"/>
          <w:szCs w:val="24"/>
        </w:rPr>
        <w:t xml:space="preserve">. Hasil pengujian aktivitas antibakteri larutan kitosan tertinggi terdapat pada konsentrasi 9% yaitu sebesar 23,8 mm, kemudian pada konsentrasi 6% sebesar 22,7 mm dan konsentrasi 3% sebesar 20,7 mm. Sehingga dapat disimpulkan bahwa konsentrasi tersebut memiliki kategori sangat kuat dan kontrol positif memiliki zona hambat sebesar 24 mm kategori sangat kuat. Diameter  zona  bening  yang terbentuk pada bakteri </w:t>
      </w:r>
      <w:r>
        <w:rPr>
          <w:rFonts w:ascii="Times New Roman" w:hAnsi="Times New Roman" w:cs="Times New Roman"/>
          <w:i/>
          <w:iCs/>
          <w:color w:val="000000"/>
          <w:sz w:val="24"/>
          <w:szCs w:val="24"/>
        </w:rPr>
        <w:t>Stahpylococcus aureus</w:t>
      </w:r>
      <w:r>
        <w:rPr>
          <w:rFonts w:ascii="Times New Roman" w:hAnsi="Times New Roman" w:cs="Times New Roman"/>
          <w:color w:val="000000"/>
          <w:sz w:val="24"/>
          <w:szCs w:val="24"/>
        </w:rPr>
        <w:t xml:space="preserve"> berbeda-beda, hal ini mengindikasikan bahwa variasi konsentrasi kitosan  yang  diberikan  dapat mempengaruhi aktivitas antibakteri kitosan. Hal ini sesuai  dengan  pernyataan Sepvina et al., (2022)</w:t>
      </w:r>
      <w:r>
        <w:rPr>
          <w:rFonts w:ascii="Times New Roman" w:hAnsi="Times New Roman" w:cs="Times New Roman"/>
          <w:sz w:val="24"/>
          <w:szCs w:val="24"/>
        </w:rPr>
        <w:t xml:space="preserve">, </w:t>
      </w:r>
      <w:r>
        <w:rPr>
          <w:rFonts w:ascii="Times New Roman" w:hAnsi="Times New Roman" w:cs="Times New Roman"/>
          <w:color w:val="000000"/>
          <w:sz w:val="24"/>
          <w:szCs w:val="24"/>
        </w:rPr>
        <w:t>kitosan  merupakan senyawa   yang   dapat   berperan sebagai agen antibakteri.</w:t>
      </w:r>
    </w:p>
    <w:p w14:paraId="47D6EDDA">
      <w:pPr>
        <w:spacing w:after="0" w:line="360" w:lineRule="auto"/>
        <w:jc w:val="both"/>
        <w:rPr>
          <w:rFonts w:ascii="Times New Roman" w:hAnsi="Times New Roman" w:cs="Times New Roman"/>
          <w:color w:val="000000"/>
          <w:sz w:val="24"/>
          <w:szCs w:val="24"/>
          <w:lang w:val="en-US"/>
        </w:rPr>
      </w:pPr>
      <w:r>
        <w:rPr>
          <w:rFonts w:ascii="Times New Roman" w:hAnsi="Times New Roman" w:cs="Times New Roman"/>
          <w:b/>
          <w:bCs/>
          <w:color w:val="000000"/>
          <w:sz w:val="24"/>
          <w:szCs w:val="24"/>
          <w:lang w:val="en-US"/>
        </w:rPr>
        <w:t>Tabel 4.7</w:t>
      </w:r>
      <w:r>
        <w:rPr>
          <w:rFonts w:ascii="Times New Roman" w:hAnsi="Times New Roman" w:cs="Times New Roman"/>
          <w:color w:val="000000"/>
          <w:sz w:val="24"/>
          <w:szCs w:val="24"/>
          <w:lang w:val="en-US"/>
        </w:rPr>
        <w:t xml:space="preserve"> Kriteria Diameter Zona Hambat (</w:t>
      </w:r>
      <w:r>
        <w:rPr>
          <w:rFonts w:ascii="Times New Roman" w:hAnsi="Times New Roman" w:cs="Times New Roman"/>
          <w:color w:val="000000"/>
          <w:sz w:val="24"/>
          <w:szCs w:val="24"/>
        </w:rPr>
        <w:t>Yanti et al, 2024)</w:t>
      </w:r>
    </w:p>
    <w:tbl>
      <w:tblPr>
        <w:tblStyle w:val="2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3"/>
        <w:gridCol w:w="3685"/>
      </w:tblGrid>
      <w:tr w14:paraId="7C98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693470C6">
            <w:pPr>
              <w:spacing w:line="24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Diameter zona hambat</w:t>
            </w:r>
          </w:p>
        </w:tc>
        <w:tc>
          <w:tcPr>
            <w:tcW w:w="3685" w:type="dxa"/>
          </w:tcPr>
          <w:p w14:paraId="0B18606A">
            <w:pPr>
              <w:spacing w:line="24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Respon hambatan pertumbuhan</w:t>
            </w:r>
          </w:p>
        </w:tc>
      </w:tr>
      <w:tr w14:paraId="245C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081017AF">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&lt;5 mm</w:t>
            </w:r>
          </w:p>
        </w:tc>
        <w:tc>
          <w:tcPr>
            <w:tcW w:w="3685" w:type="dxa"/>
          </w:tcPr>
          <w:p w14:paraId="6DCEE22F">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Lemah</w:t>
            </w:r>
          </w:p>
        </w:tc>
      </w:tr>
      <w:tr w14:paraId="0759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09490C90">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5-10 mm</w:t>
            </w:r>
          </w:p>
        </w:tc>
        <w:tc>
          <w:tcPr>
            <w:tcW w:w="3685" w:type="dxa"/>
          </w:tcPr>
          <w:p w14:paraId="38F8E3B4">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Sedang</w:t>
            </w:r>
          </w:p>
        </w:tc>
      </w:tr>
      <w:tr w14:paraId="36DF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55EA28A9">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10-20 mm</w:t>
            </w:r>
          </w:p>
        </w:tc>
        <w:tc>
          <w:tcPr>
            <w:tcW w:w="3685" w:type="dxa"/>
          </w:tcPr>
          <w:p w14:paraId="203761B7">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Kuat</w:t>
            </w:r>
          </w:p>
        </w:tc>
      </w:tr>
      <w:tr w14:paraId="3272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0CDE0344">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&gt;20 mm</w:t>
            </w:r>
          </w:p>
        </w:tc>
        <w:tc>
          <w:tcPr>
            <w:tcW w:w="3685" w:type="dxa"/>
          </w:tcPr>
          <w:p w14:paraId="763769A0">
            <w:pPr>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Sangat kuat</w:t>
            </w:r>
          </w:p>
        </w:tc>
      </w:tr>
    </w:tbl>
    <w:p w14:paraId="68F36FB5">
      <w:pPr>
        <w:spacing w:after="0" w:line="240" w:lineRule="auto"/>
        <w:ind w:firstLine="720"/>
        <w:jc w:val="both"/>
        <w:rPr>
          <w:rFonts w:ascii="Times New Roman" w:hAnsi="Times New Roman" w:cs="Times New Roman"/>
          <w:color w:val="000000"/>
          <w:sz w:val="24"/>
          <w:szCs w:val="24"/>
        </w:rPr>
      </w:pPr>
    </w:p>
    <w:p w14:paraId="7A58F6CC">
      <w:pPr>
        <w:spacing w:after="0" w:line="480" w:lineRule="auto"/>
        <w:ind w:firstLine="720"/>
        <w:jc w:val="both"/>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Penambahan kitosan pada larutan </w:t>
      </w:r>
      <w:r>
        <w:rPr>
          <w:rFonts w:ascii="Times New Roman" w:hAnsi="Times New Roman" w:cs="Times New Roman"/>
          <w:i/>
          <w:iCs/>
          <w:color w:val="000000"/>
          <w:sz w:val="24"/>
          <w:szCs w:val="24"/>
        </w:rPr>
        <w:t>edible</w:t>
      </w:r>
      <w:r>
        <w:rPr>
          <w:rFonts w:ascii="Times New Roman" w:hAnsi="Times New Roman" w:cs="Times New Roman"/>
          <w:color w:val="000000"/>
          <w:sz w:val="24"/>
          <w:szCs w:val="24"/>
        </w:rPr>
        <w:t xml:space="preserve"> dapat menghambat aktivitas bakteri. Kitosan berpotensi untuk dijadikan sebagai bahan antibakteri, karena mengandung enzim lisozim dan gugus aminopolisakarida yang mampu menghambat pertumbuhan mikroba. Mekanisme kerja zat antimikroba kitosan yaitu dengan adanya interaksi antara kelompok amina dengan dinding sel mikroba yang menyebabkan penurunan permeabilitas selektifnya dan menyebabkan kebocoran zat intraselular, seperti protein, asam amino, glukosa, dan dehidrogenase laktat. Akibatnya, kitosan menghambat metabolisme mikroorganisme normal dan akhirnya menyebabkan kematian sel (Yanti et al., 2024). Sejalan dengan review jurnal yang dilakukan oleh Ningsih (2022), Adanya aktivitas antibakteri kitosan sebagain besar pengujiannya menggunakan bakteri gram positif dan gram negatif. Beberapa peneliti lain juga menunjukkan bahwa kitosan umumnya yang menunjukkan efek yang lebih kuat untuk bakteri gram positif yaitu seperti </w:t>
      </w:r>
      <w:r>
        <w:rPr>
          <w:rFonts w:ascii="Times New Roman" w:hAnsi="Times New Roman" w:cs="Times New Roman"/>
          <w:i/>
          <w:iCs/>
          <w:color w:val="000000"/>
          <w:sz w:val="24"/>
          <w:szCs w:val="24"/>
        </w:rPr>
        <w:t>(Listeria monocytogenes, Bacillus megaterium, B. cereus, Staphylococcus aureus, Lactobacillus plantarum, L. brevis, L. bulgaris, dll.) dan untuk bakteri g-negatif seperti (E.coli, Pseudomonas fluorescens, Salmonella typhimurium, Vibrio parahaemolyticus, dll.)</w:t>
      </w:r>
    </w:p>
    <w:p w14:paraId="69DEED8E">
      <w:pPr>
        <w:spacing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4.7 Hasil Uji Viskositas</w:t>
      </w:r>
    </w:p>
    <w:p w14:paraId="2D86CCE6">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Pengukuran viskositas merupakan parameter penting dalam formulasi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karena viskositas larutan berpengaruh langsung terhadap kualitas pelapisan pada produk</w:t>
      </w:r>
      <w:r>
        <w:rPr>
          <w:rFonts w:ascii="Times New Roman" w:hAnsi="Times New Roman" w:cs="Times New Roman"/>
          <w:color w:val="000000"/>
          <w:sz w:val="24"/>
          <w:szCs w:val="24"/>
          <w:lang w:val="en-US"/>
        </w:rPr>
        <w:t xml:space="preserve">. Hasil penelitian menunjukkan bahwa penggunaan konsentrasi kitosan yang berbeda pada tiap perlakuan menghasilkan viskositas larutan </w:t>
      </w:r>
      <w:r>
        <w:rPr>
          <w:rFonts w:ascii="Times New Roman" w:hAnsi="Times New Roman" w:cs="Times New Roman"/>
          <w:i/>
          <w:iCs/>
          <w:color w:val="000000"/>
          <w:sz w:val="24"/>
          <w:szCs w:val="24"/>
          <w:lang w:val="en-US"/>
        </w:rPr>
        <w:t>edible coating</w:t>
      </w:r>
      <w:r>
        <w:rPr>
          <w:rFonts w:ascii="Times New Roman" w:hAnsi="Times New Roman" w:cs="Times New Roman"/>
          <w:color w:val="000000"/>
          <w:sz w:val="24"/>
          <w:szCs w:val="24"/>
          <w:lang w:val="en-US"/>
        </w:rPr>
        <w:t xml:space="preserve"> yang berbeda pula. Semakin tinggi konsentrasi kitosan dan gliserol yang digunakan, semakin tinggi nilai viskositas larutan </w:t>
      </w:r>
      <w:r>
        <w:rPr>
          <w:rFonts w:ascii="Times New Roman" w:hAnsi="Times New Roman" w:cs="Times New Roman"/>
          <w:i/>
          <w:iCs/>
          <w:color w:val="000000"/>
          <w:sz w:val="24"/>
          <w:szCs w:val="24"/>
          <w:lang w:val="en-US"/>
        </w:rPr>
        <w:t>edible coating</w:t>
      </w:r>
      <w:r>
        <w:rPr>
          <w:rFonts w:ascii="Times New Roman" w:hAnsi="Times New Roman" w:cs="Times New Roman"/>
          <w:color w:val="000000"/>
          <w:sz w:val="24"/>
          <w:szCs w:val="24"/>
          <w:lang w:val="en-US"/>
        </w:rPr>
        <w:t>.</w:t>
      </w:r>
      <w:r>
        <w:t xml:space="preserve"> </w:t>
      </w:r>
      <w:r>
        <w:rPr>
          <w:rFonts w:ascii="Times New Roman" w:hAnsi="Times New Roman" w:cs="Times New Roman"/>
          <w:color w:val="000000"/>
          <w:sz w:val="24"/>
          <w:szCs w:val="24"/>
        </w:rPr>
        <w:t xml:space="preserve">Hasil nilai pengukuran viskositas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kitosan dapat dilihat pada gambar 4.5.</w:t>
      </w:r>
    </w:p>
    <w:p w14:paraId="11B08D9F">
      <w:pPr>
        <w:spacing w:after="0" w:line="480" w:lineRule="auto"/>
        <w:jc w:val="center"/>
        <w:rPr>
          <w:rFonts w:ascii="Times New Roman" w:hAnsi="Times New Roman" w:cs="Times New Roman"/>
          <w:b/>
          <w:bCs/>
          <w:color w:val="000000"/>
          <w:sz w:val="24"/>
          <w:szCs w:val="24"/>
          <w:lang w:val="en-US"/>
        </w:rPr>
      </w:pPr>
      <w:r>
        <w:rPr>
          <w:rFonts w:ascii="Times New Roman" w:hAnsi="Times New Roman" w:cs="Times New Roman"/>
          <w:color w:val="000000"/>
          <w:sz w:val="24"/>
          <w:szCs w:val="24"/>
          <w:lang w:val="en-US"/>
          <w14:ligatures w14:val="standardContextual"/>
        </w:rPr>
        <w:drawing>
          <wp:inline distT="0" distB="0" distL="0" distR="0">
            <wp:extent cx="4227830" cy="2096770"/>
            <wp:effectExtent l="0" t="0" r="20320" b="17780"/>
            <wp:docPr id="1924359802"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85C40EB">
      <w:pPr>
        <w:spacing w:after="0" w:line="480" w:lineRule="auto"/>
        <w:jc w:val="center"/>
        <w:rPr>
          <w:rFonts w:ascii="Times New Roman" w:hAnsi="Times New Roman" w:cs="Times New Roman"/>
          <w:color w:val="000000"/>
          <w:sz w:val="24"/>
          <w:szCs w:val="24"/>
          <w:lang w:val="en-US"/>
        </w:rPr>
      </w:pPr>
      <w:r>
        <w:rPr>
          <w:rFonts w:ascii="Times New Roman" w:hAnsi="Times New Roman" w:cs="Times New Roman"/>
          <w:b/>
          <w:bCs/>
          <w:color w:val="000000"/>
          <w:sz w:val="24"/>
          <w:szCs w:val="24"/>
          <w:lang w:val="en-US"/>
        </w:rPr>
        <w:t>Gambar 4.6</w:t>
      </w:r>
      <w:r>
        <w:rPr>
          <w:rFonts w:ascii="Times New Roman" w:hAnsi="Times New Roman" w:cs="Times New Roman"/>
          <w:color w:val="000000"/>
          <w:sz w:val="24"/>
          <w:szCs w:val="24"/>
          <w:lang w:val="en-US"/>
        </w:rPr>
        <w:t xml:space="preserve"> Grafik Nilai Pengukuran Viskositas Larutan </w:t>
      </w:r>
      <w:r>
        <w:rPr>
          <w:rFonts w:ascii="Times New Roman" w:hAnsi="Times New Roman" w:cs="Times New Roman"/>
          <w:i/>
          <w:iCs/>
          <w:color w:val="000000"/>
          <w:sz w:val="24"/>
          <w:szCs w:val="24"/>
          <w:lang w:val="en-US"/>
        </w:rPr>
        <w:t>Edible Coating</w:t>
      </w:r>
      <w:r>
        <w:rPr>
          <w:rFonts w:ascii="Times New Roman" w:hAnsi="Times New Roman" w:cs="Times New Roman"/>
          <w:color w:val="000000"/>
          <w:sz w:val="24"/>
          <w:szCs w:val="24"/>
          <w:lang w:val="en-US"/>
        </w:rPr>
        <w:t xml:space="preserve"> Kitosan</w:t>
      </w:r>
    </w:p>
    <w:p w14:paraId="639BB555">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gambar 4.6 Hasil viskositas pada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kitosan konsentrasi 3% sebesar 428,7 cps, konsentrasi 6% sebesar 682,9 cps dan kosentrasi 9% sebesar 993,8 cps. Viskositas menggambarkan tahanan yang dimiliki suatu cairan untuk dapat mengalir. Makin tinggi nilai viskositas maka akan makin besar tahanan yang dimiliki suatu cairan. Pada hasil uji menunjukkan bahwa semakin meningkatnya konsentrasi dari kitosan maka viskositasnya semakin meningkat. Hal tersebut disebabkan semakin meningkatnya kitosan maka semakin kompleks matriks yang terbentuk sehingga viskositasnya semakin tinggi. Peningkatan viskositas ini disebabkan oleh peningkatan ikatan intermolekuler dalam larutan, di mana konsentrasi kitosan yang lebih tinggi meningkatkan jumlah padatan terlarut, sehingga memperkuat jaringan polimer dalam larutan.</w:t>
      </w:r>
    </w:p>
    <w:p w14:paraId="4B21C625">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rPr>
        <w:t xml:space="preserve">Pengukuran viskositas penting karena viskositas larutan berpengaruh terhadap hasil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yang terlalu encer akan menghasilkan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yang kurang sempurna, sedangkan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yang terlalu kental akan menghasilkan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yang terlalu tebal. Yanti et al., (2024), menyatakan bahwa peningkatan konsentrasi kitosan dalam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menyebabkan peningkatan kekentalan larutan. Hal ini disebabkan oleh meningkatnya jumlah partikel kitosan yang tidak larut sempurna sehingga dapat mempengaruhi homogenitas dan kualitas film yang dihasilkan. Selain itu, peningkatan konsentrasi kitosan juga menyebabkan peningkatan viskositas larutan, yang dapat menyulitkan proses aplikasi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pada permukaan produk makanan.</w:t>
      </w:r>
    </w:p>
    <w:p w14:paraId="4D4A7606">
      <w:pPr>
        <w:spacing w:after="0" w:line="480" w:lineRule="auto"/>
        <w:ind w:firstLine="720"/>
        <w:jc w:val="both"/>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Sejalan dengan Penelitian oleh Sembiring et al., (2025) menunjukkan bahwa viskositas larutan meningkat seiring dengan peningkatan konsentrasi kitosan dari 0,25% hingga 0,75%, yang menunjukkan bahwa konsentrasi kitosan berpengaruh langsung terhadap kekentalan larutan </w:t>
      </w:r>
      <w:r>
        <w:rPr>
          <w:rFonts w:ascii="Times New Roman" w:hAnsi="Times New Roman" w:cs="Times New Roman"/>
          <w:i/>
          <w:iCs/>
          <w:color w:val="000000"/>
          <w:sz w:val="24"/>
          <w:szCs w:val="24"/>
        </w:rPr>
        <w:t>edible coating.</w:t>
      </w:r>
    </w:p>
    <w:p w14:paraId="7CA3E34E">
      <w:pPr>
        <w:spacing w:after="0" w:line="480" w:lineRule="auto"/>
        <w:ind w:firstLine="720"/>
        <w:jc w:val="both"/>
        <w:rPr>
          <w:rFonts w:ascii="Times New Roman" w:hAnsi="Times New Roman" w:cs="Times New Roman"/>
          <w:color w:val="000000"/>
          <w:sz w:val="24"/>
          <w:szCs w:val="24"/>
        </w:rPr>
      </w:pPr>
    </w:p>
    <w:bookmarkEnd w:id="0"/>
    <w:p w14:paraId="339D4AAA">
      <w:pPr>
        <w:spacing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 xml:space="preserve">4.8 Pelapisan Paprika Merah Dengan </w:t>
      </w:r>
      <w:r>
        <w:rPr>
          <w:rFonts w:ascii="Times New Roman" w:hAnsi="Times New Roman" w:cs="Times New Roman"/>
          <w:b/>
          <w:bCs/>
          <w:i/>
          <w:iCs/>
          <w:color w:val="000000"/>
          <w:sz w:val="24"/>
          <w:szCs w:val="24"/>
          <w:lang w:val="en-US"/>
        </w:rPr>
        <w:t xml:space="preserve">Edible Coating </w:t>
      </w:r>
      <w:r>
        <w:rPr>
          <w:rFonts w:ascii="Times New Roman" w:hAnsi="Times New Roman" w:cs="Times New Roman"/>
          <w:b/>
          <w:bCs/>
          <w:color w:val="000000"/>
          <w:sz w:val="24"/>
          <w:szCs w:val="24"/>
          <w:lang w:val="en-US"/>
        </w:rPr>
        <w:t>Kitosan</w:t>
      </w:r>
    </w:p>
    <w:p w14:paraId="20FCAA63">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Pelapisan atau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merupakan metode pemberian lapisan tipis pada permukaan buah yang bertujuan menghambat keluarnya gas, uap air, dan kontak langsung dengan oksigen. Hal ini bertujuan untuk memperlambat proses pemasakan dan reaksi pencoklatan pada buah, sehingga dapat memperpanjang umur simpan produk. Pada penelitian ini, paprika merah yang telah disortir dan dicuci bersih dari kotoran-kotoran yang melekat. Kemudian dicelupkan ke dalam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berbasis kitosan selama 5 menit untuk memastikan seluruh permukaan paprika merah terlapisi secara merata. Setelah proses pencelupan, paprika ditiriskan dan diangin-anginkan hingga lapisan mengering sempurna, kemudian disimpan pada suhu ruang selama 8 hari. </w:t>
      </w:r>
    </w:p>
    <w:p w14:paraId="744DE974">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pengamatan pada paprika merah yang telah dilapisi dengan kitosan dan penambahan gliserol memiliki lapisan tipis pada permukaan yang halus dan merata. </w:t>
      </w:r>
      <w:r>
        <w:rPr>
          <w:rFonts w:ascii="Times New Roman" w:hAnsi="Times New Roman" w:cs="Times New Roman"/>
          <w:color w:val="000000"/>
          <w:sz w:val="24"/>
          <w:szCs w:val="24"/>
          <w:lang w:val="fi-FI"/>
        </w:rPr>
        <w:t xml:space="preserve">Lapisan kitosan ini berfungsi untuk menutup pori-pori pada paprika merah, sehingga laju respirasi terhambat. Selain itu lapisan kitosan juga dapat menghambat proses transpirasi dari paprika merah selama proses penyimpanan. </w:t>
      </w:r>
      <w:r>
        <w:rPr>
          <w:rFonts w:ascii="Times New Roman" w:hAnsi="Times New Roman" w:cs="Times New Roman"/>
          <w:color w:val="000000"/>
          <w:sz w:val="24"/>
          <w:szCs w:val="24"/>
        </w:rPr>
        <w:t>Terhambatnya proses transpirasi dapat menekan kehilangan susut bobot yang tinggi, karena transpirasi terjadi melalui penguapan air yang terdapat pada paprika merah, sehingga menyebabkan kehilangan berat.</w:t>
      </w:r>
    </w:p>
    <w:p w14:paraId="7F84FF02">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rPr>
        <w:t xml:space="preserve">Setelah 8 hari penyimpanan, hasilnya menunjukkan bahwa buah yang telah diberi perlakuan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lebih baik dibandingkan dengan buah perlakuan kontrol. Penggunaan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kitosan dengan konsentrasi 9% terbukti efektif dalam memperpanjang umur simpan paprika merah hingga 8 hari pada suhu ruang (25ºC). </w:t>
      </w:r>
      <w:r>
        <w:rPr>
          <w:rFonts w:ascii="Times New Roman" w:hAnsi="Times New Roman" w:cs="Times New Roman"/>
          <w:color w:val="000000"/>
          <w:sz w:val="24"/>
          <w:szCs w:val="24"/>
          <w:lang w:val="fi-FI"/>
        </w:rPr>
        <w:t>Konsentrasi ini memberikan perlindungan optimal terhadap pertumbuhan mikroba tanpa mengurangi efektivitas pelapisan. Berbeda dengan perlakukan kontrol, paprika merah mengalami pembusukan sehingga tidak dapat digunakan lagi. Hal ini dapat terjadi karena kitosan dapat membentuk lapisan yang dapat mengubah kondisi buah sehingga tidak menyebabkan respirasi anaerobik.</w:t>
      </w:r>
    </w:p>
    <w:p w14:paraId="1F869AA4">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lang w:val="fi-FI"/>
        </w:rPr>
        <w:t xml:space="preserve">Keuntungan dari penggunaan kitosan sebagai bahan </w:t>
      </w:r>
      <w:r>
        <w:rPr>
          <w:rFonts w:ascii="Times New Roman" w:hAnsi="Times New Roman" w:cs="Times New Roman"/>
          <w:i/>
          <w:iCs/>
          <w:color w:val="000000"/>
          <w:sz w:val="24"/>
          <w:szCs w:val="24"/>
          <w:lang w:val="fi-FI"/>
        </w:rPr>
        <w:t>edible coating</w:t>
      </w:r>
      <w:r>
        <w:rPr>
          <w:rFonts w:ascii="Times New Roman" w:hAnsi="Times New Roman" w:cs="Times New Roman"/>
          <w:color w:val="000000"/>
          <w:sz w:val="24"/>
          <w:szCs w:val="24"/>
          <w:lang w:val="fi-FI"/>
        </w:rPr>
        <w:t xml:space="preserve"> adalah sifatnya yang mudah larut dalam air, sehingga lapisan coating dapat dengan mudah dihilangkan dengan pencucian sebelum konsumsi. Meskipun kitosan aman untuk dikonsumsi, pencucian tetap disarankan untuk menghilangkan residu yang mungkin tersisa. Namun, perlu diperhatikan bahwa tidak semua jenis </w:t>
      </w:r>
      <w:r>
        <w:rPr>
          <w:rFonts w:ascii="Times New Roman" w:hAnsi="Times New Roman" w:cs="Times New Roman"/>
          <w:i/>
          <w:iCs/>
          <w:color w:val="000000"/>
          <w:sz w:val="24"/>
          <w:szCs w:val="24"/>
          <w:lang w:val="fi-FI"/>
        </w:rPr>
        <w:t>edible coating</w:t>
      </w:r>
      <w:r>
        <w:rPr>
          <w:rFonts w:ascii="Times New Roman" w:hAnsi="Times New Roman" w:cs="Times New Roman"/>
          <w:color w:val="000000"/>
          <w:sz w:val="24"/>
          <w:szCs w:val="24"/>
          <w:lang w:val="fi-FI"/>
        </w:rPr>
        <w:t xml:space="preserve"> memiliki sifat ini; bahan berbasis pati seperti kentang, ubi, atau jagung cenderung lebih cocok untuk dikonsumsi langsung tanpa perlu dicuci terlebih dahulu.</w:t>
      </w:r>
    </w:p>
    <w:p w14:paraId="56DEDFAA">
      <w:pPr>
        <w:spacing w:after="0" w:line="480" w:lineRule="auto"/>
        <w:jc w:val="both"/>
        <w:rPr>
          <w:rFonts w:ascii="Times New Roman" w:hAnsi="Times New Roman" w:cs="Times New Roman"/>
          <w:b/>
          <w:bCs/>
          <w:color w:val="000000"/>
          <w:sz w:val="24"/>
          <w:szCs w:val="24"/>
          <w:lang w:val="fi-FI"/>
        </w:rPr>
      </w:pPr>
      <w:r>
        <w:rPr>
          <w:rFonts w:ascii="Times New Roman" w:hAnsi="Times New Roman" w:cs="Times New Roman"/>
          <w:b/>
          <w:bCs/>
          <w:color w:val="000000"/>
          <w:sz w:val="24"/>
          <w:szCs w:val="24"/>
          <w:lang w:val="fi-FI"/>
        </w:rPr>
        <w:t>4.9 Mutu Fisika Paprika Merah (</w:t>
      </w:r>
      <w:r>
        <w:rPr>
          <w:rFonts w:ascii="Times New Roman" w:hAnsi="Times New Roman" w:cs="Times New Roman"/>
          <w:b/>
          <w:bCs/>
          <w:i/>
          <w:iCs/>
          <w:color w:val="000000"/>
          <w:sz w:val="24"/>
          <w:szCs w:val="24"/>
          <w:lang w:val="fi-FI"/>
        </w:rPr>
        <w:t xml:space="preserve">Capsicum annum </w:t>
      </w:r>
      <w:r>
        <w:rPr>
          <w:rFonts w:ascii="Times New Roman" w:hAnsi="Times New Roman" w:cs="Times New Roman"/>
          <w:b/>
          <w:bCs/>
          <w:iCs/>
          <w:color w:val="000000"/>
          <w:sz w:val="24"/>
          <w:szCs w:val="24"/>
          <w:lang w:val="fi-FI"/>
        </w:rPr>
        <w:t>L</w:t>
      </w:r>
      <w:r>
        <w:rPr>
          <w:rFonts w:ascii="Times New Roman" w:hAnsi="Times New Roman" w:cs="Times New Roman"/>
          <w:b/>
          <w:bCs/>
          <w:i/>
          <w:iCs/>
          <w:color w:val="000000"/>
          <w:sz w:val="24"/>
          <w:szCs w:val="24"/>
          <w:lang w:val="fi-FI"/>
        </w:rPr>
        <w:t>)</w:t>
      </w:r>
    </w:p>
    <w:p w14:paraId="7D0ECE06">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fi-FI"/>
        </w:rPr>
        <w:t xml:space="preserve">Kualitas buah dan sayur sangat penting untuk memastikan kesegaran dan daya tahan tersebut. Paprika merah yang tidak dilapisi dengan kitosan atau dilapisi dengan kitosan akan diuji mutu fisikanya setelah disimpan selama 8 hari. Dengan demikian, dapat mengetahui apakah paprika merah yang dilapisi dengan kitosan dapat menjadi alternatif pengawet alami yang baik. </w:t>
      </w:r>
      <w:r>
        <w:rPr>
          <w:rFonts w:ascii="Times New Roman" w:hAnsi="Times New Roman" w:cs="Times New Roman"/>
          <w:color w:val="000000"/>
          <w:sz w:val="24"/>
          <w:szCs w:val="24"/>
          <w:lang w:val="en-US"/>
        </w:rPr>
        <w:t>Pengujian mutu fisika yang dilakukan mencakup susut bobot, kadar air, dan warna.</w:t>
      </w:r>
    </w:p>
    <w:p w14:paraId="7F17B7EB">
      <w:pPr>
        <w:spacing w:after="0" w:line="480" w:lineRule="auto"/>
        <w:jc w:val="both"/>
        <w:rPr>
          <w:rFonts w:ascii="Times New Roman" w:hAnsi="Times New Roman" w:cs="Times New Roman"/>
          <w:color w:val="000000"/>
          <w:sz w:val="24"/>
          <w:szCs w:val="24"/>
          <w:lang w:val="en-US"/>
        </w:rPr>
      </w:pPr>
      <w:r>
        <w:rPr>
          <w:rFonts w:ascii="Times New Roman" w:hAnsi="Times New Roman" w:cs="Times New Roman"/>
          <w:b/>
          <w:color w:val="000000"/>
          <w:sz w:val="24"/>
          <w:szCs w:val="24"/>
        </w:rPr>
        <w:t xml:space="preserve">4.9.1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Susut Bobot</w:t>
      </w:r>
    </w:p>
    <w:p w14:paraId="0EE2F92A">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Susut bobot merupakan penurunan berat buah sejak awal hingga akhir penyimpanan buah akibat terjadinya proses respirasi dan transpirasi. Pengukuran susut bobot dilakukan untuk mengetahui perubahan susut bobot pada paprika merah selama masa penyimpanan</w:t>
      </w:r>
      <w:r>
        <w:rPr>
          <w:rFonts w:ascii="Times New Roman" w:hAnsi="Times New Roman" w:cs="Times New Roman"/>
          <w:b/>
          <w:color w:val="000000"/>
          <w:sz w:val="24"/>
          <w:szCs w:val="24"/>
        </w:rPr>
        <w:t xml:space="preserve">. </w:t>
      </w:r>
      <w:r>
        <w:rPr>
          <w:rFonts w:ascii="Times New Roman" w:hAnsi="Times New Roman" w:cs="Times New Roman"/>
          <w:bCs/>
          <w:color w:val="000000"/>
          <w:sz w:val="24"/>
          <w:szCs w:val="24"/>
        </w:rPr>
        <w:t xml:space="preserve">Semakin tinggi nilai rata-rata susut bobot, maka semakin rendah kualitas buah tersebut. Hasil rata-rata susut bobot paprika merah dinyatakan dalam gram (g) dan hasilnya dihitung dengan menggunakan rumus yang menghasilkan hasil dalam satuan persen (%). </w:t>
      </w:r>
    </w:p>
    <w:p w14:paraId="5C11E0B0">
      <w:pPr>
        <w:spacing w:after="0" w:line="240" w:lineRule="auto"/>
        <w:jc w:val="center"/>
        <w:rPr>
          <w:rFonts w:ascii="Times New Roman" w:hAnsi="Times New Roman" w:cs="Times New Roman"/>
          <w:b/>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250690" cy="2231390"/>
            <wp:effectExtent l="0" t="0" r="16510" b="16510"/>
            <wp:docPr id="290214146"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72AB6EF">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4.7</w:t>
      </w:r>
      <w:r>
        <w:rPr>
          <w:rFonts w:ascii="Times New Roman" w:hAnsi="Times New Roman" w:cs="Times New Roman"/>
          <w:bCs/>
          <w:color w:val="000000"/>
          <w:sz w:val="24"/>
          <w:szCs w:val="24"/>
        </w:rPr>
        <w:t xml:space="preserve"> Grafik Rata-Rata Susut Bobot Paprika Merah</w:t>
      </w:r>
    </w:p>
    <w:p w14:paraId="4791227A">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gambar 4.7, terlihat bahwa perlakuan pelapisan kitosan pada paprika merah menghasilkan penyusutan bobot yang lebih rendah dibandingkan dengan perlakuan kontrol yakni paprika yang tidak diberi perlakuan </w:t>
      </w:r>
      <w:r>
        <w:rPr>
          <w:rFonts w:ascii="Times New Roman" w:hAnsi="Times New Roman" w:cs="Times New Roman"/>
          <w:bCs/>
          <w:i/>
          <w:iCs/>
          <w:color w:val="000000"/>
          <w:sz w:val="24"/>
          <w:szCs w:val="24"/>
        </w:rPr>
        <w:t>coating</w:t>
      </w:r>
      <w:r>
        <w:rPr>
          <w:rFonts w:ascii="Times New Roman" w:hAnsi="Times New Roman" w:cs="Times New Roman"/>
          <w:bCs/>
          <w:color w:val="000000"/>
          <w:sz w:val="24"/>
          <w:szCs w:val="24"/>
        </w:rPr>
        <w:t xml:space="preserve"> selama penyimpanan. Hal ini menunjukkan bahwa dengan memberikan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mampu mempertahankan bobot paprika merah lebih baik dibandingkan tanpa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Pada hari ke-8 paprika merah dengan perlakuan kontrol didapat susut bobot sebesar 19,19%, sedangkan perlakuan dengan kitosan 3% yaitu 10,01%, kitosan 6% sebesar 7,97%, dan kitosan 9% sebesar 5,58%. Penurunan nilai susut bobot yang signifikan pada perlakuan kitosan menunjukkan bahwa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berbahan dasar kitosan efektif dalam memperlambat laju kehilangan bobot pada paprika merah. Hal ini disebabkan oleh meningkatnya ketebalan dan kerapatan lapisan kitosan pada konsentrasi yang lebih tinggi, yang mengurangi permeabilitas gas dan uap air. Akibatnya, laju respirasi dan transpirasi dapat ditekan sehingga kehilangan air dari permukaan buah menjadi lebih kecil.</w:t>
      </w:r>
    </w:p>
    <w:p w14:paraId="57776622">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Penggunaan konsentrasi pada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yang digunakan juga berpengaruh terhadap susut bobot. Semakin tinggi konsentrasi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yang digunakan, maka ketebalan dan kepekatan lapisan juga semakin tinggi, sehingga pori-pori buah semakin tertutup dan proses respirasi serta transpirasi dapat ditekan. Ketebalan lapisan ini akan mempengaruhi </w:t>
      </w:r>
      <w:r>
        <w:rPr>
          <w:rFonts w:ascii="Times New Roman" w:hAnsi="Times New Roman" w:cs="Times New Roman"/>
          <w:bCs/>
          <w:i/>
          <w:iCs/>
          <w:color w:val="000000"/>
          <w:sz w:val="24"/>
          <w:szCs w:val="24"/>
        </w:rPr>
        <w:t xml:space="preserve">permeabilitas </w:t>
      </w:r>
      <w:r>
        <w:rPr>
          <w:rFonts w:ascii="Times New Roman" w:hAnsi="Times New Roman" w:cs="Times New Roman"/>
          <w:bCs/>
          <w:color w:val="000000"/>
          <w:sz w:val="24"/>
          <w:szCs w:val="24"/>
        </w:rPr>
        <w:t xml:space="preserve">gas dan uap air, sehingga semakin tebal </w:t>
      </w:r>
      <w:r>
        <w:rPr>
          <w:rFonts w:ascii="Times New Roman" w:hAnsi="Times New Roman" w:cs="Times New Roman"/>
          <w:bCs/>
          <w:i/>
          <w:iCs/>
          <w:color w:val="000000"/>
          <w:sz w:val="24"/>
          <w:szCs w:val="24"/>
        </w:rPr>
        <w:t>coating</w:t>
      </w:r>
      <w:r>
        <w:rPr>
          <w:rFonts w:ascii="Times New Roman" w:hAnsi="Times New Roman" w:cs="Times New Roman"/>
          <w:bCs/>
          <w:color w:val="000000"/>
          <w:sz w:val="24"/>
          <w:szCs w:val="24"/>
        </w:rPr>
        <w:t>, maka permeabilitas gas dan uap air semakin kecil dan akan melindungi produk yang dikemas, sehingga waktu simpan buah bisa lebih lama.  Selain itu, susut bobot yang semakin rendah menunjukkan bahwa berat yang hilang semakin kecil, sehingga kerugian juga semakin kecil (Astutiningsih et al., 2024).</w:t>
      </w:r>
    </w:p>
    <w:p w14:paraId="78A9703D">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Hasil penelitian ini menunjukkan bahwa penggunaan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dari cangkang kerang panggang pulut dapat mempertahankan susut bobot buah. Sejalan dengan penelitian oleh Hayati et al., (2021) menunjukkan bahwa cabai yang tidak dilapisi kitosan mengalami penyusutan bobot yang lebih tinggi dibandingkan dengan cabai yang diberi pelapis. Perlakuan kitosan 2% mampu mencegah terjadinya susut bobot, karena konsentrasi kitosan yang lebih tinggi menyebabkan pori-pori buah lebih tertutup dibandingkan dengan sampel dengan konsentrasi yang lebih rendah. </w:t>
      </w:r>
    </w:p>
    <w:p w14:paraId="7943FFB1">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4.9.2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Kadar Air</w:t>
      </w:r>
    </w:p>
    <w:p w14:paraId="7874AA3B">
      <w:pPr>
        <w:spacing w:after="0" w:line="480" w:lineRule="auto"/>
        <w:ind w:firstLine="720"/>
        <w:jc w:val="both"/>
        <w:rPr>
          <w:rFonts w:ascii="Times New Roman" w:hAnsi="Times New Roman" w:cs="Times New Roman"/>
          <w:b/>
          <w:color w:val="000000"/>
          <w:sz w:val="24"/>
          <w:szCs w:val="24"/>
        </w:rPr>
      </w:pPr>
      <w:r>
        <w:rPr>
          <w:rFonts w:ascii="Times New Roman" w:hAnsi="Times New Roman" w:cs="Times New Roman"/>
          <w:bCs/>
          <w:color w:val="000000"/>
          <w:sz w:val="24"/>
          <w:szCs w:val="24"/>
        </w:rPr>
        <w:t>Penguapan air pada paprika merah yang terjadi selama proses penyimpanan dapat terjadinya susut bobot serta kehilangan air, sehingga dapat menyebabkan kerusakan serta menurunkan mutu paprika merah. Pengukuran kadar air dilakukan untuk melihat kesegaran paprika merah selama penyimpanan.</w:t>
      </w:r>
      <w:r>
        <w:rPr>
          <w:rFonts w:ascii="Times New Roman" w:hAnsi="Times New Roman" w:cs="Times New Roman"/>
          <w:b/>
          <w:color w:val="000000"/>
          <w:sz w:val="24"/>
          <w:szCs w:val="24"/>
        </w:rPr>
        <w:t xml:space="preserve"> </w:t>
      </w:r>
      <w:r>
        <w:rPr>
          <w:rFonts w:ascii="Times New Roman" w:hAnsi="Times New Roman" w:cs="Times New Roman"/>
          <w:bCs/>
          <w:color w:val="000000"/>
          <w:sz w:val="24"/>
          <w:szCs w:val="24"/>
        </w:rPr>
        <w:t>Semakin kecil kadar air yang diperoleh menandakan bahwa kesegaran paprika merah sudah menurun. Hasil pengukuran kadar air selama penyimpanan terlihat pada gambar 4.7.</w:t>
      </w:r>
    </w:p>
    <w:p w14:paraId="0129F3A6">
      <w:pPr>
        <w:spacing w:after="0" w:line="360" w:lineRule="auto"/>
        <w:jc w:val="center"/>
        <w:rPr>
          <w:rFonts w:ascii="Times New Roman" w:hAnsi="Times New Roman" w:cs="Times New Roman"/>
          <w:b/>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394200" cy="2376805"/>
            <wp:effectExtent l="0" t="0" r="25400" b="23495"/>
            <wp:docPr id="1515249320"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E27C3A6">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4.8</w:t>
      </w:r>
      <w:r>
        <w:rPr>
          <w:rFonts w:ascii="Times New Roman" w:hAnsi="Times New Roman" w:cs="Times New Roman"/>
          <w:bCs/>
          <w:color w:val="000000"/>
          <w:sz w:val="24"/>
          <w:szCs w:val="24"/>
        </w:rPr>
        <w:t xml:space="preserve"> Grafik Rata-Rata Kadar Air Paprika Merah</w:t>
      </w:r>
    </w:p>
    <w:p w14:paraId="4E7873D8">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gambar 4.8, menunjukkan bahwa paprika merah tanpa perlakuan (kontrol) mengalami penurunan kadar air yang lebih cepat dibandingkan paprika merah yang diberi larutan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Kadar  air paprika merah pada perlakuan kontrol didapat sebesar 5,97% sedangkan kadar air paprika merah dengan larutan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3% sebesar 6,24%, kitosan 6% sebesar 6,45% dan kitosan 9% sebesar 6,64%. Hasil ini menunjukkan bahwa larutan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dapat mengurangi laju transpirasi paprika merah selama penyimpanan. Hal ini dikarenakan, kitosan mampu menjadi lapisan yang cukup baik untuk menekan proses respirasi dan transpirasi. Kehilangan berat buah-buahan selama penyimpanan disebabkan oleh kehilangan air, disamping itu kehilangan air ini juga dapat menurunkan mutu dan menimbulkan kerusakan. Kehilangan air ini disebabkan sebagian air dalam jaringan bahan menguap atau terjadinya transpirasi.</w:t>
      </w:r>
    </w:p>
    <w:p w14:paraId="6899E9EC">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Sejalan dengan penelitian Sidik et al, (2022) penambahan kitosan pada jeruk RGL mampu menghambat penurunan kadar air dibanding jeruk RGL dengan perlakuan control, didapat kadar airnya sebesar 51,33%, lebih rendah dibanding dengan perlakuan edible coating kitosan dengan konsentrasi 1% yaitu 58,66%, konsentrasi 2% sebesar 60,66%, dan konsentrasi 3% sebesar 61,00%.</w:t>
      </w:r>
    </w:p>
    <w:p w14:paraId="0EEFAE84">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4.9.3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Warna</w:t>
      </w:r>
    </w:p>
    <w:p w14:paraId="74FAA9DE">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Warna merupakan salah satu parameter mutu suatu produk pangan. Warna digunakan untuk mengetahui perubahan yang terjadi baik fisik maupun kimia. Pengukuran warna menggunakan chromameter L*, a*, dan b*. Sistem ini memiliki pertunjukan warna hunter yang dicirikan oleh ketiga nilai yaitu L (Lightness), a (redness) dan b (yellowness). Nilai L* menyatakan nilai kecerahan [L=0 (gelap) dan L=100 (cerah)], a* menyatakan gradasi warna merah-hijau dengan rentang nilai dari (+100) (-80) dan b* menyatakan gradasi warna kuning-biru dengan rentang nilai (+70) (-70). Pengukuran nilai L* menunjukkan tingkat kecerahan yang merupakan kisaran warna hitam sampai putih. Nilai a* menunjukkan tingkat kemerahan hingga kehijauan, sedangkan nilai b* menunjukkan tingkat kekuningan hingga kebiruan (Yasmin et al., 2023). Pengaruh jenis serta konsentrasi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terhadap nilai L*, a*, dan b* paprika merah pada 8 hari setelah perlakuan terdapat pada tabel 4.8.</w:t>
      </w:r>
    </w:p>
    <w:p w14:paraId="09810FC6">
      <w:pPr>
        <w:spacing w:after="0" w:line="480" w:lineRule="auto"/>
        <w:jc w:val="both"/>
        <w:rPr>
          <w:rFonts w:ascii="Times New Roman" w:hAnsi="Times New Roman" w:cs="Times New Roman"/>
          <w:bCs/>
          <w:color w:val="000000"/>
          <w:sz w:val="24"/>
          <w:szCs w:val="24"/>
        </w:rPr>
      </w:pPr>
      <w:r>
        <w:rPr>
          <w:rFonts w:ascii="Times New Roman" w:hAnsi="Times New Roman" w:cs="Times New Roman"/>
          <w:b/>
          <w:color w:val="000000"/>
          <w:sz w:val="24"/>
          <w:szCs w:val="24"/>
        </w:rPr>
        <w:t>Tabel 4.8</w:t>
      </w:r>
      <w:r>
        <w:rPr>
          <w:rFonts w:ascii="Times New Roman" w:hAnsi="Times New Roman" w:cs="Times New Roman"/>
          <w:bCs/>
          <w:color w:val="000000"/>
          <w:sz w:val="24"/>
          <w:szCs w:val="24"/>
        </w:rPr>
        <w:t xml:space="preserve"> Hasil Pengujian Warna Pada Paprika Merah</w:t>
      </w:r>
    </w:p>
    <w:tbl>
      <w:tblPr>
        <w:tblStyle w:val="22"/>
        <w:tblW w:w="8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1263"/>
        <w:gridCol w:w="883"/>
        <w:gridCol w:w="996"/>
        <w:gridCol w:w="876"/>
        <w:gridCol w:w="1255"/>
        <w:gridCol w:w="779"/>
        <w:gridCol w:w="664"/>
        <w:gridCol w:w="748"/>
      </w:tblGrid>
      <w:tr w14:paraId="142A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Align w:val="center"/>
          </w:tcPr>
          <w:p w14:paraId="3B42171D">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Sampel</w:t>
            </w:r>
          </w:p>
        </w:tc>
        <w:tc>
          <w:tcPr>
            <w:tcW w:w="1263" w:type="dxa"/>
            <w:vAlign w:val="center"/>
          </w:tcPr>
          <w:p w14:paraId="13880BD2">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Konsentrasi</w:t>
            </w:r>
          </w:p>
        </w:tc>
        <w:tc>
          <w:tcPr>
            <w:tcW w:w="883" w:type="dxa"/>
            <w:vAlign w:val="center"/>
          </w:tcPr>
          <w:p w14:paraId="1F2DA3B9">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Ulangan</w:t>
            </w:r>
          </w:p>
        </w:tc>
        <w:tc>
          <w:tcPr>
            <w:tcW w:w="996" w:type="dxa"/>
            <w:vAlign w:val="center"/>
          </w:tcPr>
          <w:p w14:paraId="674BCA03">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L (lightness)</w:t>
            </w:r>
          </w:p>
        </w:tc>
        <w:tc>
          <w:tcPr>
            <w:tcW w:w="876" w:type="dxa"/>
            <w:vAlign w:val="center"/>
          </w:tcPr>
          <w:p w14:paraId="4914601E">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A (redness)</w:t>
            </w:r>
          </w:p>
        </w:tc>
        <w:tc>
          <w:tcPr>
            <w:tcW w:w="1255" w:type="dxa"/>
            <w:vAlign w:val="center"/>
          </w:tcPr>
          <w:p w14:paraId="07F7225B">
            <w:pPr>
              <w:spacing w:line="240" w:lineRule="auto"/>
              <w:ind w:left="-142" w:right="-132"/>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rPr>
              <w:t xml:space="preserve">B </w:t>
            </w:r>
          </w:p>
          <w:p w14:paraId="4C7BBD29">
            <w:pPr>
              <w:spacing w:line="240" w:lineRule="auto"/>
              <w:ind w:left="-142" w:right="-132"/>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rPr>
              <w:t>(Yellowness</w:t>
            </w:r>
            <w:r>
              <w:rPr>
                <w:rFonts w:ascii="Times New Roman" w:hAnsi="Times New Roman" w:cs="Times New Roman"/>
                <w:b/>
                <w:bCs/>
                <w:color w:val="000000"/>
                <w:sz w:val="24"/>
                <w:szCs w:val="24"/>
                <w:lang w:val="en-US"/>
              </w:rPr>
              <w:t>)</w:t>
            </w:r>
          </w:p>
        </w:tc>
        <w:tc>
          <w:tcPr>
            <w:tcW w:w="779" w:type="dxa"/>
            <w:vAlign w:val="center"/>
          </w:tcPr>
          <w:p w14:paraId="147F2107">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Hue</w:t>
            </w:r>
          </w:p>
        </w:tc>
        <w:tc>
          <w:tcPr>
            <w:tcW w:w="664" w:type="dxa"/>
            <w:vAlign w:val="center"/>
          </w:tcPr>
          <w:p w14:paraId="19F681D5">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Rata-rata</w:t>
            </w:r>
          </w:p>
        </w:tc>
        <w:tc>
          <w:tcPr>
            <w:tcW w:w="748" w:type="dxa"/>
            <w:vAlign w:val="center"/>
          </w:tcPr>
          <w:p w14:paraId="2064A0C3">
            <w:pPr>
              <w:spacing w:line="240" w:lineRule="auto"/>
              <w:ind w:left="-142" w:right="-132"/>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Warna</w:t>
            </w:r>
          </w:p>
        </w:tc>
      </w:tr>
      <w:tr w14:paraId="137A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restart"/>
          </w:tcPr>
          <w:p w14:paraId="0A87191B">
            <w:pPr>
              <w:spacing w:line="240" w:lineRule="auto"/>
              <w:ind w:left="-142" w:right="-132"/>
              <w:jc w:val="center"/>
              <w:rPr>
                <w:rFonts w:ascii="Times New Roman" w:hAnsi="Times New Roman" w:cs="Times New Roman"/>
                <w:bCs/>
                <w:color w:val="000000"/>
                <w:sz w:val="24"/>
                <w:szCs w:val="24"/>
              </w:rPr>
            </w:pPr>
          </w:p>
          <w:p w14:paraId="0E2BBE46">
            <w:pPr>
              <w:spacing w:line="240" w:lineRule="auto"/>
              <w:ind w:left="-142" w:right="-132"/>
              <w:jc w:val="center"/>
              <w:rPr>
                <w:rFonts w:ascii="Times New Roman" w:hAnsi="Times New Roman" w:cs="Times New Roman"/>
                <w:bCs/>
                <w:color w:val="000000"/>
                <w:sz w:val="24"/>
                <w:szCs w:val="24"/>
              </w:rPr>
            </w:pPr>
          </w:p>
          <w:p w14:paraId="5BD76E90">
            <w:pPr>
              <w:spacing w:line="240" w:lineRule="auto"/>
              <w:ind w:left="-142" w:right="-132"/>
              <w:jc w:val="center"/>
              <w:rPr>
                <w:rFonts w:ascii="Times New Roman" w:hAnsi="Times New Roman" w:cs="Times New Roman"/>
                <w:bCs/>
                <w:color w:val="000000"/>
                <w:sz w:val="24"/>
                <w:szCs w:val="24"/>
              </w:rPr>
            </w:pPr>
          </w:p>
          <w:p w14:paraId="7B5F6488">
            <w:pPr>
              <w:spacing w:line="240" w:lineRule="auto"/>
              <w:ind w:left="-142" w:right="-132"/>
              <w:jc w:val="center"/>
              <w:rPr>
                <w:rFonts w:ascii="Times New Roman" w:hAnsi="Times New Roman" w:cs="Times New Roman"/>
                <w:bCs/>
                <w:color w:val="000000"/>
                <w:sz w:val="24"/>
                <w:szCs w:val="24"/>
              </w:rPr>
            </w:pPr>
          </w:p>
          <w:p w14:paraId="35D071F2">
            <w:pPr>
              <w:spacing w:line="240" w:lineRule="auto"/>
              <w:ind w:left="-142" w:right="-132"/>
              <w:jc w:val="center"/>
              <w:rPr>
                <w:rFonts w:ascii="Times New Roman" w:hAnsi="Times New Roman" w:cs="Times New Roman"/>
                <w:bCs/>
                <w:color w:val="000000"/>
                <w:sz w:val="24"/>
                <w:szCs w:val="24"/>
              </w:rPr>
            </w:pPr>
          </w:p>
          <w:p w14:paraId="4B95B0CE">
            <w:pPr>
              <w:spacing w:line="240" w:lineRule="auto"/>
              <w:ind w:left="-142" w:right="-132"/>
              <w:jc w:val="center"/>
              <w:rPr>
                <w:rFonts w:ascii="Times New Roman" w:hAnsi="Times New Roman" w:cs="Times New Roman"/>
                <w:bCs/>
                <w:color w:val="000000"/>
                <w:sz w:val="24"/>
                <w:szCs w:val="24"/>
              </w:rPr>
            </w:pPr>
          </w:p>
          <w:p w14:paraId="71E00FB1">
            <w:pPr>
              <w:spacing w:line="240" w:lineRule="auto"/>
              <w:ind w:left="-142" w:right="-132"/>
              <w:jc w:val="center"/>
              <w:rPr>
                <w:rFonts w:ascii="Times New Roman" w:hAnsi="Times New Roman" w:cs="Times New Roman"/>
                <w:bCs/>
                <w:color w:val="000000"/>
                <w:sz w:val="24"/>
                <w:szCs w:val="24"/>
              </w:rPr>
            </w:pPr>
          </w:p>
          <w:p w14:paraId="56C72925">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Paprika merah</w:t>
            </w:r>
          </w:p>
        </w:tc>
        <w:tc>
          <w:tcPr>
            <w:tcW w:w="1263" w:type="dxa"/>
            <w:vMerge w:val="restart"/>
          </w:tcPr>
          <w:p w14:paraId="20B5D7B0">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Tanpa kitosan</w:t>
            </w:r>
          </w:p>
        </w:tc>
        <w:tc>
          <w:tcPr>
            <w:tcW w:w="883" w:type="dxa"/>
          </w:tcPr>
          <w:p w14:paraId="68CA48F2">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996" w:type="dxa"/>
          </w:tcPr>
          <w:p w14:paraId="47813684">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30,15</w:t>
            </w:r>
          </w:p>
        </w:tc>
        <w:tc>
          <w:tcPr>
            <w:tcW w:w="876" w:type="dxa"/>
          </w:tcPr>
          <w:p w14:paraId="30653FD3">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24,37</w:t>
            </w:r>
          </w:p>
        </w:tc>
        <w:tc>
          <w:tcPr>
            <w:tcW w:w="1255" w:type="dxa"/>
          </w:tcPr>
          <w:p w14:paraId="1FDB22BA">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11,33</w:t>
            </w:r>
          </w:p>
        </w:tc>
        <w:tc>
          <w:tcPr>
            <w:tcW w:w="779" w:type="dxa"/>
          </w:tcPr>
          <w:p w14:paraId="67C4EB90">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24,93</w:t>
            </w:r>
          </w:p>
        </w:tc>
        <w:tc>
          <w:tcPr>
            <w:tcW w:w="664" w:type="dxa"/>
            <w:vMerge w:val="restart"/>
          </w:tcPr>
          <w:p w14:paraId="03D0B604">
            <w:pPr>
              <w:spacing w:line="240" w:lineRule="auto"/>
              <w:ind w:left="-142" w:right="-132"/>
              <w:jc w:val="center"/>
              <w:rPr>
                <w:rFonts w:ascii="Times New Roman" w:hAnsi="Times New Roman" w:cs="Times New Roman"/>
                <w:bCs/>
                <w:color w:val="000000"/>
                <w:sz w:val="24"/>
                <w:szCs w:val="24"/>
              </w:rPr>
            </w:pPr>
          </w:p>
          <w:p w14:paraId="224F6B11">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25,89</w:t>
            </w:r>
          </w:p>
        </w:tc>
        <w:tc>
          <w:tcPr>
            <w:tcW w:w="748" w:type="dxa"/>
            <w:vMerge w:val="restart"/>
          </w:tcPr>
          <w:p w14:paraId="2081FC47">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Red</w:t>
            </w:r>
          </w:p>
        </w:tc>
      </w:tr>
      <w:tr w14:paraId="0E14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780338AD">
            <w:pPr>
              <w:spacing w:line="240" w:lineRule="auto"/>
              <w:ind w:left="-142" w:right="-132"/>
              <w:jc w:val="center"/>
              <w:rPr>
                <w:rFonts w:ascii="Times New Roman" w:hAnsi="Times New Roman" w:cs="Times New Roman"/>
                <w:bCs/>
                <w:color w:val="000000"/>
                <w:sz w:val="24"/>
                <w:szCs w:val="24"/>
              </w:rPr>
            </w:pPr>
          </w:p>
        </w:tc>
        <w:tc>
          <w:tcPr>
            <w:tcW w:w="1263" w:type="dxa"/>
            <w:vMerge w:val="continue"/>
          </w:tcPr>
          <w:p w14:paraId="664240A0">
            <w:pPr>
              <w:spacing w:line="240" w:lineRule="auto"/>
              <w:ind w:left="-142" w:right="-132"/>
              <w:jc w:val="center"/>
              <w:rPr>
                <w:rFonts w:ascii="Times New Roman" w:hAnsi="Times New Roman" w:cs="Times New Roman"/>
                <w:bCs/>
                <w:color w:val="000000"/>
                <w:sz w:val="24"/>
                <w:szCs w:val="24"/>
              </w:rPr>
            </w:pPr>
          </w:p>
        </w:tc>
        <w:tc>
          <w:tcPr>
            <w:tcW w:w="883" w:type="dxa"/>
          </w:tcPr>
          <w:p w14:paraId="28C8871D">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996" w:type="dxa"/>
          </w:tcPr>
          <w:p w14:paraId="4E112B63">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30,06</w:t>
            </w:r>
          </w:p>
        </w:tc>
        <w:tc>
          <w:tcPr>
            <w:tcW w:w="876" w:type="dxa"/>
          </w:tcPr>
          <w:p w14:paraId="44A4B49F">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25,13</w:t>
            </w:r>
          </w:p>
        </w:tc>
        <w:tc>
          <w:tcPr>
            <w:tcW w:w="1255" w:type="dxa"/>
          </w:tcPr>
          <w:p w14:paraId="5E12D3E4">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12,39</w:t>
            </w:r>
          </w:p>
        </w:tc>
        <w:tc>
          <w:tcPr>
            <w:tcW w:w="779" w:type="dxa"/>
          </w:tcPr>
          <w:p w14:paraId="46D9D669">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26,24</w:t>
            </w:r>
          </w:p>
        </w:tc>
        <w:tc>
          <w:tcPr>
            <w:tcW w:w="664" w:type="dxa"/>
            <w:vMerge w:val="continue"/>
          </w:tcPr>
          <w:p w14:paraId="4D1ABE77">
            <w:pPr>
              <w:spacing w:line="240" w:lineRule="auto"/>
              <w:ind w:left="-142" w:right="-132"/>
              <w:jc w:val="center"/>
              <w:rPr>
                <w:rFonts w:ascii="Times New Roman" w:hAnsi="Times New Roman" w:cs="Times New Roman"/>
                <w:bCs/>
                <w:color w:val="000000"/>
                <w:sz w:val="24"/>
                <w:szCs w:val="24"/>
              </w:rPr>
            </w:pPr>
          </w:p>
        </w:tc>
        <w:tc>
          <w:tcPr>
            <w:tcW w:w="748" w:type="dxa"/>
            <w:vMerge w:val="continue"/>
          </w:tcPr>
          <w:p w14:paraId="3EF83E31">
            <w:pPr>
              <w:spacing w:line="240" w:lineRule="auto"/>
              <w:ind w:left="-142" w:right="-132"/>
              <w:jc w:val="center"/>
              <w:rPr>
                <w:rFonts w:ascii="Times New Roman" w:hAnsi="Times New Roman" w:cs="Times New Roman"/>
                <w:bCs/>
                <w:color w:val="000000"/>
                <w:sz w:val="24"/>
                <w:szCs w:val="24"/>
              </w:rPr>
            </w:pPr>
          </w:p>
        </w:tc>
      </w:tr>
      <w:tr w14:paraId="2716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787FE8D0">
            <w:pPr>
              <w:spacing w:line="240" w:lineRule="auto"/>
              <w:ind w:left="-142" w:right="-132"/>
              <w:jc w:val="center"/>
              <w:rPr>
                <w:rFonts w:ascii="Times New Roman" w:hAnsi="Times New Roman" w:cs="Times New Roman"/>
                <w:bCs/>
                <w:color w:val="000000"/>
                <w:sz w:val="24"/>
                <w:szCs w:val="24"/>
              </w:rPr>
            </w:pPr>
          </w:p>
        </w:tc>
        <w:tc>
          <w:tcPr>
            <w:tcW w:w="1263" w:type="dxa"/>
            <w:vMerge w:val="continue"/>
          </w:tcPr>
          <w:p w14:paraId="3E15C1D4">
            <w:pPr>
              <w:spacing w:line="240" w:lineRule="auto"/>
              <w:ind w:left="-142" w:right="-132"/>
              <w:jc w:val="center"/>
              <w:rPr>
                <w:rFonts w:ascii="Times New Roman" w:hAnsi="Times New Roman" w:cs="Times New Roman"/>
                <w:bCs/>
                <w:color w:val="000000"/>
                <w:sz w:val="24"/>
                <w:szCs w:val="24"/>
              </w:rPr>
            </w:pPr>
          </w:p>
        </w:tc>
        <w:tc>
          <w:tcPr>
            <w:tcW w:w="883" w:type="dxa"/>
          </w:tcPr>
          <w:p w14:paraId="45175390">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996" w:type="dxa"/>
          </w:tcPr>
          <w:p w14:paraId="350E8C55">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30,33</w:t>
            </w:r>
          </w:p>
        </w:tc>
        <w:tc>
          <w:tcPr>
            <w:tcW w:w="876" w:type="dxa"/>
          </w:tcPr>
          <w:p w14:paraId="1D08C217">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22,63</w:t>
            </w:r>
          </w:p>
        </w:tc>
        <w:tc>
          <w:tcPr>
            <w:tcW w:w="1255" w:type="dxa"/>
          </w:tcPr>
          <w:p w14:paraId="59D915CB">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11,39</w:t>
            </w:r>
          </w:p>
        </w:tc>
        <w:tc>
          <w:tcPr>
            <w:tcW w:w="779" w:type="dxa"/>
          </w:tcPr>
          <w:p w14:paraId="5B1E9555">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26,51</w:t>
            </w:r>
          </w:p>
        </w:tc>
        <w:tc>
          <w:tcPr>
            <w:tcW w:w="664" w:type="dxa"/>
            <w:vMerge w:val="continue"/>
          </w:tcPr>
          <w:p w14:paraId="5333AE5F">
            <w:pPr>
              <w:spacing w:line="240" w:lineRule="auto"/>
              <w:ind w:left="-142" w:right="-132"/>
              <w:jc w:val="center"/>
              <w:rPr>
                <w:rFonts w:ascii="Times New Roman" w:hAnsi="Times New Roman" w:cs="Times New Roman"/>
                <w:bCs/>
                <w:color w:val="000000"/>
                <w:sz w:val="24"/>
                <w:szCs w:val="24"/>
              </w:rPr>
            </w:pPr>
          </w:p>
        </w:tc>
        <w:tc>
          <w:tcPr>
            <w:tcW w:w="748" w:type="dxa"/>
            <w:vMerge w:val="continue"/>
          </w:tcPr>
          <w:p w14:paraId="6A923A27">
            <w:pPr>
              <w:spacing w:line="240" w:lineRule="auto"/>
              <w:ind w:left="-142" w:right="-132"/>
              <w:jc w:val="center"/>
              <w:rPr>
                <w:rFonts w:ascii="Times New Roman" w:hAnsi="Times New Roman" w:cs="Times New Roman"/>
                <w:bCs/>
                <w:color w:val="000000"/>
                <w:sz w:val="24"/>
                <w:szCs w:val="24"/>
              </w:rPr>
            </w:pPr>
          </w:p>
        </w:tc>
      </w:tr>
      <w:tr w14:paraId="2E18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4222F349">
            <w:pPr>
              <w:spacing w:line="240" w:lineRule="auto"/>
              <w:ind w:left="-142" w:right="-132"/>
              <w:jc w:val="center"/>
              <w:rPr>
                <w:rFonts w:ascii="Times New Roman" w:hAnsi="Times New Roman" w:cs="Times New Roman"/>
                <w:bCs/>
                <w:color w:val="000000"/>
                <w:sz w:val="24"/>
                <w:szCs w:val="24"/>
              </w:rPr>
            </w:pPr>
          </w:p>
        </w:tc>
        <w:tc>
          <w:tcPr>
            <w:tcW w:w="1263" w:type="dxa"/>
            <w:vMerge w:val="restart"/>
          </w:tcPr>
          <w:p w14:paraId="54CB3266">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Kitosan 3%</w:t>
            </w:r>
          </w:p>
        </w:tc>
        <w:tc>
          <w:tcPr>
            <w:tcW w:w="883" w:type="dxa"/>
          </w:tcPr>
          <w:p w14:paraId="444051AA">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996" w:type="dxa"/>
          </w:tcPr>
          <w:p w14:paraId="0E701517">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31,46</w:t>
            </w:r>
          </w:p>
        </w:tc>
        <w:tc>
          <w:tcPr>
            <w:tcW w:w="876" w:type="dxa"/>
          </w:tcPr>
          <w:p w14:paraId="30EF11BA">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13,79</w:t>
            </w:r>
          </w:p>
        </w:tc>
        <w:tc>
          <w:tcPr>
            <w:tcW w:w="1255" w:type="dxa"/>
          </w:tcPr>
          <w:p w14:paraId="5D0E41BE">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5,1</w:t>
            </w:r>
          </w:p>
        </w:tc>
        <w:tc>
          <w:tcPr>
            <w:tcW w:w="779" w:type="dxa"/>
          </w:tcPr>
          <w:p w14:paraId="6FFEA48A">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20,29</w:t>
            </w:r>
          </w:p>
        </w:tc>
        <w:tc>
          <w:tcPr>
            <w:tcW w:w="664" w:type="dxa"/>
            <w:vMerge w:val="restart"/>
          </w:tcPr>
          <w:p w14:paraId="4A0582F2">
            <w:pPr>
              <w:spacing w:line="240" w:lineRule="auto"/>
              <w:ind w:left="-142" w:right="-132"/>
              <w:jc w:val="center"/>
              <w:rPr>
                <w:rFonts w:ascii="Times New Roman" w:hAnsi="Times New Roman" w:cs="Times New Roman"/>
                <w:bCs/>
                <w:color w:val="000000"/>
                <w:sz w:val="24"/>
                <w:szCs w:val="24"/>
              </w:rPr>
            </w:pPr>
          </w:p>
          <w:p w14:paraId="5354B569">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21,40</w:t>
            </w:r>
          </w:p>
        </w:tc>
        <w:tc>
          <w:tcPr>
            <w:tcW w:w="748" w:type="dxa"/>
            <w:vMerge w:val="restart"/>
          </w:tcPr>
          <w:p w14:paraId="7E1F2052">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Red</w:t>
            </w:r>
          </w:p>
        </w:tc>
      </w:tr>
      <w:tr w14:paraId="1D0A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2DD90E16">
            <w:pPr>
              <w:spacing w:line="240" w:lineRule="auto"/>
              <w:ind w:left="-142" w:right="-132"/>
              <w:jc w:val="center"/>
              <w:rPr>
                <w:rFonts w:ascii="Times New Roman" w:hAnsi="Times New Roman" w:cs="Times New Roman"/>
                <w:bCs/>
                <w:color w:val="000000"/>
                <w:sz w:val="24"/>
                <w:szCs w:val="24"/>
              </w:rPr>
            </w:pPr>
          </w:p>
        </w:tc>
        <w:tc>
          <w:tcPr>
            <w:tcW w:w="1263" w:type="dxa"/>
            <w:vMerge w:val="continue"/>
          </w:tcPr>
          <w:p w14:paraId="43C4807E">
            <w:pPr>
              <w:spacing w:line="240" w:lineRule="auto"/>
              <w:ind w:left="-142" w:right="-132"/>
              <w:jc w:val="center"/>
              <w:rPr>
                <w:rFonts w:ascii="Times New Roman" w:hAnsi="Times New Roman" w:cs="Times New Roman"/>
                <w:bCs/>
                <w:color w:val="000000"/>
                <w:sz w:val="24"/>
                <w:szCs w:val="24"/>
              </w:rPr>
            </w:pPr>
          </w:p>
        </w:tc>
        <w:tc>
          <w:tcPr>
            <w:tcW w:w="883" w:type="dxa"/>
          </w:tcPr>
          <w:p w14:paraId="5BE4AD0D">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996" w:type="dxa"/>
          </w:tcPr>
          <w:p w14:paraId="5FD9FF6B">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35,81</w:t>
            </w:r>
          </w:p>
        </w:tc>
        <w:tc>
          <w:tcPr>
            <w:tcW w:w="876" w:type="dxa"/>
          </w:tcPr>
          <w:p w14:paraId="25B487E1">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17</w:t>
            </w:r>
          </w:p>
        </w:tc>
        <w:tc>
          <w:tcPr>
            <w:tcW w:w="1255" w:type="dxa"/>
          </w:tcPr>
          <w:p w14:paraId="10AD3146">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6,48</w:t>
            </w:r>
          </w:p>
        </w:tc>
        <w:tc>
          <w:tcPr>
            <w:tcW w:w="779" w:type="dxa"/>
          </w:tcPr>
          <w:p w14:paraId="04B37533">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21,91</w:t>
            </w:r>
          </w:p>
        </w:tc>
        <w:tc>
          <w:tcPr>
            <w:tcW w:w="664" w:type="dxa"/>
            <w:vMerge w:val="continue"/>
          </w:tcPr>
          <w:p w14:paraId="61A60073">
            <w:pPr>
              <w:spacing w:line="240" w:lineRule="auto"/>
              <w:ind w:left="-142" w:right="-132"/>
              <w:jc w:val="center"/>
              <w:rPr>
                <w:rFonts w:ascii="Times New Roman" w:hAnsi="Times New Roman" w:cs="Times New Roman"/>
                <w:bCs/>
                <w:color w:val="000000"/>
                <w:sz w:val="24"/>
                <w:szCs w:val="24"/>
              </w:rPr>
            </w:pPr>
          </w:p>
        </w:tc>
        <w:tc>
          <w:tcPr>
            <w:tcW w:w="748" w:type="dxa"/>
            <w:vMerge w:val="continue"/>
          </w:tcPr>
          <w:p w14:paraId="2D60F8BF">
            <w:pPr>
              <w:spacing w:line="240" w:lineRule="auto"/>
              <w:ind w:left="-142" w:right="-132"/>
              <w:jc w:val="center"/>
              <w:rPr>
                <w:rFonts w:ascii="Times New Roman" w:hAnsi="Times New Roman" w:cs="Times New Roman"/>
                <w:bCs/>
                <w:color w:val="000000"/>
                <w:sz w:val="24"/>
                <w:szCs w:val="24"/>
              </w:rPr>
            </w:pPr>
          </w:p>
        </w:tc>
      </w:tr>
      <w:tr w14:paraId="35FB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51839343">
            <w:pPr>
              <w:spacing w:line="240" w:lineRule="auto"/>
              <w:ind w:left="-142" w:right="-132"/>
              <w:jc w:val="center"/>
              <w:rPr>
                <w:rFonts w:ascii="Times New Roman" w:hAnsi="Times New Roman" w:cs="Times New Roman"/>
                <w:bCs/>
                <w:color w:val="000000"/>
                <w:sz w:val="24"/>
                <w:szCs w:val="24"/>
              </w:rPr>
            </w:pPr>
          </w:p>
        </w:tc>
        <w:tc>
          <w:tcPr>
            <w:tcW w:w="1263" w:type="dxa"/>
            <w:vMerge w:val="continue"/>
          </w:tcPr>
          <w:p w14:paraId="7BBBC7AB">
            <w:pPr>
              <w:spacing w:line="240" w:lineRule="auto"/>
              <w:ind w:left="-142" w:right="-132"/>
              <w:jc w:val="center"/>
              <w:rPr>
                <w:rFonts w:ascii="Times New Roman" w:hAnsi="Times New Roman" w:cs="Times New Roman"/>
                <w:bCs/>
                <w:color w:val="000000"/>
                <w:sz w:val="24"/>
                <w:szCs w:val="24"/>
              </w:rPr>
            </w:pPr>
          </w:p>
        </w:tc>
        <w:tc>
          <w:tcPr>
            <w:tcW w:w="883" w:type="dxa"/>
          </w:tcPr>
          <w:p w14:paraId="52480BD0">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996" w:type="dxa"/>
          </w:tcPr>
          <w:p w14:paraId="5406B29D">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33,86</w:t>
            </w:r>
          </w:p>
        </w:tc>
        <w:tc>
          <w:tcPr>
            <w:tcW w:w="876" w:type="dxa"/>
          </w:tcPr>
          <w:p w14:paraId="2029A85E">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17,61</w:t>
            </w:r>
          </w:p>
        </w:tc>
        <w:tc>
          <w:tcPr>
            <w:tcW w:w="1255" w:type="dxa"/>
          </w:tcPr>
          <w:p w14:paraId="259EB946">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7,12</w:t>
            </w:r>
          </w:p>
        </w:tc>
        <w:tc>
          <w:tcPr>
            <w:tcW w:w="779" w:type="dxa"/>
          </w:tcPr>
          <w:p w14:paraId="6FF05811">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22,01</w:t>
            </w:r>
          </w:p>
        </w:tc>
        <w:tc>
          <w:tcPr>
            <w:tcW w:w="664" w:type="dxa"/>
            <w:vMerge w:val="continue"/>
          </w:tcPr>
          <w:p w14:paraId="34422D43">
            <w:pPr>
              <w:spacing w:line="240" w:lineRule="auto"/>
              <w:ind w:left="-142" w:right="-132"/>
              <w:jc w:val="center"/>
              <w:rPr>
                <w:rFonts w:ascii="Times New Roman" w:hAnsi="Times New Roman" w:cs="Times New Roman"/>
                <w:bCs/>
                <w:color w:val="000000"/>
                <w:sz w:val="24"/>
                <w:szCs w:val="24"/>
              </w:rPr>
            </w:pPr>
          </w:p>
        </w:tc>
        <w:tc>
          <w:tcPr>
            <w:tcW w:w="748" w:type="dxa"/>
            <w:vMerge w:val="continue"/>
          </w:tcPr>
          <w:p w14:paraId="32C406A7">
            <w:pPr>
              <w:spacing w:line="240" w:lineRule="auto"/>
              <w:ind w:left="-142" w:right="-132"/>
              <w:jc w:val="center"/>
              <w:rPr>
                <w:rFonts w:ascii="Times New Roman" w:hAnsi="Times New Roman" w:cs="Times New Roman"/>
                <w:bCs/>
                <w:color w:val="000000"/>
                <w:sz w:val="24"/>
                <w:szCs w:val="24"/>
              </w:rPr>
            </w:pPr>
          </w:p>
        </w:tc>
      </w:tr>
      <w:tr w14:paraId="7374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1E43ADC7">
            <w:pPr>
              <w:spacing w:line="240" w:lineRule="auto"/>
              <w:ind w:left="-142" w:right="-132"/>
              <w:jc w:val="center"/>
              <w:rPr>
                <w:rFonts w:ascii="Times New Roman" w:hAnsi="Times New Roman" w:cs="Times New Roman"/>
                <w:bCs/>
                <w:color w:val="000000"/>
                <w:sz w:val="24"/>
                <w:szCs w:val="24"/>
              </w:rPr>
            </w:pPr>
          </w:p>
        </w:tc>
        <w:tc>
          <w:tcPr>
            <w:tcW w:w="1263" w:type="dxa"/>
            <w:vMerge w:val="restart"/>
          </w:tcPr>
          <w:p w14:paraId="7B5DC946">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Kitosan 6%</w:t>
            </w:r>
          </w:p>
        </w:tc>
        <w:tc>
          <w:tcPr>
            <w:tcW w:w="883" w:type="dxa"/>
          </w:tcPr>
          <w:p w14:paraId="27F566C5">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996" w:type="dxa"/>
          </w:tcPr>
          <w:p w14:paraId="557B32F8">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32,41</w:t>
            </w:r>
          </w:p>
        </w:tc>
        <w:tc>
          <w:tcPr>
            <w:tcW w:w="876" w:type="dxa"/>
          </w:tcPr>
          <w:p w14:paraId="78B00213">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17,82</w:t>
            </w:r>
          </w:p>
        </w:tc>
        <w:tc>
          <w:tcPr>
            <w:tcW w:w="1255" w:type="dxa"/>
          </w:tcPr>
          <w:p w14:paraId="4A2C185B">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6,95</w:t>
            </w:r>
          </w:p>
        </w:tc>
        <w:tc>
          <w:tcPr>
            <w:tcW w:w="779" w:type="dxa"/>
          </w:tcPr>
          <w:p w14:paraId="5CB0BE84">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21,30</w:t>
            </w:r>
          </w:p>
        </w:tc>
        <w:tc>
          <w:tcPr>
            <w:tcW w:w="664" w:type="dxa"/>
            <w:vMerge w:val="restart"/>
          </w:tcPr>
          <w:p w14:paraId="75C68D63">
            <w:pPr>
              <w:spacing w:line="240" w:lineRule="auto"/>
              <w:ind w:left="-142" w:right="-132"/>
              <w:jc w:val="center"/>
              <w:rPr>
                <w:rFonts w:ascii="Times New Roman" w:hAnsi="Times New Roman" w:cs="Times New Roman"/>
                <w:bCs/>
                <w:color w:val="000000"/>
                <w:sz w:val="24"/>
                <w:szCs w:val="24"/>
              </w:rPr>
            </w:pPr>
          </w:p>
          <w:p w14:paraId="293C3B1C">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22,50</w:t>
            </w:r>
          </w:p>
        </w:tc>
        <w:tc>
          <w:tcPr>
            <w:tcW w:w="748" w:type="dxa"/>
            <w:vMerge w:val="restart"/>
          </w:tcPr>
          <w:p w14:paraId="1862998A">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Red</w:t>
            </w:r>
          </w:p>
        </w:tc>
      </w:tr>
      <w:tr w14:paraId="1A4C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24752A60">
            <w:pPr>
              <w:spacing w:line="240" w:lineRule="auto"/>
              <w:ind w:left="-142" w:right="-132"/>
              <w:jc w:val="center"/>
              <w:rPr>
                <w:rFonts w:ascii="Times New Roman" w:hAnsi="Times New Roman" w:cs="Times New Roman"/>
                <w:bCs/>
                <w:color w:val="000000"/>
                <w:sz w:val="24"/>
                <w:szCs w:val="24"/>
              </w:rPr>
            </w:pPr>
          </w:p>
        </w:tc>
        <w:tc>
          <w:tcPr>
            <w:tcW w:w="1263" w:type="dxa"/>
            <w:vMerge w:val="continue"/>
          </w:tcPr>
          <w:p w14:paraId="429E02AD">
            <w:pPr>
              <w:spacing w:line="240" w:lineRule="auto"/>
              <w:ind w:left="-142" w:right="-132"/>
              <w:jc w:val="center"/>
              <w:rPr>
                <w:rFonts w:ascii="Times New Roman" w:hAnsi="Times New Roman" w:cs="Times New Roman"/>
                <w:bCs/>
                <w:color w:val="000000"/>
                <w:sz w:val="24"/>
                <w:szCs w:val="24"/>
              </w:rPr>
            </w:pPr>
          </w:p>
        </w:tc>
        <w:tc>
          <w:tcPr>
            <w:tcW w:w="883" w:type="dxa"/>
          </w:tcPr>
          <w:p w14:paraId="35D51D89">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996" w:type="dxa"/>
          </w:tcPr>
          <w:p w14:paraId="4254B492">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33,93</w:t>
            </w:r>
          </w:p>
        </w:tc>
        <w:tc>
          <w:tcPr>
            <w:tcW w:w="876" w:type="dxa"/>
          </w:tcPr>
          <w:p w14:paraId="3F0BB0D8">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19,35</w:t>
            </w:r>
          </w:p>
        </w:tc>
        <w:tc>
          <w:tcPr>
            <w:tcW w:w="1255" w:type="dxa"/>
          </w:tcPr>
          <w:p w14:paraId="6E81CD2A">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7,78</w:t>
            </w:r>
          </w:p>
        </w:tc>
        <w:tc>
          <w:tcPr>
            <w:tcW w:w="779" w:type="dxa"/>
          </w:tcPr>
          <w:p w14:paraId="055EC75D">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21,90</w:t>
            </w:r>
          </w:p>
        </w:tc>
        <w:tc>
          <w:tcPr>
            <w:tcW w:w="664" w:type="dxa"/>
            <w:vMerge w:val="continue"/>
          </w:tcPr>
          <w:p w14:paraId="44A53897">
            <w:pPr>
              <w:spacing w:line="240" w:lineRule="auto"/>
              <w:ind w:left="-142" w:right="-132"/>
              <w:jc w:val="center"/>
              <w:rPr>
                <w:rFonts w:ascii="Times New Roman" w:hAnsi="Times New Roman" w:cs="Times New Roman"/>
                <w:bCs/>
                <w:color w:val="000000"/>
                <w:sz w:val="24"/>
                <w:szCs w:val="24"/>
              </w:rPr>
            </w:pPr>
          </w:p>
        </w:tc>
        <w:tc>
          <w:tcPr>
            <w:tcW w:w="748" w:type="dxa"/>
            <w:vMerge w:val="continue"/>
          </w:tcPr>
          <w:p w14:paraId="4D0328EA">
            <w:pPr>
              <w:spacing w:line="240" w:lineRule="auto"/>
              <w:ind w:left="-142" w:right="-132"/>
              <w:jc w:val="center"/>
              <w:rPr>
                <w:rFonts w:ascii="Times New Roman" w:hAnsi="Times New Roman" w:cs="Times New Roman"/>
                <w:bCs/>
                <w:color w:val="000000"/>
                <w:sz w:val="24"/>
                <w:szCs w:val="24"/>
              </w:rPr>
            </w:pPr>
          </w:p>
        </w:tc>
      </w:tr>
      <w:tr w14:paraId="4F88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26E2BF61">
            <w:pPr>
              <w:spacing w:line="240" w:lineRule="auto"/>
              <w:ind w:left="-142" w:right="-132"/>
              <w:jc w:val="center"/>
              <w:rPr>
                <w:rFonts w:ascii="Times New Roman" w:hAnsi="Times New Roman" w:cs="Times New Roman"/>
                <w:bCs/>
                <w:color w:val="000000"/>
                <w:sz w:val="24"/>
                <w:szCs w:val="24"/>
              </w:rPr>
            </w:pPr>
          </w:p>
        </w:tc>
        <w:tc>
          <w:tcPr>
            <w:tcW w:w="1263" w:type="dxa"/>
            <w:vMerge w:val="continue"/>
          </w:tcPr>
          <w:p w14:paraId="7744E384">
            <w:pPr>
              <w:spacing w:line="240" w:lineRule="auto"/>
              <w:ind w:left="-142" w:right="-132"/>
              <w:jc w:val="center"/>
              <w:rPr>
                <w:rFonts w:ascii="Times New Roman" w:hAnsi="Times New Roman" w:cs="Times New Roman"/>
                <w:bCs/>
                <w:color w:val="000000"/>
                <w:sz w:val="24"/>
                <w:szCs w:val="24"/>
              </w:rPr>
            </w:pPr>
          </w:p>
        </w:tc>
        <w:tc>
          <w:tcPr>
            <w:tcW w:w="883" w:type="dxa"/>
          </w:tcPr>
          <w:p w14:paraId="26A69BDA">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996" w:type="dxa"/>
          </w:tcPr>
          <w:p w14:paraId="2B1F2FF7">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34,45</w:t>
            </w:r>
          </w:p>
        </w:tc>
        <w:tc>
          <w:tcPr>
            <w:tcW w:w="876" w:type="dxa"/>
          </w:tcPr>
          <w:p w14:paraId="70C7D2F9">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19,42</w:t>
            </w:r>
          </w:p>
        </w:tc>
        <w:tc>
          <w:tcPr>
            <w:tcW w:w="1255" w:type="dxa"/>
          </w:tcPr>
          <w:p w14:paraId="72B07BE9">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8,77</w:t>
            </w:r>
          </w:p>
        </w:tc>
        <w:tc>
          <w:tcPr>
            <w:tcW w:w="779" w:type="dxa"/>
          </w:tcPr>
          <w:p w14:paraId="2BAC07BE">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24,30</w:t>
            </w:r>
          </w:p>
        </w:tc>
        <w:tc>
          <w:tcPr>
            <w:tcW w:w="664" w:type="dxa"/>
            <w:vMerge w:val="continue"/>
          </w:tcPr>
          <w:p w14:paraId="3737F11D">
            <w:pPr>
              <w:spacing w:line="240" w:lineRule="auto"/>
              <w:ind w:left="-142" w:right="-132"/>
              <w:jc w:val="center"/>
              <w:rPr>
                <w:rFonts w:ascii="Times New Roman" w:hAnsi="Times New Roman" w:cs="Times New Roman"/>
                <w:bCs/>
                <w:color w:val="000000"/>
                <w:sz w:val="24"/>
                <w:szCs w:val="24"/>
              </w:rPr>
            </w:pPr>
          </w:p>
        </w:tc>
        <w:tc>
          <w:tcPr>
            <w:tcW w:w="748" w:type="dxa"/>
            <w:vMerge w:val="continue"/>
          </w:tcPr>
          <w:p w14:paraId="2DD34BEE">
            <w:pPr>
              <w:spacing w:line="240" w:lineRule="auto"/>
              <w:ind w:left="-142" w:right="-132"/>
              <w:jc w:val="center"/>
              <w:rPr>
                <w:rFonts w:ascii="Times New Roman" w:hAnsi="Times New Roman" w:cs="Times New Roman"/>
                <w:bCs/>
                <w:color w:val="000000"/>
                <w:sz w:val="24"/>
                <w:szCs w:val="24"/>
              </w:rPr>
            </w:pPr>
          </w:p>
        </w:tc>
      </w:tr>
      <w:tr w14:paraId="5D68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7E378283">
            <w:pPr>
              <w:spacing w:line="240" w:lineRule="auto"/>
              <w:ind w:left="-142" w:right="-132"/>
              <w:jc w:val="center"/>
              <w:rPr>
                <w:rFonts w:ascii="Times New Roman" w:hAnsi="Times New Roman" w:cs="Times New Roman"/>
                <w:bCs/>
                <w:color w:val="000000"/>
                <w:sz w:val="24"/>
                <w:szCs w:val="24"/>
              </w:rPr>
            </w:pPr>
          </w:p>
        </w:tc>
        <w:tc>
          <w:tcPr>
            <w:tcW w:w="1263" w:type="dxa"/>
            <w:vMerge w:val="restart"/>
          </w:tcPr>
          <w:p w14:paraId="6535A9CD">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Kitosan 9%</w:t>
            </w:r>
          </w:p>
        </w:tc>
        <w:tc>
          <w:tcPr>
            <w:tcW w:w="883" w:type="dxa"/>
          </w:tcPr>
          <w:p w14:paraId="51983968">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996" w:type="dxa"/>
          </w:tcPr>
          <w:p w14:paraId="75A62D3B">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31,05</w:t>
            </w:r>
          </w:p>
        </w:tc>
        <w:tc>
          <w:tcPr>
            <w:tcW w:w="876" w:type="dxa"/>
          </w:tcPr>
          <w:p w14:paraId="4410D6B4">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15,1</w:t>
            </w:r>
          </w:p>
        </w:tc>
        <w:tc>
          <w:tcPr>
            <w:tcW w:w="1255" w:type="dxa"/>
          </w:tcPr>
          <w:p w14:paraId="18085A95">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5,47</w:t>
            </w:r>
          </w:p>
        </w:tc>
        <w:tc>
          <w:tcPr>
            <w:tcW w:w="779" w:type="dxa"/>
          </w:tcPr>
          <w:p w14:paraId="1909001E">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19,9</w:t>
            </w:r>
          </w:p>
        </w:tc>
        <w:tc>
          <w:tcPr>
            <w:tcW w:w="664" w:type="dxa"/>
            <w:vMerge w:val="restart"/>
          </w:tcPr>
          <w:p w14:paraId="10585552">
            <w:pPr>
              <w:spacing w:line="240" w:lineRule="auto"/>
              <w:ind w:left="-142" w:right="-132"/>
              <w:jc w:val="center"/>
              <w:rPr>
                <w:rFonts w:ascii="Times New Roman" w:hAnsi="Times New Roman" w:cs="Times New Roman"/>
                <w:bCs/>
                <w:color w:val="000000"/>
                <w:sz w:val="24"/>
                <w:szCs w:val="24"/>
              </w:rPr>
            </w:pPr>
          </w:p>
          <w:p w14:paraId="2873FF7F">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20,82</w:t>
            </w:r>
          </w:p>
        </w:tc>
        <w:tc>
          <w:tcPr>
            <w:tcW w:w="748" w:type="dxa"/>
            <w:vMerge w:val="restart"/>
          </w:tcPr>
          <w:p w14:paraId="3193BB56">
            <w:pPr>
              <w:spacing w:line="240" w:lineRule="auto"/>
              <w:ind w:left="-142" w:right="-132"/>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Red</w:t>
            </w:r>
          </w:p>
        </w:tc>
      </w:tr>
      <w:tr w14:paraId="14F6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78B42292">
            <w:pPr>
              <w:spacing w:line="240" w:lineRule="auto"/>
              <w:jc w:val="center"/>
              <w:rPr>
                <w:rFonts w:ascii="Times New Roman" w:hAnsi="Times New Roman" w:cs="Times New Roman"/>
                <w:bCs/>
                <w:color w:val="000000"/>
                <w:sz w:val="24"/>
                <w:szCs w:val="24"/>
              </w:rPr>
            </w:pPr>
          </w:p>
        </w:tc>
        <w:tc>
          <w:tcPr>
            <w:tcW w:w="1263" w:type="dxa"/>
            <w:vMerge w:val="continue"/>
          </w:tcPr>
          <w:p w14:paraId="5AC4799A">
            <w:pPr>
              <w:spacing w:line="240" w:lineRule="auto"/>
              <w:jc w:val="center"/>
              <w:rPr>
                <w:rFonts w:ascii="Times New Roman" w:hAnsi="Times New Roman" w:cs="Times New Roman"/>
                <w:bCs/>
                <w:color w:val="000000"/>
                <w:sz w:val="24"/>
                <w:szCs w:val="24"/>
              </w:rPr>
            </w:pPr>
          </w:p>
        </w:tc>
        <w:tc>
          <w:tcPr>
            <w:tcW w:w="883" w:type="dxa"/>
          </w:tcPr>
          <w:p w14:paraId="4B1AD65F">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996" w:type="dxa"/>
          </w:tcPr>
          <w:p w14:paraId="1ACCD826">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30,55</w:t>
            </w:r>
          </w:p>
        </w:tc>
        <w:tc>
          <w:tcPr>
            <w:tcW w:w="876" w:type="dxa"/>
          </w:tcPr>
          <w:p w14:paraId="01F3EE4D">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15,94</w:t>
            </w:r>
          </w:p>
        </w:tc>
        <w:tc>
          <w:tcPr>
            <w:tcW w:w="1255" w:type="dxa"/>
          </w:tcPr>
          <w:p w14:paraId="37DF7710">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6,17</w:t>
            </w:r>
          </w:p>
        </w:tc>
        <w:tc>
          <w:tcPr>
            <w:tcW w:w="779" w:type="dxa"/>
          </w:tcPr>
          <w:p w14:paraId="1411CEA2">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21,16</w:t>
            </w:r>
          </w:p>
        </w:tc>
        <w:tc>
          <w:tcPr>
            <w:tcW w:w="664" w:type="dxa"/>
            <w:vMerge w:val="continue"/>
          </w:tcPr>
          <w:p w14:paraId="4A705B25">
            <w:pPr>
              <w:spacing w:line="240" w:lineRule="auto"/>
              <w:jc w:val="center"/>
              <w:rPr>
                <w:rFonts w:ascii="Times New Roman" w:hAnsi="Times New Roman" w:cs="Times New Roman"/>
                <w:bCs/>
                <w:color w:val="000000"/>
                <w:sz w:val="24"/>
                <w:szCs w:val="24"/>
              </w:rPr>
            </w:pPr>
          </w:p>
        </w:tc>
        <w:tc>
          <w:tcPr>
            <w:tcW w:w="748" w:type="dxa"/>
            <w:vMerge w:val="continue"/>
          </w:tcPr>
          <w:p w14:paraId="03B5811C">
            <w:pPr>
              <w:spacing w:line="240" w:lineRule="auto"/>
              <w:jc w:val="center"/>
              <w:rPr>
                <w:rFonts w:ascii="Times New Roman" w:hAnsi="Times New Roman" w:cs="Times New Roman"/>
                <w:bCs/>
                <w:color w:val="000000"/>
                <w:sz w:val="24"/>
                <w:szCs w:val="24"/>
              </w:rPr>
            </w:pPr>
          </w:p>
        </w:tc>
      </w:tr>
      <w:tr w14:paraId="7CF0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26F65224">
            <w:pPr>
              <w:spacing w:line="240" w:lineRule="auto"/>
              <w:jc w:val="center"/>
              <w:rPr>
                <w:rFonts w:ascii="Times New Roman" w:hAnsi="Times New Roman" w:cs="Times New Roman"/>
                <w:bCs/>
                <w:color w:val="000000"/>
                <w:sz w:val="24"/>
                <w:szCs w:val="24"/>
              </w:rPr>
            </w:pPr>
          </w:p>
        </w:tc>
        <w:tc>
          <w:tcPr>
            <w:tcW w:w="1263" w:type="dxa"/>
            <w:vMerge w:val="continue"/>
          </w:tcPr>
          <w:p w14:paraId="31183B31">
            <w:pPr>
              <w:spacing w:line="240" w:lineRule="auto"/>
              <w:jc w:val="center"/>
              <w:rPr>
                <w:rFonts w:ascii="Times New Roman" w:hAnsi="Times New Roman" w:cs="Times New Roman"/>
                <w:bCs/>
                <w:color w:val="000000"/>
                <w:sz w:val="24"/>
                <w:szCs w:val="24"/>
              </w:rPr>
            </w:pPr>
          </w:p>
        </w:tc>
        <w:tc>
          <w:tcPr>
            <w:tcW w:w="883" w:type="dxa"/>
          </w:tcPr>
          <w:p w14:paraId="06D3F002">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996" w:type="dxa"/>
          </w:tcPr>
          <w:p w14:paraId="7E3CF0FB">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30,01</w:t>
            </w:r>
          </w:p>
        </w:tc>
        <w:tc>
          <w:tcPr>
            <w:tcW w:w="876" w:type="dxa"/>
          </w:tcPr>
          <w:p w14:paraId="4AB16CFD">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13,36</w:t>
            </w:r>
          </w:p>
        </w:tc>
        <w:tc>
          <w:tcPr>
            <w:tcW w:w="1255" w:type="dxa"/>
          </w:tcPr>
          <w:p w14:paraId="2D9EE693">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5,24</w:t>
            </w:r>
          </w:p>
        </w:tc>
        <w:tc>
          <w:tcPr>
            <w:tcW w:w="779" w:type="dxa"/>
          </w:tcPr>
          <w:p w14:paraId="0FAA1C80">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21,41</w:t>
            </w:r>
          </w:p>
        </w:tc>
        <w:tc>
          <w:tcPr>
            <w:tcW w:w="664" w:type="dxa"/>
            <w:vMerge w:val="continue"/>
          </w:tcPr>
          <w:p w14:paraId="35EF51B4">
            <w:pPr>
              <w:spacing w:line="240" w:lineRule="auto"/>
              <w:jc w:val="center"/>
              <w:rPr>
                <w:rFonts w:ascii="Times New Roman" w:hAnsi="Times New Roman" w:cs="Times New Roman"/>
                <w:bCs/>
                <w:color w:val="000000"/>
                <w:sz w:val="24"/>
                <w:szCs w:val="24"/>
              </w:rPr>
            </w:pPr>
          </w:p>
        </w:tc>
        <w:tc>
          <w:tcPr>
            <w:tcW w:w="748" w:type="dxa"/>
            <w:vMerge w:val="continue"/>
          </w:tcPr>
          <w:p w14:paraId="11C5A504">
            <w:pPr>
              <w:spacing w:line="240" w:lineRule="auto"/>
              <w:jc w:val="center"/>
              <w:rPr>
                <w:rFonts w:ascii="Times New Roman" w:hAnsi="Times New Roman" w:cs="Times New Roman"/>
                <w:bCs/>
                <w:color w:val="000000"/>
                <w:sz w:val="24"/>
                <w:szCs w:val="24"/>
              </w:rPr>
            </w:pPr>
          </w:p>
        </w:tc>
      </w:tr>
    </w:tbl>
    <w:p w14:paraId="0BFFB080">
      <w:pPr>
        <w:spacing w:before="240"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hasil pada Tabel 4.8 menunjukkan perbedaan nilai L (tingkat kecerahan) dari warna gelap dan terang. Semakin cerah buah maka nilai yang ditunjukkan akan positif atau meningkat, sedangkan semakin gelap buah maka nilai yang ditunjukkan akan semakin negatif atau menurun. Nilai L* memiliki kisaran nilai dari 0 sampai 100. </w:t>
      </w:r>
      <w:r>
        <w:rPr>
          <w:rFonts w:ascii="Times New Roman" w:hAnsi="Times New Roman" w:cs="Times New Roman"/>
          <w:bCs/>
          <w:color w:val="000000"/>
          <w:sz w:val="24"/>
          <w:szCs w:val="24"/>
          <w:lang w:val="fi-FI"/>
        </w:rPr>
        <w:t xml:space="preserve">Pada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paprika merah dapat digunakan sebagai indikator kematangan paprika. Hasil nilai rata-rata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paprika cenderung menurun karena variasi konsentrasi. Pada paprika merah yang dilapisi dengan kitosan 3% memiliki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sebesar 21,30. Kitosan 6% memiliki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sebesar 22,50 dan kitosan 9% memiliki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20,82,</w:t>
      </w:r>
      <w:r>
        <w:rPr>
          <w:rFonts w:ascii="Times New Roman" w:hAnsi="Times New Roman" w:cs="Times New Roman"/>
          <w:bCs/>
          <w:color w:val="000000"/>
          <w:sz w:val="24"/>
          <w:szCs w:val="24"/>
        </w:rPr>
        <w:t xml:space="preserve"> sedangkan paprika merah tanpa kitosan memiliki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rPr>
        <w:t xml:space="preserve"> 25,89. Jadi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rPr>
        <w:t xml:space="preserve"> perlakuan kontrol berbeda nyata dengan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yakni ketika paprika merah disimpan selama 8 hari mengalami proses pematangan buah sehingga terjadi penurunan warna.</w:t>
      </w:r>
      <w:r>
        <w:rPr>
          <w:rFonts w:ascii="Times New Roman" w:hAnsi="Times New Roman" w:cs="Times New Roman"/>
          <w:bCs/>
          <w:color w:val="000000"/>
          <w:sz w:val="24"/>
          <w:szCs w:val="24"/>
          <w:lang w:val="fi-FI"/>
        </w:rPr>
        <w:t xml:space="preserve"> </w:t>
      </w:r>
      <w:r>
        <w:rPr>
          <w:rFonts w:ascii="Times New Roman" w:hAnsi="Times New Roman" w:cs="Times New Roman"/>
          <w:bCs/>
          <w:color w:val="000000"/>
          <w:sz w:val="24"/>
          <w:szCs w:val="24"/>
        </w:rPr>
        <w:t xml:space="preserve">Hal ini menunjukkan warna paprika semakin merah. Semakin merah warna paprika disebabkan terjadinya proses pematangan buah. Saat proses pematangan buah, klorofil akan terdegradasi dan karotenoid akan semakin meningkat. Terdegradasinya klorofil akan memperkuat intensitas karotenoid sehingga semakin kuat intensitas warna merah. </w:t>
      </w:r>
    </w:p>
    <w:p w14:paraId="1584B551">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Warna paprika merah mengalami penurunan selama penyimpanan. Penurunanan warna tersebut dikarenakan selama pematangan buah akan mengalami perubahan warna yang terjadi akibat penurunan jumlah klorofil dan likopen sehingga warna berubah menjadi merah. Serta dapat dilihat juga bahwa pengukuran warna pada paprika merah kontrol lebih tinggi dari paprika merah yang diberi lapisan kitosan. Hal ini karena pelapisan kitosan mampu melindungi buah dengan cara mencegah masuknya oksigen ke dalam buah karena adanya lapisan permiabel dari kitosan yang menutupi seluruh permukaan buah sehingga proses pemasakan dapat dihambat.</w:t>
      </w:r>
    </w:p>
    <w:p w14:paraId="7384483D">
      <w:pPr>
        <w:spacing w:after="0" w:line="480" w:lineRule="auto"/>
        <w:jc w:val="both"/>
        <w:rPr>
          <w:rFonts w:ascii="Times New Roman" w:hAnsi="Times New Roman" w:cs="Times New Roman"/>
          <w:b/>
          <w:i/>
          <w:iCs/>
          <w:color w:val="000000"/>
          <w:sz w:val="24"/>
          <w:szCs w:val="24"/>
        </w:rPr>
      </w:pPr>
      <w:r>
        <w:rPr>
          <w:rFonts w:ascii="Times New Roman" w:hAnsi="Times New Roman" w:cs="Times New Roman"/>
          <w:b/>
          <w:color w:val="000000"/>
          <w:sz w:val="24"/>
          <w:szCs w:val="24"/>
          <w:lang w:val="en-US"/>
        </w:rPr>
        <w:t xml:space="preserve">4.10 </w:t>
      </w:r>
      <w:r>
        <w:rPr>
          <w:rFonts w:ascii="Times New Roman" w:hAnsi="Times New Roman" w:cs="Times New Roman"/>
          <w:b/>
          <w:color w:val="000000"/>
          <w:sz w:val="24"/>
          <w:szCs w:val="24"/>
        </w:rPr>
        <w:t>Hasil Mutu Kimia Paprika Merah (</w:t>
      </w:r>
      <w:r>
        <w:rPr>
          <w:rFonts w:ascii="Times New Roman" w:hAnsi="Times New Roman" w:cs="Times New Roman"/>
          <w:b/>
          <w:i/>
          <w:iCs/>
          <w:color w:val="000000"/>
          <w:sz w:val="24"/>
          <w:szCs w:val="24"/>
        </w:rPr>
        <w:t xml:space="preserve">Capsicum annum </w:t>
      </w:r>
      <w:r>
        <w:rPr>
          <w:rFonts w:ascii="Times New Roman" w:hAnsi="Times New Roman" w:cs="Times New Roman"/>
          <w:b/>
          <w:iCs/>
          <w:color w:val="000000"/>
          <w:sz w:val="24"/>
          <w:szCs w:val="24"/>
        </w:rPr>
        <w:t>L</w:t>
      </w:r>
      <w:r>
        <w:rPr>
          <w:rFonts w:ascii="Times New Roman" w:hAnsi="Times New Roman" w:cs="Times New Roman"/>
          <w:b/>
          <w:i/>
          <w:iCs/>
          <w:color w:val="000000"/>
          <w:sz w:val="24"/>
          <w:szCs w:val="24"/>
        </w:rPr>
        <w:t>)</w:t>
      </w:r>
    </w:p>
    <w:p w14:paraId="48A0D2CD">
      <w:pPr>
        <w:spacing w:after="0" w:line="480" w:lineRule="auto"/>
        <w:ind w:firstLine="4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Mutu kimia buah dan sayur merupakan indikator penting dalam menentukan kualitas dan nilai gizi dari buah dan sayur selama penyimpanan. Kualitas buah dan sayur sangat penting untuk memastikan kesegaran dan daya tahan buah dan sayur tersebut. Pengujian mutu kimia yang dilakukan mencakup pH, total asam, vitamin C, dan total padatan terlarut (TPT) pada paprika merah.</w:t>
      </w:r>
    </w:p>
    <w:p w14:paraId="414647B3">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4.10.1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pH</w:t>
      </w:r>
    </w:p>
    <w:p w14:paraId="349147B0">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pH adalah jumlah konsentrasi ion H+ pada larutan yang menyatakan tingkat keasaman dan kebasaan suatu bahan pangan. Semakin rendah nilai pH (&lt;7)  menandakan tingginya tingkat kemasaman buah (Sidik et al., 2022). Alat ukur yang digunakan untuk mengukur nilai pH parika merah ini yaitu pH meter.</w:t>
      </w:r>
      <w:r>
        <w:t xml:space="preserve"> </w:t>
      </w:r>
      <w:r>
        <w:rPr>
          <w:rFonts w:ascii="Times New Roman" w:hAnsi="Times New Roman" w:cs="Times New Roman"/>
          <w:sz w:val="24"/>
          <w:szCs w:val="24"/>
        </w:rPr>
        <w:t>Hasil pengujian menunjukkan bahwa</w:t>
      </w:r>
      <w:r>
        <w:rPr>
          <w:sz w:val="24"/>
          <w:szCs w:val="24"/>
        </w:rPr>
        <w:t xml:space="preserve"> </w:t>
      </w:r>
      <w:r>
        <w:rPr>
          <w:rFonts w:ascii="Times New Roman" w:hAnsi="Times New Roman" w:cs="Times New Roman"/>
          <w:bCs/>
          <w:color w:val="000000"/>
          <w:sz w:val="24"/>
          <w:szCs w:val="24"/>
        </w:rPr>
        <w:t xml:space="preserve">Paprika merah selama 8 hari penyimpanan, dapat diperhambat dengan adanya lapisan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namun tidak dengan paprika merah pada perlakuan kontrol. Perlakuan kontrol tidak dapat menghambat kenaikan nilai pH paprika merah sehingga kadar keasaman menurun. </w:t>
      </w:r>
    </w:p>
    <w:p w14:paraId="4A697146">
      <w:pPr>
        <w:spacing w:after="0" w:line="360" w:lineRule="auto"/>
        <w:jc w:val="both"/>
        <w:rPr>
          <w:rFonts w:ascii="Times New Roman" w:hAnsi="Times New Roman" w:cs="Times New Roman"/>
          <w:bCs/>
          <w:color w:val="000000"/>
          <w:sz w:val="24"/>
          <w:szCs w:val="24"/>
        </w:rPr>
      </w:pPr>
      <w:r>
        <w:rPr>
          <w:rFonts w:ascii="Times New Roman" w:hAnsi="Times New Roman" w:cs="Times New Roman"/>
          <w:b/>
          <w:color w:val="000000"/>
          <w:sz w:val="24"/>
          <w:szCs w:val="24"/>
        </w:rPr>
        <w:t>Tabel 4.9</w:t>
      </w:r>
      <w:r>
        <w:rPr>
          <w:rFonts w:ascii="Times New Roman" w:hAnsi="Times New Roman" w:cs="Times New Roman"/>
          <w:bCs/>
          <w:color w:val="000000"/>
          <w:sz w:val="24"/>
          <w:szCs w:val="24"/>
        </w:rPr>
        <w:t xml:space="preserve"> Hasil Pengujian pH Paprika Merah Selama 8 Hari Penyimpanan</w:t>
      </w:r>
    </w:p>
    <w:tbl>
      <w:tblPr>
        <w:tblStyle w:val="22"/>
        <w:tblW w:w="8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1417"/>
        <w:gridCol w:w="1418"/>
        <w:gridCol w:w="1443"/>
        <w:gridCol w:w="1603"/>
      </w:tblGrid>
      <w:tr w14:paraId="5B4A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vMerge w:val="restart"/>
            <w:vAlign w:val="center"/>
          </w:tcPr>
          <w:p w14:paraId="02B6F645">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Perlakuan</w:t>
            </w:r>
          </w:p>
        </w:tc>
        <w:tc>
          <w:tcPr>
            <w:tcW w:w="4278" w:type="dxa"/>
            <w:gridSpan w:val="3"/>
            <w:vAlign w:val="center"/>
          </w:tcPr>
          <w:p w14:paraId="155874BB">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Pengulangan</w:t>
            </w:r>
          </w:p>
        </w:tc>
        <w:tc>
          <w:tcPr>
            <w:tcW w:w="1603" w:type="dxa"/>
            <w:vMerge w:val="restart"/>
            <w:vAlign w:val="center"/>
          </w:tcPr>
          <w:p w14:paraId="7EB8DD39">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Rata-rata</w:t>
            </w:r>
          </w:p>
        </w:tc>
      </w:tr>
      <w:tr w14:paraId="60AB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vMerge w:val="continue"/>
            <w:vAlign w:val="center"/>
          </w:tcPr>
          <w:p w14:paraId="44F7C995">
            <w:pPr>
              <w:spacing w:line="240" w:lineRule="auto"/>
              <w:jc w:val="center"/>
              <w:rPr>
                <w:rFonts w:ascii="Times New Roman" w:hAnsi="Times New Roman" w:cs="Times New Roman"/>
                <w:b/>
                <w:color w:val="000000"/>
                <w:sz w:val="24"/>
                <w:szCs w:val="24"/>
              </w:rPr>
            </w:pPr>
          </w:p>
        </w:tc>
        <w:tc>
          <w:tcPr>
            <w:tcW w:w="1417" w:type="dxa"/>
            <w:vAlign w:val="center"/>
          </w:tcPr>
          <w:p w14:paraId="749DFABA">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1418" w:type="dxa"/>
            <w:vAlign w:val="center"/>
          </w:tcPr>
          <w:p w14:paraId="78D8EA1C">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2</w:t>
            </w:r>
          </w:p>
        </w:tc>
        <w:tc>
          <w:tcPr>
            <w:tcW w:w="1443" w:type="dxa"/>
            <w:vAlign w:val="center"/>
          </w:tcPr>
          <w:p w14:paraId="11DFD256">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3</w:t>
            </w:r>
          </w:p>
        </w:tc>
        <w:tc>
          <w:tcPr>
            <w:tcW w:w="1603" w:type="dxa"/>
            <w:vMerge w:val="continue"/>
            <w:vAlign w:val="center"/>
          </w:tcPr>
          <w:p w14:paraId="586A9451">
            <w:pPr>
              <w:spacing w:line="240" w:lineRule="auto"/>
              <w:jc w:val="center"/>
              <w:rPr>
                <w:rFonts w:ascii="Times New Roman" w:hAnsi="Times New Roman" w:cs="Times New Roman"/>
                <w:b/>
                <w:color w:val="000000"/>
                <w:sz w:val="24"/>
                <w:szCs w:val="24"/>
              </w:rPr>
            </w:pPr>
          </w:p>
        </w:tc>
      </w:tr>
      <w:tr w14:paraId="7213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0217941C">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P0 (tanpa kitosan)</w:t>
            </w:r>
          </w:p>
        </w:tc>
        <w:tc>
          <w:tcPr>
            <w:tcW w:w="1417" w:type="dxa"/>
          </w:tcPr>
          <w:p w14:paraId="2BC432B2">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3,64</w:t>
            </w:r>
          </w:p>
        </w:tc>
        <w:tc>
          <w:tcPr>
            <w:tcW w:w="1418" w:type="dxa"/>
          </w:tcPr>
          <w:p w14:paraId="6DB672B5">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3,59</w:t>
            </w:r>
          </w:p>
        </w:tc>
        <w:tc>
          <w:tcPr>
            <w:tcW w:w="1443" w:type="dxa"/>
          </w:tcPr>
          <w:p w14:paraId="65C35042">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3,65</w:t>
            </w:r>
          </w:p>
        </w:tc>
        <w:tc>
          <w:tcPr>
            <w:tcW w:w="1603" w:type="dxa"/>
          </w:tcPr>
          <w:p w14:paraId="7994A22C">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3,62</w:t>
            </w:r>
          </w:p>
        </w:tc>
      </w:tr>
      <w:tr w14:paraId="7E17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59C4221A">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P1 (kitosan 3%)</w:t>
            </w:r>
          </w:p>
        </w:tc>
        <w:tc>
          <w:tcPr>
            <w:tcW w:w="1417" w:type="dxa"/>
          </w:tcPr>
          <w:p w14:paraId="0DE38C06">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4,17</w:t>
            </w:r>
          </w:p>
        </w:tc>
        <w:tc>
          <w:tcPr>
            <w:tcW w:w="1418" w:type="dxa"/>
          </w:tcPr>
          <w:p w14:paraId="653C56FE">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4,59</w:t>
            </w:r>
          </w:p>
        </w:tc>
        <w:tc>
          <w:tcPr>
            <w:tcW w:w="1443" w:type="dxa"/>
          </w:tcPr>
          <w:p w14:paraId="0154D715">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4,44</w:t>
            </w:r>
          </w:p>
        </w:tc>
        <w:tc>
          <w:tcPr>
            <w:tcW w:w="1603" w:type="dxa"/>
          </w:tcPr>
          <w:p w14:paraId="7C4A8FDF">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4,4</w:t>
            </w:r>
          </w:p>
        </w:tc>
      </w:tr>
      <w:tr w14:paraId="3804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6B0B8F21">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P2 (kitosan 6%)</w:t>
            </w:r>
          </w:p>
        </w:tc>
        <w:tc>
          <w:tcPr>
            <w:tcW w:w="1417" w:type="dxa"/>
          </w:tcPr>
          <w:p w14:paraId="7D94218B">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5,52</w:t>
            </w:r>
          </w:p>
        </w:tc>
        <w:tc>
          <w:tcPr>
            <w:tcW w:w="1418" w:type="dxa"/>
          </w:tcPr>
          <w:p w14:paraId="02FE3DED">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5,00</w:t>
            </w:r>
          </w:p>
        </w:tc>
        <w:tc>
          <w:tcPr>
            <w:tcW w:w="1443" w:type="dxa"/>
          </w:tcPr>
          <w:p w14:paraId="106F10C6">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5,20</w:t>
            </w:r>
          </w:p>
        </w:tc>
        <w:tc>
          <w:tcPr>
            <w:tcW w:w="1603" w:type="dxa"/>
          </w:tcPr>
          <w:p w14:paraId="2054F704">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5,24</w:t>
            </w:r>
          </w:p>
        </w:tc>
      </w:tr>
      <w:tr w14:paraId="61BA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5E83503B">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P3 (kitosan 9%)</w:t>
            </w:r>
          </w:p>
        </w:tc>
        <w:tc>
          <w:tcPr>
            <w:tcW w:w="1417" w:type="dxa"/>
          </w:tcPr>
          <w:p w14:paraId="287A11F0">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6,35</w:t>
            </w:r>
          </w:p>
        </w:tc>
        <w:tc>
          <w:tcPr>
            <w:tcW w:w="1418" w:type="dxa"/>
          </w:tcPr>
          <w:p w14:paraId="232C957F">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6,11</w:t>
            </w:r>
          </w:p>
        </w:tc>
        <w:tc>
          <w:tcPr>
            <w:tcW w:w="1443" w:type="dxa"/>
          </w:tcPr>
          <w:p w14:paraId="386A820F">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6,39</w:t>
            </w:r>
          </w:p>
        </w:tc>
        <w:tc>
          <w:tcPr>
            <w:tcW w:w="1603" w:type="dxa"/>
          </w:tcPr>
          <w:p w14:paraId="49F597A0">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6,28</w:t>
            </w:r>
          </w:p>
        </w:tc>
      </w:tr>
    </w:tbl>
    <w:p w14:paraId="004C0592">
      <w:pPr>
        <w:spacing w:before="240"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Dapat dilihat pada rata-rata Tabel 4.9 paprika merah tanpa pelapisan kitosan (kontrol) didapat pH sebesar 3,62. Sementara itu, paprika merah yang dilapisi dengan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pada konsentrasi 3% menunjukkan nilai pH sebesar 4,4, pada konsentrasi 6% memiliki nilai pH sebesar 5,24, dan pada konsentrasi 9% memiliki nilai pH sebesar 6,28. </w:t>
      </w:r>
      <w:r>
        <w:rPr>
          <w:rFonts w:ascii="Times New Roman" w:hAnsi="Times New Roman" w:cs="Times New Roman"/>
          <w:bCs/>
          <w:color w:val="000000"/>
          <w:sz w:val="24"/>
          <w:szCs w:val="24"/>
          <w:lang w:val="fi-FI"/>
        </w:rPr>
        <w:t xml:space="preserve">Makin tinggi konsentrasi kitosan yang digunakan, maka tingkat keasaman pada sampel dapat dipertahankan dengan baik. Hal tersebut disebabkan karena proses perendaman sampel dalam larutan kitosan menyebabkan terbentuknya </w:t>
      </w:r>
      <w:r>
        <w:rPr>
          <w:rFonts w:ascii="Times New Roman" w:hAnsi="Times New Roman" w:cs="Times New Roman"/>
          <w:bCs/>
          <w:i/>
          <w:iCs/>
          <w:color w:val="000000"/>
          <w:sz w:val="24"/>
          <w:szCs w:val="24"/>
          <w:lang w:val="fi-FI"/>
        </w:rPr>
        <w:t xml:space="preserve">coating </w:t>
      </w:r>
      <w:r>
        <w:rPr>
          <w:rFonts w:ascii="Times New Roman" w:hAnsi="Times New Roman" w:cs="Times New Roman"/>
          <w:bCs/>
          <w:color w:val="000000"/>
          <w:sz w:val="24"/>
          <w:szCs w:val="24"/>
          <w:lang w:val="fi-FI"/>
        </w:rPr>
        <w:t xml:space="preserve">melapisi sampel, sehingga sampel yang dilakukan perendaman dengan larutan kitosan nilai </w:t>
      </w:r>
      <w:r>
        <w:rPr>
          <w:rFonts w:ascii="Times New Roman" w:hAnsi="Times New Roman" w:cs="Times New Roman"/>
          <w:bCs/>
          <w:color w:val="000000"/>
          <w:sz w:val="24"/>
          <w:szCs w:val="24"/>
        </w:rPr>
        <w:t>pH tinggi.</w:t>
      </w:r>
    </w:p>
    <w:p w14:paraId="5624409F">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305300" cy="2146300"/>
            <wp:effectExtent l="0" t="0" r="0" b="6350"/>
            <wp:docPr id="1267618949" name="Chart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F647BB3">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4.9</w:t>
      </w:r>
      <w:r>
        <w:rPr>
          <w:rFonts w:ascii="Times New Roman" w:hAnsi="Times New Roman" w:cs="Times New Roman"/>
          <w:bCs/>
          <w:color w:val="000000"/>
          <w:sz w:val="24"/>
          <w:szCs w:val="24"/>
        </w:rPr>
        <w:t xml:space="preserve"> Grafik pH paprika merah Selama 8 Hari Penyimpanan</w:t>
      </w:r>
    </w:p>
    <w:p w14:paraId="0EAA3D0E">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hasil pengamatan pada Grafik 4.9, terlihat bahwa nilai pH pada buah yang dilakukan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memiliki pH yang tinggi daripada buah dengan perlakuan kontrol. Hal ini disebabkan karena pertumbuhan kadar asam organik terjadi saat buah mengalami proses pematangan, yang dapat dipengaruhi oleh penggunaan </w:t>
      </w:r>
      <w:r>
        <w:rPr>
          <w:rFonts w:ascii="Times New Roman" w:hAnsi="Times New Roman" w:cs="Times New Roman"/>
          <w:bCs/>
          <w:i/>
          <w:iCs/>
          <w:color w:val="000000"/>
          <w:sz w:val="24"/>
          <w:szCs w:val="24"/>
        </w:rPr>
        <w:t xml:space="preserve">edible coating. </w:t>
      </w:r>
      <w:r>
        <w:rPr>
          <w:rFonts w:ascii="Times New Roman" w:hAnsi="Times New Roman" w:cs="Times New Roman"/>
          <w:bCs/>
          <w:color w:val="000000"/>
          <w:sz w:val="24"/>
          <w:szCs w:val="24"/>
        </w:rPr>
        <w:t>Peningkat pH buah dapat karena beberapa faktor, seperti penambahan bahan tambahan makanan yang mengurangi keasaman buah atau proses fermentasi yang menghasilkan asam laktat yang mengurangi keasaman buah, atau karena pH buah yang tinggi menunjukkan bahwa buah memiliki tingkat keasaman yang rendah, sehingga total asam dalam buah juga akan menurun. Dari besarnya peningkatan dan nilai rata-rata pH selama penyimpanan dapat diketahui paprika merah yang diberikan perlakuan tanpa kitosan memiliki nilai pH terkecil, maka ini menunjukkan bahwa penggunaan kitosan cangkang kerang panggang pulut sebagai coating yang didapat menghambat nilai pH buah paprika merah dibandingkan dengan tanpa perlakuan.</w:t>
      </w:r>
    </w:p>
    <w:p w14:paraId="5AF80AEC">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Nilai pH buah berkaitan dengan asam organik yang terkandung didalamnya. Nilai pH pada buah cenderung beragam tergantung pada jenis buah dan tingkat pematangannya. Peningkatan nilai pH dipengaruhi penurunan asam organik seiring dengan meningkatnya gula sederhana, hal ini disebabkan terjadinya proses pematangan.</w:t>
      </w:r>
      <w:r>
        <w:rPr>
          <w:rFonts w:ascii="Times New Roman" w:hAnsi="Times New Roman" w:cs="Times New Roman"/>
          <w:sz w:val="24"/>
          <w:szCs w:val="24"/>
        </w:rPr>
        <w:t xml:space="preserve"> P</w:t>
      </w:r>
      <w:r>
        <w:rPr>
          <w:rFonts w:ascii="Times New Roman" w:hAnsi="Times New Roman" w:cs="Times New Roman"/>
          <w:bCs/>
          <w:color w:val="000000"/>
          <w:sz w:val="24"/>
          <w:szCs w:val="24"/>
        </w:rPr>
        <w:t>eningkatan pH disebabkan laju respirasi akibat proses pengupasan, pemotongan, dan aktivitas pengolahan minimal lainnya (Destiana et al., 2023).</w:t>
      </w:r>
    </w:p>
    <w:p w14:paraId="7418F673">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4.10.2 Total Asam</w:t>
      </w:r>
    </w:p>
    <w:p w14:paraId="628C0111">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Kandungan asam tertitrasi merupakan indikator mutu buah. Asam- asam organik yang ada pada buah dapat mempengaruhi rasa dan aroma buah. Asam organik dapat menurun karena digunakan untuk respirasi atau diubah menjadi gula. Pada umumnya buah mengandung asam organik utama yaitu asam sitrat dan asam malat, dimana asam malat akan berkurang yang kemudian diikuti oleh asam sitrat. Kandungan asam organik akan terus mengalami penurunan selama penyimpanan sehingga diperlukan pengukuran TA yang dinyatakan dalam persen (%). Kadar asam buah juga berkaitan dengan pH buah, karena pH digunakan untuk menyatakan tingkat keasaman atau kebasaan suatu larutan produk pangan.  </w:t>
      </w:r>
    </w:p>
    <w:p w14:paraId="30369450">
      <w:pPr>
        <w:spacing w:after="0" w:line="240" w:lineRule="auto"/>
        <w:jc w:val="center"/>
        <w:rPr>
          <w:rFonts w:ascii="Times New Roman" w:hAnsi="Times New Roman" w:cs="Times New Roman"/>
          <w:b/>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470400" cy="2054860"/>
            <wp:effectExtent l="0" t="0" r="25400" b="21590"/>
            <wp:docPr id="1568049157"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2703200">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4.10</w:t>
      </w:r>
      <w:r>
        <w:rPr>
          <w:rFonts w:ascii="Times New Roman" w:hAnsi="Times New Roman" w:cs="Times New Roman"/>
          <w:bCs/>
          <w:color w:val="000000"/>
          <w:sz w:val="24"/>
          <w:szCs w:val="24"/>
        </w:rPr>
        <w:t xml:space="preserve"> Grafik Total Asam Titrasi Selama 8 Hari Penyimpanan</w:t>
      </w:r>
    </w:p>
    <w:p w14:paraId="16E180DE">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gambar 4.10, hasil pengujian paprika merah setelah 8 hari penyimpanan mengalami penuruan total asam paprika merah dapat diperhambat dengan adanya lapisan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namun tidak dengan paprika merah pada perlakuan kontrol. Paprika merah dengan perlakuan kontrol didapat total asam sebesar 48,50%, lebih tinggi dibandingkan dengan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dengan konsentrasi 3% yaitu 25,83%, konsentrasi 6% sebesar 22,30%, dan konsentrasi 9% sebesar 15,26%. Penurunan total asam yang cukup tinggi pada perlakuan kontrol disebabkan karena tidak adanya barier (penghalang), sehingga aktivitas oksigen dan uap air tidak dapat ditekan, sehingga kadar keasamaan semakin lama penyimpanan akan menurun.</w:t>
      </w:r>
    </w:p>
    <w:p w14:paraId="134F4311">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Paprika merah menunjukkan mengalami penurunan nilai total asam selama penyimpanan yang diduga karena paprika merah mengalami pematangan selama penyimpanan, sehingga kadar asam menurun. Penurunan total asam paprika merah selama penyimpanan ini selaras dengan kenaikan nilai pH paprika merah selama penyimpanan, karena semakin tinggi nilai pH maka semakin kecil kadar keasaman pada suatu produk pangan. Nilai total asam yang menurun disebabkan adanya penggunaan asam-asam organik untuk proses respirasi. Proses respirasi membutuhkan bahan komplek seperti pati, gula, dan asam-asam organik serta berbagai bahan organik kompleks.</w:t>
      </w:r>
    </w:p>
    <w:p w14:paraId="195F8120">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Penurunan total asam paprika merah selama penyimpanan sejalan dengan penelitian Marsigit et al, (2022) yang menyatakan bahwa penurunan total asam jeruk gerga selama penyimpanan ini selaras dengan kenaikan nilai pH jeruk gerga selama penyimpanan, karena semakin tinggi nilai pH maka semakin kecil kadar keasaman pada suatu produk pangan. </w:t>
      </w:r>
    </w:p>
    <w:p w14:paraId="5F5A223A">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4.10.3 Vitamin C</w:t>
      </w:r>
    </w:p>
    <w:p w14:paraId="39A181D4">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Vitamin C (asam askorbat) merupakan vitamin yang larut dalam air dan bersifat sangat sensitif terhadap pengaruh luar yang menyebabkan kerusakan antara lain suhu, oksigen dan air. Untuk mengetahui kadar vitamin C dalam paprika merah, digunakan metode titrasi iodimetri, yaitu metode yang berdasarkan pada reaksi redoks antara vitamin C sebagai reduktor dan iodin sebagai oksidator. Volume larutan iodin yang digunakan dalam titrasi dihitung untuk menentukan konsentrasi vitamin C dalam sampel, dan hasil perhitungannya dinyatakan dalam satuan miligram per 100 gram sampel (mg/100g), dengan mempertimbangkan volume titran, normalitas larutan iodin, dan massa molar asam askorbat.</w:t>
      </w:r>
    </w:p>
    <w:p w14:paraId="7D2B303C">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Hasil penelitian menunjukkan bahwa paprika merah yang dilapisi dengan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mengalami penurunan kadar vitamin C yang lebih lambat dibandingkan dengan sampel tanpa pelapisan setelah 8 hari penyimpanan. Hal ini disebabkan oleh kemampuan kitosan membentuk lapisan tipis pada permukaan yang berfungsi untuk menghambat pertukaran gas dan uap air, sehingga memperlambat laju respirasi dan vitamin C dalam paprika merah tetap terjaga lebih lama. Selain itu, kitosan memiliki sifat antimikroba yang membantu mencegah pertumbuhan bakteri penyebab kerusakan buah. </w:t>
      </w:r>
    </w:p>
    <w:p w14:paraId="6F8BE307">
      <w:pPr>
        <w:spacing w:after="0" w:line="240" w:lineRule="auto"/>
        <w:jc w:val="center"/>
        <w:rPr>
          <w:rFonts w:ascii="Times New Roman" w:hAnsi="Times New Roman" w:cs="Times New Roman"/>
          <w:b/>
          <w:color w:val="000000"/>
          <w:sz w:val="24"/>
          <w:szCs w:val="24"/>
        </w:rPr>
      </w:pPr>
      <w:r>
        <w:rPr>
          <w:rFonts w:ascii="Times New Roman" w:hAnsi="Times New Roman" w:cs="Times New Roman"/>
          <w:bCs/>
          <w:color w:val="000000"/>
          <w:sz w:val="24"/>
          <w:szCs w:val="24"/>
          <w:lang w:val="en-US"/>
          <w14:ligatures w14:val="standardContextual"/>
        </w:rPr>
        <w:drawing>
          <wp:inline distT="0" distB="0" distL="0" distR="0">
            <wp:extent cx="3922395" cy="1773555"/>
            <wp:effectExtent l="0" t="0" r="20955" b="17145"/>
            <wp:docPr id="1241344860" name="Chart 18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5F671B9">
      <w:pPr>
        <w:spacing w:after="0" w:line="480" w:lineRule="auto"/>
        <w:ind w:left="720"/>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 xml:space="preserve">Gambar 4.11 </w:t>
      </w:r>
      <w:r>
        <w:rPr>
          <w:rFonts w:ascii="Times New Roman" w:hAnsi="Times New Roman" w:cs="Times New Roman"/>
          <w:bCs/>
          <w:color w:val="000000"/>
          <w:sz w:val="24"/>
          <w:szCs w:val="24"/>
        </w:rPr>
        <w:t>Grafik Kadar Vitamin C Selama 8 Hari Penyimpanan</w:t>
      </w:r>
    </w:p>
    <w:p w14:paraId="78C9344F">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hasil pada gambar 4.11, paprika merah tanpa pelapisan kitosan (kontrol) memiliki kadar vitamin C sebesar 340,26 mg/100g. Sementara itu, paprika yang dilapisi dengan edible coating kitosan pada konsentrasi 3% menunjukkan kadar vitamin C sebesar 434,13 mg/100g, pada konsentrasi 6% sebesar 457,6 mg/100g, dan pada konsentrasi 9% sebesar 463,46 mg/100g. Pengujian kadar vitamin C pada perlakuan tanpa kitosan (kontrol) penurunannya lebih cepat karena laju respirasinya tidak dihambat sehingga menyebabkan kadar vitamin C menurun lebih cepat dibandingkan dengan perlakuan yang menggunakan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Hal ini disebabkan  proses pematangan yang berlangsung cepat dan merusak dinding sel buah akibat tingginya laju respirasi, sehingga mempercepat penurunan kadar vitamin C. </w:t>
      </w:r>
    </w:p>
    <w:p w14:paraId="7D83C24D">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Megasari et al (2019) menyatakan bahwa dengan menggunakan </w:t>
      </w:r>
      <w:r>
        <w:rPr>
          <w:rFonts w:ascii="Times New Roman" w:hAnsi="Times New Roman" w:cs="Times New Roman"/>
          <w:bCs/>
          <w:i/>
          <w:iCs/>
          <w:color w:val="000000"/>
          <w:sz w:val="24"/>
          <w:szCs w:val="24"/>
        </w:rPr>
        <w:t xml:space="preserve">edible coating </w:t>
      </w:r>
      <w:r>
        <w:rPr>
          <w:rFonts w:ascii="Times New Roman" w:hAnsi="Times New Roman" w:cs="Times New Roman"/>
          <w:bCs/>
          <w:color w:val="000000"/>
          <w:sz w:val="24"/>
          <w:szCs w:val="24"/>
        </w:rPr>
        <w:t xml:space="preserve">kitosan dapat mempertahankan kadar vitamin C walaupun terjadi penurunan, tingkat penurunannya cenderung rendah. Hal ini memungkinkan bahwa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tersebut mampu membentuk suatu lapisan yang cukup baik untuk menghambat proses transpirasi dan respirasi sehingga penurunan kandungan vitamin C pada buah dapat dihambat. </w:t>
      </w:r>
    </w:p>
    <w:p w14:paraId="56B0A491">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Sejalan dengan penelitian yang dilakukan oleh Windria (2024), di mana buah pepaya calina yang dilapisi dengan kitosan memiliki kadar vitamin c sebesar 291,22 mg/100g dan pepaya calina tanpa pelapisan memiliki kadar vitamin c sebesar 80,93 mg/100g.</w:t>
      </w:r>
      <w:r>
        <w:rPr>
          <w:rFonts w:ascii="Times New Roman" w:hAnsi="Times New Roman" w:cs="Times New Roman"/>
          <w:sz w:val="24"/>
          <w:szCs w:val="24"/>
        </w:rPr>
        <w:t xml:space="preserve"> Kadar vitamin c yang turun pada perlakuan pelapisan tidak terlalu besar dibandingkan dengan perlakuan tanpa pelapisan. </w:t>
      </w:r>
      <w:r>
        <w:rPr>
          <w:rFonts w:ascii="Times New Roman" w:hAnsi="Times New Roman" w:cs="Times New Roman"/>
          <w:bCs/>
          <w:color w:val="000000"/>
          <w:sz w:val="24"/>
          <w:szCs w:val="24"/>
        </w:rPr>
        <w:t>Hal ini menunjukkan bahwa lapisan edible coating dapat memperlambat masuknya oksigen ke dalam buah.</w:t>
      </w:r>
    </w:p>
    <w:p w14:paraId="2906FA75">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4.10.4 Total Padatan Terlarut (TPT)</w:t>
      </w:r>
    </w:p>
    <w:p w14:paraId="5AF21B5A">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Total padatan terlarut merupakan parameter penting dalam menentukan kualitas buah. Total padatan terlarut menggambarkan kandungan gula secara keseluruhan yang terdapat pada daging buah. Kandungan gula memberikan rasa manis yang akan menjadi penanda mutu yang penting bagi konsumen. Kualitas buah dipengaruhi oleh kadar total padatan terlarut, dimana semakin tinggi nilai total padatan terlarut maka tingkat kemanisan buah juga semakin tinggi.</w:t>
      </w:r>
    </w:p>
    <w:p w14:paraId="14B3ACE0">
      <w:pPr>
        <w:spacing w:after="0" w:line="240" w:lineRule="auto"/>
        <w:jc w:val="both"/>
        <w:rPr>
          <w:rFonts w:ascii="Times New Roman" w:hAnsi="Times New Roman" w:cs="Times New Roman"/>
          <w:bCs/>
          <w:color w:val="000000"/>
          <w:sz w:val="24"/>
          <w:szCs w:val="24"/>
        </w:rPr>
      </w:pPr>
      <w:r>
        <w:rPr>
          <w:rFonts w:ascii="Times New Roman" w:hAnsi="Times New Roman" w:cs="Times New Roman"/>
          <w:b/>
          <w:color w:val="000000"/>
          <w:sz w:val="24"/>
          <w:szCs w:val="24"/>
        </w:rPr>
        <w:t>Tabel 4.10</w:t>
      </w:r>
      <w:r>
        <w:rPr>
          <w:rFonts w:ascii="Times New Roman" w:hAnsi="Times New Roman" w:cs="Times New Roman"/>
          <w:bCs/>
          <w:color w:val="000000"/>
          <w:sz w:val="24"/>
          <w:szCs w:val="24"/>
        </w:rPr>
        <w:t xml:space="preserve"> Hasil pengujian total padatan terlarut (TPT) pada paprika merah</w:t>
      </w:r>
    </w:p>
    <w:tbl>
      <w:tblPr>
        <w:tblStyle w:val="22"/>
        <w:tblW w:w="7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1276"/>
        <w:gridCol w:w="1276"/>
        <w:gridCol w:w="1264"/>
        <w:gridCol w:w="1287"/>
      </w:tblGrid>
      <w:tr w14:paraId="6580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vMerge w:val="restart"/>
            <w:vAlign w:val="center"/>
          </w:tcPr>
          <w:p w14:paraId="04907884">
            <w:pPr>
              <w:spacing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Perlakuan</w:t>
            </w:r>
          </w:p>
        </w:tc>
        <w:tc>
          <w:tcPr>
            <w:tcW w:w="3816" w:type="dxa"/>
            <w:gridSpan w:val="3"/>
            <w:vAlign w:val="center"/>
          </w:tcPr>
          <w:p w14:paraId="5847C5B8">
            <w:pPr>
              <w:spacing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Pengulangan</w:t>
            </w:r>
          </w:p>
        </w:tc>
        <w:tc>
          <w:tcPr>
            <w:tcW w:w="1287" w:type="dxa"/>
            <w:vMerge w:val="restart"/>
            <w:vAlign w:val="center"/>
          </w:tcPr>
          <w:p w14:paraId="1874CF67">
            <w:pPr>
              <w:spacing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Rata-rata</w:t>
            </w:r>
          </w:p>
        </w:tc>
      </w:tr>
      <w:tr w14:paraId="6E56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vMerge w:val="continue"/>
            <w:vAlign w:val="center"/>
          </w:tcPr>
          <w:p w14:paraId="396B5EFF">
            <w:pPr>
              <w:spacing w:line="240" w:lineRule="auto"/>
              <w:jc w:val="center"/>
              <w:rPr>
                <w:rFonts w:ascii="Times New Roman" w:hAnsi="Times New Roman" w:cs="Times New Roman"/>
                <w:b/>
                <w:bCs/>
                <w:color w:val="000000"/>
                <w:sz w:val="24"/>
                <w:szCs w:val="24"/>
              </w:rPr>
            </w:pPr>
          </w:p>
        </w:tc>
        <w:tc>
          <w:tcPr>
            <w:tcW w:w="1276" w:type="dxa"/>
            <w:vAlign w:val="center"/>
          </w:tcPr>
          <w:p w14:paraId="3F5A9F63">
            <w:pPr>
              <w:spacing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276" w:type="dxa"/>
            <w:vAlign w:val="center"/>
          </w:tcPr>
          <w:p w14:paraId="69A2E8F5">
            <w:pPr>
              <w:spacing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264" w:type="dxa"/>
            <w:vAlign w:val="center"/>
          </w:tcPr>
          <w:p w14:paraId="3A4E12BC">
            <w:pPr>
              <w:spacing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c>
          <w:tcPr>
            <w:tcW w:w="1287" w:type="dxa"/>
            <w:vMerge w:val="continue"/>
            <w:vAlign w:val="center"/>
          </w:tcPr>
          <w:p w14:paraId="5BAECD50">
            <w:pPr>
              <w:spacing w:line="240" w:lineRule="auto"/>
              <w:jc w:val="center"/>
              <w:rPr>
                <w:rFonts w:ascii="Times New Roman" w:hAnsi="Times New Roman" w:cs="Times New Roman"/>
                <w:b/>
                <w:bCs/>
                <w:color w:val="000000"/>
                <w:sz w:val="24"/>
                <w:szCs w:val="24"/>
              </w:rPr>
            </w:pPr>
          </w:p>
        </w:tc>
      </w:tr>
      <w:tr w14:paraId="547D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75D1DC6C">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P0 : tanpa kitosan</w:t>
            </w:r>
          </w:p>
        </w:tc>
        <w:tc>
          <w:tcPr>
            <w:tcW w:w="1276" w:type="dxa"/>
          </w:tcPr>
          <w:p w14:paraId="03B34BC7">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1.355</w:t>
            </w:r>
          </w:p>
        </w:tc>
        <w:tc>
          <w:tcPr>
            <w:tcW w:w="1276" w:type="dxa"/>
          </w:tcPr>
          <w:p w14:paraId="56CB0F20">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1.355</w:t>
            </w:r>
          </w:p>
        </w:tc>
        <w:tc>
          <w:tcPr>
            <w:tcW w:w="1264" w:type="dxa"/>
          </w:tcPr>
          <w:p w14:paraId="29805147">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1.354</w:t>
            </w:r>
          </w:p>
        </w:tc>
        <w:tc>
          <w:tcPr>
            <w:tcW w:w="1287" w:type="dxa"/>
          </w:tcPr>
          <w:p w14:paraId="2AB28B27">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1.354</w:t>
            </w:r>
          </w:p>
        </w:tc>
      </w:tr>
      <w:tr w14:paraId="54BC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1608455E">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P1 : kitosan 3%</w:t>
            </w:r>
          </w:p>
        </w:tc>
        <w:tc>
          <w:tcPr>
            <w:tcW w:w="1276" w:type="dxa"/>
          </w:tcPr>
          <w:p w14:paraId="454BD4B8">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1.341</w:t>
            </w:r>
          </w:p>
        </w:tc>
        <w:tc>
          <w:tcPr>
            <w:tcW w:w="1276" w:type="dxa"/>
          </w:tcPr>
          <w:p w14:paraId="4C7E3BF5">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1.354</w:t>
            </w:r>
          </w:p>
        </w:tc>
        <w:tc>
          <w:tcPr>
            <w:tcW w:w="1264" w:type="dxa"/>
          </w:tcPr>
          <w:p w14:paraId="40B674BC">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1.354</w:t>
            </w:r>
          </w:p>
        </w:tc>
        <w:tc>
          <w:tcPr>
            <w:tcW w:w="1287" w:type="dxa"/>
          </w:tcPr>
          <w:p w14:paraId="71365A74">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1.346</w:t>
            </w:r>
          </w:p>
        </w:tc>
      </w:tr>
      <w:tr w14:paraId="00AC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5A33DAE3">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P2 : kitosan 6%</w:t>
            </w:r>
          </w:p>
        </w:tc>
        <w:tc>
          <w:tcPr>
            <w:tcW w:w="1276" w:type="dxa"/>
          </w:tcPr>
          <w:p w14:paraId="6DCC89CA">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1.345</w:t>
            </w:r>
          </w:p>
        </w:tc>
        <w:tc>
          <w:tcPr>
            <w:tcW w:w="1276" w:type="dxa"/>
          </w:tcPr>
          <w:p w14:paraId="2681564C">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1.344</w:t>
            </w:r>
          </w:p>
        </w:tc>
        <w:tc>
          <w:tcPr>
            <w:tcW w:w="1264" w:type="dxa"/>
          </w:tcPr>
          <w:p w14:paraId="15CB9D9B">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1.345</w:t>
            </w:r>
          </w:p>
        </w:tc>
        <w:tc>
          <w:tcPr>
            <w:tcW w:w="1287" w:type="dxa"/>
          </w:tcPr>
          <w:p w14:paraId="26800B70">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1.344</w:t>
            </w:r>
          </w:p>
        </w:tc>
      </w:tr>
      <w:tr w14:paraId="4C9A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328A2918">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P3 : kitosan 9%</w:t>
            </w:r>
          </w:p>
        </w:tc>
        <w:tc>
          <w:tcPr>
            <w:tcW w:w="1276" w:type="dxa"/>
          </w:tcPr>
          <w:p w14:paraId="3C2A01DE">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1.345</w:t>
            </w:r>
          </w:p>
        </w:tc>
        <w:tc>
          <w:tcPr>
            <w:tcW w:w="1276" w:type="dxa"/>
          </w:tcPr>
          <w:p w14:paraId="54D2DA7B">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1.345</w:t>
            </w:r>
          </w:p>
        </w:tc>
        <w:tc>
          <w:tcPr>
            <w:tcW w:w="1264" w:type="dxa"/>
          </w:tcPr>
          <w:p w14:paraId="2B0A74D6">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1.341</w:t>
            </w:r>
          </w:p>
        </w:tc>
        <w:tc>
          <w:tcPr>
            <w:tcW w:w="1287" w:type="dxa"/>
          </w:tcPr>
          <w:p w14:paraId="6938B535">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1.343</w:t>
            </w:r>
          </w:p>
        </w:tc>
      </w:tr>
    </w:tbl>
    <w:p w14:paraId="13A9E9DB">
      <w:pPr>
        <w:spacing w:before="240"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Tabel 4.10, menunjukkan bahwa pelapisan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dapat menahan peningkatan nilai total padatan terlarut selama 8 hari penyimpanan. Hasil total padatan terlarut selama penyimpanan terjadi peningkatan nilai TPT pada paprika merah yang tidak terlalu besar pada setiap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dengan berbagai konsentrasi. Perlakuan tanpa kitosan memiliki nilai total padatan terlarut yang lebih tinggi daripada perlakuan pelapis kitosan. Naiknya nilai TPT ini disebabkan karena pengurangan kadar air yang terjadi pada paprika merah selama penyimpanan berlangsung. Semakin berkurang kandungan air pada paprika merah maka TPT (kadar gula) akan meningkat seiring dengan lamanya waktu penyimpanan. Hal ini berarti bahwa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tersebut mampu membentuk lapisan yang cukup baik untuk menekan proses respirasi dan transpirasi sehingga dapat menghambat peningkatan kandungan total padatan terlarut (TPT).</w:t>
      </w:r>
    </w:p>
    <w:p w14:paraId="7100F5B5">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Umumnya, peningkatan TPT pada buah terjadi akibat proses metabolisme pascapanen, di mana pati dan asam organik diubah menjadi gula untuk digunakan dalam proses respirasi. Namun, pelapisan kitosan membentuk lapisan semipermeabel pada permukaan buah yang menghambat pertukaran gas dan uap air, sehingga memperlambat laju respirasi dan transpirasi. Akibatnya, degradasi pati menjadi gula sederhana dapat ditekan, sehingga peningkatan TPT dapat diminimalkan (</w:t>
      </w:r>
      <w:r>
        <w:rPr>
          <w:rFonts w:ascii="Times New Roman" w:hAnsi="Times New Roman" w:cs="Times New Roman"/>
          <w:color w:val="000000"/>
          <w:sz w:val="24"/>
          <w:szCs w:val="24"/>
        </w:rPr>
        <w:t xml:space="preserve">Astutiningsih, 2024). </w:t>
      </w:r>
      <w:r>
        <w:rPr>
          <w:rFonts w:ascii="Times New Roman" w:hAnsi="Times New Roman" w:cs="Times New Roman"/>
          <w:bCs/>
          <w:color w:val="000000"/>
          <w:sz w:val="24"/>
          <w:szCs w:val="24"/>
        </w:rPr>
        <w:t xml:space="preserve">Selama penyimpanan, peningkatan total padatan terlarut paprika merah berkurang seiring dengan konsentrasi kitosan yang ditambahkan ke dalam larutan lapisan. Ini karena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melindungi permukaan paprika merah dari oksigen. Akibatnya, proses respirasi terhambat dan total padatan terlarut paprika merah juga terhambat.</w:t>
      </w:r>
    </w:p>
    <w:p w14:paraId="41469E87">
      <w:pPr>
        <w:spacing w:after="0" w:line="480" w:lineRule="auto"/>
        <w:ind w:firstLine="720"/>
        <w:jc w:val="both"/>
        <w:rPr>
          <w:rFonts w:ascii="Times New Roman" w:hAnsi="Times New Roman" w:cs="Times New Roman"/>
          <w:bCs/>
          <w:color w:val="000000"/>
          <w:sz w:val="24"/>
          <w:szCs w:val="24"/>
          <w:lang w:val="en-US"/>
        </w:rPr>
      </w:pPr>
      <w:r>
        <w:rPr>
          <w:rFonts w:ascii="Times New Roman" w:hAnsi="Times New Roman" w:cs="Times New Roman"/>
          <w:bCs/>
          <w:color w:val="000000"/>
          <w:sz w:val="24"/>
          <w:szCs w:val="24"/>
        </w:rPr>
        <w:t xml:space="preserve">Sejalan dengan penelitian oleh sidik (2022) di mana kandungan TPT pada jeruk tanpa perendaman kitosan mengalami kenaikan yang lebih cepat dibandingkan dengan jeruk gerga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Bahtiar (2020) juga menyatakan bahwa padatan terlarut akan mengalami peningkatan selama proses pematangan, dengan peningkatan yang lebih signifikan terjadi pada respirasi yang berlangsung dengan cepat. Proses ini terjadi karena komponen kompleks, seperti polimer karbohidrat, terurai menjadi senyawa sederhana seperti sukrosa, glukosa, dan fruktosa, yang mudah larut dalam air.</w:t>
      </w:r>
    </w:p>
    <w:p w14:paraId="2B54F79C"/>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ion Pro">
    <w:altName w:val="Segoe Print"/>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28C6ABB6">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10</w:t>
        </w:r>
        <w:r>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0D86D">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37BE5">
    <w:pPr>
      <w:pStyle w:val="1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0AB86C35">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3C123">
    <w:pPr>
      <w:pStyle w:val="1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02922">
    <w:pPr>
      <w:pStyle w:val="1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IffrT4kAeZOfF/SVygxGsv/Jucw=" w:salt="evYc/3EAgEgRkkHeifZEt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7"/>
    <w:rsid w:val="0001408C"/>
    <w:rsid w:val="000206E4"/>
    <w:rsid w:val="00072A73"/>
    <w:rsid w:val="000A0074"/>
    <w:rsid w:val="000E6E1D"/>
    <w:rsid w:val="000E72A7"/>
    <w:rsid w:val="000F3289"/>
    <w:rsid w:val="001132E2"/>
    <w:rsid w:val="00115792"/>
    <w:rsid w:val="00124D68"/>
    <w:rsid w:val="001408BA"/>
    <w:rsid w:val="0014567D"/>
    <w:rsid w:val="001576F3"/>
    <w:rsid w:val="00163D73"/>
    <w:rsid w:val="00170B7E"/>
    <w:rsid w:val="0017491C"/>
    <w:rsid w:val="00177F65"/>
    <w:rsid w:val="00186330"/>
    <w:rsid w:val="001937E2"/>
    <w:rsid w:val="001A5A22"/>
    <w:rsid w:val="001B43E0"/>
    <w:rsid w:val="001B4B26"/>
    <w:rsid w:val="001C42BA"/>
    <w:rsid w:val="001D7752"/>
    <w:rsid w:val="001E17B9"/>
    <w:rsid w:val="001E505F"/>
    <w:rsid w:val="002033EF"/>
    <w:rsid w:val="0022031B"/>
    <w:rsid w:val="00231FD0"/>
    <w:rsid w:val="002368CA"/>
    <w:rsid w:val="00297D76"/>
    <w:rsid w:val="002D36CB"/>
    <w:rsid w:val="002E0E2D"/>
    <w:rsid w:val="00311966"/>
    <w:rsid w:val="00312990"/>
    <w:rsid w:val="00393BB9"/>
    <w:rsid w:val="00394114"/>
    <w:rsid w:val="003D5F01"/>
    <w:rsid w:val="003E1FF4"/>
    <w:rsid w:val="003F2E9C"/>
    <w:rsid w:val="00402B3F"/>
    <w:rsid w:val="004278E2"/>
    <w:rsid w:val="004323EF"/>
    <w:rsid w:val="00444BA0"/>
    <w:rsid w:val="004506C3"/>
    <w:rsid w:val="00461C41"/>
    <w:rsid w:val="0046416A"/>
    <w:rsid w:val="00486121"/>
    <w:rsid w:val="004923DF"/>
    <w:rsid w:val="004A01B7"/>
    <w:rsid w:val="004A3D14"/>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3891"/>
    <w:rsid w:val="00693FAF"/>
    <w:rsid w:val="006973EB"/>
    <w:rsid w:val="006A1F6A"/>
    <w:rsid w:val="006A705C"/>
    <w:rsid w:val="006A7444"/>
    <w:rsid w:val="006B48A2"/>
    <w:rsid w:val="006D7051"/>
    <w:rsid w:val="006F4508"/>
    <w:rsid w:val="00712BA0"/>
    <w:rsid w:val="00713015"/>
    <w:rsid w:val="00715FC5"/>
    <w:rsid w:val="00716CFD"/>
    <w:rsid w:val="00717FCB"/>
    <w:rsid w:val="00725D4D"/>
    <w:rsid w:val="007376F4"/>
    <w:rsid w:val="007718E3"/>
    <w:rsid w:val="00783571"/>
    <w:rsid w:val="00796CF1"/>
    <w:rsid w:val="007A2887"/>
    <w:rsid w:val="007F5836"/>
    <w:rsid w:val="00803D6A"/>
    <w:rsid w:val="00804A04"/>
    <w:rsid w:val="008125BD"/>
    <w:rsid w:val="00813C1C"/>
    <w:rsid w:val="008447ED"/>
    <w:rsid w:val="008508F0"/>
    <w:rsid w:val="008C37A2"/>
    <w:rsid w:val="008C3A97"/>
    <w:rsid w:val="008C52C7"/>
    <w:rsid w:val="008E551D"/>
    <w:rsid w:val="008F0063"/>
    <w:rsid w:val="008F57B3"/>
    <w:rsid w:val="0095693A"/>
    <w:rsid w:val="00957EF3"/>
    <w:rsid w:val="0096792E"/>
    <w:rsid w:val="009732FB"/>
    <w:rsid w:val="0097760C"/>
    <w:rsid w:val="0098722B"/>
    <w:rsid w:val="009B412E"/>
    <w:rsid w:val="009C01E0"/>
    <w:rsid w:val="009C2430"/>
    <w:rsid w:val="009D6AA4"/>
    <w:rsid w:val="009D77CB"/>
    <w:rsid w:val="00A37C15"/>
    <w:rsid w:val="00A67D67"/>
    <w:rsid w:val="00A83081"/>
    <w:rsid w:val="00A87C80"/>
    <w:rsid w:val="00AC24D2"/>
    <w:rsid w:val="00AE34B9"/>
    <w:rsid w:val="00AE39B6"/>
    <w:rsid w:val="00B067B1"/>
    <w:rsid w:val="00B11630"/>
    <w:rsid w:val="00B43376"/>
    <w:rsid w:val="00B6386D"/>
    <w:rsid w:val="00B70598"/>
    <w:rsid w:val="00B76CF4"/>
    <w:rsid w:val="00B91889"/>
    <w:rsid w:val="00BB7945"/>
    <w:rsid w:val="00BE5474"/>
    <w:rsid w:val="00C12AFD"/>
    <w:rsid w:val="00C2355E"/>
    <w:rsid w:val="00C24E16"/>
    <w:rsid w:val="00C34845"/>
    <w:rsid w:val="00C45B26"/>
    <w:rsid w:val="00C812F6"/>
    <w:rsid w:val="00CA0770"/>
    <w:rsid w:val="00CA6428"/>
    <w:rsid w:val="00CC2580"/>
    <w:rsid w:val="00CF0136"/>
    <w:rsid w:val="00CF12E0"/>
    <w:rsid w:val="00CF46A9"/>
    <w:rsid w:val="00D167C4"/>
    <w:rsid w:val="00D2736F"/>
    <w:rsid w:val="00D54749"/>
    <w:rsid w:val="00D67E81"/>
    <w:rsid w:val="00D83200"/>
    <w:rsid w:val="00DA2041"/>
    <w:rsid w:val="00DA770F"/>
    <w:rsid w:val="00DB4103"/>
    <w:rsid w:val="00DD1E44"/>
    <w:rsid w:val="00DD249C"/>
    <w:rsid w:val="00DD767D"/>
    <w:rsid w:val="00DE73CA"/>
    <w:rsid w:val="00DF1087"/>
    <w:rsid w:val="00DF39C8"/>
    <w:rsid w:val="00E205CB"/>
    <w:rsid w:val="00E459F5"/>
    <w:rsid w:val="00E479C9"/>
    <w:rsid w:val="00E57FAA"/>
    <w:rsid w:val="00E70194"/>
    <w:rsid w:val="00E7288E"/>
    <w:rsid w:val="00E77B9C"/>
    <w:rsid w:val="00E80E8A"/>
    <w:rsid w:val="00E81668"/>
    <w:rsid w:val="00EA0DD5"/>
    <w:rsid w:val="00F059F5"/>
    <w:rsid w:val="00F2784B"/>
    <w:rsid w:val="00F5325A"/>
    <w:rsid w:val="00F53B84"/>
    <w:rsid w:val="00F734F6"/>
    <w:rsid w:val="00FA5ACB"/>
    <w:rsid w:val="00FA7857"/>
    <w:rsid w:val="2ED71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semiHidden="0" w:name="toc 5"/>
    <w:lsdException w:uiPriority="39" w:semiHidden="0" w:name="toc 6"/>
    <w:lsdException w:qFormat="1" w:uiPriority="39" w:semiHidden="0" w:name="toc 7"/>
    <w:lsdException w:qFormat="1" w:uiPriority="39" w:semiHidden="0" w:name="toc 8"/>
    <w:lsdException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rPr>
  </w:style>
  <w:style w:type="paragraph" w:styleId="2">
    <w:name w:val="heading 1"/>
    <w:basedOn w:val="1"/>
    <w:next w:val="1"/>
    <w:link w:val="3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37"/>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38"/>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3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4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4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0"/>
    <w:semiHidden/>
    <w:unhideWhenUsed/>
    <w:qFormat/>
    <w:uiPriority w:val="99"/>
    <w:pPr>
      <w:spacing w:after="0" w:line="240" w:lineRule="auto"/>
    </w:pPr>
    <w:rPr>
      <w:rFonts w:ascii="Tahoma" w:hAnsi="Tahoma" w:cs="Tahoma"/>
      <w:sz w:val="16"/>
      <w:szCs w:val="16"/>
    </w:rPr>
  </w:style>
  <w:style w:type="paragraph" w:styleId="14">
    <w:name w:val="Body Text"/>
    <w:basedOn w:val="1"/>
    <w:link w:val="59"/>
    <w:unhideWhenUsed/>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en-US"/>
    </w:rPr>
  </w:style>
  <w:style w:type="paragraph" w:styleId="15">
    <w:name w:val="footer"/>
    <w:basedOn w:val="1"/>
    <w:link w:val="35"/>
    <w:unhideWhenUsed/>
    <w:qFormat/>
    <w:uiPriority w:val="99"/>
    <w:pPr>
      <w:tabs>
        <w:tab w:val="center" w:pos="4680"/>
        <w:tab w:val="right" w:pos="9360"/>
      </w:tabs>
      <w:spacing w:after="0" w:line="240" w:lineRule="auto"/>
    </w:pPr>
  </w:style>
  <w:style w:type="paragraph" w:styleId="16">
    <w:name w:val="header"/>
    <w:basedOn w:val="1"/>
    <w:link w:val="34"/>
    <w:unhideWhenUsed/>
    <w:qFormat/>
    <w:uiPriority w:val="99"/>
    <w:pPr>
      <w:tabs>
        <w:tab w:val="center" w:pos="4680"/>
        <w:tab w:val="right" w:pos="9360"/>
      </w:tabs>
      <w:spacing w:after="0" w:line="240" w:lineRule="auto"/>
    </w:pPr>
  </w:style>
  <w:style w:type="paragraph" w:styleId="17">
    <w:name w:val="HTML Preformatted"/>
    <w:basedOn w:val="1"/>
    <w:link w:val="6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US"/>
    </w:r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rPr>
      <w:rFonts w:ascii="Times New Roman" w:hAnsi="Times New Roman" w:cs="Times New Roman"/>
      <w:sz w:val="24"/>
      <w:szCs w:val="24"/>
    </w:rPr>
  </w:style>
  <w:style w:type="character" w:styleId="20">
    <w:name w:val="page number"/>
    <w:basedOn w:val="11"/>
    <w:semiHidden/>
    <w:unhideWhenUsed/>
    <w:qFormat/>
    <w:uiPriority w:val="99"/>
  </w:style>
  <w:style w:type="paragraph" w:styleId="21">
    <w:name w:val="Subtitle"/>
    <w:basedOn w:val="1"/>
    <w:next w:val="1"/>
    <w:link w:val="4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link w:val="4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tabs>
        <w:tab w:val="left" w:pos="1134"/>
        <w:tab w:val="right" w:leader="dot" w:pos="7927"/>
      </w:tabs>
      <w:spacing w:after="0" w:line="360" w:lineRule="auto"/>
      <w:jc w:val="both"/>
    </w:pPr>
    <w:rPr>
      <w:rFonts w:ascii="Times New Roman" w:hAnsi="Times New Roman" w:cs="Times New Roman"/>
      <w:b/>
      <w:bCs/>
      <w:kern w:val="0"/>
      <w:sz w:val="24"/>
      <w:szCs w:val="24"/>
      <w:lang w:val="en-US"/>
    </w:rPr>
  </w:style>
  <w:style w:type="paragraph" w:styleId="25">
    <w:name w:val="toc 2"/>
    <w:basedOn w:val="1"/>
    <w:next w:val="1"/>
    <w:autoRedefine/>
    <w:unhideWhenUsed/>
    <w:qFormat/>
    <w:uiPriority w:val="39"/>
    <w:pPr>
      <w:tabs>
        <w:tab w:val="left" w:pos="993"/>
        <w:tab w:val="left" w:pos="1418"/>
        <w:tab w:val="right" w:leader="dot" w:pos="7938"/>
      </w:tabs>
      <w:spacing w:after="200" w:line="240" w:lineRule="auto"/>
      <w:ind w:left="1418" w:hanging="1418"/>
    </w:pPr>
    <w:rPr>
      <w:rFonts w:ascii="Times New Roman" w:hAnsi="Times New Roman" w:cs="Times New Roman"/>
      <w:kern w:val="0"/>
      <w:sz w:val="24"/>
      <w:szCs w:val="24"/>
      <w:lang w:val="en-US"/>
    </w:rPr>
  </w:style>
  <w:style w:type="paragraph" w:styleId="26">
    <w:name w:val="toc 3"/>
    <w:basedOn w:val="1"/>
    <w:next w:val="1"/>
    <w:autoRedefine/>
    <w:unhideWhenUsed/>
    <w:qFormat/>
    <w:uiPriority w:val="39"/>
    <w:pPr>
      <w:tabs>
        <w:tab w:val="left" w:pos="993"/>
        <w:tab w:val="left" w:pos="1418"/>
        <w:tab w:val="right" w:leader="dot" w:pos="7938"/>
      </w:tabs>
      <w:spacing w:after="200" w:line="240" w:lineRule="auto"/>
      <w:ind w:left="1985" w:hanging="1985"/>
      <w:jc w:val="both"/>
    </w:pPr>
    <w:rPr>
      <w:rFonts w:ascii="Times New Roman" w:hAnsi="Times New Roman"/>
      <w:kern w:val="0"/>
      <w:sz w:val="24"/>
      <w:szCs w:val="24"/>
      <w:lang w:val="en-US"/>
    </w:rPr>
  </w:style>
  <w:style w:type="paragraph" w:styleId="27">
    <w:name w:val="toc 4"/>
    <w:basedOn w:val="1"/>
    <w:next w:val="1"/>
    <w:autoRedefine/>
    <w:unhideWhenUsed/>
    <w:qFormat/>
    <w:uiPriority w:val="39"/>
    <w:pPr>
      <w:spacing w:after="100"/>
      <w:ind w:left="660"/>
    </w:pPr>
    <w:rPr>
      <w:rFonts w:ascii="Times New Roman" w:hAnsi="Times New Roman" w:eastAsiaTheme="minorEastAsia"/>
      <w:kern w:val="0"/>
      <w:sz w:val="24"/>
      <w:lang w:eastAsia="id-ID"/>
    </w:rPr>
  </w:style>
  <w:style w:type="paragraph" w:styleId="28">
    <w:name w:val="toc 5"/>
    <w:basedOn w:val="1"/>
    <w:next w:val="1"/>
    <w:autoRedefine/>
    <w:unhideWhenUsed/>
    <w:uiPriority w:val="39"/>
    <w:pPr>
      <w:spacing w:after="100"/>
      <w:ind w:left="880"/>
    </w:pPr>
    <w:rPr>
      <w:rFonts w:ascii="Times New Roman" w:hAnsi="Times New Roman" w:eastAsiaTheme="minorEastAsia"/>
      <w:kern w:val="0"/>
      <w:sz w:val="24"/>
      <w:lang w:eastAsia="id-ID"/>
    </w:rPr>
  </w:style>
  <w:style w:type="paragraph" w:styleId="29">
    <w:name w:val="toc 6"/>
    <w:basedOn w:val="1"/>
    <w:next w:val="1"/>
    <w:autoRedefine/>
    <w:unhideWhenUsed/>
    <w:uiPriority w:val="39"/>
    <w:pPr>
      <w:spacing w:after="100"/>
      <w:ind w:left="1100"/>
    </w:pPr>
    <w:rPr>
      <w:rFonts w:ascii="Times New Roman" w:hAnsi="Times New Roman" w:eastAsiaTheme="minorEastAsia"/>
      <w:kern w:val="0"/>
      <w:sz w:val="24"/>
      <w:lang w:eastAsia="id-ID"/>
    </w:rPr>
  </w:style>
  <w:style w:type="paragraph" w:styleId="30">
    <w:name w:val="toc 7"/>
    <w:basedOn w:val="1"/>
    <w:next w:val="1"/>
    <w:autoRedefine/>
    <w:unhideWhenUsed/>
    <w:qFormat/>
    <w:uiPriority w:val="39"/>
    <w:pPr>
      <w:spacing w:after="100"/>
      <w:ind w:left="1320"/>
    </w:pPr>
    <w:rPr>
      <w:rFonts w:ascii="Times New Roman" w:hAnsi="Times New Roman" w:eastAsiaTheme="minorEastAsia"/>
      <w:kern w:val="0"/>
      <w:sz w:val="24"/>
      <w:lang w:eastAsia="id-ID"/>
    </w:rPr>
  </w:style>
  <w:style w:type="paragraph" w:styleId="31">
    <w:name w:val="toc 8"/>
    <w:basedOn w:val="1"/>
    <w:next w:val="1"/>
    <w:autoRedefine/>
    <w:unhideWhenUsed/>
    <w:qFormat/>
    <w:uiPriority w:val="39"/>
    <w:pPr>
      <w:spacing w:after="100"/>
      <w:ind w:left="1540"/>
    </w:pPr>
    <w:rPr>
      <w:rFonts w:ascii="Times New Roman" w:hAnsi="Times New Roman" w:eastAsiaTheme="minorEastAsia"/>
      <w:kern w:val="0"/>
      <w:sz w:val="24"/>
      <w:lang w:eastAsia="id-ID"/>
    </w:rPr>
  </w:style>
  <w:style w:type="paragraph" w:styleId="32">
    <w:name w:val="toc 9"/>
    <w:basedOn w:val="1"/>
    <w:next w:val="1"/>
    <w:autoRedefine/>
    <w:unhideWhenUsed/>
    <w:uiPriority w:val="39"/>
    <w:pPr>
      <w:spacing w:after="100"/>
      <w:ind w:left="1760"/>
    </w:pPr>
    <w:rPr>
      <w:rFonts w:ascii="Times New Roman" w:hAnsi="Times New Roman" w:eastAsiaTheme="minorEastAsia"/>
      <w:kern w:val="0"/>
      <w:sz w:val="24"/>
      <w:lang w:eastAsia="id-ID"/>
    </w:rPr>
  </w:style>
  <w:style w:type="table" w:styleId="33">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34">
    <w:name w:val="Header Char"/>
    <w:basedOn w:val="11"/>
    <w:link w:val="16"/>
    <w:qFormat/>
    <w:uiPriority w:val="99"/>
    <w:rPr>
      <w:kern w:val="2"/>
      <w:lang w:val="id-ID"/>
    </w:rPr>
  </w:style>
  <w:style w:type="character" w:customStyle="1" w:styleId="35">
    <w:name w:val="Footer Char"/>
    <w:basedOn w:val="11"/>
    <w:link w:val="15"/>
    <w:qFormat/>
    <w:uiPriority w:val="99"/>
    <w:rPr>
      <w:kern w:val="2"/>
      <w:lang w:val="id-ID"/>
    </w:rPr>
  </w:style>
  <w:style w:type="character" w:customStyle="1" w:styleId="36">
    <w:name w:val="Heading 1 Char"/>
    <w:basedOn w:val="11"/>
    <w:link w:val="2"/>
    <w:qFormat/>
    <w:uiPriority w:val="9"/>
    <w:rPr>
      <w:rFonts w:asciiTheme="majorHAnsi" w:hAnsiTheme="majorHAnsi" w:eastAsiaTheme="majorEastAsia" w:cstheme="majorBidi"/>
      <w:color w:val="376092" w:themeColor="accent1" w:themeShade="BF"/>
      <w:kern w:val="2"/>
      <w:sz w:val="40"/>
      <w:szCs w:val="40"/>
      <w:lang w:val="id-ID"/>
    </w:rPr>
  </w:style>
  <w:style w:type="character" w:customStyle="1" w:styleId="37">
    <w:name w:val="Heading 2 Char"/>
    <w:basedOn w:val="11"/>
    <w:link w:val="3"/>
    <w:qFormat/>
    <w:uiPriority w:val="9"/>
    <w:rPr>
      <w:rFonts w:asciiTheme="majorHAnsi" w:hAnsiTheme="majorHAnsi" w:eastAsiaTheme="majorEastAsia" w:cstheme="majorBidi"/>
      <w:color w:val="376092" w:themeColor="accent1" w:themeShade="BF"/>
      <w:kern w:val="2"/>
      <w:sz w:val="32"/>
      <w:szCs w:val="32"/>
      <w:lang w:val="id-ID"/>
    </w:rPr>
  </w:style>
  <w:style w:type="character" w:customStyle="1" w:styleId="38">
    <w:name w:val="Heading 3 Char"/>
    <w:basedOn w:val="11"/>
    <w:link w:val="4"/>
    <w:qFormat/>
    <w:uiPriority w:val="9"/>
    <w:rPr>
      <w:rFonts w:eastAsiaTheme="majorEastAsia" w:cstheme="majorBidi"/>
      <w:color w:val="376092" w:themeColor="accent1" w:themeShade="BF"/>
      <w:kern w:val="2"/>
      <w:sz w:val="28"/>
      <w:szCs w:val="28"/>
      <w:lang w:val="id-ID"/>
    </w:rPr>
  </w:style>
  <w:style w:type="character" w:customStyle="1" w:styleId="39">
    <w:name w:val="Heading 4 Char"/>
    <w:basedOn w:val="11"/>
    <w:link w:val="5"/>
    <w:semiHidden/>
    <w:qFormat/>
    <w:uiPriority w:val="9"/>
    <w:rPr>
      <w:rFonts w:eastAsiaTheme="majorEastAsia" w:cstheme="majorBidi"/>
      <w:i/>
      <w:iCs/>
      <w:color w:val="376092" w:themeColor="accent1" w:themeShade="BF"/>
      <w:kern w:val="2"/>
      <w:lang w:val="id-ID"/>
    </w:rPr>
  </w:style>
  <w:style w:type="character" w:customStyle="1" w:styleId="40">
    <w:name w:val="Heading 5 Char"/>
    <w:basedOn w:val="11"/>
    <w:link w:val="6"/>
    <w:semiHidden/>
    <w:qFormat/>
    <w:uiPriority w:val="9"/>
    <w:rPr>
      <w:rFonts w:eastAsiaTheme="majorEastAsia" w:cstheme="majorBidi"/>
      <w:color w:val="376092" w:themeColor="accent1" w:themeShade="BF"/>
      <w:kern w:val="2"/>
      <w:lang w:val="id-ID"/>
    </w:rPr>
  </w:style>
  <w:style w:type="character" w:customStyle="1" w:styleId="41">
    <w:name w:val="Heading 6 Char"/>
    <w:basedOn w:val="11"/>
    <w:link w:val="7"/>
    <w:semiHidden/>
    <w:qFormat/>
    <w:uiPriority w:val="9"/>
    <w:rPr>
      <w:rFonts w:eastAsiaTheme="majorEastAsia" w:cstheme="majorBidi"/>
      <w:i/>
      <w:iCs/>
      <w:color w:val="595959" w:themeColor="text1" w:themeTint="A6"/>
      <w:kern w:val="2"/>
      <w:lang w:val="id-ID"/>
      <w14:textFill>
        <w14:solidFill>
          <w14:schemeClr w14:val="tx1">
            <w14:lumMod w14:val="65000"/>
            <w14:lumOff w14:val="35000"/>
          </w14:schemeClr>
        </w14:solidFill>
      </w14:textFill>
    </w:rPr>
  </w:style>
  <w:style w:type="character" w:customStyle="1" w:styleId="42">
    <w:name w:val="Heading 7 Char"/>
    <w:basedOn w:val="11"/>
    <w:link w:val="8"/>
    <w:semiHidden/>
    <w:qFormat/>
    <w:uiPriority w:val="9"/>
    <w:rPr>
      <w:rFonts w:eastAsiaTheme="majorEastAsia" w:cstheme="majorBidi"/>
      <w:color w:val="595959" w:themeColor="text1" w:themeTint="A6"/>
      <w:kern w:val="2"/>
      <w:lang w:val="id-ID"/>
      <w14:textFill>
        <w14:solidFill>
          <w14:schemeClr w14:val="tx1">
            <w14:lumMod w14:val="65000"/>
            <w14:lumOff w14:val="35000"/>
          </w14:schemeClr>
        </w14:solidFill>
      </w14:textFill>
    </w:rPr>
  </w:style>
  <w:style w:type="character" w:customStyle="1" w:styleId="43">
    <w:name w:val="Heading 8 Char"/>
    <w:basedOn w:val="11"/>
    <w:link w:val="9"/>
    <w:semiHidden/>
    <w:qFormat/>
    <w:uiPriority w:val="9"/>
    <w:rPr>
      <w:rFonts w:eastAsiaTheme="majorEastAsia" w:cstheme="majorBidi"/>
      <w:i/>
      <w:iCs/>
      <w:color w:val="262626" w:themeColor="text1" w:themeTint="D9"/>
      <w:kern w:val="2"/>
      <w:lang w:val="id-ID"/>
      <w14:textFill>
        <w14:solidFill>
          <w14:schemeClr w14:val="tx1">
            <w14:lumMod w14:val="85000"/>
            <w14:lumOff w14:val="15000"/>
          </w14:schemeClr>
        </w14:solidFill>
      </w14:textFill>
    </w:rPr>
  </w:style>
  <w:style w:type="character" w:customStyle="1" w:styleId="44">
    <w:name w:val="Heading 9 Char"/>
    <w:basedOn w:val="11"/>
    <w:link w:val="10"/>
    <w:semiHidden/>
    <w:qFormat/>
    <w:uiPriority w:val="9"/>
    <w:rPr>
      <w:rFonts w:eastAsiaTheme="majorEastAsia" w:cstheme="majorBidi"/>
      <w:color w:val="262626" w:themeColor="text1" w:themeTint="D9"/>
      <w:kern w:val="2"/>
      <w:lang w:val="id-ID"/>
      <w14:textFill>
        <w14:solidFill>
          <w14:schemeClr w14:val="tx1">
            <w14:lumMod w14:val="85000"/>
            <w14:lumOff w14:val="15000"/>
          </w14:schemeClr>
        </w14:solidFill>
      </w14:textFill>
    </w:rPr>
  </w:style>
  <w:style w:type="character" w:customStyle="1" w:styleId="45">
    <w:name w:val="Title Char"/>
    <w:basedOn w:val="11"/>
    <w:link w:val="23"/>
    <w:qFormat/>
    <w:uiPriority w:val="10"/>
    <w:rPr>
      <w:rFonts w:asciiTheme="majorHAnsi" w:hAnsiTheme="majorHAnsi" w:eastAsiaTheme="majorEastAsia" w:cstheme="majorBidi"/>
      <w:spacing w:val="-10"/>
      <w:kern w:val="28"/>
      <w:sz w:val="56"/>
      <w:szCs w:val="56"/>
      <w:lang w:val="id-ID"/>
    </w:rPr>
  </w:style>
  <w:style w:type="character" w:customStyle="1" w:styleId="46">
    <w:name w:val="Subtitle Char"/>
    <w:basedOn w:val="11"/>
    <w:link w:val="21"/>
    <w:qFormat/>
    <w:uiPriority w:val="11"/>
    <w:rPr>
      <w:rFonts w:eastAsiaTheme="majorEastAsia" w:cstheme="majorBidi"/>
      <w:color w:val="595959" w:themeColor="text1" w:themeTint="A6"/>
      <w:spacing w:val="15"/>
      <w:kern w:val="2"/>
      <w:sz w:val="28"/>
      <w:szCs w:val="28"/>
      <w:lang w:val="id-ID"/>
      <w14:textFill>
        <w14:solidFill>
          <w14:schemeClr w14:val="tx1">
            <w14:lumMod w14:val="65000"/>
            <w14:lumOff w14:val="35000"/>
          </w14:schemeClr>
        </w14:solidFill>
      </w14:textFill>
    </w:rPr>
  </w:style>
  <w:style w:type="paragraph" w:styleId="47">
    <w:name w:val="Quote"/>
    <w:basedOn w:val="1"/>
    <w:next w:val="1"/>
    <w:link w:val="4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8">
    <w:name w:val="Quote Char"/>
    <w:basedOn w:val="11"/>
    <w:link w:val="47"/>
    <w:qFormat/>
    <w:uiPriority w:val="29"/>
    <w:rPr>
      <w:i/>
      <w:iCs/>
      <w:color w:val="404040" w:themeColor="text1" w:themeTint="BF"/>
      <w:kern w:val="2"/>
      <w:lang w:val="id-ID"/>
      <w14:textFill>
        <w14:solidFill>
          <w14:schemeClr w14:val="tx1">
            <w14:lumMod w14:val="75000"/>
            <w14:lumOff w14:val="25000"/>
          </w14:schemeClr>
        </w14:solidFill>
      </w14:textFill>
    </w:rPr>
  </w:style>
  <w:style w:type="paragraph" w:styleId="49">
    <w:name w:val="List Paragraph"/>
    <w:basedOn w:val="1"/>
    <w:link w:val="54"/>
    <w:qFormat/>
    <w:uiPriority w:val="34"/>
    <w:pPr>
      <w:ind w:left="720"/>
      <w:contextualSpacing/>
    </w:pPr>
  </w:style>
  <w:style w:type="character" w:customStyle="1" w:styleId="50">
    <w:name w:val="Intense Emphasis"/>
    <w:basedOn w:val="11"/>
    <w:qFormat/>
    <w:uiPriority w:val="21"/>
    <w:rPr>
      <w:i/>
      <w:iCs/>
      <w:color w:val="376092" w:themeColor="accent1" w:themeShade="BF"/>
    </w:rPr>
  </w:style>
  <w:style w:type="paragraph" w:styleId="51">
    <w:name w:val="Intense Quote"/>
    <w:basedOn w:val="1"/>
    <w:next w:val="1"/>
    <w:link w:val="5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2">
    <w:name w:val="Intense Quote Char"/>
    <w:basedOn w:val="11"/>
    <w:link w:val="51"/>
    <w:qFormat/>
    <w:uiPriority w:val="30"/>
    <w:rPr>
      <w:i/>
      <w:iCs/>
      <w:color w:val="376092" w:themeColor="accent1" w:themeShade="BF"/>
      <w:kern w:val="2"/>
      <w:lang w:val="id-ID"/>
    </w:rPr>
  </w:style>
  <w:style w:type="character" w:customStyle="1" w:styleId="53">
    <w:name w:val="Intense Reference"/>
    <w:basedOn w:val="11"/>
    <w:qFormat/>
    <w:uiPriority w:val="32"/>
    <w:rPr>
      <w:b/>
      <w:bCs/>
      <w:smallCaps/>
      <w:color w:val="376092" w:themeColor="accent1" w:themeShade="BF"/>
      <w:spacing w:val="5"/>
    </w:rPr>
  </w:style>
  <w:style w:type="character" w:customStyle="1" w:styleId="54">
    <w:name w:val="List Paragraph Char"/>
    <w:basedOn w:val="11"/>
    <w:link w:val="49"/>
    <w:qFormat/>
    <w:uiPriority w:val="34"/>
    <w:rPr>
      <w:kern w:val="2"/>
      <w:lang w:val="id-ID"/>
    </w:rPr>
  </w:style>
  <w:style w:type="paragraph" w:customStyle="1" w:styleId="55">
    <w:name w:val="Default"/>
    <w:link w:val="56"/>
    <w:qFormat/>
    <w:uiPriority w:val="0"/>
    <w:pPr>
      <w:autoSpaceDE w:val="0"/>
      <w:autoSpaceDN w:val="0"/>
      <w:adjustRightInd w:val="0"/>
      <w:spacing w:after="0" w:line="240" w:lineRule="auto"/>
    </w:pPr>
    <w:rPr>
      <w:rFonts w:ascii="Minion Pro" w:hAnsi="Minion Pro" w:cs="Minion Pro" w:eastAsiaTheme="minorHAnsi"/>
      <w:color w:val="000000"/>
      <w:sz w:val="24"/>
      <w:szCs w:val="24"/>
      <w:lang w:val="id-ID" w:eastAsia="en-US" w:bidi="ar-SA"/>
    </w:rPr>
  </w:style>
  <w:style w:type="character" w:customStyle="1" w:styleId="56">
    <w:name w:val="Default Char"/>
    <w:basedOn w:val="11"/>
    <w:link w:val="55"/>
    <w:qFormat/>
    <w:uiPriority w:val="0"/>
    <w:rPr>
      <w:rFonts w:ascii="Minion Pro" w:hAnsi="Minion Pro" w:cs="Minion Pro"/>
      <w:color w:val="000000"/>
      <w:sz w:val="24"/>
      <w:szCs w:val="24"/>
      <w:lang w:val="id-ID"/>
    </w:rPr>
  </w:style>
  <w:style w:type="character" w:styleId="57">
    <w:name w:val="Placeholder Text"/>
    <w:basedOn w:val="11"/>
    <w:semiHidden/>
    <w:qFormat/>
    <w:uiPriority w:val="99"/>
    <w:rPr>
      <w:color w:val="666666"/>
    </w:rPr>
  </w:style>
  <w:style w:type="character" w:customStyle="1" w:styleId="58">
    <w:name w:val="Sebutan Yang Belum Terselesaikan1"/>
    <w:basedOn w:val="11"/>
    <w:semiHidden/>
    <w:unhideWhenUsed/>
    <w:qFormat/>
    <w:uiPriority w:val="99"/>
    <w:rPr>
      <w:color w:val="605E5C"/>
      <w:shd w:val="clear" w:color="auto" w:fill="E1DFDD"/>
    </w:rPr>
  </w:style>
  <w:style w:type="character" w:customStyle="1" w:styleId="59">
    <w:name w:val="Body Text Char"/>
    <w:basedOn w:val="11"/>
    <w:link w:val="14"/>
    <w:qFormat/>
    <w:uiPriority w:val="1"/>
    <w:rPr>
      <w:rFonts w:ascii="Times New Roman" w:hAnsi="Times New Roman" w:eastAsia="Times New Roman" w:cs="Times New Roman"/>
      <w:sz w:val="24"/>
      <w:szCs w:val="24"/>
    </w:rPr>
  </w:style>
  <w:style w:type="character" w:customStyle="1" w:styleId="60">
    <w:name w:val="Balloon Text Char"/>
    <w:basedOn w:val="11"/>
    <w:link w:val="13"/>
    <w:semiHidden/>
    <w:uiPriority w:val="99"/>
    <w:rPr>
      <w:rFonts w:ascii="Tahoma" w:hAnsi="Tahoma" w:cs="Tahoma"/>
      <w:kern w:val="2"/>
      <w:sz w:val="16"/>
      <w:szCs w:val="16"/>
      <w:lang w:val="id-ID"/>
    </w:rPr>
  </w:style>
  <w:style w:type="character" w:customStyle="1" w:styleId="61">
    <w:name w:val="selectable-text"/>
    <w:basedOn w:val="11"/>
    <w:qFormat/>
    <w:uiPriority w:val="0"/>
  </w:style>
  <w:style w:type="character" w:customStyle="1" w:styleId="62">
    <w:name w:val="HTML Preformatted Char"/>
    <w:basedOn w:val="11"/>
    <w:link w:val="17"/>
    <w:semiHidden/>
    <w:qFormat/>
    <w:uiPriority w:val="99"/>
    <w:rPr>
      <w:rFonts w:ascii="Courier New" w:hAnsi="Courier New" w:eastAsia="Times New Roman" w:cs="Courier New"/>
      <w:sz w:val="20"/>
      <w:szCs w:val="20"/>
    </w:rPr>
  </w:style>
  <w:style w:type="character" w:customStyle="1" w:styleId="63">
    <w:name w:val="y2iqfc"/>
    <w:basedOn w:val="11"/>
    <w:uiPriority w:val="0"/>
  </w:style>
  <w:style w:type="character" w:customStyle="1" w:styleId="64">
    <w:name w:val="A2"/>
    <w:qFormat/>
    <w:uiPriority w:val="99"/>
    <w:rPr>
      <w:rFonts w:cs="Bookman Old Style"/>
      <w:color w:val="000000"/>
      <w:sz w:val="20"/>
      <w:szCs w:val="20"/>
    </w:rPr>
  </w:style>
  <w:style w:type="character" w:customStyle="1" w:styleId="65">
    <w:name w:val="A4"/>
    <w:qFormat/>
    <w:uiPriority w:val="99"/>
    <w:rPr>
      <w:rFonts w:cs="Bookman Old Style"/>
      <w:color w:val="000000"/>
      <w:sz w:val="11"/>
      <w:szCs w:val="11"/>
    </w:rPr>
  </w:style>
  <w:style w:type="character" w:customStyle="1" w:styleId="66">
    <w:name w:val="fontstyle01"/>
    <w:basedOn w:val="11"/>
    <w:uiPriority w:val="0"/>
    <w:rPr>
      <w:rFonts w:hint="default" w:ascii="TimesNewRomanPSMT" w:hAnsi="TimesNewRomanPSMT"/>
      <w:color w:val="000000"/>
      <w:sz w:val="24"/>
      <w:szCs w:val="24"/>
    </w:rPr>
  </w:style>
  <w:style w:type="character" w:customStyle="1" w:styleId="67">
    <w:name w:val="fontstyle21"/>
    <w:basedOn w:val="11"/>
    <w:uiPriority w:val="0"/>
    <w:rPr>
      <w:rFonts w:hint="default" w:ascii="TimesNewRomanPS-ItalicMT" w:hAnsi="TimesNewRomanPS-ItalicMT"/>
      <w:i/>
      <w:iCs/>
      <w:color w:val="000000"/>
      <w:sz w:val="24"/>
      <w:szCs w:val="24"/>
    </w:rPr>
  </w:style>
  <w:style w:type="character" w:customStyle="1" w:styleId="68">
    <w:name w:val="A3"/>
    <w:uiPriority w:val="99"/>
    <w:rPr>
      <w:rFonts w:cs="Garamond"/>
      <w:b/>
      <w:bCs/>
      <w:color w:val="000000"/>
      <w:sz w:val="11"/>
      <w:szCs w:val="11"/>
    </w:rPr>
  </w:style>
  <w:style w:type="character" w:customStyle="1" w:styleId="69">
    <w:name w:val="A0"/>
    <w:uiPriority w:val="99"/>
    <w:rPr>
      <w:i/>
      <w:iCs/>
      <w:color w:val="000000"/>
      <w:sz w:val="18"/>
      <w:szCs w:val="18"/>
    </w:rPr>
  </w:style>
  <w:style w:type="paragraph" w:customStyle="1" w:styleId="70">
    <w:name w:val="bab 2"/>
    <w:basedOn w:val="2"/>
    <w:link w:val="71"/>
    <w:uiPriority w:val="0"/>
    <w:pPr>
      <w:keepNext w:val="0"/>
      <w:keepLines w:val="0"/>
      <w:tabs>
        <w:tab w:val="center" w:pos="3968"/>
        <w:tab w:val="right" w:pos="7937"/>
      </w:tabs>
      <w:spacing w:before="0" w:after="200" w:line="276" w:lineRule="auto"/>
      <w:jc w:val="center"/>
    </w:pPr>
    <w:rPr>
      <w:rFonts w:ascii="Times New Roman" w:hAnsi="Times New Roman" w:cs="Times New Roman"/>
      <w:b/>
      <w:bCs/>
    </w:rPr>
  </w:style>
  <w:style w:type="character" w:customStyle="1" w:styleId="71">
    <w:name w:val="bab 2 Char"/>
    <w:basedOn w:val="36"/>
    <w:link w:val="70"/>
    <w:qFormat/>
    <w:uiPriority w:val="0"/>
    <w:rPr>
      <w:rFonts w:ascii="Times New Roman" w:hAnsi="Times New Roman" w:cs="Times New Roman" w:eastAsiaTheme="majorEastAsia"/>
      <w:b/>
      <w:bCs/>
      <w:color w:val="376092" w:themeColor="accent1" w:themeShade="BF"/>
      <w:kern w:val="2"/>
      <w:sz w:val="40"/>
      <w:szCs w:val="40"/>
      <w:lang w:val="id-ID"/>
    </w:rPr>
  </w:style>
  <w:style w:type="paragraph" w:customStyle="1" w:styleId="72">
    <w:name w:val="bab 3"/>
    <w:basedOn w:val="1"/>
    <w:link w:val="73"/>
    <w:uiPriority w:val="0"/>
    <w:pPr>
      <w:spacing w:after="200" w:line="240" w:lineRule="auto"/>
      <w:jc w:val="center"/>
    </w:pPr>
    <w:rPr>
      <w:rFonts w:ascii="Times New Roman" w:hAnsi="Times New Roman" w:cs="Times New Roman"/>
      <w:b/>
      <w:kern w:val="0"/>
      <w:sz w:val="24"/>
      <w:szCs w:val="24"/>
      <w:lang w:val="en-US"/>
    </w:rPr>
  </w:style>
  <w:style w:type="character" w:customStyle="1" w:styleId="73">
    <w:name w:val="bab 3 Char"/>
    <w:basedOn w:val="11"/>
    <w:link w:val="72"/>
    <w:qFormat/>
    <w:uiPriority w:val="0"/>
    <w:rPr>
      <w:rFonts w:ascii="Times New Roman" w:hAnsi="Times New Roman" w:cs="Times New Roman"/>
      <w:b/>
      <w:sz w:val="24"/>
      <w:szCs w:val="24"/>
    </w:rPr>
  </w:style>
  <w:style w:type="paragraph" w:customStyle="1" w:styleId="74">
    <w:name w:val="bab 4"/>
    <w:basedOn w:val="55"/>
    <w:link w:val="75"/>
    <w:uiPriority w:val="0"/>
    <w:pPr>
      <w:jc w:val="center"/>
    </w:pPr>
    <w:rPr>
      <w:rFonts w:ascii="Times New Roman" w:hAnsi="Times New Roman" w:cs="Times New Roman"/>
      <w:b/>
      <w:bCs/>
    </w:rPr>
  </w:style>
  <w:style w:type="character" w:customStyle="1" w:styleId="75">
    <w:name w:val="bab 4 Char"/>
    <w:basedOn w:val="56"/>
    <w:link w:val="74"/>
    <w:uiPriority w:val="0"/>
    <w:rPr>
      <w:rFonts w:ascii="Times New Roman" w:hAnsi="Times New Roman" w:cs="Times New Roman"/>
      <w:b/>
      <w:bCs/>
      <w:color w:val="000000"/>
      <w:sz w:val="24"/>
      <w:szCs w:val="24"/>
      <w:lang w:val="id-ID"/>
    </w:rPr>
  </w:style>
  <w:style w:type="paragraph" w:customStyle="1" w:styleId="76">
    <w:name w:val="bab 5"/>
    <w:basedOn w:val="1"/>
    <w:link w:val="77"/>
    <w:uiPriority w:val="0"/>
    <w:pPr>
      <w:spacing w:after="200" w:line="480" w:lineRule="auto"/>
      <w:jc w:val="center"/>
    </w:pPr>
    <w:rPr>
      <w:rFonts w:ascii="Times New Roman" w:hAnsi="Times New Roman" w:cs="Times New Roman"/>
      <w:b/>
      <w:bCs/>
      <w:kern w:val="0"/>
      <w:sz w:val="24"/>
      <w:szCs w:val="24"/>
      <w:lang w:val="en-US"/>
    </w:rPr>
  </w:style>
  <w:style w:type="character" w:customStyle="1" w:styleId="77">
    <w:name w:val="bab 5 Char"/>
    <w:basedOn w:val="11"/>
    <w:link w:val="76"/>
    <w:uiPriority w:val="0"/>
    <w:rPr>
      <w:rFonts w:ascii="Times New Roman" w:hAnsi="Times New Roman" w:cs="Times New Roman"/>
      <w:b/>
      <w:bCs/>
      <w:sz w:val="24"/>
      <w:szCs w:val="24"/>
    </w:rPr>
  </w:style>
  <w:style w:type="paragraph" w:customStyle="1" w:styleId="78">
    <w:name w:val="TOC Heading"/>
    <w:basedOn w:val="2"/>
    <w:next w:val="1"/>
    <w:unhideWhenUsed/>
    <w:qFormat/>
    <w:uiPriority w:val="39"/>
    <w:pPr>
      <w:tabs>
        <w:tab w:val="center" w:pos="3968"/>
        <w:tab w:val="right" w:pos="7937"/>
      </w:tabs>
      <w:spacing w:before="240" w:after="0" w:line="360" w:lineRule="auto"/>
      <w:outlineLvl w:val="9"/>
    </w:pPr>
    <w:rPr>
      <w:bCs/>
      <w:kern w:val="0"/>
      <w:sz w:val="32"/>
      <w:szCs w:val="32"/>
      <w:lang w:val="en-US"/>
    </w:rPr>
  </w:style>
  <w:style w:type="paragraph" w:styleId="79">
    <w:name w:val="No Spacing"/>
    <w:qFormat/>
    <w:uiPriority w:val="1"/>
    <w:pPr>
      <w:spacing w:after="0" w:line="240" w:lineRule="auto"/>
    </w:pPr>
    <w:rPr>
      <w:rFonts w:ascii="Times New Roman" w:hAnsi="Times New Roman" w:eastAsiaTheme="minorHAnsi" w:cstheme="minorBidi"/>
      <w:sz w:val="24"/>
      <w:szCs w:val="22"/>
      <w:lang w:val="en-US" w:eastAsia="en-US" w:bidi="ar-SA"/>
    </w:rPr>
  </w:style>
  <w:style w:type="paragraph" w:customStyle="1" w:styleId="8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rPr>
  </w:style>
  <w:style w:type="character" w:customStyle="1" w:styleId="81">
    <w:name w:val="Unresolved Mention1"/>
    <w:basedOn w:val="11"/>
    <w:semiHidden/>
    <w:unhideWhenUsed/>
    <w:uiPriority w:val="99"/>
    <w:rPr>
      <w:color w:val="605E5C"/>
      <w:shd w:val="clear" w:color="auto" w:fill="E1DFDD"/>
    </w:rPr>
  </w:style>
  <w:style w:type="table" w:customStyle="1" w:styleId="82">
    <w:name w:val="Table Normal1"/>
    <w:semiHidden/>
    <w:qFormat/>
    <w:uiPriority w:val="2"/>
    <w:pPr>
      <w:widowControl w:val="0"/>
      <w:autoSpaceDE w:val="0"/>
      <w:autoSpaceDN w:val="0"/>
      <w:spacing w:after="0" w:line="240" w:lineRule="auto"/>
    </w:pPr>
    <w:tblPr>
      <w:tblCellMar>
        <w:top w:w="0" w:type="dxa"/>
        <w:left w:w="0" w:type="dxa"/>
        <w:bottom w:w="0" w:type="dxa"/>
        <w:right w:w="0" w:type="dxa"/>
      </w:tblCellMar>
    </w:tblPr>
  </w:style>
  <w:style w:type="character" w:customStyle="1" w:styleId="8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008399743683"/>
          <c:y val="0.104038004750594"/>
          <c:w val="0.761156053781437"/>
          <c:h val="0.685795741976007"/>
        </c:manualLayout>
      </c:layout>
      <c:barChart>
        <c:barDir val="col"/>
        <c:grouping val="clustered"/>
        <c:varyColors val="0"/>
        <c:ser>
          <c:idx val="0"/>
          <c:order val="0"/>
          <c:tx>
            <c:strRef>
              <c:f>Sheet1!$B$1</c:f>
              <c:strCache>
                <c:ptCount val="1"/>
                <c:pt idx="0">
                  <c:v>Variasi konsetrasi kitosan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ln>
                      <a:noFill/>
                    </a:ln>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3"/>
                <c:pt idx="0">
                  <c:v>kitosan 3%</c:v>
                </c:pt>
                <c:pt idx="1">
                  <c:v>kitosan 6%</c:v>
                </c:pt>
                <c:pt idx="2">
                  <c:v>kitosan 9%</c:v>
                </c:pt>
              </c:strCache>
            </c:strRef>
          </c:cat>
          <c:val>
            <c:numRef>
              <c:f>Sheet1!$B$2:$B$5</c:f>
              <c:numCache>
                <c:formatCode>General</c:formatCode>
                <c:ptCount val="4"/>
                <c:pt idx="0">
                  <c:v>428.7</c:v>
                </c:pt>
                <c:pt idx="1">
                  <c:v>682.9</c:v>
                </c:pt>
                <c:pt idx="2">
                  <c:v>993.8</c:v>
                </c:pt>
              </c:numCache>
            </c:numRef>
          </c:val>
        </c:ser>
        <c:dLbls>
          <c:showLegendKey val="0"/>
          <c:showVal val="1"/>
          <c:showCatName val="0"/>
          <c:showSerName val="0"/>
          <c:showPercent val="0"/>
          <c:showBubbleSize val="0"/>
        </c:dLbls>
        <c:gapWidth val="219"/>
        <c:overlap val="-27"/>
        <c:axId val="445829888"/>
        <c:axId val="445832576"/>
      </c:barChart>
      <c:catAx>
        <c:axId val="445829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p>
        </c:txPr>
        <c:crossAx val="445832576"/>
        <c:crosses val="autoZero"/>
        <c:auto val="1"/>
        <c:lblAlgn val="ctr"/>
        <c:lblOffset val="100"/>
        <c:noMultiLvlLbl val="0"/>
      </c:catAx>
      <c:valAx>
        <c:axId val="445832576"/>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ln>
                      <a:noFill/>
                    </a:ln>
                    <a:solidFill>
                      <a:schemeClr val="tx1"/>
                    </a:solidFill>
                    <a:latin typeface="+mn-lt"/>
                    <a:ea typeface="+mn-ea"/>
                    <a:cs typeface="+mn-cs"/>
                  </a:defRPr>
                </a:pPr>
                <a:r>
                  <a:rPr lang="en-US"/>
                  <a:t>viskositas</a:t>
                </a:r>
                <a:r>
                  <a:rPr lang="en-US" baseline="0"/>
                  <a:t> (cP)</a:t>
                </a:r>
                <a:endParaRPr lang="en-US"/>
              </a:p>
            </c:rich>
          </c:tx>
          <c:layout>
            <c:manualLayout>
              <c:xMode val="edge"/>
              <c:yMode val="edge"/>
              <c:x val="0.0356626641355993"/>
              <c:y val="0.283310358834713"/>
            </c:manualLayout>
          </c:layout>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p>
        </c:txPr>
        <c:crossAx val="4458298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af70f85-0bbd-4d57-8302-62ca5f4dc88c}"/>
      </c:ext>
    </c:extLst>
  </c:chart>
  <c:spPr>
    <a:solidFill>
      <a:schemeClr val="bg1"/>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olid"/>
      <a:round/>
    </a:ln>
    <a:effectLst/>
  </c:spPr>
  <c:txPr>
    <a:bodyPr/>
    <a:lstStyle/>
    <a:p>
      <a:pPr>
        <a:defRPr lang="en-US">
          <a:ln>
            <a:noFill/>
          </a:ln>
          <a:solidFill>
            <a:schemeClr val="tx1"/>
          </a:solidFill>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073114289265"/>
          <c:y val="0.0560211897004254"/>
          <c:w val="0.840605679982138"/>
          <c:h val="0.802903260476061"/>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19.19</c:v>
                </c:pt>
                <c:pt idx="1">
                  <c:v>10.01</c:v>
                </c:pt>
                <c:pt idx="2">
                  <c:v>7.97</c:v>
                </c:pt>
                <c:pt idx="3">
                  <c:v>5.58</c:v>
                </c:pt>
              </c:numCache>
            </c:numRef>
          </c:val>
        </c:ser>
        <c:dLbls>
          <c:showLegendKey val="0"/>
          <c:showVal val="1"/>
          <c:showCatName val="0"/>
          <c:showSerName val="0"/>
          <c:showPercent val="0"/>
          <c:showBubbleSize val="0"/>
        </c:dLbls>
        <c:gapWidth val="219"/>
        <c:overlap val="-27"/>
        <c:axId val="544456064"/>
        <c:axId val="558377600"/>
      </c:barChart>
      <c:catAx>
        <c:axId val="544456064"/>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perlakuan</a:t>
                </a:r>
                <a:endParaRPr 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8377600"/>
        <c:crosses val="autoZero"/>
        <c:auto val="1"/>
        <c:lblAlgn val="ctr"/>
        <c:lblOffset val="100"/>
        <c:noMultiLvlLbl val="0"/>
      </c:catAx>
      <c:valAx>
        <c:axId val="558377600"/>
        <c:scaling>
          <c:orientation val="minMax"/>
          <c:max val="20"/>
          <c:min val="1"/>
        </c:scaling>
        <c:delete val="0"/>
        <c:axPos val="l"/>
        <c:majorGridlines>
          <c:spPr>
            <a:ln w="6350"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Susut</a:t>
                </a:r>
                <a:r>
                  <a:rPr lang="en-US" baseline="0"/>
                  <a:t> Bobot (%)</a:t>
                </a:r>
                <a:endParaRPr lang="en-US"/>
              </a:p>
            </c:rich>
          </c:tx>
          <c:layout/>
          <c:overlay val="0"/>
          <c:spPr>
            <a:noFill/>
            <a:ln>
              <a:noFill/>
            </a:ln>
            <a:effectLst/>
          </c:spPr>
        </c:title>
        <c:numFmt formatCode="@" sourceLinked="0"/>
        <c:majorTickMark val="none"/>
        <c:minorTickMark val="none"/>
        <c:tickLblPos val="nextTo"/>
        <c:spPr>
          <a:noFill/>
          <a:ln w="9525" cap="flat" cmpd="sng" algn="ctr">
            <a:noFill/>
            <a:prstDash val="solid"/>
            <a:round/>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4456064"/>
        <c:crosses val="autoZero"/>
        <c:crossBetween val="between"/>
        <c:majorUnit val="1"/>
        <c:minorUnit val="1"/>
      </c:valAx>
      <c:spPr>
        <a:noFill/>
        <a:ln>
          <a:noFill/>
        </a:ln>
        <a:effectLst/>
      </c:spPr>
    </c:plotArea>
    <c:plotVisOnly val="1"/>
    <c:dispBlanksAs val="gap"/>
    <c:showDLblsOverMax val="0"/>
    <c:extLst>
      <c:ext uri="{0b15fc19-7d7d-44ad-8c2d-2c3a37ce22c3}">
        <chartProps xmlns="https://web.wps.cn/et/2018/main" chartId="{1f0d1463-c103-4a74-bd61-c29c86e142e5}"/>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525682446942"/>
          <c:y val="0.0554047174939922"/>
          <c:w val="0.869393149412834"/>
          <c:h val="0.7790469348199"/>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5.97</c:v>
                </c:pt>
                <c:pt idx="1">
                  <c:v>6.24</c:v>
                </c:pt>
                <c:pt idx="2">
                  <c:v>6.45</c:v>
                </c:pt>
                <c:pt idx="3">
                  <c:v>6.64</c:v>
                </c:pt>
              </c:numCache>
            </c:numRef>
          </c:val>
        </c:ser>
        <c:dLbls>
          <c:showLegendKey val="0"/>
          <c:showVal val="1"/>
          <c:showCatName val="0"/>
          <c:showSerName val="0"/>
          <c:showPercent val="0"/>
          <c:showBubbleSize val="0"/>
        </c:dLbls>
        <c:gapWidth val="219"/>
        <c:overlap val="-27"/>
        <c:axId val="573069568"/>
        <c:axId val="573076608"/>
      </c:barChart>
      <c:catAx>
        <c:axId val="57306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3076608"/>
        <c:crosses val="autoZero"/>
        <c:auto val="1"/>
        <c:lblAlgn val="ctr"/>
        <c:lblOffset val="100"/>
        <c:noMultiLvlLbl val="0"/>
      </c:catAx>
      <c:valAx>
        <c:axId val="573076608"/>
        <c:scaling>
          <c:orientation val="minMax"/>
          <c:max val="10"/>
          <c:min val="1"/>
        </c:scaling>
        <c:delete val="0"/>
        <c:axPos val="l"/>
        <c:majorGridlines>
          <c:spPr>
            <a:ln w="6350"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baseline="0"/>
                  <a:t>Kadar  Air (%)</a:t>
                </a:r>
                <a:endParaRPr lang="en-US"/>
              </a:p>
            </c:rich>
          </c:tx>
          <c:layout>
            <c:manualLayout>
              <c:xMode val="edge"/>
              <c:yMode val="edge"/>
              <c:x val="0.0153562653562654"/>
              <c:y val="0.319116819350984"/>
            </c:manualLayout>
          </c:layout>
          <c:overlay val="0"/>
          <c:spPr>
            <a:noFill/>
            <a:ln>
              <a:noFill/>
            </a:ln>
            <a:effectLst/>
          </c:spPr>
        </c:title>
        <c:numFmt formatCode="@" sourceLinked="0"/>
        <c:majorTickMark val="none"/>
        <c:minorTickMark val="none"/>
        <c:tickLblPos val="nextTo"/>
        <c:spPr>
          <a:noFill/>
          <a:ln w="9525" cap="flat" cmpd="sng" algn="ctr">
            <a:noFill/>
            <a:prstDash val="solid"/>
            <a:round/>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3069568"/>
        <c:crosses val="autoZero"/>
        <c:crossBetween val="between"/>
        <c:majorUnit val="1"/>
        <c:minorUnit val="1"/>
      </c:valAx>
      <c:spPr>
        <a:noFill/>
        <a:ln>
          <a:noFill/>
        </a:ln>
        <a:effectLst/>
      </c:spPr>
    </c:plotArea>
    <c:plotVisOnly val="1"/>
    <c:dispBlanksAs val="gap"/>
    <c:showDLblsOverMax val="0"/>
    <c:extLst>
      <c:ext uri="{0b15fc19-7d7d-44ad-8c2d-2c3a37ce22c3}">
        <chartProps xmlns="https://web.wps.cn/et/2018/main" chartId="{891fde16-5258-428c-b0d6-0dc392760fa3}"/>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Perlakuan</c:v>
                </c:pt>
              </c:strCache>
            </c:strRef>
          </c:tx>
          <c:spPr>
            <a:solidFill>
              <a:srgbClr val="FFC000"/>
            </a:solidFill>
            <a:ln>
              <a:solidFill>
                <a:schemeClr val="accent4">
                  <a:lumMod val="60000"/>
                  <a:lumOff val="4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3.62</c:v>
                </c:pt>
                <c:pt idx="1">
                  <c:v>4.4</c:v>
                </c:pt>
                <c:pt idx="2">
                  <c:v>5.24</c:v>
                </c:pt>
                <c:pt idx="3">
                  <c:v>6.35</c:v>
                </c:pt>
              </c:numCache>
            </c:numRef>
          </c:val>
        </c:ser>
        <c:dLbls>
          <c:showLegendKey val="0"/>
          <c:showVal val="1"/>
          <c:showCatName val="0"/>
          <c:showSerName val="0"/>
          <c:showPercent val="0"/>
          <c:showBubbleSize val="0"/>
        </c:dLbls>
        <c:gapWidth val="219"/>
        <c:overlap val="-27"/>
        <c:axId val="573092608"/>
        <c:axId val="573095296"/>
      </c:barChart>
      <c:catAx>
        <c:axId val="57309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3095296"/>
        <c:crosses val="autoZero"/>
        <c:auto val="1"/>
        <c:lblAlgn val="ctr"/>
        <c:lblOffset val="100"/>
        <c:noMultiLvlLbl val="0"/>
      </c:catAx>
      <c:valAx>
        <c:axId val="573095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30926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134e8fa-fb99-4bbe-bb1e-bd7d6beccda3}"/>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perlakuan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 </c:v>
                </c:pt>
                <c:pt idx="1">
                  <c:v>kitosan 3%</c:v>
                </c:pt>
                <c:pt idx="2">
                  <c:v>kitosan 6%</c:v>
                </c:pt>
                <c:pt idx="3">
                  <c:v>kitosan9%</c:v>
                </c:pt>
              </c:strCache>
            </c:strRef>
          </c:cat>
          <c:val>
            <c:numRef>
              <c:f>Sheet1!$B$2:$B$5</c:f>
              <c:numCache>
                <c:formatCode>General</c:formatCode>
                <c:ptCount val="4"/>
                <c:pt idx="0">
                  <c:v>48.5</c:v>
                </c:pt>
                <c:pt idx="1">
                  <c:v>25.83</c:v>
                </c:pt>
                <c:pt idx="2">
                  <c:v>22.3</c:v>
                </c:pt>
                <c:pt idx="3">
                  <c:v>15.26</c:v>
                </c:pt>
              </c:numCache>
            </c:numRef>
          </c:val>
        </c:ser>
        <c:dLbls>
          <c:showLegendKey val="0"/>
          <c:showVal val="1"/>
          <c:showCatName val="0"/>
          <c:showSerName val="0"/>
          <c:showPercent val="0"/>
          <c:showBubbleSize val="0"/>
        </c:dLbls>
        <c:gapWidth val="219"/>
        <c:overlap val="-27"/>
        <c:axId val="570137600"/>
        <c:axId val="570144640"/>
      </c:barChart>
      <c:catAx>
        <c:axId val="57013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0144640"/>
        <c:crosses val="autoZero"/>
        <c:auto val="1"/>
        <c:lblAlgn val="ctr"/>
        <c:lblOffset val="100"/>
        <c:noMultiLvlLbl val="0"/>
      </c:catAx>
      <c:valAx>
        <c:axId val="57014464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Total</a:t>
                </a:r>
                <a:r>
                  <a:rPr lang="en-US" baseline="0"/>
                  <a:t> Asam Titrasi (%)</a:t>
                </a:r>
                <a:endParaRPr lang="en-US"/>
              </a:p>
            </c:rich>
          </c:tx>
          <c:layout/>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0137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f57d665-b062-45cf-bf0d-c00c3593c900}"/>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perlakuan</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340.26</c:v>
                </c:pt>
                <c:pt idx="1">
                  <c:v>434.13</c:v>
                </c:pt>
                <c:pt idx="2">
                  <c:v>457.6</c:v>
                </c:pt>
                <c:pt idx="3">
                  <c:v>463.46</c:v>
                </c:pt>
              </c:numCache>
            </c:numRef>
          </c:val>
        </c:ser>
        <c:dLbls>
          <c:showLegendKey val="0"/>
          <c:showVal val="1"/>
          <c:showCatName val="0"/>
          <c:showSerName val="0"/>
          <c:showPercent val="0"/>
          <c:showBubbleSize val="0"/>
        </c:dLbls>
        <c:gapWidth val="219"/>
        <c:overlap val="-27"/>
        <c:axId val="570300288"/>
        <c:axId val="570307328"/>
      </c:barChart>
      <c:catAx>
        <c:axId val="57030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0307328"/>
        <c:crosses val="autoZero"/>
        <c:auto val="1"/>
        <c:lblAlgn val="ctr"/>
        <c:lblOffset val="100"/>
        <c:noMultiLvlLbl val="0"/>
      </c:catAx>
      <c:valAx>
        <c:axId val="570307328"/>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vitamin</a:t>
                </a:r>
                <a:r>
                  <a:rPr lang="en-US" baseline="0"/>
                  <a:t> C  (mg/100g)</a:t>
                </a:r>
                <a:endParaRPr lang="en-US"/>
              </a:p>
            </c:rich>
          </c:tx>
          <c:layout>
            <c:manualLayout>
              <c:xMode val="edge"/>
              <c:yMode val="edge"/>
              <c:x val="0.0226757369614512"/>
              <c:y val="0.238029574741939"/>
            </c:manualLayout>
          </c:layout>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70300288"/>
        <c:crosses val="autoZero"/>
        <c:crossBetween val="between"/>
      </c:valAx>
      <c:spPr>
        <a:noFill/>
        <a:ln>
          <a:noFill/>
        </a:ln>
        <a:effectLst/>
      </c:spPr>
    </c:plotArea>
    <c:plotVisOnly val="1"/>
    <c:dispBlanksAs val="gap"/>
    <c:showDLblsOverMax val="0"/>
    <c:extLst>
      <c:ext uri="{0b15fc19-7d7d-44ad-8c2d-2c3a37ce22c3}">
        <chartProps xmlns="https://web.wps.cn/et/2018/main" chartId="{2c4489f2-b5d0-4fa1-ab9d-4aee210cc0de}"/>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C74CB170FA94F8D921123F75D3CDE4C"/>
        <w:style w:val=""/>
        <w:category>
          <w:name w:val="General"/>
          <w:gallery w:val="placeholder"/>
        </w:category>
        <w:types>
          <w:type w:val="bbPlcHdr"/>
        </w:types>
        <w:behaviors>
          <w:behavior w:val="content"/>
        </w:behaviors>
        <w:description w:val=""/>
        <w:guid w:val="{3147E91B-3B35-47CF-A6D9-C25D8AEB1A39}"/>
      </w:docPartPr>
      <w:docPartBody>
        <w:p w14:paraId="61428D14">
          <w:pPr>
            <w:pStyle w:val="40"/>
          </w:pPr>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revisionView w:markup="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E2F"/>
    <w:rsid w:val="00240E2F"/>
    <w:rsid w:val="00BA1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666666"/>
    </w:rPr>
  </w:style>
  <w:style w:type="paragraph" w:customStyle="1" w:styleId="5">
    <w:name w:val="738C1A4A1BB442BE951E03A0572CE1D3"/>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6">
    <w:name w:val="46CFFF7BF2B44BBDA6FE48D565E4FD7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7">
    <w:name w:val="5E83A24846B440DE9E89F6C72A3F182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8">
    <w:name w:val="3E17A158BEAA46F6A3A6E018C40AD061"/>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9">
    <w:name w:val="FA9AD75589284B76BB31D1C20B61A8E7"/>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0">
    <w:name w:val="5BFE911D763447DB88D078433176696E"/>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1">
    <w:name w:val="56433DDA93BD468D89709C132F6F9E23"/>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2">
    <w:name w:val="5FA42CA537444A71A05C8707F5BDEAD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3">
    <w:name w:val="128E2C436B924684A663E0F5AF91122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4">
    <w:name w:val="3528932CE21745C8B9FADB393B041C0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5">
    <w:name w:val="CBD7789A89174A988B5DF6C858F5C679"/>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6">
    <w:name w:val="1352626F7E844DE09E401633E7A18CAE"/>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7">
    <w:name w:val="D8789BB0D17E4BE88B28B50F024924D4"/>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8">
    <w:name w:val="4F3D0747006A4BF490CB483D38EA36A7"/>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9">
    <w:name w:val="1232884ECB33401BB572192A51121856"/>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0">
    <w:name w:val="DD5BC14ADB754BC7AA13A4E1C2684196"/>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1">
    <w:name w:val="5BC4486125E446D1BA0C87956ED344F5"/>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2">
    <w:name w:val="92E758F332CD45039C6269F526AE4351"/>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3">
    <w:name w:val="38AD5E48FCE34887BD998B9F7FDC21B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4">
    <w:name w:val="EBFA13B2439D4EDBA520812FE1A56AC3"/>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5">
    <w:name w:val="BF3322ACA65841949FEFE5B8BF3C15F6"/>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6">
    <w:name w:val="D56F1D10ECBF4F5487F6BF566E9029D6"/>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7">
    <w:name w:val="9F3477E425DE4B09B84058EFB9BB9813"/>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8">
    <w:name w:val="B92C3132656847A4825421F3A859712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9">
    <w:name w:val="A3237F12AA9E4E9B8B3202094F09A25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0">
    <w:name w:val="93EBA545AB0C445FA243D13906B4D050"/>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1">
    <w:name w:val="D65DE12703B04D338D6D67FF206EB080"/>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2">
    <w:name w:val="C1617D039E04491EBB36E963F63F688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3">
    <w:name w:val="C0F3D432845343A9A3B377D5C8436F65"/>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4">
    <w:name w:val="380B41AD6CBE4890B82DB93EA81AD95B"/>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5">
    <w:name w:val="3CC1103E06DE499980AAF5A034450D1C"/>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6">
    <w:name w:val="A32403205C3D46309F06AB73A9C58087"/>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7">
    <w:name w:val="DE9125B4DA694E9FB62F8F49FCCEBA45"/>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8">
    <w:name w:val="660A4E42F2BD4608B173DE2AF140B69E"/>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9">
    <w:name w:val="1505441B754F4865B10B518A82F7AB98"/>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40">
    <w:name w:val="DC74CB170FA94F8D921123F75D3CDE4C"/>
    <w:qFormat/>
    <w:uiPriority w:val="0"/>
    <w:pPr>
      <w:spacing w:after="200" w:line="276"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7418</Words>
  <Characters>47152</Characters>
  <Lines>428</Lines>
  <Paragraphs>120</Paragraphs>
  <TotalTime>0</TotalTime>
  <ScaleCrop>false</ScaleCrop>
  <LinksUpToDate>false</LinksUpToDate>
  <CharactersWithSpaces>54267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2026-08-18T11:03:00Z</dcterms:created>
  <dc:creator>OPERATOR</dc:creator>
  <cp:lastModifiedBy>Administrator</cp:lastModifiedBy>
  <dcterms:modified xsi:type="dcterms:W3CDTF">2026-09-21T04:08:13Z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D0D621E7CDE7489B8D439CD533820579_13</vt:lpwstr>
  </property>
</Properties>
</file>