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1154F">
      <w:pPr>
        <w:spacing w:line="480" w:lineRule="auto"/>
        <w:jc w:val="center"/>
        <w:rPr>
          <w:b/>
          <w:sz w:val="28"/>
          <w:lang w:val="en-US"/>
        </w:rPr>
      </w:pPr>
      <w:bookmarkStart w:id="0" w:name="_GoBack"/>
      <w:bookmarkEnd w:id="0"/>
      <w:r>
        <w:rPr>
          <w:b/>
          <w:sz w:val="28"/>
          <w:lang w:val="en-US"/>
        </w:rPr>
        <w:t>BAB I</w:t>
      </w:r>
    </w:p>
    <w:p w14:paraId="7F91078E">
      <w:pPr>
        <w:spacing w:line="480" w:lineRule="auto"/>
        <w:jc w:val="center"/>
        <w:rPr>
          <w:b/>
          <w:sz w:val="28"/>
          <w:lang w:val="en-US"/>
        </w:rPr>
      </w:pPr>
      <w:r>
        <w:rPr>
          <w:b/>
          <w:sz w:val="28"/>
          <w:lang w:val="en-US"/>
        </w:rPr>
        <w:t>PENDAHULUAN</w:t>
      </w:r>
    </w:p>
    <w:p w14:paraId="10673F09">
      <w:pPr>
        <w:spacing w:line="480" w:lineRule="auto"/>
        <w:jc w:val="center"/>
        <w:rPr>
          <w:b/>
          <w:sz w:val="28"/>
          <w:lang w:val="en-US"/>
        </w:rPr>
      </w:pPr>
    </w:p>
    <w:p w14:paraId="7C30BEA9">
      <w:pPr>
        <w:spacing w:line="480" w:lineRule="auto"/>
        <w:rPr>
          <w:b/>
          <w:sz w:val="28"/>
          <w:lang w:val="en-US"/>
        </w:rPr>
      </w:pPr>
      <w:r>
        <w:rPr>
          <w:b/>
          <w:sz w:val="28"/>
          <w:lang w:val="en-US"/>
        </w:rPr>
        <w:t>1.1</w:t>
      </w:r>
      <w:r>
        <w:rPr>
          <w:b/>
          <w:sz w:val="28"/>
          <w:lang w:val="en-US"/>
        </w:rPr>
        <w:tab/>
      </w:r>
      <w:r>
        <w:rPr>
          <w:b/>
          <w:sz w:val="28"/>
          <w:lang w:val="en-US"/>
        </w:rPr>
        <w:t>Latar Belakang</w:t>
      </w:r>
    </w:p>
    <w:p w14:paraId="3EB15BB6">
      <w:pPr>
        <w:spacing w:line="480" w:lineRule="auto"/>
        <w:ind w:firstLine="709"/>
        <w:jc w:val="both"/>
        <w:rPr>
          <w:lang w:val="en-US"/>
        </w:rPr>
      </w:pPr>
      <w:r>
        <w:t>Sektor Usaha Kecil Mikro Dan Menengah (U</w:t>
      </w:r>
      <w:r>
        <w:rPr>
          <w:lang w:val="en-US"/>
        </w:rPr>
        <w:t>M</w:t>
      </w:r>
      <w:r>
        <w:t>KM) memiliki peran penting dalam mempertahankan kegiatan ekonomi lokal U</w:t>
      </w:r>
      <w:r>
        <w:rPr>
          <w:lang w:val="en-US"/>
        </w:rPr>
        <w:t>M</w:t>
      </w:r>
      <w:r>
        <w:t xml:space="preserve">KM dengan semua karakteristik mereka mampu memberikan banyak pilihan kegiatan ekonomi sangat dibutuhkan oleh produsen, konsumen dan pemerintah. Interaksi ekonomi di antara pelaku pasar ekonomi dapat memberikan ruang yang lebih luas dalam meningkatkan nilai tambah bagi perekonomian. Kegiatan ekonomi di sektor riil, pelaku UMKM dapat melakukan kegiatan ekonomi terutama yang berkaitan dengan pemenuhan kehidupan masyarakat. Komoditas yang diperdagangkan termasuk komoditas dari semua jenis, seperti; makanan, minuman, kerajinan, dan layanan. Semakin baik perkembangan sektor </w:t>
      </w:r>
      <w:r>
        <w:rPr>
          <w:lang w:val="en-US"/>
        </w:rPr>
        <w:t>UMKM</w:t>
      </w:r>
      <w:r>
        <w:t>, maka akan mampu memberikan kontribusi positif bagi pembangunan ekono</w:t>
      </w:r>
      <w:r>
        <w:rPr>
          <w:lang w:val="en-US"/>
        </w:rPr>
        <w:t>mi</w:t>
      </w:r>
      <w:r>
        <w:t xml:space="preserve"> (</w:t>
      </w:r>
      <w:r>
        <w:rPr>
          <w:lang w:val="en-US"/>
        </w:rPr>
        <w:t>M</w:t>
      </w:r>
      <w:r>
        <w:t xml:space="preserve">ukhlis dan </w:t>
      </w:r>
      <w:r>
        <w:rPr>
          <w:lang w:val="en-US"/>
        </w:rPr>
        <w:t>S</w:t>
      </w:r>
      <w:r>
        <w:t>imanjuntak, 2020)</w:t>
      </w:r>
      <w:r>
        <w:rPr>
          <w:lang w:val="en-US"/>
        </w:rPr>
        <w:t>.</w:t>
      </w:r>
    </w:p>
    <w:p w14:paraId="0CED49C1">
      <w:pPr>
        <w:jc w:val="center"/>
        <w:rPr>
          <w:b/>
          <w:lang w:val="en-US"/>
        </w:rPr>
      </w:pPr>
      <w:r>
        <w:rPr>
          <w:b/>
          <w:lang w:val="en-US"/>
        </w:rPr>
        <w:t>Tabel 1.1</w:t>
      </w:r>
    </w:p>
    <w:p w14:paraId="5FBE9235">
      <w:pPr>
        <w:spacing w:line="276" w:lineRule="auto"/>
        <w:jc w:val="center"/>
        <w:rPr>
          <w:b/>
          <w:lang w:val="en-US"/>
        </w:rPr>
      </w:pPr>
      <w:r>
        <w:rPr>
          <w:b/>
          <w:lang w:val="en-US"/>
        </w:rPr>
        <w:t>Jumlah Bidang UMKM Makanan dan Minuman di Lubuk Pakam</w:t>
      </w:r>
    </w:p>
    <w:tbl>
      <w:tblPr>
        <w:tblStyle w:val="13"/>
        <w:tblW w:w="0" w:type="auto"/>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4"/>
        <w:gridCol w:w="2994"/>
        <w:gridCol w:w="3119"/>
      </w:tblGrid>
      <w:tr w14:paraId="63DB5BA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34" w:type="dxa"/>
            <w:tcBorders>
              <w:bottom w:val="single" w:color="7E7E7E" w:themeColor="text1" w:themeTint="80" w:sz="4" w:space="0"/>
              <w:insideH w:val="single" w:sz="4" w:space="0"/>
            </w:tcBorders>
          </w:tcPr>
          <w:p w14:paraId="0245ECFD">
            <w:pPr>
              <w:rPr>
                <w:b w:val="0"/>
                <w:bCs/>
                <w:sz w:val="20"/>
                <w:szCs w:val="20"/>
                <w:lang w:val="en-US"/>
              </w:rPr>
            </w:pPr>
            <w:r>
              <w:rPr>
                <w:b/>
                <w:bCs/>
                <w:sz w:val="20"/>
                <w:szCs w:val="20"/>
                <w:lang w:val="en-US"/>
              </w:rPr>
              <w:t>No</w:t>
            </w:r>
          </w:p>
        </w:tc>
        <w:tc>
          <w:tcPr>
            <w:tcW w:w="2994" w:type="dxa"/>
            <w:tcBorders>
              <w:bottom w:val="single" w:color="7E7E7E" w:themeColor="text1" w:themeTint="80" w:sz="4" w:space="0"/>
              <w:insideH w:val="single" w:sz="4" w:space="0"/>
            </w:tcBorders>
          </w:tcPr>
          <w:p w14:paraId="6A264BAA">
            <w:pPr>
              <w:jc w:val="center"/>
              <w:rPr>
                <w:b w:val="0"/>
                <w:bCs/>
                <w:sz w:val="20"/>
                <w:szCs w:val="20"/>
                <w:lang w:val="en-US"/>
              </w:rPr>
            </w:pPr>
            <w:r>
              <w:rPr>
                <w:b/>
                <w:bCs/>
                <w:sz w:val="20"/>
                <w:szCs w:val="20"/>
                <w:lang w:val="en-US"/>
              </w:rPr>
              <w:t>Tahun</w:t>
            </w:r>
          </w:p>
        </w:tc>
        <w:tc>
          <w:tcPr>
            <w:tcW w:w="3119" w:type="dxa"/>
            <w:tcBorders>
              <w:bottom w:val="single" w:color="7E7E7E" w:themeColor="text1" w:themeTint="80" w:sz="4" w:space="0"/>
              <w:insideH w:val="single" w:sz="4" w:space="0"/>
            </w:tcBorders>
          </w:tcPr>
          <w:p w14:paraId="4F582A50">
            <w:pPr>
              <w:jc w:val="center"/>
              <w:rPr>
                <w:b w:val="0"/>
                <w:bCs/>
                <w:sz w:val="20"/>
                <w:szCs w:val="20"/>
                <w:lang w:val="en-US"/>
              </w:rPr>
            </w:pPr>
            <w:r>
              <w:rPr>
                <w:b/>
                <w:bCs/>
                <w:sz w:val="20"/>
                <w:szCs w:val="20"/>
                <w:lang w:val="en-US"/>
              </w:rPr>
              <w:t>Jumlah</w:t>
            </w:r>
          </w:p>
        </w:tc>
      </w:tr>
      <w:tr w14:paraId="23F5018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34" w:type="dxa"/>
            <w:tcBorders>
              <w:top w:val="single" w:color="7E7E7E" w:themeColor="text1" w:themeTint="80" w:sz="4" w:space="0"/>
              <w:bottom w:val="single" w:color="7E7E7E" w:themeColor="text1" w:themeTint="80" w:sz="4" w:space="0"/>
              <w:insideH w:val="single" w:sz="4" w:space="0"/>
            </w:tcBorders>
          </w:tcPr>
          <w:p w14:paraId="4CA6316B">
            <w:pPr>
              <w:jc w:val="center"/>
              <w:rPr>
                <w:b w:val="0"/>
                <w:bCs w:val="0"/>
                <w:sz w:val="20"/>
                <w:szCs w:val="20"/>
                <w:lang w:val="en-US"/>
              </w:rPr>
            </w:pPr>
            <w:r>
              <w:rPr>
                <w:b w:val="0"/>
                <w:bCs w:val="0"/>
                <w:sz w:val="20"/>
                <w:szCs w:val="20"/>
                <w:lang w:val="en-US"/>
              </w:rPr>
              <w:t>1</w:t>
            </w:r>
          </w:p>
        </w:tc>
        <w:tc>
          <w:tcPr>
            <w:tcW w:w="2994" w:type="dxa"/>
            <w:tcBorders>
              <w:top w:val="single" w:color="7E7E7E" w:themeColor="text1" w:themeTint="80" w:sz="4" w:space="0"/>
              <w:bottom w:val="single" w:color="7E7E7E" w:themeColor="text1" w:themeTint="80" w:sz="4" w:space="0"/>
              <w:insideH w:val="single" w:sz="4" w:space="0"/>
            </w:tcBorders>
          </w:tcPr>
          <w:p w14:paraId="5DCEF82F">
            <w:pPr>
              <w:jc w:val="center"/>
              <w:rPr>
                <w:sz w:val="20"/>
                <w:szCs w:val="20"/>
                <w:lang w:val="en-US"/>
              </w:rPr>
            </w:pPr>
            <w:r>
              <w:rPr>
                <w:sz w:val="20"/>
                <w:szCs w:val="20"/>
                <w:lang w:val="en-US"/>
              </w:rPr>
              <w:t>2021</w:t>
            </w:r>
          </w:p>
        </w:tc>
        <w:tc>
          <w:tcPr>
            <w:tcW w:w="3119" w:type="dxa"/>
            <w:tcBorders>
              <w:top w:val="single" w:color="7E7E7E" w:themeColor="text1" w:themeTint="80" w:sz="4" w:space="0"/>
              <w:bottom w:val="single" w:color="7E7E7E" w:themeColor="text1" w:themeTint="80" w:sz="4" w:space="0"/>
              <w:insideH w:val="single" w:sz="4" w:space="0"/>
            </w:tcBorders>
          </w:tcPr>
          <w:p w14:paraId="1909E9B5">
            <w:pPr>
              <w:jc w:val="center"/>
              <w:rPr>
                <w:sz w:val="20"/>
                <w:szCs w:val="20"/>
                <w:lang w:val="en-US"/>
              </w:rPr>
            </w:pPr>
            <w:r>
              <w:rPr>
                <w:sz w:val="20"/>
                <w:szCs w:val="20"/>
                <w:lang w:val="en-US"/>
              </w:rPr>
              <w:t>575</w:t>
            </w:r>
          </w:p>
        </w:tc>
      </w:tr>
      <w:tr w14:paraId="575A2E4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34" w:type="dxa"/>
          </w:tcPr>
          <w:p w14:paraId="2A36D602">
            <w:pPr>
              <w:jc w:val="center"/>
              <w:rPr>
                <w:b w:val="0"/>
                <w:bCs w:val="0"/>
                <w:sz w:val="20"/>
                <w:szCs w:val="20"/>
                <w:lang w:val="en-US"/>
              </w:rPr>
            </w:pPr>
            <w:r>
              <w:rPr>
                <w:b w:val="0"/>
                <w:bCs w:val="0"/>
                <w:sz w:val="20"/>
                <w:szCs w:val="20"/>
                <w:lang w:val="en-US"/>
              </w:rPr>
              <w:t>2</w:t>
            </w:r>
          </w:p>
        </w:tc>
        <w:tc>
          <w:tcPr>
            <w:tcW w:w="2994" w:type="dxa"/>
          </w:tcPr>
          <w:p w14:paraId="165E98E0">
            <w:pPr>
              <w:jc w:val="center"/>
              <w:rPr>
                <w:sz w:val="20"/>
                <w:szCs w:val="20"/>
                <w:lang w:val="en-US"/>
              </w:rPr>
            </w:pPr>
            <w:r>
              <w:rPr>
                <w:sz w:val="20"/>
                <w:szCs w:val="20"/>
                <w:lang w:val="en-US"/>
              </w:rPr>
              <w:t>2022</w:t>
            </w:r>
          </w:p>
        </w:tc>
        <w:tc>
          <w:tcPr>
            <w:tcW w:w="3119" w:type="dxa"/>
          </w:tcPr>
          <w:p w14:paraId="72464C61">
            <w:pPr>
              <w:jc w:val="center"/>
              <w:rPr>
                <w:sz w:val="20"/>
                <w:szCs w:val="20"/>
                <w:lang w:val="en-US"/>
              </w:rPr>
            </w:pPr>
            <w:r>
              <w:rPr>
                <w:sz w:val="20"/>
                <w:szCs w:val="20"/>
                <w:lang w:val="en-US"/>
              </w:rPr>
              <w:t>275</w:t>
            </w:r>
          </w:p>
        </w:tc>
      </w:tr>
      <w:tr w14:paraId="31D8618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34" w:type="dxa"/>
            <w:tcBorders>
              <w:top w:val="single" w:color="7E7E7E" w:themeColor="text1" w:themeTint="80" w:sz="4" w:space="0"/>
              <w:bottom w:val="single" w:color="7E7E7E" w:themeColor="text1" w:themeTint="80" w:sz="4" w:space="0"/>
              <w:insideH w:val="single" w:sz="4" w:space="0"/>
            </w:tcBorders>
          </w:tcPr>
          <w:p w14:paraId="52AA7C6A">
            <w:pPr>
              <w:jc w:val="center"/>
              <w:rPr>
                <w:b w:val="0"/>
                <w:bCs w:val="0"/>
                <w:sz w:val="20"/>
                <w:szCs w:val="20"/>
                <w:lang w:val="en-US"/>
              </w:rPr>
            </w:pPr>
            <w:r>
              <w:rPr>
                <w:b w:val="0"/>
                <w:bCs w:val="0"/>
                <w:sz w:val="20"/>
                <w:szCs w:val="20"/>
                <w:lang w:val="en-US"/>
              </w:rPr>
              <w:t>3</w:t>
            </w:r>
          </w:p>
        </w:tc>
        <w:tc>
          <w:tcPr>
            <w:tcW w:w="2994" w:type="dxa"/>
            <w:tcBorders>
              <w:top w:val="single" w:color="7E7E7E" w:themeColor="text1" w:themeTint="80" w:sz="4" w:space="0"/>
              <w:bottom w:val="single" w:color="7E7E7E" w:themeColor="text1" w:themeTint="80" w:sz="4" w:space="0"/>
              <w:insideH w:val="single" w:sz="4" w:space="0"/>
            </w:tcBorders>
          </w:tcPr>
          <w:p w14:paraId="31CC7E76">
            <w:pPr>
              <w:jc w:val="center"/>
              <w:rPr>
                <w:sz w:val="20"/>
                <w:szCs w:val="20"/>
                <w:lang w:val="en-US"/>
              </w:rPr>
            </w:pPr>
            <w:r>
              <w:rPr>
                <w:sz w:val="20"/>
                <w:szCs w:val="20"/>
                <w:lang w:val="en-US"/>
              </w:rPr>
              <w:t>2023</w:t>
            </w:r>
          </w:p>
        </w:tc>
        <w:tc>
          <w:tcPr>
            <w:tcW w:w="3119" w:type="dxa"/>
            <w:tcBorders>
              <w:top w:val="single" w:color="7E7E7E" w:themeColor="text1" w:themeTint="80" w:sz="4" w:space="0"/>
              <w:bottom w:val="single" w:color="7E7E7E" w:themeColor="text1" w:themeTint="80" w:sz="4" w:space="0"/>
              <w:insideH w:val="single" w:sz="4" w:space="0"/>
            </w:tcBorders>
          </w:tcPr>
          <w:p w14:paraId="2678826B">
            <w:pPr>
              <w:jc w:val="center"/>
              <w:rPr>
                <w:sz w:val="20"/>
                <w:szCs w:val="20"/>
                <w:lang w:val="en-US"/>
              </w:rPr>
            </w:pPr>
            <w:r>
              <w:rPr>
                <w:sz w:val="20"/>
                <w:szCs w:val="20"/>
                <w:lang w:val="en-US"/>
              </w:rPr>
              <w:t>70</w:t>
            </w:r>
          </w:p>
        </w:tc>
      </w:tr>
      <w:tr w14:paraId="57AA355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528" w:type="dxa"/>
            <w:gridSpan w:val="2"/>
          </w:tcPr>
          <w:p w14:paraId="6B9B9A5A">
            <w:pPr>
              <w:jc w:val="center"/>
              <w:rPr>
                <w:b w:val="0"/>
                <w:bCs w:val="0"/>
                <w:sz w:val="20"/>
                <w:szCs w:val="20"/>
                <w:lang w:val="en-US"/>
              </w:rPr>
            </w:pPr>
            <w:r>
              <w:rPr>
                <w:b/>
                <w:bCs/>
                <w:sz w:val="20"/>
                <w:szCs w:val="20"/>
                <w:lang w:val="en-US"/>
              </w:rPr>
              <w:t>Jumlah</w:t>
            </w:r>
          </w:p>
        </w:tc>
        <w:tc>
          <w:tcPr>
            <w:tcW w:w="3119" w:type="dxa"/>
          </w:tcPr>
          <w:p w14:paraId="0CF27015">
            <w:pPr>
              <w:jc w:val="center"/>
              <w:rPr>
                <w:sz w:val="20"/>
                <w:szCs w:val="20"/>
                <w:lang w:val="en-US"/>
              </w:rPr>
            </w:pPr>
            <w:r>
              <w:rPr>
                <w:sz w:val="20"/>
                <w:szCs w:val="20"/>
                <w:lang w:val="en-US"/>
              </w:rPr>
              <w:t>920</w:t>
            </w:r>
          </w:p>
        </w:tc>
      </w:tr>
    </w:tbl>
    <w:p w14:paraId="0CB34A54">
      <w:pPr>
        <w:tabs>
          <w:tab w:val="left" w:pos="1276"/>
        </w:tabs>
        <w:spacing w:line="480" w:lineRule="auto"/>
        <w:ind w:firstLine="709"/>
        <w:rPr>
          <w:lang w:val="en-US"/>
        </w:rPr>
      </w:pPr>
      <w:r>
        <w:rPr>
          <w:lang w:val="en-US"/>
        </w:rPr>
        <w:t>Sumber : KPP Pratama Lubuk Pakam.co.id, 2024</w:t>
      </w:r>
    </w:p>
    <w:p w14:paraId="140DE294">
      <w:pPr>
        <w:tabs>
          <w:tab w:val="left" w:pos="1276"/>
        </w:tabs>
        <w:spacing w:line="480" w:lineRule="auto"/>
        <w:jc w:val="both"/>
        <w:rPr>
          <w:lang w:val="en-US"/>
        </w:rPr>
      </w:pPr>
      <w:r>
        <w:tab/>
      </w:r>
      <w:r>
        <w:t>Data yang diperoleh</w:t>
      </w:r>
      <w:r>
        <w:rPr>
          <w:lang w:val="en-US"/>
        </w:rPr>
        <w:t xml:space="preserve"> diatas adalah </w:t>
      </w:r>
      <w:r>
        <w:t>hasil survey</w:t>
      </w:r>
      <w:r>
        <w:rPr>
          <w:lang w:val="en-US"/>
        </w:rPr>
        <w:t xml:space="preserve"> dari</w:t>
      </w:r>
      <w:r>
        <w:t xml:space="preserve"> </w:t>
      </w:r>
      <w:r>
        <w:rPr>
          <w:lang w:val="en-US"/>
        </w:rPr>
        <w:t xml:space="preserve">tahun 2021-2023, dilihat dari 3 tahun terakhir setiap tahunnya UMKM makanan dan minuman mengalami penurunan terhadap penjualan dan pendapatan usaha. Yang memiliki </w:t>
      </w:r>
    </w:p>
    <w:p w14:paraId="367913F5">
      <w:pPr>
        <w:tabs>
          <w:tab w:val="left" w:pos="1276"/>
        </w:tabs>
        <w:spacing w:line="480" w:lineRule="auto"/>
        <w:jc w:val="both"/>
        <w:rPr>
          <w:lang w:val="en-US"/>
        </w:rPr>
      </w:pPr>
      <w:r>
        <w:rPr>
          <w:lang w:val="en-US"/>
        </w:rPr>
        <w:t>jumlah UMKM terbanyak yaitu di tahun 2021 sebanyak 575</w:t>
      </w:r>
      <w:r>
        <w:t>.</w:t>
      </w:r>
      <w:r>
        <w:rPr>
          <w:lang w:val="en-US"/>
        </w:rPr>
        <w:t xml:space="preserve"> Untuk Aspek Perpajakan UMKM yang wajib diketahui oleh para pengusaha makanan salah satunya adalah tentang tarif pajak UMKM.</w:t>
      </w:r>
    </w:p>
    <w:p w14:paraId="41E3F8FA">
      <w:pPr>
        <w:spacing w:line="480" w:lineRule="auto"/>
        <w:ind w:firstLine="709"/>
        <w:jc w:val="both"/>
        <w:rPr>
          <w:lang w:val="en-US"/>
        </w:rPr>
      </w:pPr>
      <w:r>
        <w:rPr>
          <w:lang w:val="en-US"/>
        </w:rPr>
        <w:t>Para pengusaha makanan yang taat dalam membayar pajak memiliki omzet kurang dari 4,8 Miliar dalam setahun bisa bernapas lega. Pasalnya terjadi penurunan tarif Pajak Penghasilan (PPh) Final dari 1% menjadi 0,5%. Tarif pajak UMKM yang baru ini tertuang dalam Peraturan Pemerintah (PP) Nomor 23 Tahun 2018. Peraturan Pemerintah Nomor 23 Tahun 2018 memuat tentang Pajak Penghasilan atas Penghasilan Dari Usaha yang Diterima atau Diperoleh Wajib Pajak yang memiliki Peredaran Bruto Tertentu. PP tersebut menggantikan PP sebelumnya yaitu Nomor 46 Tahun 2013. (Klikpajak.co.id, 2022)</w:t>
      </w:r>
    </w:p>
    <w:p w14:paraId="06499108">
      <w:pPr>
        <w:spacing w:line="480" w:lineRule="auto"/>
        <w:ind w:firstLine="709"/>
        <w:jc w:val="both"/>
        <w:rPr>
          <w:lang w:val="en-US"/>
        </w:rPr>
      </w:pPr>
      <w:r>
        <w:rPr>
          <w:lang w:val="en-US"/>
        </w:rPr>
        <w:t>Sementara aturan turunannya dalam bentuk Peraturan Menteri Keuangan (PMK) mengenai pajak UMKM, juga akan segera diterbitkan. Sejak berlakunya peraturan ini pada 1 Juli 2018, Direktorat Jenderal (Ditjen) Pajak Kementerian Keuangan rajin menggelar sosialisasi tarif PPh Final 0,5% kepada pelaku UMKM terbanyak di bidang makanan. Dengan kebijakan ini, diharapkan semakin banyak UMKM yang masuk dalam basis Wajib Pajak dan berkontribusi pada perekonomian nasional.</w:t>
      </w:r>
    </w:p>
    <w:p w14:paraId="4D3396D3">
      <w:pPr>
        <w:spacing w:line="480" w:lineRule="auto"/>
        <w:ind w:firstLine="709"/>
        <w:jc w:val="both"/>
        <w:rPr>
          <w:lang w:val="en-US"/>
        </w:rPr>
      </w:pPr>
      <w:r>
        <w:t>Keberadaan U</w:t>
      </w:r>
      <w:r>
        <w:rPr>
          <w:lang w:val="en-US"/>
        </w:rPr>
        <w:t>M</w:t>
      </w:r>
      <w:r>
        <w:t>KM ini dapat menciptakan peluang bisnis baru yang melibatkan produsen dan konsumen. Hal ini tentunya dapat memberikan peluang baru bagi munculnya wajib pajak baru atau objek pajak dalam kegiatan ekonomi. Wajib pajak adalah pelaku ekonomi usahan yang memiliki penghasilan tertentu. Pendapatan ini</w:t>
      </w:r>
      <w:r>
        <w:rPr>
          <w:lang w:val="en-US"/>
        </w:rPr>
        <w:t xml:space="preserve"> </w:t>
      </w:r>
      <w:r>
        <w:t>dapat diciptakan karena bisnis mereka bekerja dengan memperluas bisnis operasi U</w:t>
      </w:r>
      <w:r>
        <w:rPr>
          <w:lang w:val="en-US"/>
        </w:rPr>
        <w:t>M</w:t>
      </w:r>
      <w:r>
        <w:t>KM dalam pengembangan ekonomi regional. Indikator upaya pengembangan U</w:t>
      </w:r>
      <w:r>
        <w:rPr>
          <w:lang w:val="en-US"/>
        </w:rPr>
        <w:t>M</w:t>
      </w:r>
      <w:r>
        <w:t>KM dapat dilihat dari perkembangan bisnis u</w:t>
      </w:r>
      <w:r>
        <w:rPr>
          <w:lang w:val="en-US"/>
        </w:rPr>
        <w:t>m</w:t>
      </w:r>
      <w:r>
        <w:t>km dan peningkatan U</w:t>
      </w:r>
      <w:r>
        <w:rPr>
          <w:lang w:val="en-US"/>
        </w:rPr>
        <w:t>M</w:t>
      </w:r>
      <w:r>
        <w:t>KM bisnis dari berbagai kelompok usia. Kondisi U</w:t>
      </w:r>
      <w:r>
        <w:rPr>
          <w:lang w:val="en-US"/>
        </w:rPr>
        <w:t>M</w:t>
      </w:r>
      <w:r>
        <w:t>KM yang semakin bertambah, maka semakin banyak pembayar pajak baru yang memiliki kemampuan membayar pajak (</w:t>
      </w:r>
      <w:r>
        <w:rPr>
          <w:lang w:val="en-US"/>
        </w:rPr>
        <w:t>M</w:t>
      </w:r>
      <w:r>
        <w:t xml:space="preserve">ukhlis dan </w:t>
      </w:r>
      <w:r>
        <w:rPr>
          <w:lang w:val="en-US"/>
        </w:rPr>
        <w:t>S</w:t>
      </w:r>
      <w:r>
        <w:t>imanjuntak, 2020).</w:t>
      </w:r>
    </w:p>
    <w:p w14:paraId="709EB5C1">
      <w:pPr>
        <w:spacing w:line="480" w:lineRule="auto"/>
        <w:ind w:firstLine="709"/>
        <w:jc w:val="both"/>
        <w:rPr>
          <w:lang w:val="en-US"/>
        </w:rPr>
      </w:pPr>
      <w:r>
        <w:t xml:space="preserve">Untuk menjalankan roda kehidupan negara, pemerintah membutuhkan dana untuk membiayai operasional pembangunan negara dan untuk mensejahterakan rakyat. Pajak berfungsi sebagai </w:t>
      </w:r>
      <w:r>
        <w:rPr>
          <w:lang w:val="en-US"/>
        </w:rPr>
        <w:t>anggaran dan mengatur (</w:t>
      </w:r>
      <w:r>
        <w:rPr>
          <w:i/>
        </w:rPr>
        <w:t>budgetair-regulered</w:t>
      </w:r>
      <w:r>
        <w:rPr>
          <w:i/>
          <w:lang w:val="en-US"/>
        </w:rPr>
        <w:t>)</w:t>
      </w:r>
      <w:r>
        <w:t xml:space="preserve"> artinya pajak sebagai sumber dana bagi pemerintah untuk membiayai pengeluaran-pengeluarannya. Fungsi pajak </w:t>
      </w:r>
      <w:r>
        <w:rPr>
          <w:i/>
        </w:rPr>
        <w:t>regulered</w:t>
      </w:r>
      <w:r>
        <w:t xml:space="preserve"> yaitu pajak sebagai alat untuk mengatur atau melaksanakan kebijakan pemerintah dalam bidang sosial dan ekonomi. Sedangkan fungsi </w:t>
      </w:r>
      <w:r>
        <w:rPr>
          <w:i/>
        </w:rPr>
        <w:t>budgetair</w:t>
      </w:r>
      <w:r>
        <w:t>, yang berfungsi untuk mengisi kas negara sesuai dengan Undang-Undang yang berlaku dan digunakan untuk membiayai pengeluaran-pengeluaran negara.</w:t>
      </w:r>
      <w:r>
        <w:rPr>
          <w:lang w:val="en-US"/>
        </w:rPr>
        <w:t xml:space="preserve"> (Ariffin dan Sitabuana, 2022)</w:t>
      </w:r>
    </w:p>
    <w:p w14:paraId="119D0536">
      <w:pPr>
        <w:spacing w:line="480" w:lineRule="auto"/>
        <w:ind w:firstLine="709"/>
        <w:jc w:val="both"/>
        <w:rPr>
          <w:lang w:val="en-US"/>
        </w:rPr>
      </w:pPr>
      <w:r>
        <w:t xml:space="preserve">Penelitian tentang pemahaman perpajakan, kesadaran wajib pajak, dan penurunan tarif pajak terhadap kepatuhan wajib pajak didukung oleh beberapa teori. </w:t>
      </w:r>
      <w:r>
        <w:rPr>
          <w:rStyle w:val="7"/>
        </w:rPr>
        <w:t>Teori Attribution (Heider, 1958)</w:t>
      </w:r>
      <w:r>
        <w:t xml:space="preserve"> menjelaskan kepatuhan dipengaruhi faktor internal seperti pengetahuan dan kesadaran, serta faktor eksternal seperti regulasi dan tarif pajak. </w:t>
      </w:r>
      <w:r>
        <w:rPr>
          <w:rStyle w:val="7"/>
          <w:i/>
          <w:iCs/>
        </w:rPr>
        <w:t>Theory of Planned Behavior</w:t>
      </w:r>
      <w:r>
        <w:rPr>
          <w:rStyle w:val="7"/>
        </w:rPr>
        <w:t xml:space="preserve"> (Ajzen, 1991)</w:t>
      </w:r>
      <w:r>
        <w:t xml:space="preserve"> menekankan bahwa niat berperilaku terbentuk dari sikap, norma, dan kontrol, di mana kesadaran wajib pajak dan penurunan tarif menjadi pendorong kepatuhan. Sementara itu, </w:t>
      </w:r>
      <w:r>
        <w:rPr>
          <w:rStyle w:val="7"/>
        </w:rPr>
        <w:t>Teori Kepatuhan</w:t>
      </w:r>
      <w:r>
        <w:rPr>
          <w:b/>
          <w:bCs/>
        </w:rPr>
        <w:t xml:space="preserve"> </w:t>
      </w:r>
      <w:r>
        <w:t>menegaskan bahwa regulasi yang sesuai dengan persepsi wajib pajak, seperti PP No. 23 Tahun 2018, dapat meningkatkan kepatuhan UMKM dengan memberi rasa keadilan dan kemudahan administrasi.</w:t>
      </w:r>
    </w:p>
    <w:p w14:paraId="6AE5EB6C">
      <w:pPr>
        <w:spacing w:line="480" w:lineRule="auto"/>
        <w:ind w:firstLine="709"/>
        <w:jc w:val="both"/>
        <w:rPr>
          <w:lang w:val="en-US"/>
        </w:rPr>
      </w:pPr>
      <w:r>
        <w:t>Kepatuhan wajib pajak dapat didefinisikan sebagai suatu sikap/prilaku wajib pajak yang melaksanakan semua kewajiban perpajakannya dan menikmati semua hak perpajakannya sesuai dengan ketentuan perarutan perundang-undangan yang berlaku. Isu mengenai kepatuhan perpajakan yang sering terjadi beberapa tahun terakhir ini adalah munculnya ketidakpatuhan perpajakan. Ketidakpatuhan ini akan menimbulkan penghindaran dan penggelapan pajak yang akan menyebabkan berkurangnya penerimaan pajak ke kas negara Indonesia. Dalam rangka meningkatkan kepatuhan perpajakan pemerintah harusnya melakukan sosialisasi kepada masyarakat</w:t>
      </w:r>
      <w:r>
        <w:rPr>
          <w:lang w:val="en-US"/>
        </w:rPr>
        <w:t>.</w:t>
      </w:r>
    </w:p>
    <w:p w14:paraId="29CB6A26">
      <w:pPr>
        <w:spacing w:line="480" w:lineRule="auto"/>
        <w:ind w:firstLine="709"/>
        <w:jc w:val="both"/>
      </w:pPr>
      <w:r>
        <w:t>Kepatuhan dalam pembayaran pajak adalah salah satu persoalan yang penting di Indonesia sampai saat ini, sebab jika wajib pajak tidak patuh maka akan menimbulkan keinginan untuk menghindari pembayaran pajak. Sebagian masyarakat lain banyak yang tidak menyadari dan awam akan wajib pajak yang menjadi salah satu ketidakpatuhan wajib pajak di Indonesia. Maka dalam meningkatkan penerimaan pajak pemerintah selalu membuat sistem yang dapat mempermudah para wajib pajak, salah satunya adalah meningkatkan kesadaran wajib pajak baik pajak pribadi maupun badan yang memiliki hak dan kewajiban pajak sesuai dengan ketentuan perpajakan sebagai pembayar pajak, pemotong, pemungut pajak, termasuk bentuk usaha tetap dan kontraktor atau operator, (Indrawan dan Binekas, 2021).</w:t>
      </w:r>
    </w:p>
    <w:p w14:paraId="4205F9DC">
      <w:pPr>
        <w:spacing w:line="480" w:lineRule="auto"/>
        <w:ind w:firstLine="709"/>
        <w:jc w:val="both"/>
      </w:pPr>
      <w:r>
        <w:t>Wajib pajak terdiri dari beberapa kategori tergantung jenis dan status hukumnya termasuk golongan usaha baik usaha kecil, usaha menegah dan besar. Pelaku UMKM yang bergerak di bidang makanan merupakan yang jumlahnya sangat banyak menurut data Ditjen Pajak pada tahun 2020, Pajak penghasilan badan dikenakan pada wajib pajak berbentuk badan usaha dengan yang masih melakukan proses produksi dan mendapatkan sejumlah penghasilan tertentu.</w:t>
      </w:r>
    </w:p>
    <w:p w14:paraId="7485F7AA">
      <w:pPr>
        <w:spacing w:line="480" w:lineRule="auto"/>
        <w:ind w:firstLine="709"/>
        <w:jc w:val="both"/>
      </w:pPr>
      <w:r>
        <w:t>Menurut (</w:t>
      </w:r>
      <w:r>
        <w:rPr>
          <w:rFonts w:hint="cs"/>
        </w:rPr>
        <w:t>Arisandy</w:t>
      </w:r>
      <w:r>
        <w:t xml:space="preserve">, </w:t>
      </w:r>
      <w:r>
        <w:rPr>
          <w:rFonts w:hint="cs"/>
        </w:rPr>
        <w:t>20</w:t>
      </w:r>
      <w:r>
        <w:t>20</w:t>
      </w:r>
      <w:r>
        <w:rPr>
          <w:rFonts w:hint="cs"/>
        </w:rPr>
        <w:t>) menjelaskan pemahaman wajib pajak terhadap peraturan perpajakan adalah cara wajib pajak dalam memahami peraturan perpajakan yang telah ada sehingga kepatuhan wajib pajaknya meningkat. Rendahnya tingkat pemahaman wajib pajak mengenai kepatuhan wajib pajak mendorong wajib pajak malas untuk menghitung, membayar, dan melaporkan pajaknya sehingga wajib pajak tidak mematuhi peraturan perpajakan yang berlaku</w:t>
      </w:r>
      <w:r>
        <w:t>. Saat ini masih banyak pelaku UMKM khususnya UMKM Makanan Dan Minuman di Lubuk Pakam yang belum memahami jenis pajak yang harus dibayarkan, termasuk perbedaan antara PPh (Pajak Penghasilan), PPN (Pajak Pertambahan Nilai), dan pajak lainnya. Hal ini sering kali disebabkan oleh rendahnya akses terhadap informasi yang jelas dan relevan terkait perpajakan.</w:t>
      </w:r>
      <w:r>
        <w:rPr>
          <w:lang w:val="en-AU"/>
        </w:rPr>
        <w:t xml:space="preserve"> Permasalahan lain juga masih terjadi seperti minimnya </w:t>
      </w:r>
      <w:r>
        <w:t xml:space="preserve">edukasi pajak di tingkat UMKM </w:t>
      </w:r>
      <w:r>
        <w:rPr>
          <w:lang w:val="en-AU"/>
        </w:rPr>
        <w:t xml:space="preserve">juga </w:t>
      </w:r>
      <w:r>
        <w:t>masih terbatas, terutama di daerah-daerah yang jauh dari pusat kota</w:t>
      </w:r>
      <w:r>
        <w:rPr>
          <w:lang w:val="en-AU"/>
        </w:rPr>
        <w:t xml:space="preserve"> seperti di daerah Lubuk Pakam</w:t>
      </w:r>
      <w:r>
        <w:t>. Sosialisasi dari pihak pemerintah atau otoritas perpajakan sering kali tidak menjangkau semua pelaku UMKM, menyebabkan banyak dari mereka tidak mengetahui program dan aturan terbaru terkait pajak.</w:t>
      </w:r>
    </w:p>
    <w:p w14:paraId="3FDCD51A">
      <w:pPr>
        <w:spacing w:line="480" w:lineRule="auto"/>
        <w:ind w:firstLine="709"/>
        <w:jc w:val="both"/>
        <w:rPr>
          <w:lang w:val="en-US"/>
        </w:rPr>
      </w:pPr>
      <w:r>
        <w:t xml:space="preserve">Kesadaran wajib pajak merupakan kondisi wajib pajak yang mengetahui, memahami, dan mengerti tentang kewajiban perpajakan dapat berupa pelaporan pajak dan penyetoran pajak secara mandiri sebagai bentuk usaha penerapan peraturan pajak yang baik. Kesadaran wajib pajak adalah kesadaran memenuhi kewajiban perpajakan tidak hanya tergantung kepada masalah – masalah teknis saja yang menyangkut metode pemungutan pemungutan, tarif pajak, teknis pemeriksaan, penyidikan, penerapan sanksi sebagai perwujudan pelaksanaan ketentuan peraturan perundang – undangan perpajakan dan pelayanan kepada wajib pajak selaku pihak pemberi dana bagi negara. </w:t>
      </w:r>
      <w:r>
        <w:rPr>
          <w:lang w:val="en-US"/>
        </w:rPr>
        <w:t>(Alifah,  2021)</w:t>
      </w:r>
    </w:p>
    <w:p w14:paraId="7FA40B62">
      <w:pPr>
        <w:spacing w:line="480" w:lineRule="auto"/>
        <w:ind w:firstLine="709"/>
        <w:jc w:val="both"/>
        <w:rPr>
          <w:lang w:val="en-US"/>
        </w:rPr>
      </w:pPr>
      <w:r>
        <w:rPr>
          <w:color w:val="222222"/>
          <w:shd w:val="clear" w:color="auto" w:fill="FFFFFF"/>
          <w:lang w:val="en-US"/>
        </w:rPr>
        <w:t>Pendapat (</w:t>
      </w:r>
      <w:r>
        <w:rPr>
          <w:color w:val="222222"/>
          <w:shd w:val="clear" w:color="auto" w:fill="FFFFFF"/>
        </w:rPr>
        <w:t>Nurlaela</w:t>
      </w:r>
      <w:r>
        <w:rPr>
          <w:lang w:val="en-US"/>
        </w:rPr>
        <w:t xml:space="preserve">, </w:t>
      </w:r>
      <w:r>
        <w:t>20</w:t>
      </w:r>
      <w:r>
        <w:rPr>
          <w:lang w:val="en-US"/>
        </w:rPr>
        <w:t>20</w:t>
      </w:r>
      <w:r>
        <w:t xml:space="preserve">) menjelaskan bahwa </w:t>
      </w:r>
      <w:r>
        <w:rPr>
          <w:i/>
        </w:rPr>
        <w:t>self assessment system</w:t>
      </w:r>
      <w:r>
        <w:t xml:space="preserve"> memberikan kesempatan bagi wajib pajak untuk menghitung, memperhitungkan, membayar, dan melaporkan hasil perpajakannya sendiri. Para wajib pajak telah diberikan kepercayaan oleh negara agar menerapkan </w:t>
      </w:r>
      <w:r>
        <w:rPr>
          <w:i/>
        </w:rPr>
        <w:t>self assessment ini</w:t>
      </w:r>
      <w:r>
        <w:t xml:space="preserve">. </w:t>
      </w:r>
      <w:r>
        <w:rPr>
          <w:i/>
        </w:rPr>
        <w:t>Self assessment</w:t>
      </w:r>
      <w:r>
        <w:t xml:space="preserve"> mengharuskan wajib pajak untuk memenuhi kewajiban perpajakannya, yaitu mengisi dan menyampaikan </w:t>
      </w:r>
      <w:r>
        <w:rPr>
          <w:lang w:val="en-US"/>
        </w:rPr>
        <w:t>S</w:t>
      </w:r>
      <w:r>
        <w:t xml:space="preserve">urat </w:t>
      </w:r>
      <w:r>
        <w:rPr>
          <w:lang w:val="en-US"/>
        </w:rPr>
        <w:t>P</w:t>
      </w:r>
      <w:r>
        <w:t xml:space="preserve">emberitahuan (SPT) di kantor pelayanan pajak. </w:t>
      </w:r>
    </w:p>
    <w:p w14:paraId="56E5DA4C">
      <w:pPr>
        <w:spacing w:line="480" w:lineRule="auto"/>
        <w:ind w:firstLine="709"/>
        <w:jc w:val="both"/>
      </w:pPr>
      <w:r>
        <w:t>Wajib pajak yang memiliki kemauan untuk mengisi dan melaporkan SPT merupakan salah satu sikap sadar yang ada dalam diri wajib pajak. Apabila para wajib pajak tidak memiliki kesadaran untuk pembayaran pajak maka peningkatan hasil pajak akan berkurang. Selain dari kesadaran wajib pajak untuk mematuhi kepatuhan wajib pajak maka sanksi pajak berlaku sebagai peraturan perpajakan agar mematuhi kepatuhan wajib pajak.</w:t>
      </w:r>
    </w:p>
    <w:p w14:paraId="5E1C2C21">
      <w:pPr>
        <w:spacing w:line="480" w:lineRule="auto"/>
        <w:ind w:firstLine="709"/>
        <w:jc w:val="both"/>
        <w:rPr>
          <w:lang w:eastAsia="id-ID"/>
        </w:rPr>
      </w:pPr>
      <w:r>
        <w:t>Kesadaran pajak di kalangan pelaku UMKM, khususnya di sektor makanan dan minuman, sering kali menjadi tantangan besar dalam peningkatan kepatuhan pajak.</w:t>
      </w:r>
      <w:r>
        <w:rPr>
          <w:lang w:val="en-AU"/>
        </w:rPr>
        <w:t xml:space="preserve"> </w:t>
      </w:r>
      <w:r>
        <w:rPr>
          <w:lang w:eastAsia="id-ID"/>
        </w:rPr>
        <w:t>Banyak pelaku UMKM di sektor makanan dan minuman belum terbiasa dengan teknologi perpajakan seperti sistem pelaporan pajak secara online (</w:t>
      </w:r>
      <w:r>
        <w:rPr>
          <w:i/>
          <w:iCs/>
          <w:lang w:eastAsia="id-ID"/>
        </w:rPr>
        <w:t>e-filing</w:t>
      </w:r>
      <w:r>
        <w:rPr>
          <w:lang w:eastAsia="id-ID"/>
        </w:rPr>
        <w:t xml:space="preserve">, </w:t>
      </w:r>
      <w:r>
        <w:rPr>
          <w:i/>
          <w:iCs/>
          <w:lang w:eastAsia="id-ID"/>
        </w:rPr>
        <w:t>e-billing</w:t>
      </w:r>
      <w:r>
        <w:rPr>
          <w:lang w:eastAsia="id-ID"/>
        </w:rPr>
        <w:t xml:space="preserve">). </w:t>
      </w:r>
    </w:p>
    <w:p w14:paraId="1DB451B5">
      <w:pPr>
        <w:spacing w:line="480" w:lineRule="auto"/>
        <w:ind w:firstLine="709"/>
        <w:jc w:val="mediumKashida"/>
        <w:rPr>
          <w:lang w:eastAsia="id-ID"/>
        </w:rPr>
      </w:pPr>
      <w:r>
        <w:rPr>
          <w:lang w:eastAsia="id-ID"/>
        </w:rPr>
        <w:t xml:space="preserve">Pada tahun 2013, sebelum pemerintah menerbitkan metode pembayaran pajak secara online melalui sistem </w:t>
      </w:r>
      <w:r>
        <w:rPr>
          <w:i/>
          <w:iCs/>
          <w:lang w:eastAsia="id-ID"/>
        </w:rPr>
        <w:t>e-billing</w:t>
      </w:r>
      <w:r>
        <w:rPr>
          <w:lang w:eastAsia="id-ID"/>
        </w:rPr>
        <w:t>, wajib pajak melakukan pembayaran pajak secara online melalui ATM.</w:t>
      </w:r>
      <w:r>
        <w:rPr>
          <w:lang w:val="en-US" w:eastAsia="id-ID"/>
        </w:rPr>
        <w:t xml:space="preserve"> </w:t>
      </w:r>
      <w:r>
        <w:rPr>
          <w:lang w:eastAsia="id-ID"/>
        </w:rPr>
        <w:t>Akan tetapi, saat itu jenis pajak yang dapat dibayarkan masih terbatas Pajak Penghasilan (PPh) saja.</w:t>
      </w:r>
      <w:r>
        <w:rPr>
          <w:lang w:val="en-US" w:eastAsia="id-ID"/>
        </w:rPr>
        <w:t xml:space="preserve"> </w:t>
      </w:r>
      <w:r>
        <w:rPr>
          <w:lang w:eastAsia="id-ID"/>
        </w:rPr>
        <w:t>Pada awalnya sebelum menggunakan ATM, pembayaran hanya bisa dilakukan di bank tertentu saja.</w:t>
      </w:r>
      <w:r>
        <w:rPr>
          <w:lang w:val="en-US" w:eastAsia="id-ID"/>
        </w:rPr>
        <w:t xml:space="preserve"> </w:t>
      </w:r>
      <w:r>
        <w:rPr>
          <w:lang w:eastAsia="id-ID"/>
        </w:rPr>
        <w:t>Untuk menyetorkan pajak, wajib pajak hanya perlu mendatangi ATM dan memasukkan NPWP diikuti 2 digit bulan dan 2 digit tahun pajak.</w:t>
      </w:r>
      <w:r>
        <w:rPr>
          <w:lang w:val="en-US" w:eastAsia="id-ID"/>
        </w:rPr>
        <w:t xml:space="preserve"> </w:t>
      </w:r>
      <w:r>
        <w:rPr>
          <w:lang w:eastAsia="id-ID"/>
        </w:rPr>
        <w:t xml:space="preserve">Setelah melalui beberapa proses tahun berjalan, pemerintah mulai mengembangkan sistem pembayaran berbasis aplikasi </w:t>
      </w:r>
      <w:r>
        <w:rPr>
          <w:i/>
          <w:iCs/>
          <w:lang w:eastAsia="id-ID"/>
        </w:rPr>
        <w:t>e-Billing</w:t>
      </w:r>
      <w:r>
        <w:rPr>
          <w:lang w:eastAsia="id-ID"/>
        </w:rPr>
        <w:t xml:space="preserve"> NPWP yang lebih modern yakni SSE Pajak versi 1, kemudian disempurnakan melalui SSE pajak versi 2 dan SSE Pajak versi 3.</w:t>
      </w:r>
    </w:p>
    <w:p w14:paraId="681616E8">
      <w:pPr>
        <w:spacing w:line="480" w:lineRule="auto"/>
        <w:ind w:firstLine="709"/>
        <w:jc w:val="mediumKashida"/>
        <w:rPr>
          <w:lang w:eastAsia="id-ID"/>
        </w:rPr>
      </w:pPr>
      <w:r>
        <w:rPr>
          <w:lang w:eastAsia="id-ID"/>
        </w:rPr>
        <w:t xml:space="preserve">Aplikasi </w:t>
      </w:r>
      <w:r>
        <w:rPr>
          <w:i/>
          <w:iCs/>
          <w:lang w:eastAsia="id-ID"/>
        </w:rPr>
        <w:t>e-Filing</w:t>
      </w:r>
      <w:r>
        <w:rPr>
          <w:lang w:eastAsia="id-ID"/>
        </w:rPr>
        <w:t xml:space="preserve"> pertama kali diperkenalkan oleh PJAP atau ASP dan disahkan melalui PER Dirjen Pajak Nomor KEP-05/PJ./2005 tentang Tata Cara Penyampaian Surat Pemberitahuan Secara Elektronik (</w:t>
      </w:r>
      <w:r>
        <w:rPr>
          <w:i/>
          <w:iCs/>
          <w:lang w:eastAsia="id-ID"/>
        </w:rPr>
        <w:t>e-Filing</w:t>
      </w:r>
      <w:r>
        <w:rPr>
          <w:lang w:eastAsia="id-ID"/>
        </w:rPr>
        <w:t xml:space="preserve">) Melalui Perusahaan Penyedia Jasa Aplikasi (ASP). Jadi, aplikasi </w:t>
      </w:r>
      <w:r>
        <w:rPr>
          <w:i/>
          <w:iCs/>
          <w:lang w:eastAsia="id-ID"/>
        </w:rPr>
        <w:t>e-Filing</w:t>
      </w:r>
      <w:r>
        <w:rPr>
          <w:lang w:eastAsia="id-ID"/>
        </w:rPr>
        <w:t xml:space="preserve"> dikeluarkan oleh DJP dan disediakan oleh mitra resmi DJP seperti Klikpajak.id. Dalam perkembangannya, DJP kemudian mengembangkan aplikasi </w:t>
      </w:r>
      <w:r>
        <w:rPr>
          <w:i/>
          <w:iCs/>
          <w:lang w:eastAsia="id-ID"/>
        </w:rPr>
        <w:t>e-filing</w:t>
      </w:r>
      <w:r>
        <w:rPr>
          <w:lang w:eastAsia="id-ID"/>
        </w:rPr>
        <w:t xml:space="preserve"> pajak milik pemerintah yang dapat diakses dengan mudah melalui website resmi Direktorat Jenderal Pajak (DJP online).</w:t>
      </w:r>
    </w:p>
    <w:p w14:paraId="685689C5">
      <w:pPr>
        <w:spacing w:line="480" w:lineRule="auto"/>
        <w:ind w:firstLine="709"/>
        <w:jc w:val="mediumKashida"/>
        <w:rPr>
          <w:lang w:val="en-US" w:eastAsia="id-ID"/>
        </w:rPr>
      </w:pPr>
      <w:r>
        <w:rPr>
          <w:lang w:val="en-US" w:eastAsia="id-ID"/>
        </w:rPr>
        <w:t xml:space="preserve">Sejak Modul Penerimaan Negara Generasi 2 (MPN G2) diluncurkan, Direktorat Jenderal Pajak mengintegrasikan seluruh aplikasi perpajakan online, baik </w:t>
      </w:r>
      <w:r>
        <w:rPr>
          <w:i/>
          <w:iCs/>
          <w:lang w:val="en-US" w:eastAsia="id-ID"/>
        </w:rPr>
        <w:t>e-Filing</w:t>
      </w:r>
      <w:r>
        <w:rPr>
          <w:lang w:val="en-US" w:eastAsia="id-ID"/>
        </w:rPr>
        <w:t xml:space="preserve"> dan </w:t>
      </w:r>
      <w:r>
        <w:rPr>
          <w:i/>
          <w:iCs/>
          <w:lang w:val="en-US" w:eastAsia="id-ID"/>
        </w:rPr>
        <w:t>e-Billing</w:t>
      </w:r>
      <w:r>
        <w:rPr>
          <w:lang w:val="en-US" w:eastAsia="id-ID"/>
        </w:rPr>
        <w:t xml:space="preserve">, ke dalam situs DJP Online. </w:t>
      </w:r>
    </w:p>
    <w:p w14:paraId="2B52A436">
      <w:pPr>
        <w:spacing w:line="480" w:lineRule="auto"/>
        <w:ind w:firstLine="709"/>
        <w:jc w:val="both"/>
      </w:pPr>
      <w:r>
        <w:rPr>
          <w:lang w:eastAsia="id-ID"/>
        </w:rPr>
        <w:t xml:space="preserve">Hal ini terutama dialami oleh pelaku UMKM </w:t>
      </w:r>
      <w:r>
        <w:rPr>
          <w:lang w:val="en-AU" w:eastAsia="id-ID"/>
        </w:rPr>
        <w:t>makanan dan minuman yang terdapat di daerah Lubuk Pakam</w:t>
      </w:r>
      <w:r>
        <w:rPr>
          <w:lang w:eastAsia="id-ID"/>
        </w:rPr>
        <w:t>. Ketidaktahuan dalam menggunakan teknologi ini membuat mereka kesulitan dalam melaporkan dan membayar pajak, sehingga kesadaran pajak mereka menurun dikarenakan minimnya pengetahuan serta edukasi dari pihak pemerintah kepada pelaku UMKM makanan dan minuman.</w:t>
      </w:r>
    </w:p>
    <w:p w14:paraId="3DC1E1DD">
      <w:pPr>
        <w:spacing w:line="480" w:lineRule="auto"/>
        <w:ind w:firstLine="709"/>
        <w:jc w:val="both"/>
        <w:rPr>
          <w:lang w:val="zh-CN"/>
        </w:rPr>
      </w:pPr>
      <w:r>
        <w:rPr>
          <w:lang w:val="zh-CN"/>
        </w:rPr>
        <w:t>Lubuk Pakam adalah ibu kota dari Kabupaten Deli Serdang, Provinsi Sumatera Utara. Berdasarkan data, Kecamatan Lubuk Pakam memiliki luas sekitar 37,92 km². Sebagai pusat pemerintahan Kabupaten Deli Serdang, Lubuk Pakam juga merupakan salah satu kecamatan penting di wilayah tersebut. Sesuai PP No.23 dengan luas daerah yang dimiliki oleh Lubuk Pakam masih belum berjalan sesuai harapan karena beberapa wajib pajak belum membayar kewajibannya. Tingkat kepatuhan wajib pajak UMKM masih terbilang rendah dan belum mencapai target penerimaan pajak negara. Sejak diterapkannya PP No.23 pada tahun 2018, KPP Pratama Lubuk Pakam hanya mecatatkan sebesar 5.692 UMKM yang melaporkan SPTnya. tahun 2022, para pelaku UMKM yang terdaftar di KPP Pratama Lubuk Pakam cukup meningkat dalam melaporkan SPT Tahunannya. Jumlah SPT Lapor yang meningkat pada tahun 2021 sangat berbanding terbalik dengan peningkatan jumlah UMKM yang 2 kali lipat dari tahun sebelumnya.</w:t>
      </w:r>
    </w:p>
    <w:p w14:paraId="0BBE66C9">
      <w:pPr>
        <w:spacing w:line="276" w:lineRule="auto"/>
        <w:jc w:val="center"/>
        <w:rPr>
          <w:b/>
          <w:lang w:val="en-US"/>
        </w:rPr>
      </w:pPr>
      <w:r>
        <w:rPr>
          <w:b/>
          <w:lang w:val="en-US"/>
        </w:rPr>
        <w:t>Tabel 1.2</w:t>
      </w:r>
    </w:p>
    <w:p w14:paraId="50B2C8F7">
      <w:pPr>
        <w:spacing w:line="276" w:lineRule="auto"/>
        <w:jc w:val="center"/>
        <w:rPr>
          <w:b/>
          <w:lang w:val="en-US"/>
        </w:rPr>
      </w:pPr>
      <w:r>
        <w:rPr>
          <w:b/>
          <w:lang w:val="en-US"/>
        </w:rPr>
        <w:t>Jumlah Persentase Tingkat Kepatuhan Pajak UMKM Terdaftar di KPP Pratama Lubuk Pakam Tahun 2018-2020</w:t>
      </w:r>
    </w:p>
    <w:tbl>
      <w:tblPr>
        <w:tblStyle w:val="13"/>
        <w:tblW w:w="0" w:type="auto"/>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50"/>
        <w:gridCol w:w="3233"/>
        <w:gridCol w:w="1417"/>
        <w:gridCol w:w="1418"/>
      </w:tblGrid>
      <w:tr w14:paraId="2403A84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50" w:type="dxa"/>
            <w:tcBorders>
              <w:bottom w:val="single" w:color="7E7E7E" w:themeColor="text1" w:themeTint="80" w:sz="4" w:space="0"/>
              <w:insideH w:val="single" w:sz="4" w:space="0"/>
            </w:tcBorders>
          </w:tcPr>
          <w:p w14:paraId="5FF4755B">
            <w:pPr>
              <w:spacing w:line="276" w:lineRule="auto"/>
              <w:contextualSpacing/>
              <w:jc w:val="center"/>
              <w:rPr>
                <w:b w:val="0"/>
                <w:bCs/>
                <w:sz w:val="20"/>
                <w:szCs w:val="20"/>
                <w:lang w:val="zh-CN"/>
              </w:rPr>
            </w:pPr>
            <w:r>
              <w:rPr>
                <w:b/>
                <w:bCs/>
                <w:sz w:val="20"/>
                <w:szCs w:val="20"/>
                <w:lang w:val="zh-CN"/>
              </w:rPr>
              <w:t>Tahun</w:t>
            </w:r>
          </w:p>
        </w:tc>
        <w:tc>
          <w:tcPr>
            <w:tcW w:w="3233" w:type="dxa"/>
            <w:tcBorders>
              <w:bottom w:val="single" w:color="7E7E7E" w:themeColor="text1" w:themeTint="80" w:sz="4" w:space="0"/>
              <w:insideH w:val="single" w:sz="4" w:space="0"/>
            </w:tcBorders>
          </w:tcPr>
          <w:p w14:paraId="16AE4B01">
            <w:pPr>
              <w:spacing w:line="276" w:lineRule="auto"/>
              <w:contextualSpacing/>
              <w:jc w:val="center"/>
              <w:rPr>
                <w:b w:val="0"/>
                <w:bCs/>
                <w:sz w:val="20"/>
                <w:szCs w:val="20"/>
                <w:lang w:val="zh-CN"/>
              </w:rPr>
            </w:pPr>
            <w:r>
              <w:rPr>
                <w:b/>
                <w:bCs/>
                <w:sz w:val="20"/>
                <w:szCs w:val="20"/>
                <w:lang w:val="zh-CN"/>
              </w:rPr>
              <w:t>Target Kepatuhan Pajak UMKM yang Terdaftar</w:t>
            </w:r>
          </w:p>
        </w:tc>
        <w:tc>
          <w:tcPr>
            <w:tcW w:w="1417" w:type="dxa"/>
            <w:tcBorders>
              <w:bottom w:val="single" w:color="7E7E7E" w:themeColor="text1" w:themeTint="80" w:sz="4" w:space="0"/>
              <w:insideH w:val="single" w:sz="4" w:space="0"/>
            </w:tcBorders>
          </w:tcPr>
          <w:p w14:paraId="5A6B31CA">
            <w:pPr>
              <w:spacing w:line="276" w:lineRule="auto"/>
              <w:contextualSpacing/>
              <w:jc w:val="center"/>
              <w:rPr>
                <w:b w:val="0"/>
                <w:bCs/>
                <w:sz w:val="20"/>
                <w:szCs w:val="20"/>
                <w:lang w:val="zh-CN"/>
              </w:rPr>
            </w:pPr>
            <w:r>
              <w:rPr>
                <w:b/>
                <w:bCs/>
                <w:sz w:val="20"/>
                <w:szCs w:val="20"/>
                <w:lang w:val="zh-CN"/>
              </w:rPr>
              <w:t>SPT Lapor</w:t>
            </w:r>
          </w:p>
        </w:tc>
        <w:tc>
          <w:tcPr>
            <w:tcW w:w="1418" w:type="dxa"/>
            <w:tcBorders>
              <w:bottom w:val="single" w:color="7E7E7E" w:themeColor="text1" w:themeTint="80" w:sz="4" w:space="0"/>
              <w:insideH w:val="single" w:sz="4" w:space="0"/>
            </w:tcBorders>
          </w:tcPr>
          <w:p w14:paraId="713A0147">
            <w:pPr>
              <w:spacing w:line="276" w:lineRule="auto"/>
              <w:contextualSpacing/>
              <w:jc w:val="center"/>
              <w:rPr>
                <w:b w:val="0"/>
                <w:bCs/>
                <w:sz w:val="20"/>
                <w:szCs w:val="20"/>
                <w:lang w:val="zh-CN"/>
              </w:rPr>
            </w:pPr>
            <w:r>
              <w:rPr>
                <w:b/>
                <w:bCs/>
                <w:sz w:val="20"/>
                <w:szCs w:val="20"/>
                <w:lang w:val="zh-CN"/>
              </w:rPr>
              <w:t>Persentase</w:t>
            </w:r>
          </w:p>
        </w:tc>
      </w:tr>
      <w:tr w14:paraId="1FCD14D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50" w:type="dxa"/>
            <w:tcBorders>
              <w:top w:val="single" w:color="7E7E7E" w:themeColor="text1" w:themeTint="80" w:sz="4" w:space="0"/>
              <w:bottom w:val="single" w:color="7E7E7E" w:themeColor="text1" w:themeTint="80" w:sz="4" w:space="0"/>
              <w:insideH w:val="single" w:sz="4" w:space="0"/>
            </w:tcBorders>
          </w:tcPr>
          <w:p w14:paraId="472FCAA7">
            <w:pPr>
              <w:spacing w:line="276" w:lineRule="auto"/>
              <w:contextualSpacing/>
              <w:jc w:val="center"/>
              <w:rPr>
                <w:b w:val="0"/>
                <w:bCs w:val="0"/>
                <w:sz w:val="20"/>
                <w:szCs w:val="20"/>
                <w:lang w:val="zh-CN"/>
              </w:rPr>
            </w:pPr>
            <w:r>
              <w:rPr>
                <w:b w:val="0"/>
                <w:bCs w:val="0"/>
                <w:sz w:val="20"/>
                <w:szCs w:val="20"/>
                <w:lang w:val="zh-CN"/>
              </w:rPr>
              <w:t>2021</w:t>
            </w:r>
          </w:p>
        </w:tc>
        <w:tc>
          <w:tcPr>
            <w:tcW w:w="3233" w:type="dxa"/>
            <w:tcBorders>
              <w:top w:val="single" w:color="7E7E7E" w:themeColor="text1" w:themeTint="80" w:sz="4" w:space="0"/>
              <w:bottom w:val="single" w:color="7E7E7E" w:themeColor="text1" w:themeTint="80" w:sz="4" w:space="0"/>
              <w:insideH w:val="single" w:sz="4" w:space="0"/>
            </w:tcBorders>
          </w:tcPr>
          <w:p w14:paraId="42BB545A">
            <w:pPr>
              <w:spacing w:line="276" w:lineRule="auto"/>
              <w:contextualSpacing/>
              <w:jc w:val="center"/>
              <w:rPr>
                <w:sz w:val="20"/>
                <w:szCs w:val="20"/>
                <w:lang w:val="zh-CN"/>
              </w:rPr>
            </w:pPr>
            <w:r>
              <w:rPr>
                <w:sz w:val="20"/>
                <w:szCs w:val="20"/>
                <w:lang w:val="zh-CN"/>
              </w:rPr>
              <w:t>48.748</w:t>
            </w:r>
          </w:p>
        </w:tc>
        <w:tc>
          <w:tcPr>
            <w:tcW w:w="1417" w:type="dxa"/>
            <w:tcBorders>
              <w:top w:val="single" w:color="7E7E7E" w:themeColor="text1" w:themeTint="80" w:sz="4" w:space="0"/>
              <w:bottom w:val="single" w:color="7E7E7E" w:themeColor="text1" w:themeTint="80" w:sz="4" w:space="0"/>
              <w:insideH w:val="single" w:sz="4" w:space="0"/>
            </w:tcBorders>
          </w:tcPr>
          <w:p w14:paraId="448FC373">
            <w:pPr>
              <w:spacing w:line="276" w:lineRule="auto"/>
              <w:contextualSpacing/>
              <w:jc w:val="center"/>
              <w:rPr>
                <w:sz w:val="20"/>
                <w:szCs w:val="20"/>
                <w:lang w:val="zh-CN"/>
              </w:rPr>
            </w:pPr>
            <w:r>
              <w:rPr>
                <w:sz w:val="20"/>
                <w:szCs w:val="20"/>
                <w:lang w:val="zh-CN"/>
              </w:rPr>
              <w:t>5.692</w:t>
            </w:r>
          </w:p>
        </w:tc>
        <w:tc>
          <w:tcPr>
            <w:tcW w:w="1418" w:type="dxa"/>
            <w:tcBorders>
              <w:top w:val="single" w:color="7E7E7E" w:themeColor="text1" w:themeTint="80" w:sz="4" w:space="0"/>
              <w:bottom w:val="single" w:color="7E7E7E" w:themeColor="text1" w:themeTint="80" w:sz="4" w:space="0"/>
              <w:insideH w:val="single" w:sz="4" w:space="0"/>
            </w:tcBorders>
          </w:tcPr>
          <w:p w14:paraId="0530FEE4">
            <w:pPr>
              <w:spacing w:line="276" w:lineRule="auto"/>
              <w:contextualSpacing/>
              <w:jc w:val="center"/>
              <w:rPr>
                <w:sz w:val="20"/>
                <w:szCs w:val="20"/>
                <w:lang w:val="zh-CN"/>
              </w:rPr>
            </w:pPr>
            <w:r>
              <w:rPr>
                <w:sz w:val="20"/>
                <w:szCs w:val="20"/>
                <w:lang w:val="zh-CN"/>
              </w:rPr>
              <w:t>11.68%</w:t>
            </w:r>
          </w:p>
        </w:tc>
      </w:tr>
      <w:tr w14:paraId="6808DD8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50" w:type="dxa"/>
          </w:tcPr>
          <w:p w14:paraId="3539262D">
            <w:pPr>
              <w:spacing w:line="276" w:lineRule="auto"/>
              <w:contextualSpacing/>
              <w:jc w:val="center"/>
              <w:rPr>
                <w:b w:val="0"/>
                <w:bCs w:val="0"/>
                <w:sz w:val="20"/>
                <w:szCs w:val="20"/>
                <w:lang w:val="zh-CN"/>
              </w:rPr>
            </w:pPr>
            <w:r>
              <w:rPr>
                <w:b w:val="0"/>
                <w:bCs w:val="0"/>
                <w:sz w:val="20"/>
                <w:szCs w:val="20"/>
                <w:lang w:val="zh-CN"/>
              </w:rPr>
              <w:t>2022</w:t>
            </w:r>
          </w:p>
        </w:tc>
        <w:tc>
          <w:tcPr>
            <w:tcW w:w="3233" w:type="dxa"/>
          </w:tcPr>
          <w:p w14:paraId="4871AB41">
            <w:pPr>
              <w:spacing w:line="276" w:lineRule="auto"/>
              <w:contextualSpacing/>
              <w:jc w:val="center"/>
              <w:rPr>
                <w:sz w:val="20"/>
                <w:szCs w:val="20"/>
                <w:lang w:val="zh-CN"/>
              </w:rPr>
            </w:pPr>
            <w:r>
              <w:rPr>
                <w:sz w:val="20"/>
                <w:szCs w:val="20"/>
                <w:lang w:val="zh-CN"/>
              </w:rPr>
              <w:t>55.218</w:t>
            </w:r>
          </w:p>
        </w:tc>
        <w:tc>
          <w:tcPr>
            <w:tcW w:w="1417" w:type="dxa"/>
          </w:tcPr>
          <w:p w14:paraId="13C4897C">
            <w:pPr>
              <w:spacing w:line="276" w:lineRule="auto"/>
              <w:contextualSpacing/>
              <w:jc w:val="center"/>
              <w:rPr>
                <w:sz w:val="20"/>
                <w:szCs w:val="20"/>
                <w:lang w:val="zh-CN"/>
              </w:rPr>
            </w:pPr>
            <w:r>
              <w:rPr>
                <w:sz w:val="20"/>
                <w:szCs w:val="20"/>
                <w:lang w:val="zh-CN"/>
              </w:rPr>
              <w:t>5.209</w:t>
            </w:r>
          </w:p>
        </w:tc>
        <w:tc>
          <w:tcPr>
            <w:tcW w:w="1418" w:type="dxa"/>
          </w:tcPr>
          <w:p w14:paraId="7140A2F8">
            <w:pPr>
              <w:spacing w:line="276" w:lineRule="auto"/>
              <w:contextualSpacing/>
              <w:jc w:val="center"/>
              <w:rPr>
                <w:sz w:val="20"/>
                <w:szCs w:val="20"/>
                <w:lang w:val="zh-CN"/>
              </w:rPr>
            </w:pPr>
            <w:r>
              <w:rPr>
                <w:sz w:val="20"/>
                <w:szCs w:val="20"/>
                <w:lang w:val="zh-CN"/>
              </w:rPr>
              <w:t>9.43%</w:t>
            </w:r>
          </w:p>
        </w:tc>
      </w:tr>
      <w:tr w14:paraId="1268426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50" w:type="dxa"/>
            <w:tcBorders>
              <w:top w:val="single" w:color="7E7E7E" w:themeColor="text1" w:themeTint="80" w:sz="4" w:space="0"/>
              <w:bottom w:val="single" w:color="7E7E7E" w:themeColor="text1" w:themeTint="80" w:sz="4" w:space="0"/>
              <w:insideH w:val="single" w:sz="4" w:space="0"/>
            </w:tcBorders>
          </w:tcPr>
          <w:p w14:paraId="73836815">
            <w:pPr>
              <w:spacing w:line="276" w:lineRule="auto"/>
              <w:contextualSpacing/>
              <w:jc w:val="center"/>
              <w:rPr>
                <w:b w:val="0"/>
                <w:bCs w:val="0"/>
                <w:sz w:val="20"/>
                <w:szCs w:val="20"/>
                <w:lang w:val="zh-CN"/>
              </w:rPr>
            </w:pPr>
            <w:r>
              <w:rPr>
                <w:b w:val="0"/>
                <w:bCs w:val="0"/>
                <w:sz w:val="20"/>
                <w:szCs w:val="20"/>
                <w:lang w:val="zh-CN"/>
              </w:rPr>
              <w:t>2023</w:t>
            </w:r>
          </w:p>
        </w:tc>
        <w:tc>
          <w:tcPr>
            <w:tcW w:w="3233" w:type="dxa"/>
            <w:tcBorders>
              <w:top w:val="single" w:color="7E7E7E" w:themeColor="text1" w:themeTint="80" w:sz="4" w:space="0"/>
              <w:bottom w:val="single" w:color="7E7E7E" w:themeColor="text1" w:themeTint="80" w:sz="4" w:space="0"/>
              <w:insideH w:val="single" w:sz="4" w:space="0"/>
            </w:tcBorders>
          </w:tcPr>
          <w:p w14:paraId="44F1EA2D">
            <w:pPr>
              <w:spacing w:line="276" w:lineRule="auto"/>
              <w:contextualSpacing/>
              <w:jc w:val="center"/>
              <w:rPr>
                <w:sz w:val="20"/>
                <w:szCs w:val="20"/>
                <w:lang w:val="zh-CN"/>
              </w:rPr>
            </w:pPr>
            <w:r>
              <w:rPr>
                <w:sz w:val="20"/>
                <w:szCs w:val="20"/>
                <w:lang w:val="zh-CN"/>
              </w:rPr>
              <w:t>140.549</w:t>
            </w:r>
          </w:p>
        </w:tc>
        <w:tc>
          <w:tcPr>
            <w:tcW w:w="1417" w:type="dxa"/>
            <w:tcBorders>
              <w:top w:val="single" w:color="7E7E7E" w:themeColor="text1" w:themeTint="80" w:sz="4" w:space="0"/>
              <w:bottom w:val="single" w:color="7E7E7E" w:themeColor="text1" w:themeTint="80" w:sz="4" w:space="0"/>
              <w:insideH w:val="single" w:sz="4" w:space="0"/>
            </w:tcBorders>
          </w:tcPr>
          <w:p w14:paraId="4F72FA49">
            <w:pPr>
              <w:spacing w:line="276" w:lineRule="auto"/>
              <w:contextualSpacing/>
              <w:jc w:val="center"/>
              <w:rPr>
                <w:sz w:val="20"/>
                <w:szCs w:val="20"/>
                <w:lang w:val="zh-CN"/>
              </w:rPr>
            </w:pPr>
            <w:r>
              <w:rPr>
                <w:sz w:val="20"/>
                <w:szCs w:val="20"/>
                <w:lang w:val="zh-CN"/>
              </w:rPr>
              <w:t>4.659</w:t>
            </w:r>
          </w:p>
        </w:tc>
        <w:tc>
          <w:tcPr>
            <w:tcW w:w="1418" w:type="dxa"/>
            <w:tcBorders>
              <w:top w:val="single" w:color="7E7E7E" w:themeColor="text1" w:themeTint="80" w:sz="4" w:space="0"/>
              <w:bottom w:val="single" w:color="7E7E7E" w:themeColor="text1" w:themeTint="80" w:sz="4" w:space="0"/>
              <w:insideH w:val="single" w:sz="4" w:space="0"/>
            </w:tcBorders>
          </w:tcPr>
          <w:p w14:paraId="107C90A4">
            <w:pPr>
              <w:spacing w:line="276" w:lineRule="auto"/>
              <w:contextualSpacing/>
              <w:jc w:val="center"/>
              <w:rPr>
                <w:sz w:val="20"/>
                <w:szCs w:val="20"/>
                <w:lang w:val="zh-CN"/>
              </w:rPr>
            </w:pPr>
            <w:r>
              <w:rPr>
                <w:sz w:val="20"/>
                <w:szCs w:val="20"/>
                <w:lang w:val="zh-CN"/>
              </w:rPr>
              <w:t>3.31%</w:t>
            </w:r>
          </w:p>
        </w:tc>
      </w:tr>
    </w:tbl>
    <w:p w14:paraId="28717379">
      <w:pPr>
        <w:pStyle w:val="11"/>
        <w:spacing w:line="480" w:lineRule="auto"/>
        <w:ind w:left="0" w:firstLine="709"/>
        <w:jc w:val="both"/>
        <w:rPr>
          <w:lang w:val="zh-CN"/>
        </w:rPr>
      </w:pPr>
      <w:r>
        <w:rPr>
          <w:lang w:val="zh-CN"/>
        </w:rPr>
        <w:t>Sumber : KPP Pratama Lubuk Pakam.co.id, 2024</w:t>
      </w:r>
    </w:p>
    <w:p w14:paraId="54393A33">
      <w:pPr>
        <w:spacing w:line="480" w:lineRule="auto"/>
        <w:ind w:firstLine="709"/>
        <w:contextualSpacing/>
        <w:jc w:val="both"/>
        <w:rPr>
          <w:rFonts w:eastAsiaTheme="minorEastAsia"/>
          <w:lang w:val="zh-CN" w:eastAsia="ja-JP"/>
        </w:rPr>
      </w:pPr>
      <w:r>
        <w:rPr>
          <w:rFonts w:eastAsiaTheme="minorEastAsia"/>
          <w:lang w:val="zh-CN" w:eastAsia="ja-JP"/>
        </w:rPr>
        <w:t>Tabel diatas dapat dilihat bahwa persentase tingkat kepatuhan pajak UMKM di KPP Pratama Lubuk Pakam pada tahun 2021-2023 yang melaporkan SPT Tahunan dan cenderung rendah dari target yang ditetapkan oleh Direktorat Jendral Pajak.</w:t>
      </w:r>
    </w:p>
    <w:p w14:paraId="1DEBE80C">
      <w:pPr>
        <w:spacing w:line="480" w:lineRule="auto"/>
        <w:ind w:firstLine="709"/>
        <w:contextualSpacing/>
        <w:jc w:val="both"/>
      </w:pPr>
      <w:r>
        <w:t xml:space="preserve">Berdasarkan </w:t>
      </w:r>
      <w:r>
        <w:rPr>
          <w:lang w:val="en-US"/>
        </w:rPr>
        <w:t>masalah</w:t>
      </w:r>
      <w:r>
        <w:t xml:space="preserve"> yang terjadi seperti dikutip dari pajak.go.id saat dilakukannya sosialisasi mengenai PP No. 23 Th. 2018 yang dilakukan oleh KPP Pratama </w:t>
      </w:r>
      <w:r>
        <w:rPr>
          <w:lang w:val="en-US"/>
        </w:rPr>
        <w:t>Lubuk Pakam</w:t>
      </w:r>
      <w:r>
        <w:t xml:space="preserve"> yang bertempat di </w:t>
      </w:r>
      <w:r>
        <w:rPr>
          <w:lang w:val="en-US"/>
        </w:rPr>
        <w:t>Lubuk Pakam</w:t>
      </w:r>
      <w:r>
        <w:t xml:space="preserve"> pada 13 Agustus 20</w:t>
      </w:r>
      <w:r>
        <w:rPr>
          <w:lang w:val="en-US"/>
        </w:rPr>
        <w:t>21</w:t>
      </w:r>
      <w:r>
        <w:t xml:space="preserve"> dan dihadiri oleh </w:t>
      </w:r>
      <w:r>
        <w:rPr>
          <w:lang w:val="en-US"/>
        </w:rPr>
        <w:t>pegawai pajak</w:t>
      </w:r>
      <w:r>
        <w:t>, kelompok usaha tani, dan beberapa pelaku usaha mikro kecil dan mene</w:t>
      </w:r>
      <w:r>
        <w:rPr>
          <w:lang w:val="en-US"/>
        </w:rPr>
        <w:t>n</w:t>
      </w:r>
      <w:r>
        <w:t xml:space="preserve">gah. Saat dilakukannya sosialisasi yang dilakukan oleh KPP Pratama Lubuk Pakam sebagai narasumber di acara tersebut, menyatakan saat materi perpajakan dibawakan banyak perserta yang aktif bertanya dan dari hasil diskusi beberapa perserta masih belum memahami dan bingung untuk membedakan pajak pusat dan pajak daerah, hingga salah satu peserta bercerita tentang masalah pertanian yang sedang mereka hadapi. </w:t>
      </w:r>
    </w:p>
    <w:p w14:paraId="549DCE74">
      <w:pPr>
        <w:spacing w:line="480" w:lineRule="auto"/>
        <w:ind w:firstLine="709"/>
        <w:contextualSpacing/>
        <w:jc w:val="both"/>
        <w:rPr>
          <w:rFonts w:eastAsiaTheme="minorEastAsia"/>
          <w:lang w:val="zh-CN" w:eastAsia="ja-JP"/>
        </w:rPr>
      </w:pPr>
      <w:r>
        <w:rPr>
          <w:rFonts w:eastAsiaTheme="minorEastAsia"/>
          <w:lang w:eastAsia="ja-JP"/>
        </w:rPr>
        <w:t>Beberapa penelitian terdahulu Juwanti, 2020), (</w:t>
      </w:r>
      <w:r>
        <w:rPr>
          <w:color w:val="222222"/>
          <w:shd w:val="clear" w:color="auto" w:fill="FFFFFF"/>
        </w:rPr>
        <w:t>Khotimah</w:t>
      </w:r>
      <w:r>
        <w:rPr>
          <w:rFonts w:eastAsiaTheme="minorEastAsia"/>
          <w:lang w:eastAsia="ja-JP"/>
        </w:rPr>
        <w:t xml:space="preserve"> et al., 2020) dengan hasil penelitian mengatakan bahwa penurunan tarif pajak UMKM berpengaruh secara signifikan terhadap persepsi wajib pajak mengenai kepatuhan wajib pajak UMKM. </w:t>
      </w:r>
      <w:r>
        <w:rPr>
          <w:rFonts w:eastAsiaTheme="minorEastAsia"/>
          <w:lang w:val="zh-CN" w:eastAsia="ja-JP"/>
        </w:rPr>
        <w:t xml:space="preserve">Tarif pajak yang semakin rendah maka pajak yang akan dibayarkan semakin kecil hal tersebut akan mengurangi pengeluaran untuk membayar pajak dimana akan memperoleh keuntungan bagi usahanya. Sedangkan, Agustina (2020) mengatakan bahwa tarif pajak berpengaruh negatif terhadap kepatuhan wajib pajak UMKM.  </w:t>
      </w:r>
    </w:p>
    <w:p w14:paraId="27D222CF">
      <w:pPr>
        <w:spacing w:line="480" w:lineRule="auto"/>
        <w:ind w:firstLine="709"/>
        <w:jc w:val="both"/>
        <w:rPr>
          <w:lang w:val="en-US"/>
        </w:rPr>
      </w:pPr>
      <w:r>
        <w:t>Penelitian sebelumnya yang dilakukan oleh (</w:t>
      </w:r>
      <w:r>
        <w:rPr>
          <w:lang w:val="en-US"/>
        </w:rPr>
        <w:t>Meidiyustiani et al., 2022)</w:t>
      </w:r>
      <w:r>
        <w:t xml:space="preserve"> menunjukan bahwa </w:t>
      </w:r>
      <w:r>
        <w:rPr>
          <w:lang w:val="en-US"/>
        </w:rPr>
        <w:t>kesadaran wajib pajak</w:t>
      </w:r>
      <w:r>
        <w:t xml:space="preserve"> secara parsial</w:t>
      </w:r>
      <w:r>
        <w:rPr>
          <w:lang w:val="en-US"/>
        </w:rPr>
        <w:t xml:space="preserve"> tidak</w:t>
      </w:r>
      <w:r>
        <w:t xml:space="preserve"> berpengaruh dan signifikan terhadap kepatuhan wajib pajak. Sedangkan penelitian yang dilakukan oleh (</w:t>
      </w:r>
      <w:r>
        <w:rPr>
          <w:shd w:val="clear" w:color="auto" w:fill="FFFFFF"/>
        </w:rPr>
        <w:t>Nasharani</w:t>
      </w:r>
      <w:r>
        <w:rPr>
          <w:shd w:val="clear" w:color="auto" w:fill="FFFFFF"/>
          <w:lang w:val="en-US"/>
        </w:rPr>
        <w:t xml:space="preserve"> dan </w:t>
      </w:r>
      <w:r>
        <w:rPr>
          <w:shd w:val="clear" w:color="auto" w:fill="FFFFFF"/>
        </w:rPr>
        <w:t>Wahjudi</w:t>
      </w:r>
      <w:r>
        <w:t xml:space="preserve">, </w:t>
      </w:r>
      <w:r>
        <w:rPr>
          <w:lang w:val="en-US"/>
        </w:rPr>
        <w:t xml:space="preserve">2023) </w:t>
      </w:r>
      <w:r>
        <w:t xml:space="preserve">menyatakan </w:t>
      </w:r>
      <w:r>
        <w:rPr>
          <w:lang w:val="en-US"/>
        </w:rPr>
        <w:t>Kesadaran</w:t>
      </w:r>
      <w:r>
        <w:t xml:space="preserve"> Wajib Pajak</w:t>
      </w:r>
      <w:r>
        <w:rPr>
          <w:lang w:val="en-US"/>
        </w:rPr>
        <w:t xml:space="preserve"> </w:t>
      </w:r>
      <w:r>
        <w:t>berpengaruh secara signifikan terhadap Kepatuhan Wajib Pajak.</w:t>
      </w:r>
    </w:p>
    <w:p w14:paraId="4EB794E0">
      <w:pPr>
        <w:spacing w:line="480" w:lineRule="auto"/>
        <w:ind w:firstLine="709"/>
        <w:jc w:val="both"/>
        <w:rPr>
          <w:lang w:val="en-US"/>
        </w:rPr>
      </w:pPr>
      <w:r>
        <w:rPr>
          <w:lang w:val="en-US"/>
        </w:rPr>
        <w:t>Berdasarkan uraian diatas penulis tertarik untuk melakukan penelitian yang berjudul “Analisis Pemahaman Perpajakan, Kesadaran Wajib Pajak Dan Penurunan Tarif Pajak PP No 23 Tahun 2018 Terhadap Kepatuhan Wajib Pajak Pelaku Pada UMKM Makanan Dan Minuman Di Lubuk Pakam”.</w:t>
      </w:r>
    </w:p>
    <w:p w14:paraId="11C5080D">
      <w:pPr>
        <w:spacing w:line="480" w:lineRule="auto"/>
        <w:jc w:val="both"/>
        <w:rPr>
          <w:b/>
          <w:lang w:val="en-US"/>
        </w:rPr>
      </w:pPr>
      <w:r>
        <w:rPr>
          <w:b/>
          <w:lang w:val="en-US"/>
        </w:rPr>
        <w:t>1.2</w:t>
      </w:r>
      <w:r>
        <w:rPr>
          <w:b/>
          <w:lang w:val="en-US"/>
        </w:rPr>
        <w:tab/>
      </w:r>
      <w:r>
        <w:rPr>
          <w:b/>
          <w:lang w:val="en-US"/>
        </w:rPr>
        <w:t>Identifikasi Masalah</w:t>
      </w:r>
    </w:p>
    <w:p w14:paraId="027AE1D1">
      <w:pPr>
        <w:spacing w:line="480" w:lineRule="auto"/>
        <w:ind w:firstLine="709"/>
        <w:jc w:val="both"/>
        <w:rPr>
          <w:lang w:val="en-US"/>
        </w:rPr>
      </w:pPr>
      <w:r>
        <w:t>Berdasarkan latar belakang masalah yang diuraikan, maka dapat diidentifikasikan</w:t>
      </w:r>
      <w:r>
        <w:rPr>
          <w:lang w:val="en-US"/>
        </w:rPr>
        <w:t xml:space="preserve"> </w:t>
      </w:r>
      <w:r>
        <w:t>beberapa masalah, yaitu :</w:t>
      </w:r>
    </w:p>
    <w:p w14:paraId="5F6C544A">
      <w:pPr>
        <w:pStyle w:val="11"/>
        <w:numPr>
          <w:ilvl w:val="0"/>
          <w:numId w:val="1"/>
        </w:numPr>
        <w:spacing w:line="480" w:lineRule="auto"/>
        <w:ind w:left="284" w:hanging="284"/>
        <w:jc w:val="both"/>
        <w:rPr>
          <w:lang w:val="en-US"/>
        </w:rPr>
      </w:pPr>
      <w:r>
        <w:rPr>
          <w:lang w:val="en-AU"/>
        </w:rPr>
        <w:t xml:space="preserve">Saat ini masih banyak </w:t>
      </w:r>
      <w:r>
        <w:t xml:space="preserve">pelaku UMKM </w:t>
      </w:r>
      <w:r>
        <w:rPr>
          <w:lang w:val="en-AU"/>
        </w:rPr>
        <w:t xml:space="preserve">khususnya </w:t>
      </w:r>
      <w:r>
        <w:rPr>
          <w:lang w:val="en-US"/>
        </w:rPr>
        <w:t>UMKM Makanan Dan Minuman Di Lubuk Pakam</w:t>
      </w:r>
      <w:r>
        <w:t xml:space="preserve"> yang belum memahami jenis pajak yang harus dibayarkan, termasuk perbedaan antara PPh (Pajak Penghasilan), PPN (Pajak Pertambahan Nilai), dan pajak lainnya. Hal ini sering kali disebabkan oleh rendahnya akses terhadap informasi yang jelas dan relevan terkait perpajakan</w:t>
      </w:r>
      <w:r>
        <w:rPr>
          <w:lang w:val="zh-CN"/>
        </w:rPr>
        <w:t>.</w:t>
      </w:r>
    </w:p>
    <w:p w14:paraId="593F9795">
      <w:pPr>
        <w:pStyle w:val="11"/>
        <w:numPr>
          <w:ilvl w:val="0"/>
          <w:numId w:val="1"/>
        </w:numPr>
        <w:spacing w:line="480" w:lineRule="auto"/>
        <w:ind w:left="284" w:hanging="284"/>
        <w:jc w:val="both"/>
        <w:rPr>
          <w:lang w:val="en-US"/>
        </w:rPr>
      </w:pPr>
      <w:r>
        <w:rPr>
          <w:lang w:val="en-AU" w:eastAsia="id-ID"/>
        </w:rPr>
        <w:t>Masih terdapat</w:t>
      </w:r>
      <w:r>
        <w:rPr>
          <w:lang w:eastAsia="id-ID"/>
        </w:rPr>
        <w:t xml:space="preserve"> pelaku UMKM di sektor makanan dan minuman belum terbiasa dengan teknologi perpajakan seperti sistem pelaporan pajak secara online (</w:t>
      </w:r>
      <w:r>
        <w:rPr>
          <w:i/>
          <w:iCs/>
          <w:lang w:eastAsia="id-ID"/>
        </w:rPr>
        <w:t>e-filing</w:t>
      </w:r>
      <w:r>
        <w:rPr>
          <w:lang w:eastAsia="id-ID"/>
        </w:rPr>
        <w:t xml:space="preserve">, </w:t>
      </w:r>
      <w:r>
        <w:rPr>
          <w:i/>
          <w:iCs/>
          <w:lang w:eastAsia="id-ID"/>
        </w:rPr>
        <w:t>e-billing</w:t>
      </w:r>
      <w:r>
        <w:rPr>
          <w:lang w:eastAsia="id-ID"/>
        </w:rPr>
        <w:t>). Ketidaktahuan dalam menggunakan teknologi ini membuat mereka kesulitan dalam melaporkan dan membayar pajak, sehingga kesadaran pajak mereka menurun</w:t>
      </w:r>
      <w:r>
        <w:rPr>
          <w:lang w:val="en-AU" w:eastAsia="id-ID"/>
        </w:rPr>
        <w:t>.</w:t>
      </w:r>
    </w:p>
    <w:p w14:paraId="7C88F328">
      <w:pPr>
        <w:pStyle w:val="11"/>
        <w:numPr>
          <w:ilvl w:val="0"/>
          <w:numId w:val="1"/>
        </w:numPr>
        <w:spacing w:line="480" w:lineRule="auto"/>
        <w:ind w:left="284" w:hanging="284"/>
        <w:jc w:val="both"/>
        <w:rPr>
          <w:lang w:val="en-US"/>
        </w:rPr>
      </w:pPr>
      <w:r>
        <w:rPr>
          <w:iCs/>
          <w:lang w:val="zh-CN"/>
        </w:rPr>
        <w:t>Tingkat Kepatuhan Pajak UMKM di KPP Pratama Lubuk Pakam cenderung rendah dari target yang di tetapkan oleh Direktorat Jendral Pajak.</w:t>
      </w:r>
    </w:p>
    <w:p w14:paraId="4D60030F">
      <w:pPr>
        <w:spacing w:line="480" w:lineRule="auto"/>
        <w:jc w:val="both"/>
        <w:rPr>
          <w:b/>
          <w:lang w:val="en-US"/>
        </w:rPr>
      </w:pPr>
      <w:r>
        <w:rPr>
          <w:b/>
          <w:lang w:val="en-US"/>
        </w:rPr>
        <w:t>1.3</w:t>
      </w:r>
      <w:r>
        <w:rPr>
          <w:b/>
          <w:lang w:val="en-US"/>
        </w:rPr>
        <w:tab/>
      </w:r>
      <w:r>
        <w:rPr>
          <w:b/>
          <w:lang w:val="en-US"/>
        </w:rPr>
        <w:t>Batasan Masalah</w:t>
      </w:r>
    </w:p>
    <w:p w14:paraId="18B6B3D8">
      <w:pPr>
        <w:spacing w:line="480" w:lineRule="auto"/>
        <w:ind w:firstLine="709"/>
        <w:jc w:val="both"/>
        <w:rPr>
          <w:bCs/>
        </w:rPr>
      </w:pPr>
      <w:r>
        <w:rPr>
          <w:bCs/>
        </w:rPr>
        <w:t>Menurut (</w:t>
      </w:r>
      <w:r>
        <w:t xml:space="preserve">Sugiyono, </w:t>
      </w:r>
      <w:r>
        <w:rPr>
          <w:lang w:val="en-US"/>
        </w:rPr>
        <w:t>2020</w:t>
      </w:r>
      <w:r>
        <w:t>)</w:t>
      </w:r>
      <w:r>
        <w:rPr>
          <w:bCs/>
        </w:rPr>
        <w:t xml:space="preserve"> Batasan masalah berkaitan dengan pemilihan masalah dari berbagai masalah yang telah diidentifikasi. Dengan demikian, masalah akan dibatasi menjadi lebih khusus, lebih sederhana, dan gejalanya akan lebih mudah kita amati karena dengan pembatasan masalah maka seorang peneliti akan lebih fokus dan terarah sehingga mengerti kemana akan melangkah selanjutnya dan apa tindakan selanjutnya.</w:t>
      </w:r>
    </w:p>
    <w:p w14:paraId="44D91950">
      <w:pPr>
        <w:spacing w:line="480" w:lineRule="auto"/>
        <w:ind w:firstLine="709"/>
        <w:jc w:val="both"/>
        <w:rPr>
          <w:bCs/>
          <w:lang w:val="en-US"/>
        </w:rPr>
      </w:pPr>
      <w:r>
        <w:rPr>
          <w:bCs/>
        </w:rPr>
        <w:t>Dikarenakan keterbatasan waktu, tenaga, serta biaya. Maka penulis memberikan batasan pada lingkup penelitian ini dengan hanya membahas masalah yaitu:</w:t>
      </w:r>
    </w:p>
    <w:p w14:paraId="06245C09">
      <w:pPr>
        <w:pStyle w:val="11"/>
        <w:numPr>
          <w:ilvl w:val="0"/>
          <w:numId w:val="2"/>
        </w:numPr>
        <w:spacing w:line="480" w:lineRule="auto"/>
        <w:ind w:left="284" w:hanging="284"/>
        <w:jc w:val="both"/>
        <w:rPr>
          <w:lang w:val="en-US"/>
        </w:rPr>
      </w:pPr>
      <w:r>
        <w:rPr>
          <w:lang w:val="en-US"/>
        </w:rPr>
        <w:t>Penelitian ini hanya berkaitan dengan Analisis Pemahaman Perpajakan, Kesadaran Wajib Pajak Dan Penurunan Tarif Pajak Pp No 23 Tahun 2018 Terhadap Kepatuhan Wajib Pajak Pelaku Pada UMKM Makanan dan Minuman di Lubuk Pakam.</w:t>
      </w:r>
    </w:p>
    <w:p w14:paraId="6004A0ED">
      <w:pPr>
        <w:pStyle w:val="11"/>
        <w:numPr>
          <w:ilvl w:val="0"/>
          <w:numId w:val="2"/>
        </w:numPr>
        <w:spacing w:line="480" w:lineRule="auto"/>
        <w:ind w:left="284" w:hanging="284"/>
        <w:jc w:val="both"/>
        <w:rPr>
          <w:lang w:val="en-US"/>
        </w:rPr>
      </w:pPr>
      <w:r>
        <w:rPr>
          <w:lang w:val="en-US"/>
        </w:rPr>
        <w:t>Responden penelitian merupakan  responden wajib pajak pada UMKM Makanan dan Minuman di Lubuk Pakam.</w:t>
      </w:r>
    </w:p>
    <w:p w14:paraId="12977375">
      <w:pPr>
        <w:spacing w:line="480" w:lineRule="auto"/>
        <w:jc w:val="both"/>
        <w:rPr>
          <w:lang w:val="en-US"/>
        </w:rPr>
      </w:pPr>
    </w:p>
    <w:p w14:paraId="79B9CFB5">
      <w:pPr>
        <w:spacing w:line="480" w:lineRule="auto"/>
        <w:jc w:val="both"/>
        <w:rPr>
          <w:lang w:val="en-US"/>
        </w:rPr>
      </w:pPr>
    </w:p>
    <w:p w14:paraId="4C05F974">
      <w:pPr>
        <w:spacing w:line="480" w:lineRule="auto"/>
        <w:jc w:val="both"/>
        <w:rPr>
          <w:b/>
          <w:lang w:val="en-US"/>
        </w:rPr>
      </w:pPr>
      <w:r>
        <w:rPr>
          <w:b/>
          <w:lang w:val="en-US"/>
        </w:rPr>
        <w:t>1.4</w:t>
      </w:r>
      <w:r>
        <w:rPr>
          <w:b/>
          <w:lang w:val="en-US"/>
        </w:rPr>
        <w:tab/>
      </w:r>
      <w:r>
        <w:rPr>
          <w:b/>
          <w:lang w:val="en-US"/>
        </w:rPr>
        <w:t>Rumusan Masalah</w:t>
      </w:r>
    </w:p>
    <w:p w14:paraId="5F0DA9F3">
      <w:pPr>
        <w:spacing w:line="480" w:lineRule="auto"/>
        <w:ind w:firstLine="709"/>
        <w:jc w:val="both"/>
        <w:rPr>
          <w:bCs/>
          <w:lang w:val="zh-CN"/>
        </w:rPr>
      </w:pPr>
      <w:r>
        <w:t xml:space="preserve">Menurut (Sugiyono, </w:t>
      </w:r>
      <w:r>
        <w:rPr>
          <w:lang w:val="en-US"/>
        </w:rPr>
        <w:t>2020</w:t>
      </w:r>
      <w:r>
        <w:t>) Rumusan masalah merupakan</w:t>
      </w:r>
      <w:r>
        <w:rPr>
          <w:lang w:val="en-US"/>
        </w:rPr>
        <w:t xml:space="preserve"> pertanyaan yang dibuat oleh peneliti, kemudian pertanyaan tersebut dicarikan jawabannya melalui penelitian, olah data, eksperimen dan lain sebagainya secara ilmiah</w:t>
      </w:r>
      <w:r>
        <w:t>. M</w:t>
      </w:r>
      <w:r>
        <w:rPr>
          <w:bCs/>
          <w:lang w:val="zh-CN"/>
        </w:rPr>
        <w:t>aka yang menjadi rumusan masalah dalam penelitian ini adalah:</w:t>
      </w:r>
    </w:p>
    <w:p w14:paraId="1B32EDE8">
      <w:pPr>
        <w:pStyle w:val="11"/>
        <w:numPr>
          <w:ilvl w:val="0"/>
          <w:numId w:val="3"/>
        </w:numPr>
        <w:spacing w:line="480" w:lineRule="auto"/>
        <w:ind w:left="284" w:hanging="284"/>
        <w:jc w:val="both"/>
        <w:rPr>
          <w:lang w:val="en-US"/>
        </w:rPr>
      </w:pPr>
      <w:r>
        <w:rPr>
          <w:lang w:val="en-US"/>
        </w:rPr>
        <w:t>Bagaimanakah pengaruh Pemahaman Perpajakan terhadap Kepatuhan Wajib Pajak Pada UMKM Makanan dan Minuman di Lubuk Pakam.</w:t>
      </w:r>
    </w:p>
    <w:p w14:paraId="216E855E">
      <w:pPr>
        <w:pStyle w:val="11"/>
        <w:numPr>
          <w:ilvl w:val="0"/>
          <w:numId w:val="3"/>
        </w:numPr>
        <w:spacing w:line="480" w:lineRule="auto"/>
        <w:ind w:left="284" w:hanging="284"/>
        <w:jc w:val="both"/>
        <w:rPr>
          <w:lang w:val="en-US"/>
        </w:rPr>
      </w:pPr>
      <w:r>
        <w:rPr>
          <w:lang w:val="en-US"/>
        </w:rPr>
        <w:t>Bagaimanakah pengaruh Kesadaran Wajib Pajak terhadap Kepatuhan Wajib Pajak Pada UMKM Makanan dan Minuman di Lubuk Pakam.</w:t>
      </w:r>
    </w:p>
    <w:p w14:paraId="3801ED2E">
      <w:pPr>
        <w:pStyle w:val="11"/>
        <w:numPr>
          <w:ilvl w:val="0"/>
          <w:numId w:val="3"/>
        </w:numPr>
        <w:spacing w:line="480" w:lineRule="auto"/>
        <w:ind w:left="284" w:hanging="284"/>
        <w:jc w:val="both"/>
        <w:rPr>
          <w:lang w:val="en-US"/>
        </w:rPr>
      </w:pPr>
      <w:r>
        <w:rPr>
          <w:lang w:val="en-US"/>
        </w:rPr>
        <w:t>Bagaimanakah pengaruh Penurunan Tarif Pajak terhadap Kepatuhan Wajib Pajak Pada UMKM Makanan dan Minuman di Lubuk Pakam.</w:t>
      </w:r>
    </w:p>
    <w:p w14:paraId="662D1C33">
      <w:pPr>
        <w:pStyle w:val="11"/>
        <w:numPr>
          <w:ilvl w:val="0"/>
          <w:numId w:val="3"/>
        </w:numPr>
        <w:spacing w:line="480" w:lineRule="auto"/>
        <w:ind w:left="284" w:hanging="284"/>
        <w:jc w:val="both"/>
        <w:rPr>
          <w:lang w:val="en-US"/>
        </w:rPr>
      </w:pPr>
      <w:r>
        <w:rPr>
          <w:lang w:val="en-US"/>
        </w:rPr>
        <w:t>Bagaimanakah pengaruh Pemahaman Perpajakan, Kesadaran Wajib Pajak, dan Penurunan Tarif Pajak terhadap Kepatuhan Wajib Pajak Pada UMKM Makanan dan Minuman di Lubuk Pakam.</w:t>
      </w:r>
    </w:p>
    <w:p w14:paraId="6153655D">
      <w:pPr>
        <w:spacing w:line="480" w:lineRule="auto"/>
        <w:jc w:val="both"/>
        <w:rPr>
          <w:b/>
          <w:lang w:val="en-US"/>
        </w:rPr>
      </w:pPr>
      <w:r>
        <w:rPr>
          <w:b/>
          <w:lang w:val="en-US"/>
        </w:rPr>
        <w:t>1.5</w:t>
      </w:r>
      <w:r>
        <w:rPr>
          <w:b/>
          <w:lang w:val="en-US"/>
        </w:rPr>
        <w:tab/>
      </w:r>
      <w:r>
        <w:rPr>
          <w:b/>
          <w:lang w:val="en-US"/>
        </w:rPr>
        <w:t>Tujuan Penelitian</w:t>
      </w:r>
    </w:p>
    <w:p w14:paraId="54774718">
      <w:pPr>
        <w:spacing w:line="480" w:lineRule="auto"/>
        <w:ind w:firstLine="709"/>
        <w:jc w:val="both"/>
        <w:rPr>
          <w:bCs/>
          <w:lang w:val="zh-CN"/>
        </w:rPr>
      </w:pPr>
      <w:r>
        <w:t>Menurut (Sugiyono, 20</w:t>
      </w:r>
      <w:r>
        <w:rPr>
          <w:lang w:val="en-US"/>
        </w:rPr>
        <w:t>20</w:t>
      </w:r>
      <w:r>
        <w:t>) tujuan penelitian adalah untuk menemukan, membuktikan dan mengembangkan sesuatu perolehan ataupun pengetahuan dengan menggunakan prosedur-prosedur ilmiah.</w:t>
      </w:r>
      <w:r>
        <w:rPr>
          <w:bCs/>
          <w:lang w:val="zh-CN"/>
        </w:rPr>
        <w:t xml:space="preserve"> Adapun ya</w:t>
      </w:r>
      <w:r>
        <w:rPr>
          <w:bCs/>
        </w:rPr>
        <w:t>n</w:t>
      </w:r>
      <w:r>
        <w:rPr>
          <w:bCs/>
          <w:lang w:val="zh-CN"/>
        </w:rPr>
        <w:t>g menjadi tujuan penelitian ini adalah :</w:t>
      </w:r>
    </w:p>
    <w:p w14:paraId="5C29E584">
      <w:pPr>
        <w:pStyle w:val="11"/>
        <w:numPr>
          <w:ilvl w:val="0"/>
          <w:numId w:val="4"/>
        </w:numPr>
        <w:spacing w:line="480" w:lineRule="auto"/>
        <w:ind w:left="284" w:hanging="284"/>
        <w:jc w:val="both"/>
        <w:rPr>
          <w:lang w:val="en-US"/>
        </w:rPr>
      </w:pPr>
      <w:r>
        <w:rPr>
          <w:lang w:val="en-US"/>
        </w:rPr>
        <w:t>Untuk menganalisis pengaruh Pemahaman Perpajakan terhadap Kepatuhan Wajib Pajak Pada UMKM Makanan dan Minuman di Lubuk Pakam.</w:t>
      </w:r>
    </w:p>
    <w:p w14:paraId="4B1BF103">
      <w:pPr>
        <w:pStyle w:val="11"/>
        <w:numPr>
          <w:ilvl w:val="0"/>
          <w:numId w:val="4"/>
        </w:numPr>
        <w:spacing w:line="480" w:lineRule="auto"/>
        <w:ind w:left="284" w:hanging="284"/>
        <w:jc w:val="both"/>
        <w:rPr>
          <w:lang w:val="en-US"/>
        </w:rPr>
      </w:pPr>
      <w:r>
        <w:rPr>
          <w:lang w:val="en-US"/>
        </w:rPr>
        <w:t>Untuk menganalisis pengaruh Kesadaran Wajib Pajak terhadap Kepatuhan Wajib Pajak Pada UMKM Makanan dan Minuman di Lubuk Pakam.</w:t>
      </w:r>
    </w:p>
    <w:p w14:paraId="5F2DECB9">
      <w:pPr>
        <w:pStyle w:val="11"/>
        <w:numPr>
          <w:ilvl w:val="0"/>
          <w:numId w:val="4"/>
        </w:numPr>
        <w:spacing w:line="480" w:lineRule="auto"/>
        <w:ind w:left="284" w:hanging="284"/>
        <w:jc w:val="both"/>
        <w:rPr>
          <w:lang w:val="en-US"/>
        </w:rPr>
      </w:pPr>
      <w:r>
        <w:rPr>
          <w:lang w:val="en-US"/>
        </w:rPr>
        <w:t>Untuk menganalisis pengaruh Penurunan Tarif Pajak terhadap Kepatuhan Wajib Pajak Pada UMKM Makanan dan Minuman di Lubuk Pakam.</w:t>
      </w:r>
    </w:p>
    <w:p w14:paraId="7FAB7834">
      <w:pPr>
        <w:pStyle w:val="11"/>
        <w:numPr>
          <w:ilvl w:val="0"/>
          <w:numId w:val="4"/>
        </w:numPr>
        <w:spacing w:line="480" w:lineRule="auto"/>
        <w:ind w:left="284" w:hanging="284"/>
        <w:jc w:val="both"/>
        <w:rPr>
          <w:lang w:val="en-US"/>
        </w:rPr>
      </w:pPr>
      <w:r>
        <w:rPr>
          <w:lang w:val="en-US"/>
        </w:rPr>
        <w:t>Untuk menganalisis pengaruh Pemahaman Perpajakan, Kesadaran Wajib Pajak, dan Penurunan Tarif Pajak terhadap Kepatuhan Wajib Pajak Pada UMKM Makanan dan Minuman di Lubuk Pakam.</w:t>
      </w:r>
    </w:p>
    <w:p w14:paraId="3C907AD4">
      <w:pPr>
        <w:spacing w:line="480" w:lineRule="auto"/>
        <w:rPr>
          <w:b/>
          <w:lang w:val="en-US"/>
        </w:rPr>
      </w:pPr>
      <w:r>
        <w:rPr>
          <w:b/>
          <w:lang w:val="en-US"/>
        </w:rPr>
        <w:t>1.6</w:t>
      </w:r>
      <w:r>
        <w:rPr>
          <w:b/>
          <w:lang w:val="en-US"/>
        </w:rPr>
        <w:tab/>
      </w:r>
      <w:r>
        <w:rPr>
          <w:b/>
          <w:lang w:val="en-US"/>
        </w:rPr>
        <w:t>Manfaat Penelitian</w:t>
      </w:r>
    </w:p>
    <w:p w14:paraId="1AC1E8A9">
      <w:pPr>
        <w:spacing w:line="480" w:lineRule="auto"/>
        <w:ind w:firstLine="709"/>
        <w:jc w:val="both"/>
        <w:rPr>
          <w:bCs/>
          <w:lang w:val="en-US"/>
        </w:rPr>
      </w:pPr>
      <w:r>
        <w:t xml:space="preserve">Menurut (Sugiyono, </w:t>
      </w:r>
      <w:r>
        <w:rPr>
          <w:lang w:val="en-US"/>
        </w:rPr>
        <w:t>2020</w:t>
      </w:r>
      <w:r>
        <w:t xml:space="preserve">) Manfaat penelitian yaitu untuk menyelidiki keadaan, alasan, maupun konsekuensi terhadap keadaan tertentu. </w:t>
      </w:r>
      <w:r>
        <w:rPr>
          <w:bCs/>
          <w:lang w:val="zh-CN"/>
        </w:rPr>
        <w:t xml:space="preserve">Manfaat </w:t>
      </w:r>
      <w:r>
        <w:rPr>
          <w:bCs/>
        </w:rPr>
        <w:t>penelitian terbagi menjadi dua, yaitu:</w:t>
      </w:r>
    </w:p>
    <w:p w14:paraId="28855A15">
      <w:pPr>
        <w:spacing w:line="480" w:lineRule="auto"/>
        <w:rPr>
          <w:lang w:val="en-US"/>
        </w:rPr>
      </w:pPr>
      <w:r>
        <w:rPr>
          <w:lang w:val="en-US"/>
        </w:rPr>
        <w:t>1. Manfaat Teoritis</w:t>
      </w:r>
    </w:p>
    <w:p w14:paraId="67D017B7">
      <w:pPr>
        <w:spacing w:line="480" w:lineRule="auto"/>
        <w:ind w:firstLine="709"/>
        <w:jc w:val="both"/>
      </w:pPr>
      <w:r>
        <w:t>Secara teoritis penelitian ini diharapkan dapat memberikan manfaat kepada semua pihak</w:t>
      </w:r>
      <w:r>
        <w:rPr>
          <w:lang w:val="en-US"/>
        </w:rPr>
        <w:t xml:space="preserve">. </w:t>
      </w:r>
      <w:r>
        <w:t>Secara khusus penelitian ini diharapkan dapat memberikan manfaat yang mendalam untuk mata kuliah Akuntansi Perpajakan mengenai Analisis Pemahaman Perpajakan, Kesadaran Wajib Pajak, dan Penurunan Tarif Pajak terhadap Kepatuhan Wajib Pajak Pada UMKM Makanan dan Minuman di Lubuk Pakam.</w:t>
      </w:r>
    </w:p>
    <w:p w14:paraId="02D92552">
      <w:pPr>
        <w:spacing w:line="480" w:lineRule="auto"/>
      </w:pPr>
      <w:r>
        <w:rPr>
          <w:bCs/>
          <w:lang w:val="en-AU"/>
        </w:rPr>
        <w:t xml:space="preserve">2. </w:t>
      </w:r>
      <w:r>
        <w:rPr>
          <w:bCs/>
        </w:rPr>
        <w:t>Manfaat praktis</w:t>
      </w:r>
    </w:p>
    <w:p w14:paraId="597E871C">
      <w:pPr>
        <w:spacing w:line="480" w:lineRule="auto"/>
        <w:ind w:left="284"/>
        <w:rPr>
          <w:lang w:val="en-US"/>
        </w:rPr>
      </w:pPr>
      <w:r>
        <w:rPr>
          <w:lang w:val="en-US"/>
        </w:rPr>
        <w:t>Secara praktis penelitian ini dapat bermanfaat sebagai berikut:</w:t>
      </w:r>
    </w:p>
    <w:p w14:paraId="2F28D59D">
      <w:pPr>
        <w:spacing w:line="480" w:lineRule="auto"/>
        <w:rPr>
          <w:lang w:val="en-US"/>
        </w:rPr>
      </w:pPr>
      <w:r>
        <w:rPr>
          <w:lang w:val="en-US"/>
        </w:rPr>
        <w:t xml:space="preserve">a. </w:t>
      </w:r>
      <w:r>
        <w:rPr>
          <w:bCs/>
          <w:lang w:val="zh-CN"/>
        </w:rPr>
        <w:t>Manfaat bagi peneliti</w:t>
      </w:r>
    </w:p>
    <w:p w14:paraId="62D5E830">
      <w:pPr>
        <w:pStyle w:val="11"/>
        <w:spacing w:line="480" w:lineRule="auto"/>
        <w:ind w:left="284"/>
        <w:jc w:val="both"/>
        <w:rPr>
          <w:lang w:val="en-US"/>
        </w:rPr>
      </w:pPr>
      <w:r>
        <w:rPr>
          <w:bCs/>
          <w:lang w:val="zh-CN"/>
        </w:rPr>
        <w:t xml:space="preserve">Sebagai sumber informasi dan sekaligus untuk meningkatkan ilmu pengetahuan dan meningkatkan wawasan dalam </w:t>
      </w:r>
      <w:r>
        <w:rPr>
          <w:lang w:val="en-US"/>
        </w:rPr>
        <w:t>Kepatuhan Wajib Pajak</w:t>
      </w:r>
    </w:p>
    <w:p w14:paraId="69181F8B">
      <w:pPr>
        <w:spacing w:line="480" w:lineRule="auto"/>
        <w:jc w:val="both"/>
        <w:rPr>
          <w:bCs/>
          <w:lang w:val="zh-CN"/>
        </w:rPr>
      </w:pPr>
      <w:r>
        <w:rPr>
          <w:bCs/>
          <w:lang w:val="zh-CN"/>
        </w:rPr>
        <w:t>b. Manfaat bagi KPP Pratama Lubuk Pakam</w:t>
      </w:r>
    </w:p>
    <w:p w14:paraId="76625D40">
      <w:pPr>
        <w:pStyle w:val="11"/>
        <w:spacing w:line="480" w:lineRule="auto"/>
        <w:ind w:left="284"/>
        <w:jc w:val="both"/>
        <w:rPr>
          <w:bCs/>
          <w:lang w:val="zh-CN"/>
        </w:rPr>
      </w:pPr>
      <w:r>
        <w:rPr>
          <w:bCs/>
          <w:lang w:val="zh-CN"/>
        </w:rPr>
        <w:t xml:space="preserve">Hasil penelitian ini dapat memberikan masukan bagi KPP Pratama Lubuk Pakam  dalam pemberian </w:t>
      </w:r>
      <w:r>
        <w:rPr>
          <w:lang w:val="en-US"/>
        </w:rPr>
        <w:t>Pemahaman Perpajakan, Kesadaran Wajib Pajak, dan Penurunan Tarif Pajak</w:t>
      </w:r>
      <w:r>
        <w:rPr>
          <w:bCs/>
          <w:lang w:val="zh-CN"/>
        </w:rPr>
        <w:t xml:space="preserve"> yang baik dalam upaya meningkatkan </w:t>
      </w:r>
      <w:r>
        <w:rPr>
          <w:lang w:val="en-US"/>
        </w:rPr>
        <w:t>Kepatuhan Wajib Pajak Pada UMKM Makanan dan Minuman di Lubuk Pakam</w:t>
      </w:r>
      <w:r>
        <w:rPr>
          <w:bCs/>
          <w:lang w:val="zh-CN"/>
        </w:rPr>
        <w:t>.</w:t>
      </w:r>
    </w:p>
    <w:p w14:paraId="4376F545">
      <w:pPr>
        <w:spacing w:line="480" w:lineRule="auto"/>
        <w:jc w:val="both"/>
        <w:rPr>
          <w:bCs/>
          <w:lang w:val="zh-CN"/>
        </w:rPr>
      </w:pPr>
      <w:r>
        <w:rPr>
          <w:bCs/>
          <w:lang w:val="zh-CN"/>
        </w:rPr>
        <w:t xml:space="preserve">c. Manfaat bagi </w:t>
      </w:r>
      <w:r>
        <w:rPr>
          <w:bCs/>
        </w:rPr>
        <w:t>Universitas Muslim Nusantara Al – Washliyah</w:t>
      </w:r>
    </w:p>
    <w:p w14:paraId="26F7CCA2">
      <w:pPr>
        <w:pStyle w:val="11"/>
        <w:spacing w:line="480" w:lineRule="auto"/>
        <w:ind w:left="284"/>
        <w:jc w:val="both"/>
        <w:rPr>
          <w:bCs/>
          <w:lang w:val="en-US"/>
        </w:rPr>
      </w:pPr>
      <w:r>
        <w:rPr>
          <w:bCs/>
          <w:lang w:val="zh-CN"/>
        </w:rPr>
        <w:t xml:space="preserve">Hasil dari penelitian ini </w:t>
      </w:r>
      <w:r>
        <w:rPr>
          <w:bCs/>
        </w:rPr>
        <w:t>diharapkan dapat berguna untuk pertimbangan atau referensi dalam karya – karya ilmiah serta sebagai sumbangsih kepustakaan di Universitas Muslim Nusantara Al – Washliyah Medan atau pihak lain yang membutuhkan</w:t>
      </w:r>
      <w:r>
        <w:rPr>
          <w:bCs/>
          <w:lang w:val="en-US"/>
        </w:rPr>
        <w:t>.</w:t>
      </w:r>
    </w:p>
    <w:p w14:paraId="613ABEE8">
      <w:pPr>
        <w:spacing w:line="480" w:lineRule="auto"/>
        <w:jc w:val="both"/>
        <w:rPr>
          <w:bCs/>
          <w:lang w:val="zh-CN"/>
        </w:rPr>
      </w:pPr>
      <w:r>
        <w:rPr>
          <w:bCs/>
          <w:lang w:val="en-US"/>
        </w:rPr>
        <w:t>d. Manfaat bagi peneliti selanjutnya</w:t>
      </w:r>
    </w:p>
    <w:p w14:paraId="530AA6A4">
      <w:pPr>
        <w:spacing w:line="480" w:lineRule="auto"/>
        <w:jc w:val="both"/>
      </w:pPr>
      <w:r>
        <w:rPr>
          <w:bCs/>
          <w:lang w:val="en-US"/>
        </w:rPr>
        <w:t>Penelitian ini diharapkan dapat digunakan sebagai referensi atau gambaran penelitian selanjutnya terkait analisis Pemahaman Perpajakan, Kesadaran Wajib Pajak, dan Penurunan Tarif Pajak</w:t>
      </w:r>
      <w:r>
        <w:rPr>
          <w:bCs/>
          <w:lang w:val="zh-CN"/>
        </w:rPr>
        <w:t xml:space="preserve"> yang baik dalam upaya meningkatkan </w:t>
      </w:r>
      <w:r>
        <w:rPr>
          <w:bCs/>
          <w:lang w:val="en-US"/>
        </w:rPr>
        <w:t xml:space="preserve">Kepatuhan Wajib Pajak Pada UMKM </w:t>
      </w:r>
      <w:r>
        <w:rPr>
          <w:lang w:val="en-US"/>
        </w:rPr>
        <w:t xml:space="preserve">Makanan dan Minuman di </w:t>
      </w:r>
      <w:r>
        <w:rPr>
          <w:bCs/>
          <w:lang w:val="en-US"/>
        </w:rPr>
        <w:t>Lubuk Pakam.</w:t>
      </w:r>
    </w:p>
    <w:sectPr>
      <w:headerReference r:id="rId7" w:type="first"/>
      <w:footerReference r:id="rId10" w:type="first"/>
      <w:headerReference r:id="rId5" w:type="default"/>
      <w:footerReference r:id="rId8" w:type="default"/>
      <w:headerReference r:id="rId6" w:type="even"/>
      <w:footerReference r:id="rId9"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ADF4F">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39C1F">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FC113">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5663A">
    <w:pPr>
      <w:pStyle w:val="6"/>
    </w:pPr>
    <w:r>
      <w:rPr>
        <w:lang w:val="en-US" w:eastAsia="en-US"/>
      </w:rPr>
      <w:pict>
        <v:shape id="WordPictureWatermark1442404" o:spid="_x0000_s2066" o:spt="75" type="#_x0000_t75" style="position:absolute;left:0pt;height:391pt;width:396.8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7572B">
    <w:pPr>
      <w:pStyle w:val="6"/>
    </w:pPr>
    <w:r>
      <w:rPr>
        <w:lang w:val="en-US" w:eastAsia="en-US"/>
      </w:rPr>
      <w:pict>
        <v:shape id="WordPictureWatermark1442403" o:spid="_x0000_s2065" o:spt="75" type="#_x0000_t75" style="position:absolute;left:0pt;height:391pt;width:396.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0CA24">
    <w:pPr>
      <w:pStyle w:val="6"/>
    </w:pPr>
    <w:r>
      <w:rPr>
        <w:lang w:val="en-US" w:eastAsia="en-US"/>
      </w:rPr>
      <w:pict>
        <v:shape id="WordPictureWatermark1442402" o:spid="_x0000_s2064" o:spt="75" type="#_x0000_t75" style="position:absolute;left:0pt;height:391pt;width:396.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DF54B5"/>
    <w:multiLevelType w:val="multilevel"/>
    <w:tmpl w:val="09DF54B5"/>
    <w:lvl w:ilvl="0" w:tentative="0">
      <w:start w:val="1"/>
      <w:numFmt w:val="decimal"/>
      <w:lvlText w:val="%1."/>
      <w:lvlJc w:val="left"/>
      <w:pPr>
        <w:ind w:left="1146" w:hanging="360"/>
      </w:p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1">
    <w:nsid w:val="2F0107B6"/>
    <w:multiLevelType w:val="multilevel"/>
    <w:tmpl w:val="2F0107B6"/>
    <w:lvl w:ilvl="0" w:tentative="0">
      <w:start w:val="1"/>
      <w:numFmt w:val="decimal"/>
      <w:lvlText w:val="%1."/>
      <w:lvlJc w:val="left"/>
      <w:pPr>
        <w:ind w:left="1146" w:hanging="360"/>
      </w:p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2">
    <w:nsid w:val="3C637414"/>
    <w:multiLevelType w:val="multilevel"/>
    <w:tmpl w:val="3C637414"/>
    <w:lvl w:ilvl="0" w:tentative="0">
      <w:start w:val="1"/>
      <w:numFmt w:val="decimal"/>
      <w:lvlText w:val="%1."/>
      <w:lvlJc w:val="left"/>
      <w:pPr>
        <w:ind w:left="786" w:hanging="360"/>
      </w:p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3">
    <w:nsid w:val="7702646D"/>
    <w:multiLevelType w:val="multilevel"/>
    <w:tmpl w:val="7702646D"/>
    <w:lvl w:ilvl="0" w:tentative="0">
      <w:start w:val="1"/>
      <w:numFmt w:val="decimal"/>
      <w:lvlText w:val="%1."/>
      <w:lvlJc w:val="left"/>
      <w:pPr>
        <w:ind w:left="1146" w:hanging="360"/>
      </w:p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hUYcHuvFXMJwV5sRT+69Wvna9gU=" w:salt="Gi3O5z/z+JELAYchSpKZkw=="/>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597"/>
    <w:rsid w:val="001075C7"/>
    <w:rsid w:val="00221D15"/>
    <w:rsid w:val="00512803"/>
    <w:rsid w:val="00B67DFC"/>
    <w:rsid w:val="00FA6597"/>
    <w:rsid w:val="116617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MY" w:eastAsia="en-GB"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8"/>
    <w:semiHidden/>
    <w:unhideWhenUsed/>
    <w:qFormat/>
    <w:uiPriority w:val="99"/>
    <w:rPr>
      <w:rFonts w:ascii="Tahoma" w:hAnsi="Tahoma" w:cs="Tahoma"/>
      <w:sz w:val="16"/>
      <w:szCs w:val="16"/>
    </w:rPr>
  </w:style>
  <w:style w:type="paragraph" w:styleId="5">
    <w:name w:val="footer"/>
    <w:basedOn w:val="1"/>
    <w:link w:val="10"/>
    <w:unhideWhenUsed/>
    <w:qFormat/>
    <w:uiPriority w:val="99"/>
    <w:pPr>
      <w:tabs>
        <w:tab w:val="center" w:pos="4680"/>
        <w:tab w:val="right" w:pos="9360"/>
      </w:tabs>
    </w:pPr>
  </w:style>
  <w:style w:type="paragraph" w:styleId="6">
    <w:name w:val="header"/>
    <w:basedOn w:val="1"/>
    <w:link w:val="9"/>
    <w:unhideWhenUsed/>
    <w:qFormat/>
    <w:uiPriority w:val="99"/>
    <w:pPr>
      <w:tabs>
        <w:tab w:val="center" w:pos="4680"/>
        <w:tab w:val="right" w:pos="9360"/>
      </w:tabs>
    </w:pPr>
  </w:style>
  <w:style w:type="character" w:styleId="7">
    <w:name w:val="Strong"/>
    <w:basedOn w:val="2"/>
    <w:qFormat/>
    <w:uiPriority w:val="22"/>
    <w:rPr>
      <w:b/>
      <w:bCs/>
    </w:rPr>
  </w:style>
  <w:style w:type="character" w:customStyle="1" w:styleId="8">
    <w:name w:val="Balloon Text Char"/>
    <w:basedOn w:val="2"/>
    <w:link w:val="4"/>
    <w:semiHidden/>
    <w:qFormat/>
    <w:uiPriority w:val="99"/>
    <w:rPr>
      <w:rFonts w:ascii="Tahoma" w:hAnsi="Tahoma" w:eastAsia="Times New Roman" w:cs="Tahoma"/>
      <w:sz w:val="16"/>
      <w:szCs w:val="16"/>
      <w:lang w:val="en-MY" w:eastAsia="en-GB"/>
    </w:rPr>
  </w:style>
  <w:style w:type="character" w:customStyle="1" w:styleId="9">
    <w:name w:val="Header Char"/>
    <w:basedOn w:val="2"/>
    <w:link w:val="6"/>
    <w:qFormat/>
    <w:uiPriority w:val="99"/>
    <w:rPr>
      <w:rFonts w:ascii="Times New Roman" w:hAnsi="Times New Roman" w:eastAsia="Times New Roman" w:cs="Times New Roman"/>
      <w:sz w:val="24"/>
      <w:szCs w:val="24"/>
      <w:lang w:val="en-MY" w:eastAsia="en-GB"/>
    </w:rPr>
  </w:style>
  <w:style w:type="character" w:customStyle="1" w:styleId="10">
    <w:name w:val="Footer Char"/>
    <w:basedOn w:val="2"/>
    <w:link w:val="5"/>
    <w:qFormat/>
    <w:uiPriority w:val="99"/>
    <w:rPr>
      <w:rFonts w:ascii="Times New Roman" w:hAnsi="Times New Roman" w:eastAsia="Times New Roman" w:cs="Times New Roman"/>
      <w:sz w:val="24"/>
      <w:szCs w:val="24"/>
      <w:lang w:val="en-MY" w:eastAsia="en-GB"/>
    </w:rPr>
  </w:style>
  <w:style w:type="paragraph" w:styleId="11">
    <w:name w:val="List Paragraph"/>
    <w:basedOn w:val="1"/>
    <w:link w:val="12"/>
    <w:qFormat/>
    <w:uiPriority w:val="1"/>
    <w:pPr>
      <w:ind w:left="720"/>
      <w:contextualSpacing/>
    </w:pPr>
  </w:style>
  <w:style w:type="character" w:customStyle="1" w:styleId="12">
    <w:name w:val="List Paragraph Char"/>
    <w:basedOn w:val="2"/>
    <w:link w:val="11"/>
    <w:qFormat/>
    <w:locked/>
    <w:uiPriority w:val="1"/>
    <w:rPr>
      <w:rFonts w:ascii="Times New Roman" w:hAnsi="Times New Roman" w:eastAsia="Times New Roman" w:cs="Times New Roman"/>
      <w:sz w:val="24"/>
      <w:szCs w:val="24"/>
      <w:lang w:val="en-MY" w:eastAsia="en-GB"/>
    </w:rPr>
  </w:style>
  <w:style w:type="table" w:customStyle="1" w:styleId="13">
    <w:name w:val="Plain Table 2"/>
    <w:basedOn w:val="3"/>
    <w:qFormat/>
    <w:uiPriority w:val="42"/>
    <w:pPr>
      <w:spacing w:after="0" w:line="240" w:lineRule="auto"/>
    </w:pPr>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66"/>
    <customShpInfo spid="_x0000_s2065"/>
    <customShpInfo spid="_x0000_s206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2671</Words>
  <Characters>17127</Characters>
  <Lines>140</Lines>
  <Paragraphs>39</Paragraphs>
  <TotalTime>1</TotalTime>
  <ScaleCrop>false</ScaleCrop>
  <LinksUpToDate>false</LinksUpToDate>
  <CharactersWithSpaces>19708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2026-09-14T03:29:00Z</dcterms:created>
  <dc:creator>berkah-3</dc:creator>
  <cp:lastModifiedBy>Administrator</cp:lastModifiedBy>
  <dcterms:modified xsi:type="dcterms:W3CDTF">2026-09-21T04:26:23Z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04FA38BA7CFD4394959027319BA738F4_13</vt:lpwstr>
  </property>
</Properties>
</file>