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F8D7B">
      <w:pPr>
        <w:pStyle w:val="14"/>
        <w:spacing w:line="480" w:lineRule="auto"/>
        <w:ind w:left="0"/>
        <w:jc w:val="center"/>
        <w:rPr>
          <w:b/>
          <w:sz w:val="28"/>
          <w:szCs w:val="28"/>
          <w:lang w:val="en-US"/>
        </w:rPr>
      </w:pPr>
      <w:bookmarkStart w:id="0" w:name="_GoBack"/>
      <w:bookmarkEnd w:id="0"/>
      <w:r>
        <w:rPr>
          <w:b/>
          <w:sz w:val="28"/>
          <w:szCs w:val="28"/>
          <w:lang w:val="en-US"/>
        </w:rPr>
        <w:t>BAB II</w:t>
      </w:r>
    </w:p>
    <w:p w14:paraId="5E84B398">
      <w:pPr>
        <w:pStyle w:val="14"/>
        <w:spacing w:line="480" w:lineRule="auto"/>
        <w:ind w:left="0"/>
        <w:jc w:val="center"/>
        <w:rPr>
          <w:b/>
          <w:sz w:val="28"/>
          <w:szCs w:val="28"/>
          <w:lang w:val="en-US"/>
        </w:rPr>
      </w:pPr>
      <w:r>
        <w:rPr>
          <w:b/>
          <w:sz w:val="28"/>
          <w:szCs w:val="28"/>
          <w:lang w:val="en-US"/>
        </w:rPr>
        <w:t>TINJAUAN PUSTAKA</w:t>
      </w:r>
    </w:p>
    <w:p w14:paraId="556AAB70">
      <w:pPr>
        <w:pStyle w:val="14"/>
        <w:spacing w:line="480" w:lineRule="auto"/>
        <w:ind w:left="0"/>
        <w:jc w:val="center"/>
        <w:rPr>
          <w:b/>
          <w:sz w:val="28"/>
          <w:szCs w:val="28"/>
          <w:lang w:val="en-US"/>
        </w:rPr>
      </w:pPr>
    </w:p>
    <w:p w14:paraId="1BDF83CB">
      <w:pPr>
        <w:pStyle w:val="2"/>
        <w:tabs>
          <w:tab w:val="left" w:pos="650"/>
        </w:tabs>
        <w:spacing w:line="480" w:lineRule="auto"/>
        <w:ind w:left="0"/>
      </w:pPr>
      <w:r>
        <w:t>2.1</w:t>
      </w:r>
      <w:r>
        <w:tab/>
      </w:r>
      <w:r>
        <w:t>Landasan Teori</w:t>
      </w:r>
    </w:p>
    <w:p w14:paraId="5AAF0ACD">
      <w:pPr>
        <w:pStyle w:val="2"/>
        <w:tabs>
          <w:tab w:val="left" w:pos="650"/>
        </w:tabs>
        <w:spacing w:line="480" w:lineRule="auto"/>
        <w:ind w:left="0"/>
      </w:pPr>
      <w:r>
        <w:t>2.1.1</w:t>
      </w:r>
      <w:r>
        <w:tab/>
      </w:r>
      <w:r>
        <w:t>Definisi Pajak</w:t>
      </w:r>
    </w:p>
    <w:p w14:paraId="6096C12B">
      <w:pPr>
        <w:pStyle w:val="14"/>
        <w:spacing w:line="480" w:lineRule="auto"/>
        <w:ind w:left="0" w:firstLine="720"/>
        <w:jc w:val="both"/>
      </w:pPr>
      <w:r>
        <w:t>Menurut</w:t>
      </w:r>
      <w:r>
        <w:rPr>
          <w:spacing w:val="1"/>
        </w:rPr>
        <w:t xml:space="preserve"> </w:t>
      </w:r>
      <w:r>
        <w:t>Undang-Undang</w:t>
      </w:r>
      <w:r>
        <w:rPr>
          <w:spacing w:val="1"/>
        </w:rPr>
        <w:t xml:space="preserve"> </w:t>
      </w:r>
      <w:r>
        <w:t>No</w:t>
      </w:r>
      <w:r>
        <w:rPr>
          <w:spacing w:val="1"/>
        </w:rPr>
        <w:t xml:space="preserve"> </w:t>
      </w:r>
      <w:r>
        <w:t>16</w:t>
      </w:r>
      <w:r>
        <w:rPr>
          <w:spacing w:val="1"/>
        </w:rPr>
        <w:t xml:space="preserve"> </w:t>
      </w:r>
      <w:r>
        <w:t>Tahun</w:t>
      </w:r>
      <w:r>
        <w:rPr>
          <w:spacing w:val="1"/>
        </w:rPr>
        <w:t xml:space="preserve"> </w:t>
      </w:r>
      <w:r>
        <w:t>2009</w:t>
      </w:r>
      <w:r>
        <w:rPr>
          <w:spacing w:val="1"/>
        </w:rPr>
        <w:t xml:space="preserve"> </w:t>
      </w:r>
      <w:r>
        <w:t>Pajak</w:t>
      </w:r>
      <w:r>
        <w:rPr>
          <w:spacing w:val="1"/>
        </w:rPr>
        <w:t xml:space="preserve"> </w:t>
      </w:r>
      <w:r>
        <w:t>adalah</w:t>
      </w:r>
      <w:r>
        <w:rPr>
          <w:spacing w:val="1"/>
        </w:rPr>
        <w:t xml:space="preserve"> </w:t>
      </w:r>
      <w:r>
        <w:t>kontribusi</w:t>
      </w:r>
      <w:r>
        <w:rPr>
          <w:spacing w:val="60"/>
        </w:rPr>
        <w:t xml:space="preserve"> </w:t>
      </w:r>
      <w:r>
        <w:t>wajib</w:t>
      </w:r>
      <w:r>
        <w:rPr>
          <w:spacing w:val="1"/>
        </w:rPr>
        <w:t xml:space="preserve"> </w:t>
      </w:r>
      <w:r>
        <w:t>kepada negara yang terutang oleh orang pribadi atau badan yang bersifat memaksa</w:t>
      </w:r>
      <w:r>
        <w:rPr>
          <w:spacing w:val="1"/>
        </w:rPr>
        <w:t xml:space="preserve"> </w:t>
      </w:r>
      <w:r>
        <w:t>berdasarkan Undang-Undang, dengan tidak emndapatkan imbalan secara langsung dan</w:t>
      </w:r>
      <w:r>
        <w:rPr>
          <w:spacing w:val="1"/>
        </w:rPr>
        <w:t xml:space="preserve"> </w:t>
      </w:r>
      <w:r>
        <w:t>digunakan</w:t>
      </w:r>
      <w:r>
        <w:rPr>
          <w:spacing w:val="1"/>
        </w:rPr>
        <w:t xml:space="preserve"> </w:t>
      </w:r>
      <w:r>
        <w:t>untuk</w:t>
      </w:r>
      <w:r>
        <w:rPr>
          <w:spacing w:val="1"/>
        </w:rPr>
        <w:t xml:space="preserve"> </w:t>
      </w:r>
      <w:r>
        <w:t>keperluan</w:t>
      </w:r>
      <w:r>
        <w:rPr>
          <w:spacing w:val="1"/>
        </w:rPr>
        <w:t xml:space="preserve"> </w:t>
      </w:r>
      <w:r>
        <w:t>negara.</w:t>
      </w:r>
      <w:r>
        <w:rPr>
          <w:spacing w:val="1"/>
        </w:rPr>
        <w:t xml:space="preserve"> </w:t>
      </w:r>
      <w:r>
        <w:t>Sedangkan</w:t>
      </w:r>
      <w:r>
        <w:rPr>
          <w:spacing w:val="1"/>
        </w:rPr>
        <w:t xml:space="preserve"> </w:t>
      </w:r>
      <w:r>
        <w:t>menurut</w:t>
      </w:r>
      <w:r>
        <w:rPr>
          <w:spacing w:val="1"/>
        </w:rPr>
        <w:t xml:space="preserve"> (</w:t>
      </w:r>
      <w:r>
        <w:t>Alfiah</w:t>
      </w:r>
      <w:r>
        <w:rPr>
          <w:spacing w:val="1"/>
        </w:rPr>
        <w:t xml:space="preserve">, </w:t>
      </w:r>
      <w:r>
        <w:t>2021)</w:t>
      </w:r>
      <w:r>
        <w:rPr>
          <w:spacing w:val="1"/>
        </w:rPr>
        <w:t xml:space="preserve"> </w:t>
      </w:r>
      <w:r>
        <w:t xml:space="preserve">pajak adalah </w:t>
      </w:r>
      <w:r>
        <w:rPr>
          <w:spacing w:val="-57"/>
        </w:rPr>
        <w:t xml:space="preserve"> </w:t>
      </w:r>
      <w:r>
        <w:t>perwujudan atas suatu kewajiban kenegaraan dan partisipasi anggota masyarakat dalam</w:t>
      </w:r>
      <w:r>
        <w:rPr>
          <w:spacing w:val="1"/>
        </w:rPr>
        <w:t xml:space="preserve"> </w:t>
      </w:r>
      <w:r>
        <w:t>memenuhi keperluan pembiayaan negara dan pembangunan nasional guna tercapainya</w:t>
      </w:r>
      <w:r>
        <w:rPr>
          <w:spacing w:val="1"/>
        </w:rPr>
        <w:t xml:space="preserve"> </w:t>
      </w:r>
      <w:r>
        <w:t>keadilan</w:t>
      </w:r>
      <w:r>
        <w:rPr>
          <w:spacing w:val="-1"/>
        </w:rPr>
        <w:t xml:space="preserve"> </w:t>
      </w:r>
      <w:r>
        <w:t>sosial dan</w:t>
      </w:r>
      <w:r>
        <w:rPr>
          <w:spacing w:val="-1"/>
        </w:rPr>
        <w:t xml:space="preserve"> </w:t>
      </w:r>
      <w:r>
        <w:t>kemakmuran</w:t>
      </w:r>
      <w:r>
        <w:rPr>
          <w:spacing w:val="2"/>
        </w:rPr>
        <w:t xml:space="preserve"> </w:t>
      </w:r>
      <w:r>
        <w:t>yang</w:t>
      </w:r>
      <w:r>
        <w:rPr>
          <w:spacing w:val="-3"/>
        </w:rPr>
        <w:t xml:space="preserve"> </w:t>
      </w:r>
      <w:r>
        <w:t>merata</w:t>
      </w:r>
      <w:r>
        <w:rPr>
          <w:spacing w:val="-2"/>
        </w:rPr>
        <w:t xml:space="preserve"> </w:t>
      </w:r>
      <w:r>
        <w:t>baik</w:t>
      </w:r>
      <w:r>
        <w:rPr>
          <w:spacing w:val="2"/>
        </w:rPr>
        <w:t xml:space="preserve"> </w:t>
      </w:r>
      <w:r>
        <w:t>material maupun</w:t>
      </w:r>
      <w:r>
        <w:rPr>
          <w:spacing w:val="-1"/>
        </w:rPr>
        <w:t xml:space="preserve"> </w:t>
      </w:r>
      <w:r>
        <w:t>spiritual.</w:t>
      </w:r>
    </w:p>
    <w:p w14:paraId="25119BC2">
      <w:pPr>
        <w:spacing w:line="480" w:lineRule="auto"/>
        <w:ind w:firstLine="720"/>
        <w:jc w:val="both"/>
        <w:rPr>
          <w:lang w:val="en-AU"/>
        </w:rPr>
      </w:pPr>
      <w:r>
        <w:t xml:space="preserve">Pajak </w:t>
      </w:r>
      <w:r>
        <w:rPr>
          <w:rFonts w:hint="cs"/>
        </w:rPr>
        <w:t>adalah iuran masyarakat kepada negara (yang dapat dipaksakan) yang terutang oleh wajib membayarnya menurut peraturan-peraturan umum (undang-undang) dengan tidak mendapatkan prestasi kembali yang langsung dapat ditunjuk dan yang gunanya adalah untuk membiayai pengeluaran-pengeluaran umum berhubung tugas negara untuk menyelenggarakan pemerintah</w:t>
      </w:r>
      <w:r>
        <w:rPr>
          <w:lang w:val="en-AU"/>
        </w:rPr>
        <w:t>, (Sandy dan Hidayati, 2024).</w:t>
      </w:r>
    </w:p>
    <w:p w14:paraId="4B1253C8">
      <w:pPr>
        <w:spacing w:line="480" w:lineRule="auto"/>
        <w:ind w:firstLine="720"/>
        <w:jc w:val="both"/>
        <w:sectPr>
          <w:headerReference r:id="rId7" w:type="first"/>
          <w:headerReference r:id="rId5" w:type="default"/>
          <w:footerReference r:id="rId8" w:type="default"/>
          <w:headerReference r:id="rId6" w:type="even"/>
          <w:pgSz w:w="11907" w:h="16840"/>
          <w:pgMar w:top="2268" w:right="1701" w:bottom="1701" w:left="2268" w:header="720" w:footer="720" w:gutter="0"/>
          <w:cols w:space="720" w:num="1"/>
          <w:docGrid w:linePitch="360" w:charSpace="0"/>
        </w:sectPr>
      </w:pPr>
      <w:r>
        <w:rPr>
          <w:rFonts w:hint="cs"/>
        </w:rPr>
        <w:t xml:space="preserve">Menurut </w:t>
      </w:r>
      <w:r>
        <w:rPr>
          <w:lang w:val="en-AU"/>
        </w:rPr>
        <w:t>pandangan (Ainun, et al</w:t>
      </w:r>
      <w:r>
        <w:t xml:space="preserve">., </w:t>
      </w:r>
      <w:r>
        <w:rPr>
          <w:rFonts w:hint="cs"/>
        </w:rPr>
        <w:t>202</w:t>
      </w:r>
      <w:r>
        <w:rPr>
          <w:lang w:val="en-AU"/>
        </w:rPr>
        <w:t>2</w:t>
      </w:r>
      <w:r>
        <w:rPr>
          <w:rFonts w:hint="cs"/>
        </w:rPr>
        <w:t xml:space="preserve">) </w:t>
      </w:r>
      <w:r>
        <w:rPr>
          <w:lang w:val="en-AU"/>
        </w:rPr>
        <w:t xml:space="preserve">menjelaskan </w:t>
      </w:r>
      <w:r>
        <w:rPr>
          <w:rFonts w:hint="cs"/>
        </w:rPr>
        <w:t xml:space="preserve">pajak adalah iuran rakyat kepada Kas Negara berdasarkan undang-undang (yang dapat dipaksakan) dengan tiada mendapatkan jasa timbal (kontra prestasi) yang langsung dapat ditunjukan dan yang digunakan untuk membayar pengeluaran umum. </w:t>
      </w:r>
    </w:p>
    <w:p w14:paraId="07D55215">
      <w:pPr>
        <w:spacing w:line="480" w:lineRule="auto"/>
        <w:ind w:firstLine="720"/>
        <w:jc w:val="both"/>
        <w:rPr>
          <w:lang w:val="en-AU"/>
        </w:rPr>
      </w:pPr>
      <w:r>
        <w:t xml:space="preserve">Definisi </w:t>
      </w:r>
      <w:r>
        <w:rPr>
          <w:rFonts w:hint="cs"/>
        </w:rPr>
        <w:t xml:space="preserve">tersebut kemudian dikoreksinya yang berbunyi sebagai berikut: pajak adalah kekayaan dari pihak rakyat kepada kas negara untuk membiayai pengeluaran rutin dan surplusnya digunakan untuk </w:t>
      </w:r>
      <w:r>
        <w:rPr>
          <w:rFonts w:hint="cs"/>
          <w:i/>
          <w:iCs/>
        </w:rPr>
        <w:t>public saving</w:t>
      </w:r>
      <w:r>
        <w:rPr>
          <w:rFonts w:hint="cs"/>
        </w:rPr>
        <w:t xml:space="preserve"> yang merupakan sumber utama untuk membiayai </w:t>
      </w:r>
      <w:r>
        <w:rPr>
          <w:rFonts w:hint="cs"/>
          <w:i/>
          <w:iCs/>
        </w:rPr>
        <w:t>public investment</w:t>
      </w:r>
      <w:r>
        <w:rPr>
          <w:rFonts w:hint="cs"/>
        </w:rPr>
        <w:t xml:space="preserve">. </w:t>
      </w:r>
    </w:p>
    <w:p w14:paraId="52B4AD86">
      <w:pPr>
        <w:pStyle w:val="14"/>
        <w:spacing w:line="480" w:lineRule="auto"/>
        <w:ind w:left="0" w:firstLine="720"/>
        <w:jc w:val="both"/>
      </w:pPr>
      <w:r>
        <w:rPr>
          <w:rFonts w:hint="cs"/>
        </w:rPr>
        <w:t xml:space="preserve">Menurut </w:t>
      </w:r>
      <w:r>
        <w:t>(</w:t>
      </w:r>
      <w:r>
        <w:rPr>
          <w:lang w:val="en-AU"/>
        </w:rPr>
        <w:t>Anisa</w:t>
      </w:r>
      <w:r>
        <w:t xml:space="preserve">, </w:t>
      </w:r>
      <w:r>
        <w:rPr>
          <w:rFonts w:hint="cs"/>
        </w:rPr>
        <w:t>202</w:t>
      </w:r>
      <w:r>
        <w:rPr>
          <w:lang w:val="en-AU"/>
        </w:rPr>
        <w:t>2</w:t>
      </w:r>
      <w:r>
        <w:rPr>
          <w:rFonts w:hint="cs"/>
        </w:rPr>
        <w:t>) pajak adalah iuran wajib, berupa uang atau barang, yang dipungut oleh penguasa berdasarkan norma-norma hukum guna menutup biaya produksi barang-barang</w:t>
      </w:r>
      <w:r>
        <w:rPr>
          <w:lang w:val="en-US"/>
        </w:rPr>
        <w:t xml:space="preserve"> </w:t>
      </w:r>
      <w:r>
        <w:rPr>
          <w:rFonts w:hint="cs"/>
        </w:rPr>
        <w:t>dan jasa kolektif dalam mencapai kesejahteraan umum.</w:t>
      </w:r>
    </w:p>
    <w:p w14:paraId="04E60286">
      <w:pPr>
        <w:spacing w:line="480" w:lineRule="auto"/>
        <w:jc w:val="both"/>
        <w:rPr>
          <w:b/>
          <w:lang w:val="en-US"/>
        </w:rPr>
      </w:pPr>
      <w:r>
        <w:rPr>
          <w:b/>
          <w:lang w:val="en-US"/>
        </w:rPr>
        <w:t>2.2</w:t>
      </w:r>
      <w:r>
        <w:rPr>
          <w:b/>
          <w:lang w:val="en-US"/>
        </w:rPr>
        <w:tab/>
      </w:r>
      <w:r>
        <w:rPr>
          <w:b/>
          <w:lang w:val="en-US"/>
        </w:rPr>
        <w:t>Pemahaman Perpajakan</w:t>
      </w:r>
    </w:p>
    <w:p w14:paraId="419DF14C">
      <w:pPr>
        <w:spacing w:line="480" w:lineRule="auto"/>
        <w:jc w:val="both"/>
        <w:rPr>
          <w:b/>
          <w:lang w:val="en-US"/>
        </w:rPr>
      </w:pPr>
      <w:r>
        <w:rPr>
          <w:b/>
          <w:lang w:val="en-US"/>
        </w:rPr>
        <w:t>2.2.1</w:t>
      </w:r>
      <w:r>
        <w:rPr>
          <w:b/>
          <w:lang w:val="en-US"/>
        </w:rPr>
        <w:tab/>
      </w:r>
      <w:r>
        <w:rPr>
          <w:b/>
          <w:lang w:val="en-US"/>
        </w:rPr>
        <w:t>Pengertian Pemahaman Perpajakan</w:t>
      </w:r>
    </w:p>
    <w:p w14:paraId="21B080E0">
      <w:pPr>
        <w:pStyle w:val="14"/>
        <w:spacing w:line="480" w:lineRule="auto"/>
        <w:ind w:left="0" w:firstLine="720"/>
        <w:jc w:val="both"/>
      </w:pPr>
      <w:r>
        <w:t>Menurut Undang-Undang No 16 Tahun 2009 pajak adalah kontribusi wajib kepada negara yang terutang oleh orang pribadi atau badan yang bersifat memaksa berdasarkan Undamg-Undang, dengan tidak emndapatkan imbalan secara langsung dan digunakan untuk keperluan negara. Sedangkan menurut (Alfiah, 2021) pajak adalah perwujudan atas suatu kewajiban kenegaraan dan partisipasi anggota masyarakat dalam memenuhi keperluan pembiayaan negara dan pembangunan nasional guna tercapainya keadilan sosial dan kemakmuran yang merata baik material maupun spiritual.</w:t>
      </w:r>
    </w:p>
    <w:p w14:paraId="30B2FF95">
      <w:pPr>
        <w:pStyle w:val="14"/>
        <w:spacing w:line="480" w:lineRule="auto"/>
        <w:ind w:left="0" w:firstLine="720"/>
        <w:jc w:val="both"/>
        <w:rPr>
          <w:lang w:val="en-US"/>
        </w:rPr>
      </w:pPr>
      <w:r>
        <w:t xml:space="preserve">Dalam </w:t>
      </w:r>
      <w:r>
        <w:rPr>
          <w:rStyle w:val="10"/>
        </w:rPr>
        <w:t>PP No. 23 Tahun 2018</w:t>
      </w:r>
      <w:r>
        <w:t xml:space="preserve"> tentang Pajak Penghasilan atas Penghasilan dari Usaha yang Diterima atau Diperoleh Wajib Pajak yang Memiliki Peredaran Bruto Tertentu, kesadaran pajak memiliki kaitan erat dengan penerapan tarif PPh final bagi wajib pajak UMKM (Usaha Mikro, Kecil, dan Menengah). PP ini memberikan insentif berupa tarif pajak yang lebih rendah sebesar 0,5% dari peredaran bruto bagi wajib pajak dengan omzet tidak lebih dari Rp4,8 miliar per tahun. Hal ini bertujuan untuk mendorong wajib pajak, khususnya pelaku UMKM, agar lebih sadar dan patuh dalam melaporkan penghasilannya serta membayar pajak secara rutin.</w:t>
      </w:r>
    </w:p>
    <w:p w14:paraId="2AA17AE1">
      <w:pPr>
        <w:spacing w:line="480" w:lineRule="auto"/>
        <w:ind w:left="66" w:firstLine="785"/>
        <w:jc w:val="both"/>
      </w:pPr>
      <w:r>
        <w:t>Memahami perpajakan bagi setiap Wajib Pajak adalah suatu keharusan. Karena</w:t>
      </w:r>
      <w:r>
        <w:rPr>
          <w:spacing w:val="1"/>
        </w:rPr>
        <w:t xml:space="preserve"> </w:t>
      </w:r>
      <w:r>
        <w:t>dengan</w:t>
      </w:r>
      <w:r>
        <w:rPr>
          <w:spacing w:val="1"/>
        </w:rPr>
        <w:t xml:space="preserve"> </w:t>
      </w:r>
      <w:r>
        <w:t>memahami</w:t>
      </w:r>
      <w:r>
        <w:rPr>
          <w:spacing w:val="1"/>
        </w:rPr>
        <w:t xml:space="preserve"> </w:t>
      </w:r>
      <w:r>
        <w:t>peraturan</w:t>
      </w:r>
      <w:r>
        <w:rPr>
          <w:spacing w:val="1"/>
        </w:rPr>
        <w:t xml:space="preserve"> </w:t>
      </w:r>
      <w:r>
        <w:t>perpajakan,</w:t>
      </w:r>
      <w:r>
        <w:rPr>
          <w:spacing w:val="1"/>
        </w:rPr>
        <w:t xml:space="preserve"> </w:t>
      </w:r>
      <w:r>
        <w:t>seseorang</w:t>
      </w:r>
      <w:r>
        <w:rPr>
          <w:spacing w:val="1"/>
        </w:rPr>
        <w:t xml:space="preserve"> </w:t>
      </w:r>
      <w:r>
        <w:t>akan</w:t>
      </w:r>
      <w:r>
        <w:rPr>
          <w:spacing w:val="1"/>
        </w:rPr>
        <w:t xml:space="preserve"> </w:t>
      </w:r>
      <w:r>
        <w:t>lebih</w:t>
      </w:r>
      <w:r>
        <w:rPr>
          <w:spacing w:val="1"/>
        </w:rPr>
        <w:t xml:space="preserve"> </w:t>
      </w:r>
      <w:r>
        <w:t>mudah</w:t>
      </w:r>
      <w:r>
        <w:rPr>
          <w:spacing w:val="1"/>
        </w:rPr>
        <w:t xml:space="preserve"> </w:t>
      </w:r>
      <w:r>
        <w:t>untuk</w:t>
      </w:r>
      <w:r>
        <w:rPr>
          <w:spacing w:val="1"/>
        </w:rPr>
        <w:t xml:space="preserve"> </w:t>
      </w:r>
      <w:r>
        <w:t>menjalankan kewajiban disaat membayar pajaknya, selain itu juga disaat Wajib Pajak</w:t>
      </w:r>
      <w:r>
        <w:rPr>
          <w:spacing w:val="1"/>
        </w:rPr>
        <w:t xml:space="preserve"> </w:t>
      </w:r>
      <w:r>
        <w:t>memahami</w:t>
      </w:r>
      <w:r>
        <w:rPr>
          <w:spacing w:val="1"/>
        </w:rPr>
        <w:t xml:space="preserve"> </w:t>
      </w:r>
      <w:r>
        <w:t>peraturan</w:t>
      </w:r>
      <w:r>
        <w:rPr>
          <w:spacing w:val="1"/>
        </w:rPr>
        <w:t xml:space="preserve"> </w:t>
      </w:r>
      <w:r>
        <w:t>perpajakan</w:t>
      </w:r>
      <w:r>
        <w:rPr>
          <w:spacing w:val="1"/>
        </w:rPr>
        <w:t xml:space="preserve"> </w:t>
      </w:r>
      <w:r>
        <w:t>dengan</w:t>
      </w:r>
      <w:r>
        <w:rPr>
          <w:spacing w:val="1"/>
        </w:rPr>
        <w:t xml:space="preserve"> </w:t>
      </w:r>
      <w:r>
        <w:t>cukup</w:t>
      </w:r>
      <w:r>
        <w:rPr>
          <w:spacing w:val="1"/>
        </w:rPr>
        <w:t xml:space="preserve"> </w:t>
      </w:r>
      <w:r>
        <w:t>luas</w:t>
      </w:r>
      <w:r>
        <w:rPr>
          <w:spacing w:val="1"/>
        </w:rPr>
        <w:t xml:space="preserve"> </w:t>
      </w:r>
      <w:r>
        <w:t>maka akan</w:t>
      </w:r>
      <w:r>
        <w:rPr>
          <w:spacing w:val="1"/>
        </w:rPr>
        <w:t xml:space="preserve"> </w:t>
      </w:r>
      <w:r>
        <w:t>kecil</w:t>
      </w:r>
      <w:r>
        <w:rPr>
          <w:spacing w:val="1"/>
        </w:rPr>
        <w:t xml:space="preserve"> </w:t>
      </w:r>
      <w:r>
        <w:t>kemungkinan</w:t>
      </w:r>
      <w:r>
        <w:rPr>
          <w:spacing w:val="-57"/>
        </w:rPr>
        <w:t xml:space="preserve"> </w:t>
      </w:r>
      <w:r>
        <w:t>mendapatkan</w:t>
      </w:r>
      <w:r>
        <w:rPr>
          <w:spacing w:val="-1"/>
        </w:rPr>
        <w:t xml:space="preserve"> </w:t>
      </w:r>
      <w:r>
        <w:t>hukuman pajak.</w:t>
      </w:r>
    </w:p>
    <w:p w14:paraId="732D5FF6">
      <w:pPr>
        <w:spacing w:line="480" w:lineRule="auto"/>
        <w:ind w:firstLine="851"/>
        <w:jc w:val="both"/>
      </w:pPr>
      <w:r>
        <w:t xml:space="preserve">Pemahaman peraturan perpajakan adalah suatu proses dimana wajib pajak memahami dan mengetahui tentang peraturan dan Undang-undang serta tata cara perpajakan yang berlaku dan menerapkannya untuk melaksanakan kegiatan perpajakan seperti, membayar pajak tepat waktu, melaporkan SPT, dan lain sebagainya. Jika seseorang telah memahami dan mengerti tentang peraturan perpajakan makan secara otomatis kepatuhan wajib pajak dalam membayar pajak akan meningkat dalam </w:t>
      </w:r>
      <w:r>
        <w:rPr>
          <w:lang w:val="en-US"/>
        </w:rPr>
        <w:t>(</w:t>
      </w:r>
      <w:r>
        <w:t>Wijayanti</w:t>
      </w:r>
      <w:r>
        <w:rPr>
          <w:lang w:val="en-US"/>
        </w:rPr>
        <w:t xml:space="preserve"> dan Sasongko,</w:t>
      </w:r>
      <w:r>
        <w:t xml:space="preserve"> 20</w:t>
      </w:r>
      <w:r>
        <w:rPr>
          <w:lang w:val="en-US"/>
        </w:rPr>
        <w:t>21</w:t>
      </w:r>
      <w:r>
        <w:t xml:space="preserve">). </w:t>
      </w:r>
    </w:p>
    <w:p w14:paraId="18BF8130">
      <w:pPr>
        <w:spacing w:line="480" w:lineRule="auto"/>
        <w:ind w:firstLine="851"/>
        <w:jc w:val="both"/>
        <w:rPr>
          <w:lang w:val="en-US"/>
        </w:rPr>
      </w:pPr>
      <w:r>
        <w:rPr>
          <w:lang w:val="en-AU"/>
        </w:rPr>
        <w:t>P</w:t>
      </w:r>
      <w:r>
        <w:t>eraturan perpajakan adalah suatu cara dimana wajib pajak dapat memahami serta mengetahui mengenai peraturan dan prosedur dalam perpajakan serta dapat mengimplementasikannya dalam kegiatan perpajakan seperti membayar pajak dan melaporkan Surat Pemberitahuan (SPT).</w:t>
      </w:r>
    </w:p>
    <w:p w14:paraId="67F57D9F">
      <w:pPr>
        <w:spacing w:line="480" w:lineRule="auto"/>
        <w:ind w:firstLine="851"/>
        <w:jc w:val="both"/>
        <w:rPr>
          <w:lang w:val="en-US"/>
        </w:rPr>
      </w:pPr>
      <w:r>
        <w:t>Menurut (</w:t>
      </w:r>
      <w:r>
        <w:rPr>
          <w:lang w:val="en-US"/>
        </w:rPr>
        <w:t>Fitria dan Supriyono, 2020)</w:t>
      </w:r>
      <w:r>
        <w:t xml:space="preserve"> Tingkat pemahaman pajak dilihat dari perspektif hukum merupakan suatu perikatan yang timbul karena adanya undang-undang yang menyebabkan timbulnya kewajiban warga negara untuk menyetorkan sejumlah penghasilan tertentu kepada negara, negara mempunyai kekuatan untuk memaksa dan uang pajak tersebut harus dipergunakan untuk penyelenggaraan pemerintahan. </w:t>
      </w:r>
    </w:p>
    <w:p w14:paraId="77C2383F">
      <w:pPr>
        <w:spacing w:line="480" w:lineRule="auto"/>
        <w:ind w:firstLine="851"/>
        <w:jc w:val="both"/>
        <w:rPr>
          <w:lang w:val="en-US"/>
        </w:rPr>
      </w:pPr>
      <w:r>
        <w:rPr>
          <w:lang w:val="en-US"/>
        </w:rPr>
        <w:t>Menurut (Meidiyustiana et al., 2022)</w:t>
      </w:r>
      <w:r>
        <w:t xml:space="preserve"> pemahaman perpajakan adalah suatu cara dimana UMKM dapat memahami serta mengetahui mengenai peraturan dan prosedur dalam perpajakan serta dapat mengimplementasikannya dalam kegiatan perpajakan seperti membayar pajak dan melaporkan Surat Pemberitahuan (SPT). Pemahaman wajib pajak UMKM terkait perpajakan sangatlah penting untuk menimbulkan kesadaran dalam diri UMKM akan kewajibannya dalam perpajakan</w:t>
      </w:r>
      <w:r>
        <w:rPr>
          <w:lang w:val="en-US"/>
        </w:rPr>
        <w:t xml:space="preserve"> </w:t>
      </w:r>
      <w:r>
        <w:t>(Alfina</w:t>
      </w:r>
      <w:r>
        <w:rPr>
          <w:lang w:val="en-US"/>
        </w:rPr>
        <w:t xml:space="preserve"> dan Diana, </w:t>
      </w:r>
      <w:r>
        <w:t>2021).</w:t>
      </w:r>
    </w:p>
    <w:p w14:paraId="5BCEEFE7">
      <w:pPr>
        <w:spacing w:line="480" w:lineRule="auto"/>
        <w:ind w:firstLine="851"/>
        <w:jc w:val="both"/>
        <w:rPr>
          <w:lang w:val="en-US"/>
        </w:rPr>
      </w:pPr>
      <w:r>
        <w:t>Menurut (Wijayanti dan Sasongko, 20</w:t>
      </w:r>
      <w:r>
        <w:rPr>
          <w:lang w:val="en-US"/>
        </w:rPr>
        <w:t>21</w:t>
      </w:r>
      <w:r>
        <w:t>) Pengertian Pemahaman Perpajakan adalah</w:t>
      </w:r>
      <w:r>
        <w:rPr>
          <w:lang w:val="en-US"/>
        </w:rPr>
        <w:t xml:space="preserve"> </w:t>
      </w:r>
      <w:r>
        <w:t>suatu proses dimana wajib pajak memahami dan mengetahui tentang peraturan dan Undang-undang serta tata cara perpajakan yang berlaku dan menerapkannya untuk melaksanakan kegiatan perpajakan seperti, membayar pajak tepat waktu, melaporkan</w:t>
      </w:r>
      <w:r>
        <w:rPr>
          <w:lang w:val="en-US"/>
        </w:rPr>
        <w:t xml:space="preserve"> </w:t>
      </w:r>
      <w:r>
        <w:t>SPT, dan lain sebagainya. Jika seseorang telah memahami dan mengerti tentang peraturan perpajakan makan secara otomatis kepatuhan wajib pajak dalam membayar pajak akan meningkat</w:t>
      </w:r>
      <w:r>
        <w:rPr>
          <w:lang w:val="en-US"/>
        </w:rPr>
        <w:t>.</w:t>
      </w:r>
    </w:p>
    <w:p w14:paraId="019E8DE5">
      <w:pPr>
        <w:spacing w:line="480" w:lineRule="auto"/>
        <w:ind w:firstLine="851"/>
        <w:jc w:val="both"/>
      </w:pPr>
      <w:r>
        <w:t>Cara memahami perpajakan bagi Wajib Pajak tidaklah sulit, karena pada saat ini media informasi (seperti internet) telah memudahkan setiap Wajib Pajak untuk mendapatkan informasi terbaru. Selain melalui media informasi, pemahaman tentang perpajakan bisa diperoleh melalui sosialisasi dari petugas pajak ataupun dengan mengikuti pelatihan pajak. Sehingga Wajib Pajak dapat lebih mengerti hak dan kewajiban sebagai Wajib Pajak, serta akan memudahkan Wajib Pajak dalam menjalankan kewajiban perpajakannya.</w:t>
      </w:r>
    </w:p>
    <w:p w14:paraId="5623B1C0">
      <w:pPr>
        <w:spacing w:line="480" w:lineRule="auto"/>
        <w:jc w:val="both"/>
        <w:rPr>
          <w:b/>
          <w:lang w:val="en-US"/>
        </w:rPr>
      </w:pPr>
      <w:r>
        <w:rPr>
          <w:b/>
          <w:lang w:val="en-US"/>
        </w:rPr>
        <w:t>2.2.2</w:t>
      </w:r>
      <w:r>
        <w:rPr>
          <w:b/>
          <w:lang w:val="en-US"/>
        </w:rPr>
        <w:tab/>
      </w:r>
      <w:r>
        <w:rPr>
          <w:b/>
          <w:lang w:val="en-US"/>
        </w:rPr>
        <w:t>Indikator-indikator Pemahaman Perpajakan</w:t>
      </w:r>
    </w:p>
    <w:p w14:paraId="680E66A6">
      <w:pPr>
        <w:spacing w:line="480" w:lineRule="auto"/>
        <w:ind w:firstLine="720"/>
        <w:jc w:val="both"/>
        <w:rPr>
          <w:lang w:val="en-US"/>
        </w:rPr>
      </w:pPr>
      <w:r>
        <w:t>Menurut penelitian yang dilakukan oleh (</w:t>
      </w:r>
      <w:r>
        <w:rPr>
          <w:lang w:val="en-US"/>
        </w:rPr>
        <w:t>Sudijono</w:t>
      </w:r>
      <w:r>
        <w:t>, 20</w:t>
      </w:r>
      <w:r>
        <w:rPr>
          <w:lang w:val="en-US"/>
        </w:rPr>
        <w:t>22</w:t>
      </w:r>
      <w:r>
        <w:t xml:space="preserve">) terdapat </w:t>
      </w:r>
      <w:r>
        <w:rPr>
          <w:lang w:val="en-US"/>
        </w:rPr>
        <w:t xml:space="preserve">3 </w:t>
      </w:r>
      <w:r>
        <w:t>indikator, yaitu :</w:t>
      </w:r>
    </w:p>
    <w:p w14:paraId="1D621F14">
      <w:pPr>
        <w:pStyle w:val="14"/>
        <w:numPr>
          <w:ilvl w:val="0"/>
          <w:numId w:val="1"/>
        </w:numPr>
        <w:spacing w:line="480" w:lineRule="auto"/>
        <w:ind w:left="284" w:hanging="284"/>
        <w:jc w:val="both"/>
        <w:rPr>
          <w:lang w:val="en-US"/>
        </w:rPr>
      </w:pPr>
      <w:r>
        <w:t xml:space="preserve">Pengetahuan mengenai ketentuan umum </w:t>
      </w:r>
      <w:r>
        <w:rPr>
          <w:lang w:val="en-US"/>
        </w:rPr>
        <w:t>Perpajakan</w:t>
      </w:r>
      <w:r>
        <w:t>.</w:t>
      </w:r>
    </w:p>
    <w:p w14:paraId="57660C6E">
      <w:pPr>
        <w:pStyle w:val="14"/>
        <w:numPr>
          <w:ilvl w:val="0"/>
          <w:numId w:val="2"/>
        </w:numPr>
        <w:spacing w:line="480" w:lineRule="auto"/>
        <w:ind w:left="426"/>
        <w:jc w:val="both"/>
        <w:rPr>
          <w:lang w:val="en-US"/>
        </w:rPr>
      </w:pPr>
      <w:r>
        <w:t xml:space="preserve">Pemahaman sistem perpajakan di Indonesia </w:t>
      </w:r>
    </w:p>
    <w:p w14:paraId="06FF892C">
      <w:pPr>
        <w:pStyle w:val="14"/>
        <w:numPr>
          <w:ilvl w:val="0"/>
          <w:numId w:val="2"/>
        </w:numPr>
        <w:spacing w:line="480" w:lineRule="auto"/>
        <w:ind w:left="426"/>
        <w:jc w:val="both"/>
        <w:rPr>
          <w:lang w:val="en-US"/>
        </w:rPr>
      </w:pPr>
      <w:r>
        <w:rPr>
          <w:lang w:val="en-US"/>
        </w:rPr>
        <w:t>Pemahaman sanksi pajak kendaraan</w:t>
      </w:r>
    </w:p>
    <w:p w14:paraId="7CA4FC26">
      <w:pPr>
        <w:pStyle w:val="14"/>
        <w:numPr>
          <w:ilvl w:val="0"/>
          <w:numId w:val="2"/>
        </w:numPr>
        <w:spacing w:line="480" w:lineRule="auto"/>
        <w:ind w:left="426"/>
        <w:jc w:val="both"/>
        <w:rPr>
          <w:lang w:val="en-US"/>
        </w:rPr>
      </w:pPr>
      <w:r>
        <w:rPr>
          <w:lang w:val="en-US"/>
        </w:rPr>
        <w:t>Pemahaman hak dan kewajiban</w:t>
      </w:r>
    </w:p>
    <w:p w14:paraId="1E6A4C5B">
      <w:pPr>
        <w:pStyle w:val="14"/>
        <w:numPr>
          <w:ilvl w:val="0"/>
          <w:numId w:val="2"/>
        </w:numPr>
        <w:spacing w:line="480" w:lineRule="auto"/>
        <w:ind w:left="426"/>
        <w:jc w:val="both"/>
        <w:rPr>
          <w:lang w:val="en-US"/>
        </w:rPr>
      </w:pPr>
      <w:r>
        <w:rPr>
          <w:lang w:val="en-US"/>
        </w:rPr>
        <w:t>Pemahaman pelaporan pajak kendaraan</w:t>
      </w:r>
    </w:p>
    <w:p w14:paraId="7FE1D45F">
      <w:pPr>
        <w:pStyle w:val="14"/>
        <w:numPr>
          <w:ilvl w:val="0"/>
          <w:numId w:val="2"/>
        </w:numPr>
        <w:spacing w:line="480" w:lineRule="auto"/>
        <w:ind w:left="426"/>
        <w:jc w:val="both"/>
        <w:rPr>
          <w:lang w:val="en-US"/>
        </w:rPr>
      </w:pPr>
      <w:r>
        <w:rPr>
          <w:lang w:val="en-US"/>
        </w:rPr>
        <w:t>Pemahaman penentuan nilai kendaraan</w:t>
      </w:r>
    </w:p>
    <w:p w14:paraId="5BCCC1CA">
      <w:pPr>
        <w:pStyle w:val="14"/>
        <w:numPr>
          <w:ilvl w:val="0"/>
          <w:numId w:val="2"/>
        </w:numPr>
        <w:spacing w:line="480" w:lineRule="auto"/>
        <w:ind w:left="426"/>
        <w:jc w:val="both"/>
        <w:rPr>
          <w:lang w:val="en-US"/>
        </w:rPr>
      </w:pPr>
      <w:r>
        <w:rPr>
          <w:lang w:val="en-US"/>
        </w:rPr>
        <w:t>Pemahaamn tarif pajak bermotor</w:t>
      </w:r>
    </w:p>
    <w:p w14:paraId="0E32DAD5">
      <w:pPr>
        <w:spacing w:line="480" w:lineRule="auto"/>
        <w:jc w:val="both"/>
        <w:rPr>
          <w:b/>
          <w:lang w:val="en-US"/>
        </w:rPr>
      </w:pPr>
      <w:r>
        <w:rPr>
          <w:b/>
          <w:lang w:val="en-US"/>
        </w:rPr>
        <w:t>2.3</w:t>
      </w:r>
      <w:r>
        <w:rPr>
          <w:b/>
          <w:lang w:val="en-US"/>
        </w:rPr>
        <w:tab/>
      </w:r>
      <w:r>
        <w:rPr>
          <w:b/>
          <w:lang w:val="en-US"/>
        </w:rPr>
        <w:t>Kesadaran Wajib Pajak</w:t>
      </w:r>
    </w:p>
    <w:p w14:paraId="37C32D3B">
      <w:pPr>
        <w:spacing w:line="480" w:lineRule="auto"/>
        <w:jc w:val="both"/>
        <w:rPr>
          <w:b/>
          <w:lang w:val="en-US"/>
        </w:rPr>
      </w:pPr>
      <w:r>
        <w:rPr>
          <w:b/>
          <w:lang w:val="en-US"/>
        </w:rPr>
        <w:t>2.3.1</w:t>
      </w:r>
      <w:r>
        <w:rPr>
          <w:b/>
          <w:lang w:val="en-US"/>
        </w:rPr>
        <w:tab/>
      </w:r>
      <w:r>
        <w:rPr>
          <w:b/>
          <w:lang w:val="en-US"/>
        </w:rPr>
        <w:t>Pengertian Kesadaran Wajib Pajak</w:t>
      </w:r>
    </w:p>
    <w:p w14:paraId="6158D24B">
      <w:pPr>
        <w:spacing w:line="480" w:lineRule="auto"/>
        <w:ind w:firstLine="851"/>
        <w:jc w:val="both"/>
      </w:pPr>
      <w:r>
        <w:t>Menurut (Hasibuan, 2020) kesadaran adalah sikap seseorang yang secara sukarela menaati semua peraturan dan sadar akan tugas dan tanggung jawabnya, maka kesadaran dapat diartikan juga sebagai kondisi prilaku dimana seseorang mengerti akan hak dan kewajibannya yang harus dijalankan. Wajib merupakan sesuatu yang harus dilakukan dan bersifat memaksa yang telah ditentukan sebelumnya sebagai kewajiban sedangkan Pajak ialah iuran atau tagihan dari masyarakat untuk negara.</w:t>
      </w:r>
    </w:p>
    <w:p w14:paraId="48E82612">
      <w:pPr>
        <w:spacing w:line="480" w:lineRule="auto"/>
        <w:ind w:firstLine="851"/>
        <w:jc w:val="both"/>
        <w:rPr>
          <w:lang w:val="en-US"/>
        </w:rPr>
      </w:pPr>
      <w:r>
        <w:t>Menurut (Rukhayah, 2020) Kesadaran wajib pajak merupakan suatu kondisi dimana Wajib Pajak mengetahui, mengakui, menghargai dan menaati ketentuan perpajakan yang berlaku serta memiliki kesungguhan dan keinginan untuk memenuhi kewajiban pajaknya sesuai Undang-Undang perpajakan. Wajib pajak yang memiliki kesadaran perpajakan yang baik akan cenderung untuk patuh dalam melaksanakan kewajiban perpajakannya.</w:t>
      </w:r>
    </w:p>
    <w:p w14:paraId="5AE3A0F2">
      <w:pPr>
        <w:spacing w:line="480" w:lineRule="auto"/>
        <w:ind w:firstLine="851"/>
        <w:jc w:val="both"/>
      </w:pPr>
      <w:r>
        <w:t xml:space="preserve">Kesadaran pajak adalah Wajib pajak yang berkemauan tanpa paksaan membayar kewajiban pajaknya. Wajib pajak yang mengetahui bagaimana peraturan pajak, melaksanakan ketentuan pajak dengan benar, dan sukarela. Wajib Pajak yang sadar akan pajaknya tidak akan melanggar peraturan perpajakan yang sudah berlaku, wajib pajak juga menghitung pajaknya dengan benar, serta akan membayar pajak terutangnya (Rahman, 2022) </w:t>
      </w:r>
    </w:p>
    <w:p w14:paraId="6CB60005">
      <w:pPr>
        <w:spacing w:line="480" w:lineRule="auto"/>
        <w:ind w:firstLine="851"/>
        <w:jc w:val="both"/>
      </w:pPr>
      <w:r>
        <w:t>Kesadaran adalah keadaan mengetahui atau mengerti, sedangkan perpajakan adalah perihal pajak. Sehingga kesadaran perpajakan adalah</w:t>
      </w:r>
      <w:r>
        <w:rPr>
          <w:lang w:val="en-US"/>
        </w:rPr>
        <w:t xml:space="preserve"> </w:t>
      </w:r>
      <w:r>
        <w:t>keadaan mengetahui atau mengerti perihal pajak. Penilaian positif wajib pajak terhadap pelaksanaan fungsi negara oleh pemerintah akan menggerakkan masyarakat untuk mematuhi kewajibannya untuk membayar pajak, maka dari itu kesadaran Wajib Pajak mengenai perpajakan amatlah diperlukan guna meningkatkan kepatuhan Wajib Pajak, (Jatmiko, 2021).</w:t>
      </w:r>
    </w:p>
    <w:p w14:paraId="02351C5A">
      <w:pPr>
        <w:spacing w:line="480" w:lineRule="auto"/>
        <w:ind w:firstLine="851"/>
        <w:jc w:val="both"/>
        <w:rPr>
          <w:lang w:val="en-US"/>
        </w:rPr>
      </w:pPr>
      <w:r>
        <w:t>Kesadaran wajib pajak merupakan perilaku wajib pajak berupa pandangan atau persepsi yang melibatkan keyakinan, pengetahuan dan penalaran serta kecenderungan untuk bertindak sesuai dengan stimulus yang diberikan oleh sistem dan ketentuan perpajakan yang berlaku (Ritonga</w:t>
      </w:r>
      <w:r>
        <w:rPr>
          <w:lang w:val="en-US"/>
        </w:rPr>
        <w:t xml:space="preserve">, </w:t>
      </w:r>
      <w:r>
        <w:t>20</w:t>
      </w:r>
      <w:r>
        <w:rPr>
          <w:lang w:val="en-US"/>
        </w:rPr>
        <w:t>20</w:t>
      </w:r>
      <w:r>
        <w:t>)</w:t>
      </w:r>
    </w:p>
    <w:p w14:paraId="50FEDC63">
      <w:pPr>
        <w:spacing w:line="480" w:lineRule="auto"/>
        <w:ind w:firstLine="851"/>
        <w:jc w:val="both"/>
        <w:rPr>
          <w:lang w:val="en-US"/>
        </w:rPr>
      </w:pPr>
      <w:r>
        <w:t>Menurut (Jatmiko, 20</w:t>
      </w:r>
      <w:r>
        <w:rPr>
          <w:lang w:val="en-US"/>
        </w:rPr>
        <w:t>21</w:t>
      </w:r>
      <w:r>
        <w:t>) kesadaran wajib pajak atas perpajakan amatlah diperlukan guna meningkatkan kepatuhan wajib pajak. Masyarakat harus sadar akan keberadaanya sebagai warga negara yang selalu menjunjung tinggi Undang-Undang Dasar 1945 sebagai dasar hukum penyelenggaraan Negara</w:t>
      </w:r>
      <w:r>
        <w:rPr>
          <w:lang w:val="en-US"/>
        </w:rPr>
        <w:t>,</w:t>
      </w:r>
      <w:r>
        <w:t xml:space="preserve"> (</w:t>
      </w:r>
      <w:r>
        <w:rPr>
          <w:lang w:val="en-US"/>
        </w:rPr>
        <w:t xml:space="preserve">Daim, </w:t>
      </w:r>
      <w:r>
        <w:t>20</w:t>
      </w:r>
      <w:r>
        <w:rPr>
          <w:lang w:val="en-US"/>
        </w:rPr>
        <w:t>21</w:t>
      </w:r>
      <w:r>
        <w:t>). Kesadaran wajib pajak membayar pajak menjadikan masyarakat akan tunduk dan patuh dalam membayar pajak sesuai peraturan yang berlaku.</w:t>
      </w:r>
    </w:p>
    <w:p w14:paraId="6B6FD1FF">
      <w:pPr>
        <w:spacing w:line="480" w:lineRule="auto"/>
        <w:ind w:firstLine="851"/>
        <w:jc w:val="both"/>
      </w:pPr>
      <w:r>
        <w:t xml:space="preserve">Kesadaran wajib pajak sangat diperlukan dalam membayar pajak. </w:t>
      </w:r>
      <w:r>
        <w:rPr>
          <w:lang w:val="en-US"/>
        </w:rPr>
        <w:t>Pendapat</w:t>
      </w:r>
      <w:r>
        <w:t xml:space="preserve"> (Jatmiko, 20</w:t>
      </w:r>
      <w:r>
        <w:rPr>
          <w:lang w:val="en-US"/>
        </w:rPr>
        <w:t>21</w:t>
      </w:r>
      <w:r>
        <w:t xml:space="preserve">) menyatakan bahwa kesadaran perpajakan masyarkat yang rendah seringkali menjadi salah satu sebab banyaknya potensi pajak yang tidak dapat dijaring. Dari sisi lain rendahnya partisipasi masyarakat dalam membayar pajak membuat semua perencanaan pembangunan juga menjadi terhambat. Maka dari itu, segala upaya pemerintah lakukan untuk menyadarkan masyarkat pentingnya membayar pajak. Pemerintah juga harus transparan dalam mengelola pajak daerah agar melahirkan kepercayaan dari masyrakat. </w:t>
      </w:r>
    </w:p>
    <w:p w14:paraId="437E6DA8">
      <w:pPr>
        <w:spacing w:line="480" w:lineRule="auto"/>
        <w:ind w:firstLine="851"/>
        <w:jc w:val="both"/>
      </w:pPr>
      <w:r>
        <w:t>Dengan demikian, kesadaran perpajakan tersebut dapat meningkatkan kepatuhan wajib pajak. Kesadaran wajib pajak merupakan sikap mengerti wajib pajak untuk melakukan kewajiban perpajakannya terhadap pelaksanaan fungsi untuk mengetahui tujuan kewajiban dalam membayar pajak. Kesadaran untuk mematuhi ketentuan (hukum pajak) yang berlaku tentu menyangkut faktor</w:t>
      </w:r>
      <w:r>
        <w:rPr>
          <w:lang w:val="en-US"/>
        </w:rPr>
        <w:t>-</w:t>
      </w:r>
      <w:r>
        <w:t>faktor apakah ketentuan tersebut telah diketahui, diakui, dihargai dan ditaati. Bila seseorang hanya mengetahui berarti kesadaran wajib pajak tersebut masih rendah. Idealnya untuk mewujudkan sadar dan peduli pajak, masyarakat harus terus diajak untuk mengetahui, mengakui, menghargai dan</w:t>
      </w:r>
      <w:r>
        <w:rPr>
          <w:lang w:val="en-US"/>
        </w:rPr>
        <w:t xml:space="preserve"> </w:t>
      </w:r>
      <w:r>
        <w:t xml:space="preserve">mentaati ketentuan perpajakan yang berlaku. </w:t>
      </w:r>
    </w:p>
    <w:p w14:paraId="575BAC7F">
      <w:pPr>
        <w:spacing w:line="480" w:lineRule="auto"/>
        <w:ind w:firstLine="851"/>
        <w:jc w:val="both"/>
        <w:rPr>
          <w:lang w:val="en-US"/>
        </w:rPr>
      </w:pPr>
    </w:p>
    <w:p w14:paraId="3488830E">
      <w:pPr>
        <w:tabs>
          <w:tab w:val="left" w:pos="851"/>
        </w:tabs>
        <w:spacing w:line="480" w:lineRule="auto"/>
        <w:jc w:val="both"/>
        <w:rPr>
          <w:b/>
          <w:lang w:val="en-US"/>
        </w:rPr>
      </w:pPr>
      <w:r>
        <w:rPr>
          <w:b/>
          <w:lang w:val="en-US"/>
        </w:rPr>
        <w:t>2.3.2</w:t>
      </w:r>
      <w:r>
        <w:rPr>
          <w:b/>
          <w:lang w:val="en-US"/>
        </w:rPr>
        <w:tab/>
      </w:r>
      <w:r>
        <w:rPr>
          <w:b/>
          <w:lang w:val="en-US"/>
        </w:rPr>
        <w:t>Indikator-indikator Kesadaran Wajib Pajak</w:t>
      </w:r>
    </w:p>
    <w:p w14:paraId="405891B1">
      <w:pPr>
        <w:pStyle w:val="14"/>
        <w:spacing w:line="480" w:lineRule="auto"/>
        <w:ind w:left="0" w:firstLine="851"/>
        <w:jc w:val="both"/>
        <w:rPr>
          <w:lang w:val="en-US"/>
        </w:rPr>
      </w:pPr>
      <w:r>
        <w:t xml:space="preserve">Lebih lanjut </w:t>
      </w:r>
      <w:r>
        <w:rPr>
          <w:lang w:val="en-US"/>
        </w:rPr>
        <w:t>Pendapat (</w:t>
      </w:r>
      <w:r>
        <w:t>Setiawan, 2020) menjelaskan bahwa indikator dari kesadaran perpajakan sebagai berikut:</w:t>
      </w:r>
    </w:p>
    <w:p w14:paraId="12D84F69">
      <w:pPr>
        <w:pStyle w:val="14"/>
        <w:numPr>
          <w:ilvl w:val="0"/>
          <w:numId w:val="3"/>
        </w:numPr>
        <w:spacing w:line="480" w:lineRule="auto"/>
        <w:ind w:left="284" w:hanging="284"/>
        <w:jc w:val="both"/>
        <w:rPr>
          <w:lang w:val="en-US"/>
        </w:rPr>
      </w:pPr>
      <w:r>
        <w:rPr>
          <w:lang w:val="en-US"/>
        </w:rPr>
        <w:t>Kesadaran adanya undang-undang dan ketentuan perpajakan</w:t>
      </w:r>
    </w:p>
    <w:p w14:paraId="01B3E40D">
      <w:pPr>
        <w:pStyle w:val="14"/>
        <w:numPr>
          <w:ilvl w:val="0"/>
          <w:numId w:val="3"/>
        </w:numPr>
        <w:spacing w:line="480" w:lineRule="auto"/>
        <w:ind w:left="284" w:hanging="284"/>
        <w:jc w:val="both"/>
        <w:rPr>
          <w:lang w:val="en-US"/>
        </w:rPr>
      </w:pPr>
      <w:r>
        <w:rPr>
          <w:lang w:val="en-US"/>
        </w:rPr>
        <w:t>Kesadaran bahwa pajak merupakan sumber pembiayaan negara</w:t>
      </w:r>
    </w:p>
    <w:p w14:paraId="23A73B95">
      <w:pPr>
        <w:pStyle w:val="14"/>
        <w:numPr>
          <w:ilvl w:val="0"/>
          <w:numId w:val="3"/>
        </w:numPr>
        <w:spacing w:line="480" w:lineRule="auto"/>
        <w:ind w:left="284" w:hanging="284"/>
        <w:jc w:val="both"/>
        <w:rPr>
          <w:lang w:val="en-US"/>
        </w:rPr>
      </w:pPr>
      <w:r>
        <w:rPr>
          <w:lang w:val="en-US"/>
        </w:rPr>
        <w:t>Kesadaran bahwa kewajiban perpajakan harus dilaksanakan sesuai dengan ketentuan yang berlaku</w:t>
      </w:r>
    </w:p>
    <w:p w14:paraId="17F3310F">
      <w:pPr>
        <w:spacing w:line="480" w:lineRule="auto"/>
        <w:jc w:val="both"/>
        <w:rPr>
          <w:b/>
          <w:lang w:val="en-US"/>
        </w:rPr>
      </w:pPr>
      <w:r>
        <w:rPr>
          <w:b/>
          <w:lang w:val="en-US"/>
        </w:rPr>
        <w:t>2.4</w:t>
      </w:r>
      <w:r>
        <w:rPr>
          <w:b/>
          <w:lang w:val="en-US"/>
        </w:rPr>
        <w:tab/>
      </w:r>
      <w:r>
        <w:rPr>
          <w:b/>
          <w:lang w:val="en-US"/>
        </w:rPr>
        <w:t>Penurunan Tarif Pajak PP No 23 Tahun 2018</w:t>
      </w:r>
    </w:p>
    <w:p w14:paraId="36B81BC9">
      <w:pPr>
        <w:spacing w:line="480" w:lineRule="auto"/>
        <w:jc w:val="both"/>
        <w:rPr>
          <w:b/>
          <w:lang w:val="en-US"/>
        </w:rPr>
      </w:pPr>
      <w:r>
        <w:rPr>
          <w:b/>
          <w:lang w:val="en-US"/>
        </w:rPr>
        <w:t>2.4.1</w:t>
      </w:r>
      <w:r>
        <w:rPr>
          <w:b/>
          <w:lang w:val="en-US"/>
        </w:rPr>
        <w:tab/>
      </w:r>
      <w:r>
        <w:rPr>
          <w:b/>
          <w:lang w:val="en-US"/>
        </w:rPr>
        <w:t>Pengertian Tarif Pajak</w:t>
      </w:r>
    </w:p>
    <w:p w14:paraId="5F58AAEE">
      <w:pPr>
        <w:pStyle w:val="14"/>
        <w:spacing w:line="480" w:lineRule="auto"/>
        <w:ind w:left="0" w:firstLine="851"/>
        <w:jc w:val="both"/>
        <w:rPr>
          <w:lang w:val="en-US"/>
        </w:rPr>
      </w:pPr>
      <w:r>
        <w:t>Tarif pajak adalah suatu penetapan atau presentase berdasarkan undang-undang yang dapat digunakan untuk menghitung dan menentukan jumlah pajak yang harus dibayar, disetor dan dipungut oleh Wajib Pajak. Pada umumnya tarif pajak di Indonesia ditentukan berdasarkan presentase, tetapi ada juga tarif pajak yang hanya berupa nominal saja. Jadi untuk menghitung jumlah pajak, tinggal mengalikan tarif pajak dengan Dasar Pengenaan Pajak.</w:t>
      </w:r>
    </w:p>
    <w:p w14:paraId="7628A898">
      <w:pPr>
        <w:pStyle w:val="14"/>
        <w:spacing w:line="480" w:lineRule="auto"/>
        <w:ind w:left="0" w:firstLine="851"/>
        <w:jc w:val="both"/>
      </w:pPr>
      <w:r>
        <w:rPr>
          <w:lang w:val="en-US"/>
        </w:rPr>
        <w:t>Menurut (</w:t>
      </w:r>
      <w:r>
        <w:t xml:space="preserve">Resmi, </w:t>
      </w:r>
      <w:r>
        <w:rPr>
          <w:lang w:val="en-US"/>
        </w:rPr>
        <w:t>2022</w:t>
      </w:r>
      <w:r>
        <w:t>)</w:t>
      </w:r>
      <w:r>
        <w:rPr>
          <w:lang w:val="en-US"/>
        </w:rPr>
        <w:t xml:space="preserve"> </w:t>
      </w:r>
      <w:r>
        <w:t>Tarif tetap adalah tarif berupa jumlah atau angka yang tetap, berapapun besarnya dasar pengenaan pajak. Di Indonesia, tarif tetap diterapkan pada bea materai. Pembayaran dengan menggunakan cek atau bilyet giro untuk berapa punjumlahnya dikenakan pajak sebesar Rp.</w:t>
      </w:r>
      <w:r>
        <w:rPr>
          <w:lang w:val="en-US"/>
        </w:rPr>
        <w:t xml:space="preserve"> </w:t>
      </w:r>
      <w:r>
        <w:t>6.000. Bea materai juga dikenakan atas dokumen-dokumen atau surat perjanjian tertentu yang ditetapkan dalam peraturan tentang Bea Materai.</w:t>
      </w:r>
    </w:p>
    <w:p w14:paraId="3A45048E">
      <w:pPr>
        <w:pStyle w:val="14"/>
        <w:spacing w:line="480" w:lineRule="auto"/>
        <w:ind w:left="0" w:firstLine="851"/>
        <w:jc w:val="both"/>
      </w:pPr>
    </w:p>
    <w:p w14:paraId="6908C9EA">
      <w:pPr>
        <w:pStyle w:val="14"/>
        <w:spacing w:line="480" w:lineRule="auto"/>
        <w:ind w:left="0" w:firstLine="851"/>
        <w:jc w:val="both"/>
      </w:pPr>
    </w:p>
    <w:p w14:paraId="408D8195">
      <w:pPr>
        <w:spacing w:line="480" w:lineRule="auto"/>
        <w:jc w:val="both"/>
        <w:rPr>
          <w:b/>
          <w:lang w:val="en-US"/>
        </w:rPr>
      </w:pPr>
      <w:r>
        <w:rPr>
          <w:b/>
          <w:lang w:val="en-US"/>
        </w:rPr>
        <w:t>2.4.2</w:t>
      </w:r>
      <w:r>
        <w:rPr>
          <w:b/>
          <w:lang w:val="en-US"/>
        </w:rPr>
        <w:tab/>
      </w:r>
      <w:r>
        <w:rPr>
          <w:b/>
          <w:lang w:val="en-US"/>
        </w:rPr>
        <w:t>Penurunan Tarif Pajak PP No 23 Tahun 2018</w:t>
      </w:r>
    </w:p>
    <w:p w14:paraId="123022DB">
      <w:pPr>
        <w:pStyle w:val="14"/>
        <w:spacing w:line="480" w:lineRule="auto"/>
        <w:ind w:left="0" w:firstLine="851"/>
        <w:jc w:val="both"/>
        <w:rPr>
          <w:lang w:val="en-US"/>
        </w:rPr>
      </w:pPr>
      <w:r>
        <w:t>PP No. 23 Tahun 2018 merupakan pajak yang dikenakan atas UMKM yang peredaran brutonya di bawah 4,8 miliar yang berlaku efektif tanggal 1 Juli 2018. Terjadinya pergantian ini bertujuan untuk menurunkan tarif PPh final yang sebelumnya sebesar 1 persen menjadi 0,5 persen. Ketentuan pajak ini memiliki sifat opsional dan memiliki batas waktu menerapkan tarif final tersebut bagi wajib pajak tertentu. Sifat opsional dari ketentuan ini adalah wajib pajak bisa memilih untuk menggunakan tarif</w:t>
      </w:r>
      <w:r>
        <w:rPr>
          <w:lang w:val="en-US"/>
        </w:rPr>
        <w:t xml:space="preserve"> </w:t>
      </w:r>
      <w:r>
        <w:t>PPh final atau tarif PPh umum Pasal 17</w:t>
      </w:r>
      <w:r>
        <w:rPr>
          <w:lang w:val="en-US"/>
        </w:rPr>
        <w:t xml:space="preserve"> </w:t>
      </w:r>
      <w:r>
        <w:t xml:space="preserve">dalam pengenaan pajaknya. Sedangkan untuk batas waktu yang ditetapkan adalah waktu yang ditentukan untuk wajib pajak dalam menggunakan fasilitas pajak final tersebut. </w:t>
      </w:r>
    </w:p>
    <w:p w14:paraId="3996E728">
      <w:pPr>
        <w:pStyle w:val="14"/>
        <w:spacing w:line="480" w:lineRule="auto"/>
        <w:ind w:left="0" w:firstLine="851"/>
        <w:jc w:val="both"/>
      </w:pPr>
      <w:r>
        <w:t xml:space="preserve">Setiap subjek pajak memiliki batas waktu yang berbeda-beda. Bagi subjek pajak Orang Pribadi selama 7 tahun; Perseroan Terbatas (PT) selama 3 tahun; dan bagi koperasi, firma, dan </w:t>
      </w:r>
      <w:r>
        <w:rPr>
          <w:i/>
        </w:rPr>
        <w:t>Commanditaire Vennootschap</w:t>
      </w:r>
      <w:r>
        <w:t xml:space="preserve"> (CV) selama 4 tahun (Wahyudi &amp; Mildawati, 2020). Saat batas waktu yang ditetapkan habis atau peredaraan bruto dari wajib pajak melebihi 4,8 miliar, maka wajib pajak tersebut akan dikenakan tarif PPh secara umum sehingga wajib pajak dalam penerapan tarif umum harus melakukan pembukuan dan koreksi fiskal dalam menghitung pajak terutang.</w:t>
      </w:r>
    </w:p>
    <w:p w14:paraId="2AFFB66B">
      <w:pPr>
        <w:spacing w:line="480" w:lineRule="auto"/>
        <w:jc w:val="both"/>
        <w:rPr>
          <w:b/>
          <w:lang w:val="en-US"/>
        </w:rPr>
      </w:pPr>
      <w:r>
        <w:rPr>
          <w:b/>
          <w:lang w:val="en-US"/>
        </w:rPr>
        <w:t>2.4.3</w:t>
      </w:r>
      <w:r>
        <w:rPr>
          <w:b/>
          <w:lang w:val="en-US"/>
        </w:rPr>
        <w:tab/>
      </w:r>
      <w:r>
        <w:rPr>
          <w:b/>
          <w:lang w:val="en-US"/>
        </w:rPr>
        <w:t xml:space="preserve">Indikator-indikator Penurunan Tarif Pajak </w:t>
      </w:r>
    </w:p>
    <w:p w14:paraId="5DC8EA5B">
      <w:pPr>
        <w:spacing w:line="480" w:lineRule="auto"/>
        <w:ind w:firstLine="851"/>
        <w:jc w:val="both"/>
        <w:rPr>
          <w:lang w:val="en-US"/>
        </w:rPr>
      </w:pPr>
      <w:r>
        <w:rPr>
          <w:lang w:val="en-US"/>
        </w:rPr>
        <w:t>Menurut (Huda, 2021) i</w:t>
      </w:r>
      <w:r>
        <w:t>ndikator yang termasuk dalam kategori penurunan tarif pph final yaitu :</w:t>
      </w:r>
    </w:p>
    <w:p w14:paraId="2A82634E">
      <w:pPr>
        <w:pStyle w:val="14"/>
        <w:numPr>
          <w:ilvl w:val="0"/>
          <w:numId w:val="4"/>
        </w:numPr>
        <w:spacing w:line="480" w:lineRule="auto"/>
        <w:ind w:left="284" w:hanging="284"/>
        <w:jc w:val="both"/>
        <w:rPr>
          <w:lang w:val="en-US"/>
        </w:rPr>
      </w:pPr>
      <w:r>
        <w:t>Kemauan dalam membayar pajak akan meningkat</w:t>
      </w:r>
    </w:p>
    <w:p w14:paraId="5FFE3AE2">
      <w:pPr>
        <w:pStyle w:val="14"/>
        <w:numPr>
          <w:ilvl w:val="0"/>
          <w:numId w:val="4"/>
        </w:numPr>
        <w:spacing w:line="480" w:lineRule="auto"/>
        <w:ind w:left="284" w:hanging="284"/>
        <w:jc w:val="both"/>
        <w:rPr>
          <w:lang w:val="en-US"/>
        </w:rPr>
      </w:pPr>
      <w:r>
        <w:t>Tarif pajak tidak akan memberatkan wajib pajak</w:t>
      </w:r>
    </w:p>
    <w:p w14:paraId="5E14E958">
      <w:pPr>
        <w:pStyle w:val="14"/>
        <w:numPr>
          <w:ilvl w:val="0"/>
          <w:numId w:val="4"/>
        </w:numPr>
        <w:spacing w:line="480" w:lineRule="auto"/>
        <w:ind w:left="284" w:hanging="284"/>
        <w:jc w:val="both"/>
        <w:rPr>
          <w:lang w:val="en-US"/>
        </w:rPr>
      </w:pPr>
      <w:r>
        <w:t>Wajib pajak tidak ditentukan besarnya tarif pajak</w:t>
      </w:r>
    </w:p>
    <w:p w14:paraId="0C5E1C03">
      <w:pPr>
        <w:spacing w:line="480" w:lineRule="auto"/>
        <w:jc w:val="both"/>
        <w:rPr>
          <w:b/>
          <w:lang w:val="en-US"/>
        </w:rPr>
      </w:pPr>
      <w:r>
        <w:rPr>
          <w:b/>
          <w:lang w:val="en-US"/>
        </w:rPr>
        <w:t>2.5</w:t>
      </w:r>
      <w:r>
        <w:rPr>
          <w:b/>
          <w:lang w:val="en-US"/>
        </w:rPr>
        <w:tab/>
      </w:r>
      <w:r>
        <w:rPr>
          <w:b/>
          <w:lang w:val="en-US"/>
        </w:rPr>
        <w:t>Kepatuhan Wajib Pajak</w:t>
      </w:r>
    </w:p>
    <w:p w14:paraId="6E3D8338">
      <w:pPr>
        <w:spacing w:line="480" w:lineRule="auto"/>
        <w:jc w:val="both"/>
        <w:rPr>
          <w:b/>
          <w:lang w:val="en-US"/>
        </w:rPr>
      </w:pPr>
      <w:r>
        <w:rPr>
          <w:b/>
          <w:lang w:val="en-US"/>
        </w:rPr>
        <w:t>2.5.1</w:t>
      </w:r>
      <w:r>
        <w:rPr>
          <w:b/>
          <w:lang w:val="en-US"/>
        </w:rPr>
        <w:tab/>
      </w:r>
      <w:r>
        <w:rPr>
          <w:b/>
          <w:lang w:val="en-US"/>
        </w:rPr>
        <w:t>Pengertian Kepatuhan Wajib Pajak</w:t>
      </w:r>
    </w:p>
    <w:p w14:paraId="13CD3D1E">
      <w:pPr>
        <w:spacing w:line="480" w:lineRule="auto"/>
        <w:ind w:firstLine="851"/>
        <w:jc w:val="both"/>
      </w:pPr>
      <w:r>
        <w:t>Kepatuhan berarti tunduk atau patuh pada ajaran atau aturan. Jadi kepatuhan wajib pajak dapat diartikan sebagai tunduk, taat dan patuhnya wajib pajak dalam melaksanakan hak dan kewajiban perpajakannya sesuai dengan undang-undang perpajakan yang berlaku. Kepatuhan perpajakan dapat didefinisikan sebagai suatu keadaan dimana wajib pajak memenuhi semua kewajiban perpajakan dan melaksanakan hak perpajakan, (Masur dan Rahayu, 2020).</w:t>
      </w:r>
    </w:p>
    <w:p w14:paraId="260BF13C">
      <w:pPr>
        <w:spacing w:line="480" w:lineRule="auto"/>
        <w:ind w:firstLine="851"/>
        <w:jc w:val="both"/>
      </w:pPr>
      <w:r>
        <w:t>Erard dan Feinstin mengartikan “Kepatuhan wajib pajak meggunakan teori psikologi yaitu sebagai rasa bersalah dan rasa malu, persepsi wajib pajak atas kewajaran dan keadilan bebas pajak yang mereka tanggung dan pengaruh kepuasan terhadap pelayanan pemerintah” (Maulana et al., 2024)</w:t>
      </w:r>
    </w:p>
    <w:p w14:paraId="009FD193">
      <w:pPr>
        <w:spacing w:line="480" w:lineRule="auto"/>
        <w:ind w:firstLine="851"/>
        <w:jc w:val="both"/>
      </w:pPr>
      <w:r>
        <w:t>(Prabandaru, 2020) menjelaskan bahwa kepatuhan wajib pajak merupakan suatu tindakan patuh dan sadar terhadap ketertiban pembayaran dan pelaporan kewajiban perpajakan masa dan tahunan dari wajib pajak yang bersangkutan yang berbentuk sekumpulan orang dan/atau modal yang merupakan usaha sesuai dengan ketentuan perpajakan yang berlaku. Kepatuhan perpajakan sebagai suatu keadaan di mana Wajib Pajak memenuhi semua kewajiban perpajakan dan melaksanakan hak perpajakannya” (Rahman, 2022).</w:t>
      </w:r>
    </w:p>
    <w:p w14:paraId="1627054B">
      <w:pPr>
        <w:spacing w:line="480" w:lineRule="auto"/>
        <w:jc w:val="both"/>
        <w:rPr>
          <w:b/>
        </w:rPr>
      </w:pPr>
      <w:r>
        <w:rPr>
          <w:b/>
        </w:rPr>
        <w:t>2.5.2</w:t>
      </w:r>
      <w:r>
        <w:rPr>
          <w:b/>
        </w:rPr>
        <w:tab/>
      </w:r>
      <w:r>
        <w:rPr>
          <w:b/>
        </w:rPr>
        <w:t>Bentuk Kepatuhan Wajib Pajak</w:t>
      </w:r>
    </w:p>
    <w:p w14:paraId="7A53099E">
      <w:pPr>
        <w:spacing w:line="480" w:lineRule="auto"/>
        <w:ind w:firstLine="851"/>
        <w:jc w:val="both"/>
      </w:pPr>
      <w:r>
        <w:t>Secara umum kepatuhan wajib pajak dibagi menjadi dua yaitu:</w:t>
      </w:r>
    </w:p>
    <w:p w14:paraId="597CB278">
      <w:pPr>
        <w:pStyle w:val="14"/>
        <w:numPr>
          <w:ilvl w:val="0"/>
          <w:numId w:val="5"/>
        </w:numPr>
        <w:tabs>
          <w:tab w:val="left" w:pos="284"/>
        </w:tabs>
        <w:spacing w:line="480" w:lineRule="auto"/>
        <w:ind w:left="0" w:firstLine="0"/>
        <w:jc w:val="both"/>
        <w:rPr>
          <w:lang w:val="en-US"/>
        </w:rPr>
      </w:pPr>
      <w:r>
        <w:t>Kepatuhan formal</w:t>
      </w:r>
    </w:p>
    <w:p w14:paraId="643C137C">
      <w:pPr>
        <w:pStyle w:val="14"/>
        <w:spacing w:line="480" w:lineRule="auto"/>
        <w:ind w:left="284"/>
        <w:jc w:val="both"/>
        <w:rPr>
          <w:lang w:val="en-US"/>
        </w:rPr>
      </w:pPr>
      <w:r>
        <w:t>Kepatuhan Formal adalah suatu keadaan dimana Wajib Pajak memenuhi kewajiban perpajakan secara formal sesuai dengan ketentuan undang-undang perpajakan.</w:t>
      </w:r>
    </w:p>
    <w:p w14:paraId="39407C62">
      <w:pPr>
        <w:pStyle w:val="14"/>
        <w:numPr>
          <w:ilvl w:val="0"/>
          <w:numId w:val="5"/>
        </w:numPr>
        <w:tabs>
          <w:tab w:val="left" w:pos="284"/>
        </w:tabs>
        <w:spacing w:line="480" w:lineRule="auto"/>
        <w:ind w:left="0" w:firstLine="0"/>
        <w:jc w:val="both"/>
        <w:rPr>
          <w:lang w:val="en-US"/>
        </w:rPr>
      </w:pPr>
      <w:r>
        <w:t>Kepatuhan material</w:t>
      </w:r>
    </w:p>
    <w:p w14:paraId="3E10A2E7">
      <w:pPr>
        <w:pStyle w:val="14"/>
        <w:spacing w:line="480" w:lineRule="auto"/>
        <w:ind w:left="284"/>
        <w:jc w:val="both"/>
        <w:rPr>
          <w:lang w:val="en-US"/>
        </w:rPr>
      </w:pPr>
      <w:r>
        <w:t>Kepatuhan Material adalah suatu keadaan dimana wajib Pajak secara substantif memenuhi semua ketentuan material perpajakan.</w:t>
      </w:r>
    </w:p>
    <w:p w14:paraId="4BBA1176">
      <w:pPr>
        <w:spacing w:line="480" w:lineRule="auto"/>
        <w:ind w:firstLine="851"/>
        <w:jc w:val="both"/>
        <w:rPr>
          <w:lang w:val="en-US"/>
        </w:rPr>
      </w:pPr>
      <w:r>
        <w:t>Maka dapat disimpulkan bahwa bentuk kepatuhan Wajib Pajak dibagi menjadi dua yaitu kepatuhan formal dan kepatuhan material yang keduanya menuntut bahwa Wajib Pajak memenuhi kewajiban perpajakan sesuai ketentuan undang-undang yang berlaku.</w:t>
      </w:r>
    </w:p>
    <w:p w14:paraId="33460E2C">
      <w:pPr>
        <w:spacing w:line="480" w:lineRule="auto"/>
        <w:jc w:val="both"/>
        <w:rPr>
          <w:b/>
          <w:lang w:val="en-US"/>
        </w:rPr>
      </w:pPr>
      <w:r>
        <w:rPr>
          <w:b/>
          <w:lang w:val="en-AU"/>
        </w:rPr>
        <w:t>2.5.3</w:t>
      </w:r>
      <w:r>
        <w:rPr>
          <w:b/>
          <w:lang w:val="en-AU"/>
        </w:rPr>
        <w:tab/>
      </w:r>
      <w:r>
        <w:rPr>
          <w:b/>
        </w:rPr>
        <w:t xml:space="preserve">Faktor-faktor yang Mempengaruhi Kepatuhan </w:t>
      </w:r>
      <w:r>
        <w:rPr>
          <w:b/>
          <w:lang w:val="en-US"/>
        </w:rPr>
        <w:t xml:space="preserve">Wajib </w:t>
      </w:r>
      <w:r>
        <w:rPr>
          <w:b/>
        </w:rPr>
        <w:t>Pajak</w:t>
      </w:r>
    </w:p>
    <w:p w14:paraId="44787504">
      <w:pPr>
        <w:pStyle w:val="14"/>
        <w:spacing w:line="480" w:lineRule="auto"/>
        <w:ind w:left="0" w:firstLine="851"/>
        <w:jc w:val="both"/>
        <w:rPr>
          <w:lang w:val="en-US"/>
        </w:rPr>
      </w:pPr>
      <w:r>
        <w:t>Menurut (Rustiyaningsih, 20</w:t>
      </w:r>
      <w:r>
        <w:rPr>
          <w:lang w:val="en-US"/>
        </w:rPr>
        <w:t>21</w:t>
      </w:r>
      <w:r>
        <w:t>) faktor-faktor yang mempengaruhi kepatuhan wajib pajak sebagai berikut:</w:t>
      </w:r>
    </w:p>
    <w:p w14:paraId="292C9216">
      <w:pPr>
        <w:pStyle w:val="14"/>
        <w:numPr>
          <w:ilvl w:val="0"/>
          <w:numId w:val="6"/>
        </w:numPr>
        <w:tabs>
          <w:tab w:val="left" w:pos="284"/>
        </w:tabs>
        <w:spacing w:line="480" w:lineRule="auto"/>
        <w:ind w:left="0" w:firstLine="0"/>
        <w:jc w:val="both"/>
        <w:rPr>
          <w:lang w:val="en-US"/>
        </w:rPr>
      </w:pPr>
      <w:r>
        <w:t xml:space="preserve">Pemahaman Tentang Sistem </w:t>
      </w:r>
      <w:r>
        <w:rPr>
          <w:i/>
          <w:iCs/>
        </w:rPr>
        <w:t>Self Assessment</w:t>
      </w:r>
    </w:p>
    <w:p w14:paraId="354D9D33">
      <w:pPr>
        <w:pStyle w:val="14"/>
        <w:tabs>
          <w:tab w:val="left" w:pos="284"/>
        </w:tabs>
        <w:spacing w:line="480" w:lineRule="auto"/>
        <w:ind w:left="284" w:hanging="284"/>
        <w:jc w:val="both"/>
      </w:pPr>
      <w:r>
        <w:tab/>
      </w:r>
      <w:r>
        <w:t>Pemahaman tentang sistem pemungutan pajak dengan memberikan kepercayaan penuh kepada wajib pajak untuk menghitung, membayar dan melaporkan sendiri besarnya pajak yang terutang wajib pajak.</w:t>
      </w:r>
    </w:p>
    <w:p w14:paraId="3191BE99">
      <w:pPr>
        <w:pStyle w:val="14"/>
        <w:numPr>
          <w:ilvl w:val="0"/>
          <w:numId w:val="6"/>
        </w:numPr>
        <w:tabs>
          <w:tab w:val="left" w:pos="284"/>
        </w:tabs>
        <w:spacing w:line="480" w:lineRule="auto"/>
        <w:ind w:left="0" w:firstLine="0"/>
        <w:jc w:val="both"/>
        <w:rPr>
          <w:lang w:val="en-US"/>
        </w:rPr>
      </w:pPr>
      <w:r>
        <w:t>Kualitas Pelayanan</w:t>
      </w:r>
    </w:p>
    <w:p w14:paraId="50CAC965">
      <w:pPr>
        <w:pStyle w:val="14"/>
        <w:tabs>
          <w:tab w:val="left" w:pos="284"/>
        </w:tabs>
        <w:spacing w:line="480" w:lineRule="auto"/>
        <w:ind w:left="284"/>
        <w:jc w:val="both"/>
      </w:pPr>
      <w:r>
        <w:t>Pelayanan yang berkualitas harus memberikan keamanan, kenyamanan, kelancaran dan kepastian hukum dan kualitas pelayan dapat diukur dengan Kemampuan memberikan pelayanan yang memuaskan, dapat memberikanpelayanan dengan tanggapan, kemampuan, kesopanan dan sikap dapat dipercayaoleh aparat.</w:t>
      </w:r>
    </w:p>
    <w:p w14:paraId="03C11D64">
      <w:pPr>
        <w:pStyle w:val="14"/>
        <w:numPr>
          <w:ilvl w:val="0"/>
          <w:numId w:val="6"/>
        </w:numPr>
        <w:tabs>
          <w:tab w:val="left" w:pos="284"/>
        </w:tabs>
        <w:spacing w:line="480" w:lineRule="auto"/>
        <w:ind w:left="0" w:firstLine="0"/>
        <w:jc w:val="both"/>
        <w:rPr>
          <w:lang w:val="en-US"/>
        </w:rPr>
      </w:pPr>
      <w:r>
        <w:t>Tingkat Pendidikan</w:t>
      </w:r>
    </w:p>
    <w:p w14:paraId="0E537FE6">
      <w:pPr>
        <w:pStyle w:val="14"/>
        <w:tabs>
          <w:tab w:val="left" w:pos="284"/>
        </w:tabs>
        <w:spacing w:line="480" w:lineRule="auto"/>
        <w:ind w:left="284"/>
        <w:jc w:val="both"/>
        <w:rPr>
          <w:lang w:val="en-US"/>
        </w:rPr>
      </w:pPr>
      <w:r>
        <w:t>Tingkat pendidikan masyarakat yang semakin tinggi akan menyebabkan masyarakat lebih mudah memahami ketentuan dan peraturan peru</w:t>
      </w:r>
      <w:r>
        <w:rPr>
          <w:lang w:val="en-US"/>
        </w:rPr>
        <w:t>n</w:t>
      </w:r>
      <w:r>
        <w:t>dang-undangan di bidang perpajakan yang berlaku.</w:t>
      </w:r>
    </w:p>
    <w:p w14:paraId="0548FB9F">
      <w:pPr>
        <w:pStyle w:val="14"/>
        <w:numPr>
          <w:ilvl w:val="0"/>
          <w:numId w:val="6"/>
        </w:numPr>
        <w:tabs>
          <w:tab w:val="left" w:pos="284"/>
        </w:tabs>
        <w:spacing w:line="480" w:lineRule="auto"/>
        <w:ind w:left="0" w:firstLine="0"/>
        <w:jc w:val="both"/>
        <w:rPr>
          <w:lang w:val="en-US"/>
        </w:rPr>
      </w:pPr>
      <w:r>
        <w:t>Tingkat Penghasilan</w:t>
      </w:r>
    </w:p>
    <w:p w14:paraId="13F7E434">
      <w:pPr>
        <w:pStyle w:val="14"/>
        <w:tabs>
          <w:tab w:val="left" w:pos="284"/>
        </w:tabs>
        <w:spacing w:line="480" w:lineRule="auto"/>
        <w:ind w:left="284"/>
        <w:jc w:val="both"/>
        <w:rPr>
          <w:lang w:val="en-US"/>
        </w:rPr>
      </w:pPr>
      <w:r>
        <w:t>Tingkat penghasilan wajib pajak akan mempengaruhi kepatuhan wajib pajak dalam membayar pajak tepat pada waktunya dan kemampuan wajib pajak dalam memenuhi kewajiban pajak terkait erat dengan besarnya pengahsilan wajib pajak.</w:t>
      </w:r>
    </w:p>
    <w:p w14:paraId="73DD5265">
      <w:pPr>
        <w:pStyle w:val="14"/>
        <w:numPr>
          <w:ilvl w:val="0"/>
          <w:numId w:val="6"/>
        </w:numPr>
        <w:tabs>
          <w:tab w:val="left" w:pos="284"/>
        </w:tabs>
        <w:spacing w:line="480" w:lineRule="auto"/>
        <w:ind w:left="284" w:hanging="284"/>
        <w:jc w:val="both"/>
        <w:rPr>
          <w:lang w:val="en-US"/>
        </w:rPr>
      </w:pPr>
      <w:r>
        <w:t>Persepsi Wajib Pajak terhadap Sanksi perpajakan diberikan kepada wajib pajak agar wajib pajak mempunyai kesadaran dan patuh terhadap kewajiban pajak.</w:t>
      </w:r>
    </w:p>
    <w:p w14:paraId="75F23A25">
      <w:pPr>
        <w:spacing w:line="480" w:lineRule="auto"/>
        <w:jc w:val="both"/>
        <w:rPr>
          <w:b/>
          <w:lang w:val="en-US"/>
        </w:rPr>
      </w:pPr>
      <w:r>
        <w:rPr>
          <w:b/>
          <w:lang w:val="en-AU"/>
        </w:rPr>
        <w:t>2.5.4</w:t>
      </w:r>
      <w:r>
        <w:rPr>
          <w:b/>
          <w:lang w:val="en-AU"/>
        </w:rPr>
        <w:tab/>
      </w:r>
      <w:r>
        <w:rPr>
          <w:b/>
        </w:rPr>
        <w:t>I</w:t>
      </w:r>
      <w:r>
        <w:rPr>
          <w:b/>
          <w:lang w:val="en-US"/>
        </w:rPr>
        <w:t xml:space="preserve">ndikator-indikator </w:t>
      </w:r>
      <w:r>
        <w:rPr>
          <w:b/>
        </w:rPr>
        <w:t>Kepatuhan Wajib Pajak</w:t>
      </w:r>
    </w:p>
    <w:p w14:paraId="31148C97">
      <w:pPr>
        <w:pStyle w:val="14"/>
        <w:spacing w:line="480" w:lineRule="auto"/>
        <w:ind w:left="0" w:firstLine="720"/>
        <w:jc w:val="both"/>
        <w:rPr>
          <w:lang w:val="en-AU"/>
        </w:rPr>
      </w:pPr>
      <w:r>
        <w:t>Menurut (</w:t>
      </w:r>
      <w:r>
        <w:rPr>
          <w:lang w:val="en-US"/>
        </w:rPr>
        <w:t>Rahayu</w:t>
      </w:r>
      <w:r>
        <w:t xml:space="preserve">, </w:t>
      </w:r>
      <w:r>
        <w:rPr>
          <w:lang w:val="en-US"/>
        </w:rPr>
        <w:t>2020., Anggraini dan Lenggono, 2021</w:t>
      </w:r>
      <w:r>
        <w:t xml:space="preserve">) </w:t>
      </w:r>
      <w:r>
        <w:rPr>
          <w:lang w:val="en-US"/>
        </w:rPr>
        <w:t>menyatakan</w:t>
      </w:r>
      <w:r>
        <w:t xml:space="preserve"> indikator kepatuhan wajib pajak terdiri dari 4 poin, yaitu</w:t>
      </w:r>
      <w:r>
        <w:rPr>
          <w:lang w:val="en-AU"/>
        </w:rPr>
        <w:t>:</w:t>
      </w:r>
    </w:p>
    <w:p w14:paraId="7FA23C44">
      <w:pPr>
        <w:pStyle w:val="14"/>
        <w:numPr>
          <w:ilvl w:val="0"/>
          <w:numId w:val="7"/>
        </w:numPr>
        <w:tabs>
          <w:tab w:val="left" w:pos="284"/>
        </w:tabs>
        <w:spacing w:line="480" w:lineRule="auto"/>
        <w:ind w:left="0" w:firstLine="0"/>
        <w:jc w:val="both"/>
        <w:rPr>
          <w:lang w:val="en-US"/>
        </w:rPr>
      </w:pPr>
      <w:r>
        <w:rPr>
          <w:lang w:val="en-US"/>
        </w:rPr>
        <w:t>Pajak ditetapkan undang-undang dan bersifat memaksa</w:t>
      </w:r>
    </w:p>
    <w:p w14:paraId="0D43D778">
      <w:pPr>
        <w:pStyle w:val="14"/>
        <w:numPr>
          <w:ilvl w:val="0"/>
          <w:numId w:val="7"/>
        </w:numPr>
        <w:tabs>
          <w:tab w:val="left" w:pos="284"/>
        </w:tabs>
        <w:spacing w:line="480" w:lineRule="auto"/>
        <w:ind w:left="180" w:hanging="180"/>
        <w:jc w:val="both"/>
        <w:rPr>
          <w:lang w:val="en-US"/>
        </w:rPr>
      </w:pPr>
      <w:r>
        <w:rPr>
          <w:lang w:val="en-US"/>
        </w:rPr>
        <w:t>Wajib pajak harus mendaftar pada kantor pajak di wilayah kerjanya untuk mendapatkan nomor pokok wajib pajak (NPWP)</w:t>
      </w:r>
    </w:p>
    <w:p w14:paraId="2D9E6967">
      <w:pPr>
        <w:pStyle w:val="14"/>
        <w:numPr>
          <w:ilvl w:val="0"/>
          <w:numId w:val="7"/>
        </w:numPr>
        <w:tabs>
          <w:tab w:val="left" w:pos="284"/>
        </w:tabs>
        <w:spacing w:line="480" w:lineRule="auto"/>
        <w:ind w:left="180" w:hanging="180"/>
        <w:jc w:val="both"/>
        <w:rPr>
          <w:lang w:val="en-US"/>
        </w:rPr>
      </w:pPr>
      <w:r>
        <w:rPr>
          <w:lang w:val="en-US"/>
        </w:rPr>
        <w:t>Wajib pajak melaporkan surat pemberitahuan (SPT) sesuai dengan ketentuan perundang-undangan</w:t>
      </w:r>
    </w:p>
    <w:p w14:paraId="56105F8D">
      <w:pPr>
        <w:pStyle w:val="14"/>
        <w:numPr>
          <w:ilvl w:val="0"/>
          <w:numId w:val="7"/>
        </w:numPr>
        <w:tabs>
          <w:tab w:val="left" w:pos="284"/>
        </w:tabs>
        <w:spacing w:line="480" w:lineRule="auto"/>
        <w:ind w:left="0" w:firstLine="0"/>
        <w:jc w:val="both"/>
        <w:rPr>
          <w:lang w:val="en-US"/>
        </w:rPr>
      </w:pPr>
      <w:r>
        <w:rPr>
          <w:lang w:val="en-US"/>
        </w:rPr>
        <w:t>Menyetorkan surat pemberitahuan (SPT) dengan tepat waktu</w:t>
      </w:r>
    </w:p>
    <w:p w14:paraId="69C66BB9">
      <w:pPr>
        <w:pStyle w:val="14"/>
        <w:numPr>
          <w:ilvl w:val="0"/>
          <w:numId w:val="7"/>
        </w:numPr>
        <w:tabs>
          <w:tab w:val="left" w:pos="284"/>
        </w:tabs>
        <w:spacing w:line="480" w:lineRule="auto"/>
        <w:ind w:left="0" w:firstLine="0"/>
        <w:jc w:val="both"/>
        <w:rPr>
          <w:lang w:val="en-US"/>
        </w:rPr>
      </w:pPr>
      <w:r>
        <w:rPr>
          <w:lang w:val="en-US"/>
        </w:rPr>
        <w:t>Wajib pajak memahami pelaporan SPT yang berlaku</w:t>
      </w:r>
    </w:p>
    <w:p w14:paraId="6C576679">
      <w:pPr>
        <w:jc w:val="both"/>
        <w:rPr>
          <w:lang w:val="en-US"/>
        </w:rPr>
      </w:pPr>
    </w:p>
    <w:p w14:paraId="060303EA">
      <w:pPr>
        <w:spacing w:line="480" w:lineRule="auto"/>
        <w:jc w:val="both"/>
        <w:rPr>
          <w:b/>
          <w:lang w:val="en-US"/>
        </w:rPr>
      </w:pPr>
      <w:r>
        <w:rPr>
          <w:b/>
          <w:lang w:val="en-US"/>
        </w:rPr>
        <w:t>2.6</w:t>
      </w:r>
      <w:r>
        <w:rPr>
          <w:b/>
          <w:lang w:val="en-US"/>
        </w:rPr>
        <w:tab/>
      </w:r>
      <w:r>
        <w:rPr>
          <w:b/>
          <w:lang w:val="en-US"/>
        </w:rPr>
        <w:t>Penelitian Terdahulu</w:t>
      </w:r>
    </w:p>
    <w:p w14:paraId="1F66E279">
      <w:pPr>
        <w:spacing w:line="480" w:lineRule="auto"/>
        <w:ind w:left="66" w:firstLine="654"/>
        <w:jc w:val="both"/>
      </w:pPr>
      <w:r>
        <w:t xml:space="preserve">Dalam penelitian ini, penulis mecantumkan </w:t>
      </w:r>
      <w:r>
        <w:rPr>
          <w:lang w:val="en-AU"/>
        </w:rPr>
        <w:t>beberapa</w:t>
      </w:r>
      <w:r>
        <w:t xml:space="preserve"> penelitan terdahulu yang relevan dengan peneitian yang penulis kerjakan, dikatakan relevan karena menggunakan variabel penelitian yang sama.</w:t>
      </w:r>
      <w:r>
        <w:rPr>
          <w:lang w:val="en-AU"/>
        </w:rPr>
        <w:t xml:space="preserve"> </w:t>
      </w:r>
      <w:r>
        <w:t>Adapun penelitian terdahulu dari judul ini adalah:</w:t>
      </w:r>
    </w:p>
    <w:p w14:paraId="16FCBBBB">
      <w:pPr>
        <w:jc w:val="center"/>
        <w:rPr>
          <w:b/>
          <w:bCs/>
          <w:lang w:val="en-AU"/>
        </w:rPr>
      </w:pPr>
      <w:r>
        <w:rPr>
          <w:b/>
          <w:bCs/>
          <w:lang w:val="en-AU"/>
        </w:rPr>
        <w:t>Tabel 2.1</w:t>
      </w:r>
    </w:p>
    <w:p w14:paraId="0621C2FE">
      <w:pPr>
        <w:jc w:val="center"/>
        <w:rPr>
          <w:b/>
          <w:bCs/>
          <w:lang w:val="en-AU"/>
        </w:rPr>
      </w:pPr>
      <w:r>
        <w:rPr>
          <w:b/>
          <w:bCs/>
          <w:lang w:val="en-AU"/>
        </w:rPr>
        <w:t>Penelitian Terdahulu</w:t>
      </w:r>
    </w:p>
    <w:tbl>
      <w:tblPr>
        <w:tblStyle w:val="18"/>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4"/>
        <w:gridCol w:w="1523"/>
        <w:gridCol w:w="2007"/>
        <w:gridCol w:w="1708"/>
        <w:gridCol w:w="2412"/>
      </w:tblGrid>
      <w:tr w14:paraId="7DCE4CA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510" w:type="dxa"/>
            <w:tcBorders>
              <w:bottom w:val="single" w:color="7E7E7E" w:themeColor="text1" w:themeTint="80" w:sz="4" w:space="0"/>
              <w:insideH w:val="single" w:sz="4" w:space="0"/>
            </w:tcBorders>
          </w:tcPr>
          <w:p w14:paraId="57F32A21">
            <w:pPr>
              <w:jc w:val="center"/>
              <w:rPr>
                <w:b w:val="0"/>
                <w:bCs/>
                <w:sz w:val="20"/>
                <w:szCs w:val="20"/>
                <w:lang w:val="en-US"/>
              </w:rPr>
            </w:pPr>
            <w:r>
              <w:rPr>
                <w:b/>
                <w:bCs/>
                <w:sz w:val="20"/>
                <w:szCs w:val="20"/>
                <w:lang w:val="en-US"/>
              </w:rPr>
              <w:t>No</w:t>
            </w:r>
          </w:p>
        </w:tc>
        <w:tc>
          <w:tcPr>
            <w:tcW w:w="1550" w:type="dxa"/>
            <w:tcBorders>
              <w:bottom w:val="single" w:color="7E7E7E" w:themeColor="text1" w:themeTint="80" w:sz="4" w:space="0"/>
              <w:insideH w:val="single" w:sz="4" w:space="0"/>
            </w:tcBorders>
          </w:tcPr>
          <w:p w14:paraId="3518EAE8">
            <w:pPr>
              <w:jc w:val="center"/>
              <w:rPr>
                <w:b w:val="0"/>
                <w:bCs/>
                <w:sz w:val="20"/>
                <w:szCs w:val="20"/>
                <w:lang w:val="en-US"/>
              </w:rPr>
            </w:pPr>
            <w:r>
              <w:rPr>
                <w:b/>
                <w:bCs/>
                <w:sz w:val="20"/>
                <w:szCs w:val="20"/>
                <w:lang w:val="en-US"/>
              </w:rPr>
              <w:t>Nama dan Tahun</w:t>
            </w:r>
          </w:p>
        </w:tc>
        <w:tc>
          <w:tcPr>
            <w:tcW w:w="2110" w:type="dxa"/>
            <w:tcBorders>
              <w:bottom w:val="single" w:color="7E7E7E" w:themeColor="text1" w:themeTint="80" w:sz="4" w:space="0"/>
              <w:insideH w:val="single" w:sz="4" w:space="0"/>
            </w:tcBorders>
          </w:tcPr>
          <w:p w14:paraId="2D9BEF64">
            <w:pPr>
              <w:jc w:val="center"/>
              <w:rPr>
                <w:b w:val="0"/>
                <w:bCs/>
                <w:sz w:val="20"/>
                <w:szCs w:val="20"/>
                <w:lang w:val="en-US"/>
              </w:rPr>
            </w:pPr>
            <w:r>
              <w:rPr>
                <w:b/>
                <w:bCs/>
                <w:sz w:val="20"/>
                <w:szCs w:val="20"/>
                <w:lang w:val="en-US"/>
              </w:rPr>
              <w:t>Judul Penelitian</w:t>
            </w:r>
          </w:p>
        </w:tc>
        <w:tc>
          <w:tcPr>
            <w:tcW w:w="1780" w:type="dxa"/>
            <w:tcBorders>
              <w:bottom w:val="single" w:color="7E7E7E" w:themeColor="text1" w:themeTint="80" w:sz="4" w:space="0"/>
              <w:insideH w:val="single" w:sz="4" w:space="0"/>
            </w:tcBorders>
          </w:tcPr>
          <w:p w14:paraId="28E3907F">
            <w:pPr>
              <w:jc w:val="center"/>
              <w:rPr>
                <w:b w:val="0"/>
                <w:bCs/>
                <w:sz w:val="20"/>
                <w:szCs w:val="20"/>
                <w:lang w:val="en-US"/>
              </w:rPr>
            </w:pPr>
            <w:r>
              <w:rPr>
                <w:b/>
                <w:bCs/>
                <w:sz w:val="20"/>
                <w:szCs w:val="20"/>
                <w:lang w:val="en-US"/>
              </w:rPr>
              <w:t>Variabel Penelitian</w:t>
            </w:r>
          </w:p>
        </w:tc>
        <w:tc>
          <w:tcPr>
            <w:tcW w:w="2479" w:type="dxa"/>
            <w:tcBorders>
              <w:bottom w:val="single" w:color="7E7E7E" w:themeColor="text1" w:themeTint="80" w:sz="4" w:space="0"/>
              <w:insideH w:val="single" w:sz="4" w:space="0"/>
            </w:tcBorders>
          </w:tcPr>
          <w:p w14:paraId="7E030B08">
            <w:pPr>
              <w:jc w:val="center"/>
              <w:rPr>
                <w:b w:val="0"/>
                <w:bCs/>
                <w:sz w:val="20"/>
                <w:szCs w:val="20"/>
                <w:lang w:val="en-US"/>
              </w:rPr>
            </w:pPr>
            <w:r>
              <w:rPr>
                <w:b/>
                <w:bCs/>
                <w:sz w:val="20"/>
                <w:szCs w:val="20"/>
                <w:lang w:val="en-US"/>
              </w:rPr>
              <w:t>Hasil Penelitian</w:t>
            </w:r>
          </w:p>
        </w:tc>
      </w:tr>
      <w:tr w14:paraId="4A627E8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1173AE22">
            <w:pPr>
              <w:jc w:val="center"/>
              <w:rPr>
                <w:b w:val="0"/>
                <w:bCs w:val="0"/>
                <w:sz w:val="20"/>
                <w:szCs w:val="20"/>
                <w:lang w:val="en-US"/>
              </w:rPr>
            </w:pPr>
            <w:r>
              <w:rPr>
                <w:b w:val="0"/>
                <w:bCs w:val="0"/>
                <w:sz w:val="20"/>
                <w:szCs w:val="20"/>
                <w:lang w:val="en-US"/>
              </w:rPr>
              <w:t>1</w:t>
            </w:r>
          </w:p>
        </w:tc>
        <w:tc>
          <w:tcPr>
            <w:tcW w:w="1550" w:type="dxa"/>
            <w:tcBorders>
              <w:top w:val="single" w:color="7E7E7E" w:themeColor="text1" w:themeTint="80" w:sz="4" w:space="0"/>
              <w:bottom w:val="single" w:color="7E7E7E" w:themeColor="text1" w:themeTint="80" w:sz="4" w:space="0"/>
              <w:insideH w:val="single" w:sz="4" w:space="0"/>
            </w:tcBorders>
          </w:tcPr>
          <w:p w14:paraId="6E00694B">
            <w:pPr>
              <w:jc w:val="both"/>
              <w:rPr>
                <w:sz w:val="20"/>
                <w:szCs w:val="20"/>
                <w:lang w:val="en-US"/>
              </w:rPr>
            </w:pPr>
            <w:r>
              <w:rPr>
                <w:sz w:val="20"/>
                <w:szCs w:val="20"/>
                <w:lang w:val="en-US"/>
              </w:rPr>
              <w:t>Meidiyustiani et al., (2022)</w:t>
            </w:r>
          </w:p>
        </w:tc>
        <w:tc>
          <w:tcPr>
            <w:tcW w:w="2110" w:type="dxa"/>
            <w:tcBorders>
              <w:top w:val="single" w:color="7E7E7E" w:themeColor="text1" w:themeTint="80" w:sz="4" w:space="0"/>
              <w:bottom w:val="single" w:color="7E7E7E" w:themeColor="text1" w:themeTint="80" w:sz="4" w:space="0"/>
              <w:insideH w:val="single" w:sz="4" w:space="0"/>
            </w:tcBorders>
          </w:tcPr>
          <w:p w14:paraId="38C5075B">
            <w:pPr>
              <w:jc w:val="both"/>
              <w:rPr>
                <w:sz w:val="20"/>
                <w:szCs w:val="20"/>
                <w:lang w:val="en-US"/>
              </w:rPr>
            </w:pPr>
            <w:r>
              <w:rPr>
                <w:sz w:val="20"/>
                <w:szCs w:val="20"/>
              </w:rPr>
              <w:t>Pengaruh Pemahaman Wajib Pajak, Pelayanan Petugas Pajak, Kesadaran Wajib Pajak, Dan Tingkat Pendidikan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4F199A5B">
            <w:pPr>
              <w:jc w:val="both"/>
              <w:rPr>
                <w:sz w:val="20"/>
                <w:szCs w:val="20"/>
                <w:lang w:val="en-US"/>
              </w:rPr>
            </w:pPr>
            <w:r>
              <w:rPr>
                <w:sz w:val="20"/>
                <w:szCs w:val="20"/>
                <w:lang w:val="en-US"/>
              </w:rPr>
              <w:t>Variabel yang terkait : Kesadaran Wajib Pajak dan Kepatuhan Wajib Pajak UMKM</w:t>
            </w:r>
          </w:p>
        </w:tc>
        <w:tc>
          <w:tcPr>
            <w:tcW w:w="2479" w:type="dxa"/>
            <w:tcBorders>
              <w:top w:val="single" w:color="7E7E7E" w:themeColor="text1" w:themeTint="80" w:sz="4" w:space="0"/>
              <w:bottom w:val="single" w:color="7E7E7E" w:themeColor="text1" w:themeTint="80" w:sz="4" w:space="0"/>
              <w:insideH w:val="single" w:sz="4" w:space="0"/>
            </w:tcBorders>
          </w:tcPr>
          <w:p w14:paraId="4A5D55C6">
            <w:pPr>
              <w:jc w:val="both"/>
              <w:rPr>
                <w:sz w:val="20"/>
                <w:szCs w:val="20"/>
                <w:lang w:val="en-US"/>
              </w:rPr>
            </w:pPr>
            <w:r>
              <w:rPr>
                <w:sz w:val="20"/>
                <w:szCs w:val="20"/>
                <w:lang w:val="en-US"/>
              </w:rPr>
              <w:t xml:space="preserve">Hasil penelitian ini membuktikan bahwa  </w:t>
            </w:r>
            <w:r>
              <w:rPr>
                <w:sz w:val="20"/>
                <w:szCs w:val="20"/>
              </w:rPr>
              <w:t>kesadaran wajib pajak tidak berpengaruh signifikan terhadap kepatuhan wajib pajak.</w:t>
            </w:r>
            <w:r>
              <w:rPr>
                <w:sz w:val="20"/>
                <w:szCs w:val="20"/>
                <w:lang w:val="en-US"/>
              </w:rPr>
              <w:t xml:space="preserve"> </w:t>
            </w:r>
            <w:r>
              <w:rPr>
                <w:sz w:val="20"/>
                <w:szCs w:val="20"/>
              </w:rPr>
              <w:t>Dengan ini dapat disimpulkan bahwa tinggi rendahnya kesadaran wajib pajak tidak akan mempengaruhi kepatuhan wajib pajak.</w:t>
            </w:r>
          </w:p>
        </w:tc>
      </w:tr>
      <w:tr w14:paraId="3AFB8B5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188379D4">
            <w:pPr>
              <w:jc w:val="center"/>
              <w:rPr>
                <w:b w:val="0"/>
                <w:bCs w:val="0"/>
                <w:sz w:val="20"/>
                <w:szCs w:val="20"/>
                <w:lang w:val="en-US"/>
              </w:rPr>
            </w:pPr>
            <w:r>
              <w:rPr>
                <w:b w:val="0"/>
                <w:bCs w:val="0"/>
                <w:sz w:val="20"/>
                <w:szCs w:val="20"/>
                <w:lang w:val="en-US"/>
              </w:rPr>
              <w:t>2</w:t>
            </w:r>
          </w:p>
        </w:tc>
        <w:tc>
          <w:tcPr>
            <w:tcW w:w="1550" w:type="dxa"/>
          </w:tcPr>
          <w:p w14:paraId="374FDB85">
            <w:pPr>
              <w:jc w:val="both"/>
              <w:rPr>
                <w:sz w:val="20"/>
                <w:szCs w:val="20"/>
                <w:lang w:val="en-US"/>
              </w:rPr>
            </w:pPr>
            <w:r>
              <w:rPr>
                <w:sz w:val="20"/>
                <w:szCs w:val="20"/>
                <w:lang w:val="en-US"/>
              </w:rPr>
              <w:t xml:space="preserve">Panjaitan (2022) </w:t>
            </w:r>
          </w:p>
        </w:tc>
        <w:tc>
          <w:tcPr>
            <w:tcW w:w="2110" w:type="dxa"/>
          </w:tcPr>
          <w:p w14:paraId="108381F7">
            <w:pPr>
              <w:jc w:val="both"/>
              <w:rPr>
                <w:sz w:val="20"/>
                <w:szCs w:val="20"/>
                <w:lang w:val="en-US"/>
              </w:rPr>
            </w:pPr>
            <w:r>
              <w:rPr>
                <w:sz w:val="20"/>
                <w:szCs w:val="20"/>
                <w:lang w:val="en-US"/>
              </w:rPr>
              <w:t>Pengaruh Penurunan Tarif,</w:t>
            </w:r>
          </w:p>
          <w:p w14:paraId="0F65EB48">
            <w:pPr>
              <w:jc w:val="both"/>
              <w:rPr>
                <w:sz w:val="20"/>
                <w:szCs w:val="20"/>
                <w:lang w:val="en-US"/>
              </w:rPr>
            </w:pPr>
            <w:r>
              <w:rPr>
                <w:sz w:val="20"/>
                <w:szCs w:val="20"/>
                <w:lang w:val="en-US"/>
              </w:rPr>
              <w:t>Pengetahuan Dan Pemahaman Pajak, Terhadap</w:t>
            </w:r>
          </w:p>
          <w:p w14:paraId="2B8F1D3A">
            <w:pPr>
              <w:jc w:val="both"/>
              <w:rPr>
                <w:sz w:val="20"/>
                <w:szCs w:val="20"/>
                <w:lang w:val="en-US"/>
              </w:rPr>
            </w:pPr>
            <w:r>
              <w:rPr>
                <w:sz w:val="20"/>
                <w:szCs w:val="20"/>
                <w:lang w:val="en-US"/>
              </w:rPr>
              <w:t>Kepatuhan Wajib Pajak (Studi Kasus Wajib Pajak</w:t>
            </w:r>
          </w:p>
          <w:p w14:paraId="490C36E9">
            <w:pPr>
              <w:jc w:val="both"/>
              <w:rPr>
                <w:sz w:val="20"/>
                <w:szCs w:val="20"/>
                <w:lang w:val="en-US"/>
              </w:rPr>
            </w:pPr>
            <w:r>
              <w:rPr>
                <w:sz w:val="20"/>
                <w:szCs w:val="20"/>
                <w:lang w:val="en-US"/>
              </w:rPr>
              <w:t>Umkm Di Kabupaten Bekasi)</w:t>
            </w:r>
          </w:p>
        </w:tc>
        <w:tc>
          <w:tcPr>
            <w:tcW w:w="1780" w:type="dxa"/>
          </w:tcPr>
          <w:p w14:paraId="06678794">
            <w:pPr>
              <w:jc w:val="both"/>
              <w:rPr>
                <w:sz w:val="20"/>
                <w:szCs w:val="20"/>
                <w:lang w:val="en-US"/>
              </w:rPr>
            </w:pPr>
            <w:r>
              <w:rPr>
                <w:sz w:val="20"/>
                <w:szCs w:val="20"/>
                <w:lang w:val="en-US"/>
              </w:rPr>
              <w:t>Variabel yang terkait : Penurunan Tarif Pajak, Pemahaman Pajak, dan Kepatuhan wajib pajak</w:t>
            </w:r>
          </w:p>
        </w:tc>
        <w:tc>
          <w:tcPr>
            <w:tcW w:w="2479" w:type="dxa"/>
          </w:tcPr>
          <w:p w14:paraId="33617099">
            <w:pPr>
              <w:jc w:val="both"/>
              <w:rPr>
                <w:sz w:val="20"/>
                <w:szCs w:val="20"/>
                <w:lang w:val="en-US"/>
              </w:rPr>
            </w:pPr>
            <w:r>
              <w:rPr>
                <w:sz w:val="20"/>
                <w:szCs w:val="20"/>
                <w:lang w:val="en-US"/>
              </w:rPr>
              <w:t xml:space="preserve">Hasil penelitian ini membuktikan bahwa Penurunan Tarif Pajak tidak berpengaruh positif terhadap kepatuhan wajib pajak, dan </w:t>
            </w:r>
            <w:r>
              <w:rPr>
                <w:sz w:val="20"/>
                <w:szCs w:val="20"/>
              </w:rPr>
              <w:t>pemahamam peraturan perpajakan berpengaruh positif terhadap kepatuhan pelaku umkm dalam membayar pajak.</w:t>
            </w:r>
          </w:p>
        </w:tc>
      </w:tr>
      <w:tr w14:paraId="7A776C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2E0542D6">
            <w:pPr>
              <w:jc w:val="center"/>
              <w:rPr>
                <w:b w:val="0"/>
                <w:bCs w:val="0"/>
                <w:sz w:val="20"/>
                <w:szCs w:val="20"/>
                <w:lang w:val="en-US"/>
              </w:rPr>
            </w:pPr>
            <w:r>
              <w:rPr>
                <w:b w:val="0"/>
                <w:bCs w:val="0"/>
                <w:sz w:val="20"/>
                <w:szCs w:val="20"/>
                <w:lang w:val="en-US"/>
              </w:rPr>
              <w:t>3</w:t>
            </w:r>
          </w:p>
        </w:tc>
        <w:tc>
          <w:tcPr>
            <w:tcW w:w="1550" w:type="dxa"/>
            <w:tcBorders>
              <w:top w:val="single" w:color="7E7E7E" w:themeColor="text1" w:themeTint="80" w:sz="4" w:space="0"/>
              <w:bottom w:val="single" w:color="7E7E7E" w:themeColor="text1" w:themeTint="80" w:sz="4" w:space="0"/>
              <w:insideH w:val="single" w:sz="4" w:space="0"/>
            </w:tcBorders>
          </w:tcPr>
          <w:p w14:paraId="77C6FFA9">
            <w:pPr>
              <w:jc w:val="both"/>
              <w:rPr>
                <w:sz w:val="20"/>
                <w:szCs w:val="20"/>
                <w:lang w:val="en-US"/>
              </w:rPr>
            </w:pPr>
            <w:r>
              <w:rPr>
                <w:color w:val="222222"/>
                <w:sz w:val="20"/>
                <w:szCs w:val="20"/>
                <w:shd w:val="clear" w:color="auto" w:fill="FFFFFF"/>
              </w:rPr>
              <w:t>Hapsari &amp; Ramayanti</w:t>
            </w:r>
            <w:r>
              <w:rPr>
                <w:sz w:val="20"/>
                <w:szCs w:val="20"/>
              </w:rPr>
              <w:t xml:space="preserve"> (20</w:t>
            </w:r>
            <w:r>
              <w:rPr>
                <w:sz w:val="20"/>
                <w:szCs w:val="20"/>
                <w:lang w:val="en-US"/>
              </w:rPr>
              <w:t>22</w:t>
            </w:r>
            <w:r>
              <w:rPr>
                <w:sz w:val="20"/>
                <w:szCs w:val="20"/>
              </w:rPr>
              <w:t>)</w:t>
            </w:r>
          </w:p>
        </w:tc>
        <w:tc>
          <w:tcPr>
            <w:tcW w:w="2110" w:type="dxa"/>
            <w:tcBorders>
              <w:top w:val="single" w:color="7E7E7E" w:themeColor="text1" w:themeTint="80" w:sz="4" w:space="0"/>
              <w:bottom w:val="single" w:color="7E7E7E" w:themeColor="text1" w:themeTint="80" w:sz="4" w:space="0"/>
              <w:insideH w:val="single" w:sz="4" w:space="0"/>
            </w:tcBorders>
          </w:tcPr>
          <w:p w14:paraId="70004AF8">
            <w:pPr>
              <w:jc w:val="both"/>
              <w:rPr>
                <w:sz w:val="20"/>
                <w:szCs w:val="20"/>
                <w:lang w:val="en-US"/>
              </w:rPr>
            </w:pPr>
            <w:r>
              <w:rPr>
                <w:color w:val="222222"/>
                <w:sz w:val="20"/>
                <w:szCs w:val="20"/>
                <w:shd w:val="clear" w:color="auto" w:fill="FFFFFF"/>
              </w:rPr>
              <w:t>Pengaruh Pengetahuan Perpajakan, Ketegasan Sanksi Pajak, Dan Kesadaran Wajib Pajak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3C0D5AA0">
            <w:pPr>
              <w:jc w:val="both"/>
              <w:rPr>
                <w:sz w:val="20"/>
                <w:szCs w:val="20"/>
                <w:lang w:val="en-US"/>
              </w:rPr>
            </w:pPr>
            <w:r>
              <w:rPr>
                <w:sz w:val="20"/>
                <w:szCs w:val="20"/>
                <w:lang w:val="en-US"/>
              </w:rPr>
              <w:t xml:space="preserve">Variabel yang terkait : </w:t>
            </w:r>
            <w:r>
              <w:rPr>
                <w:color w:val="222222"/>
                <w:sz w:val="20"/>
                <w:szCs w:val="20"/>
                <w:shd w:val="clear" w:color="auto" w:fill="FFFFFF"/>
              </w:rPr>
              <w:t>Kesadaran Wajib Pajak</w:t>
            </w:r>
            <w:r>
              <w:rPr>
                <w:color w:val="222222"/>
                <w:sz w:val="20"/>
                <w:szCs w:val="20"/>
                <w:shd w:val="clear" w:color="auto" w:fill="FFFFFF"/>
                <w:lang w:val="en-US"/>
              </w:rPr>
              <w:t xml:space="preserve">, </w:t>
            </w:r>
            <w:r>
              <w:rPr>
                <w:color w:val="222222"/>
                <w:sz w:val="20"/>
                <w:szCs w:val="20"/>
                <w:shd w:val="clear" w:color="auto" w:fill="FFFFFF"/>
              </w:rPr>
              <w:t>Kepatuhan Wajib Pajak</w:t>
            </w:r>
          </w:p>
        </w:tc>
        <w:tc>
          <w:tcPr>
            <w:tcW w:w="2479" w:type="dxa"/>
            <w:tcBorders>
              <w:top w:val="single" w:color="7E7E7E" w:themeColor="text1" w:themeTint="80" w:sz="4" w:space="0"/>
              <w:bottom w:val="single" w:color="7E7E7E" w:themeColor="text1" w:themeTint="80" w:sz="4" w:space="0"/>
              <w:insideH w:val="single" w:sz="4" w:space="0"/>
            </w:tcBorders>
          </w:tcPr>
          <w:p w14:paraId="5CF25B9D">
            <w:pPr>
              <w:jc w:val="both"/>
              <w:rPr>
                <w:sz w:val="20"/>
                <w:szCs w:val="20"/>
              </w:rPr>
            </w:pPr>
            <w:r>
              <w:rPr>
                <w:sz w:val="20"/>
                <w:szCs w:val="20"/>
                <w:shd w:val="clear" w:color="auto" w:fill="FFFFFF"/>
              </w:rPr>
              <w:t>Hasil penelitian ini menunjukkan bahwa pengetahuan perpajakan dan ketegasan sanksi pajak berpengaruh positif dan signifikan terhadap kepatuhan wajib pajak UMKM </w:t>
            </w:r>
            <w:r>
              <w:rPr>
                <w:rStyle w:val="7"/>
                <w:sz w:val="20"/>
                <w:szCs w:val="20"/>
                <w:shd w:val="clear" w:color="auto" w:fill="FFFFFF"/>
              </w:rPr>
              <w:t>e-commerce </w:t>
            </w:r>
            <w:r>
              <w:rPr>
                <w:sz w:val="20"/>
                <w:szCs w:val="20"/>
                <w:shd w:val="clear" w:color="auto" w:fill="FFFFFF"/>
              </w:rPr>
              <w:t>khususnya pada platform gojek. Sedangkan kesadaran wajib pajak tidak berpengaruh terhadap kepatuhan wajib pajak UMKM </w:t>
            </w:r>
            <w:r>
              <w:rPr>
                <w:rStyle w:val="7"/>
                <w:sz w:val="20"/>
                <w:szCs w:val="20"/>
                <w:shd w:val="clear" w:color="auto" w:fill="FFFFFF"/>
              </w:rPr>
              <w:t>e-commerce</w:t>
            </w:r>
            <w:r>
              <w:rPr>
                <w:sz w:val="20"/>
                <w:szCs w:val="20"/>
                <w:shd w:val="clear" w:color="auto" w:fill="FFFFFF"/>
              </w:rPr>
              <w:t> khususnya pada platform gojek.</w:t>
            </w:r>
          </w:p>
        </w:tc>
      </w:tr>
      <w:tr w14:paraId="32C24C7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1E34C6D7">
            <w:pPr>
              <w:jc w:val="center"/>
              <w:rPr>
                <w:b w:val="0"/>
                <w:bCs w:val="0"/>
                <w:sz w:val="20"/>
                <w:szCs w:val="20"/>
                <w:lang w:val="en-US"/>
              </w:rPr>
            </w:pPr>
            <w:r>
              <w:rPr>
                <w:b w:val="0"/>
                <w:bCs w:val="0"/>
                <w:sz w:val="20"/>
                <w:szCs w:val="20"/>
                <w:lang w:val="en-US"/>
              </w:rPr>
              <w:t>4</w:t>
            </w:r>
          </w:p>
        </w:tc>
        <w:tc>
          <w:tcPr>
            <w:tcW w:w="1550" w:type="dxa"/>
          </w:tcPr>
          <w:p w14:paraId="3E7B1A88">
            <w:pPr>
              <w:jc w:val="both"/>
              <w:rPr>
                <w:sz w:val="20"/>
                <w:szCs w:val="20"/>
                <w:lang w:val="en-US"/>
              </w:rPr>
            </w:pPr>
            <w:r>
              <w:rPr>
                <w:sz w:val="20"/>
                <w:szCs w:val="20"/>
                <w:lang w:val="en-US"/>
              </w:rPr>
              <w:t>Meutia et al.,</w:t>
            </w:r>
            <w:r>
              <w:rPr>
                <w:sz w:val="20"/>
                <w:szCs w:val="20"/>
              </w:rPr>
              <w:t xml:space="preserve"> (202</w:t>
            </w:r>
            <w:r>
              <w:rPr>
                <w:sz w:val="20"/>
                <w:szCs w:val="20"/>
                <w:lang w:val="en-US"/>
              </w:rPr>
              <w:t>1</w:t>
            </w:r>
            <w:r>
              <w:rPr>
                <w:sz w:val="20"/>
                <w:szCs w:val="20"/>
              </w:rPr>
              <w:t>)</w:t>
            </w:r>
          </w:p>
        </w:tc>
        <w:tc>
          <w:tcPr>
            <w:tcW w:w="2110" w:type="dxa"/>
          </w:tcPr>
          <w:p w14:paraId="119FF866">
            <w:pPr>
              <w:jc w:val="both"/>
              <w:rPr>
                <w:sz w:val="20"/>
                <w:szCs w:val="20"/>
                <w:lang w:val="en-US"/>
              </w:rPr>
            </w:pPr>
            <w:r>
              <w:rPr>
                <w:sz w:val="20"/>
                <w:szCs w:val="20"/>
                <w:shd w:val="clear" w:color="auto" w:fill="FFFFFF"/>
              </w:rPr>
              <w:t>Pengaruh Pemahaman Peraturan Perpajakan, Kesadaran Membayar Pajak, Dan Sanksi Pajak Terhadap Kepatuhan Wajib Pajak (Studi Pada Wajib Pajak Kendaraan Bermotor Di Kota Langsa)</w:t>
            </w:r>
          </w:p>
        </w:tc>
        <w:tc>
          <w:tcPr>
            <w:tcW w:w="1780" w:type="dxa"/>
          </w:tcPr>
          <w:p w14:paraId="1B732B5E">
            <w:pPr>
              <w:jc w:val="both"/>
              <w:rPr>
                <w:sz w:val="20"/>
                <w:szCs w:val="20"/>
                <w:lang w:val="en-US"/>
              </w:rPr>
            </w:pPr>
            <w:r>
              <w:rPr>
                <w:sz w:val="20"/>
                <w:szCs w:val="20"/>
                <w:lang w:val="en-US"/>
              </w:rPr>
              <w:t xml:space="preserve">Variabel yang terkait : </w:t>
            </w:r>
            <w:r>
              <w:rPr>
                <w:sz w:val="20"/>
                <w:szCs w:val="20"/>
                <w:shd w:val="clear" w:color="auto" w:fill="FFFFFF"/>
              </w:rPr>
              <w:t>Pemahaman Peraturan Perpajakan, Kesadaran Membayar Pajak, Dan Kepatuhan Wajib Pajak</w:t>
            </w:r>
          </w:p>
        </w:tc>
        <w:tc>
          <w:tcPr>
            <w:tcW w:w="2479" w:type="dxa"/>
          </w:tcPr>
          <w:p w14:paraId="1045E45A">
            <w:pPr>
              <w:jc w:val="both"/>
              <w:rPr>
                <w:sz w:val="20"/>
                <w:szCs w:val="20"/>
                <w:lang w:val="en-US"/>
              </w:rPr>
            </w:pPr>
            <w:r>
              <w:rPr>
                <w:sz w:val="20"/>
                <w:szCs w:val="20"/>
              </w:rPr>
              <w:t>Hasil analisi koefisien determinasi menunjukan kontribusi variabel pemahaman peraturan perpajakan, kesadaran membayar pajak, dan sanksi pajak dalam mempengaruhi kepatuhan wajib pajak kendaraan bermotor di Kota Langsa sebesar 0.041 atau 4.1% sementara sisanya 0.959 atau 95.9% dipengaruhi oleh variabel lain yang tidak diteliti dalam penelitian ini seperti kualitas pelayanan, sosialisasi dan lain sebagainya.</w:t>
            </w:r>
          </w:p>
        </w:tc>
      </w:tr>
      <w:tr w14:paraId="6EBA414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 w:hRule="atLeast"/>
          <w:jc w:val="center"/>
        </w:trPr>
        <w:tc>
          <w:tcPr>
            <w:tcW w:w="510" w:type="dxa"/>
            <w:tcBorders>
              <w:top w:val="single" w:color="7E7E7E" w:themeColor="text1" w:themeTint="80" w:sz="4" w:space="0"/>
              <w:bottom w:val="single" w:color="7E7E7E" w:themeColor="text1" w:themeTint="80" w:sz="4" w:space="0"/>
              <w:insideH w:val="single" w:sz="4" w:space="0"/>
            </w:tcBorders>
          </w:tcPr>
          <w:p w14:paraId="23E70F33">
            <w:pPr>
              <w:jc w:val="center"/>
              <w:rPr>
                <w:b w:val="0"/>
                <w:bCs w:val="0"/>
                <w:sz w:val="20"/>
                <w:szCs w:val="20"/>
                <w:lang w:val="en-US"/>
              </w:rPr>
            </w:pPr>
            <w:r>
              <w:rPr>
                <w:b w:val="0"/>
                <w:bCs w:val="0"/>
                <w:sz w:val="20"/>
                <w:szCs w:val="20"/>
                <w:lang w:val="en-US"/>
              </w:rPr>
              <w:t>5</w:t>
            </w:r>
          </w:p>
        </w:tc>
        <w:tc>
          <w:tcPr>
            <w:tcW w:w="1550" w:type="dxa"/>
            <w:tcBorders>
              <w:top w:val="single" w:color="7E7E7E" w:themeColor="text1" w:themeTint="80" w:sz="4" w:space="0"/>
              <w:bottom w:val="single" w:color="7E7E7E" w:themeColor="text1" w:themeTint="80" w:sz="4" w:space="0"/>
              <w:insideH w:val="single" w:sz="4" w:space="0"/>
            </w:tcBorders>
          </w:tcPr>
          <w:p w14:paraId="27420985">
            <w:pPr>
              <w:jc w:val="both"/>
              <w:rPr>
                <w:sz w:val="20"/>
                <w:szCs w:val="20"/>
                <w:lang w:val="en-US"/>
              </w:rPr>
            </w:pPr>
            <w:r>
              <w:rPr>
                <w:sz w:val="20"/>
                <w:szCs w:val="20"/>
                <w:shd w:val="clear" w:color="auto" w:fill="FFFFFF"/>
              </w:rPr>
              <w:t>Madjodjo</w:t>
            </w:r>
            <w:r>
              <w:rPr>
                <w:sz w:val="20"/>
                <w:szCs w:val="20"/>
                <w:shd w:val="clear" w:color="auto" w:fill="FFFFFF"/>
                <w:lang w:val="en-US"/>
              </w:rPr>
              <w:t xml:space="preserve"> &amp; </w:t>
            </w:r>
            <w:r>
              <w:rPr>
                <w:sz w:val="20"/>
                <w:szCs w:val="20"/>
                <w:shd w:val="clear" w:color="auto" w:fill="FFFFFF"/>
              </w:rPr>
              <w:t xml:space="preserve"> Baharuddin</w:t>
            </w:r>
            <w:r>
              <w:rPr>
                <w:sz w:val="20"/>
                <w:szCs w:val="20"/>
              </w:rPr>
              <w:t xml:space="preserve"> (202</w:t>
            </w:r>
            <w:r>
              <w:rPr>
                <w:sz w:val="20"/>
                <w:szCs w:val="20"/>
                <w:lang w:val="en-US"/>
              </w:rPr>
              <w:t>2</w:t>
            </w:r>
            <w:r>
              <w:rPr>
                <w:sz w:val="20"/>
                <w:szCs w:val="20"/>
              </w:rPr>
              <w:t>)</w:t>
            </w:r>
          </w:p>
        </w:tc>
        <w:tc>
          <w:tcPr>
            <w:tcW w:w="2110" w:type="dxa"/>
            <w:tcBorders>
              <w:top w:val="single" w:color="7E7E7E" w:themeColor="text1" w:themeTint="80" w:sz="4" w:space="0"/>
              <w:bottom w:val="single" w:color="7E7E7E" w:themeColor="text1" w:themeTint="80" w:sz="4" w:space="0"/>
              <w:insideH w:val="single" w:sz="4" w:space="0"/>
            </w:tcBorders>
          </w:tcPr>
          <w:p w14:paraId="4EB6FF03">
            <w:pPr>
              <w:jc w:val="both"/>
              <w:rPr>
                <w:sz w:val="20"/>
                <w:szCs w:val="20"/>
                <w:lang w:val="en-US"/>
              </w:rPr>
            </w:pPr>
            <w:r>
              <w:rPr>
                <w:sz w:val="20"/>
                <w:szCs w:val="20"/>
                <w:shd w:val="clear" w:color="auto" w:fill="FFFFFF"/>
              </w:rPr>
              <w:t>Pengaruh Kesadaran Wajib Pajak Dan Pelayanan Fiskus Terhadap Kepatuhan Wajib Pajak UMKM</w:t>
            </w:r>
          </w:p>
        </w:tc>
        <w:tc>
          <w:tcPr>
            <w:tcW w:w="1780" w:type="dxa"/>
            <w:tcBorders>
              <w:top w:val="single" w:color="7E7E7E" w:themeColor="text1" w:themeTint="80" w:sz="4" w:space="0"/>
              <w:bottom w:val="single" w:color="7E7E7E" w:themeColor="text1" w:themeTint="80" w:sz="4" w:space="0"/>
              <w:insideH w:val="single" w:sz="4" w:space="0"/>
            </w:tcBorders>
          </w:tcPr>
          <w:p w14:paraId="6DA86C5A">
            <w:pPr>
              <w:jc w:val="both"/>
              <w:rPr>
                <w:sz w:val="20"/>
                <w:szCs w:val="20"/>
                <w:lang w:val="en-US"/>
              </w:rPr>
            </w:pPr>
            <w:r>
              <w:rPr>
                <w:sz w:val="20"/>
                <w:szCs w:val="20"/>
                <w:lang w:val="en-US"/>
              </w:rPr>
              <w:t xml:space="preserve">Variabel yang terkait : </w:t>
            </w:r>
            <w:r>
              <w:rPr>
                <w:sz w:val="20"/>
                <w:szCs w:val="20"/>
                <w:shd w:val="clear" w:color="auto" w:fill="FFFFFF"/>
              </w:rPr>
              <w:t>Kesadaran Wajib Pajak Dan Kepatuhan Wajib Pajak</w:t>
            </w:r>
          </w:p>
        </w:tc>
        <w:tc>
          <w:tcPr>
            <w:tcW w:w="2479" w:type="dxa"/>
            <w:tcBorders>
              <w:top w:val="single" w:color="7E7E7E" w:themeColor="text1" w:themeTint="80" w:sz="4" w:space="0"/>
              <w:bottom w:val="single" w:color="7E7E7E" w:themeColor="text1" w:themeTint="80" w:sz="4" w:space="0"/>
              <w:insideH w:val="single" w:sz="4" w:space="0"/>
            </w:tcBorders>
          </w:tcPr>
          <w:p w14:paraId="4AE0338B">
            <w:pPr>
              <w:shd w:val="clear" w:color="auto" w:fill="FFFFFF"/>
              <w:jc w:val="both"/>
              <w:rPr>
                <w:color w:val="333333"/>
                <w:sz w:val="20"/>
                <w:szCs w:val="20"/>
                <w:lang w:val="en-US"/>
              </w:rPr>
            </w:pPr>
            <w:r>
              <w:rPr>
                <w:iCs/>
                <w:sz w:val="20"/>
                <w:szCs w:val="20"/>
                <w:lang w:val="en-US"/>
              </w:rPr>
              <w:t>Hasil penelitian membuktikan bahwa baik secara parsial maupun simultan kesadaran wajib pajak berpengaruh signifikan dan positif terhadap kepatuhan wajib pajak UMKM di Kota Tidore Kepulauan. Hal ini menunjukkan bahwa semakin baik tingkat kesadaran wajib pajak dan pelayanan perpajakan yang baik oleh aparat pajak maka dapat meningkatkan kepatuhan wajib pajak dalam membayar dan melaporkan kewajiban perpajakannya sesuai dengan peraturan yang berlaku.</w:t>
            </w:r>
          </w:p>
        </w:tc>
      </w:tr>
      <w:tr w14:paraId="2BBC357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5CBCDF8A">
            <w:pPr>
              <w:jc w:val="center"/>
              <w:rPr>
                <w:b w:val="0"/>
                <w:bCs w:val="0"/>
                <w:sz w:val="20"/>
                <w:szCs w:val="20"/>
                <w:lang w:val="en-US"/>
              </w:rPr>
            </w:pPr>
            <w:r>
              <w:rPr>
                <w:b w:val="0"/>
                <w:bCs w:val="0"/>
                <w:sz w:val="20"/>
                <w:szCs w:val="20"/>
                <w:lang w:val="en-US"/>
              </w:rPr>
              <w:t>6</w:t>
            </w:r>
          </w:p>
        </w:tc>
        <w:tc>
          <w:tcPr>
            <w:tcW w:w="1550" w:type="dxa"/>
          </w:tcPr>
          <w:p w14:paraId="41C3D71F">
            <w:pPr>
              <w:jc w:val="both"/>
              <w:rPr>
                <w:sz w:val="20"/>
                <w:szCs w:val="20"/>
                <w:lang w:val="en-US"/>
              </w:rPr>
            </w:pPr>
            <w:r>
              <w:rPr>
                <w:sz w:val="20"/>
                <w:szCs w:val="20"/>
                <w:lang w:val="en-US"/>
              </w:rPr>
              <w:t>Maksumah &amp; Hamidih</w:t>
            </w:r>
          </w:p>
          <w:p w14:paraId="59978C52">
            <w:pPr>
              <w:jc w:val="both"/>
              <w:rPr>
                <w:sz w:val="20"/>
                <w:szCs w:val="20"/>
                <w:lang w:val="en-US"/>
              </w:rPr>
            </w:pPr>
            <w:r>
              <w:rPr>
                <w:sz w:val="20"/>
                <w:szCs w:val="20"/>
                <w:lang w:val="en-US"/>
              </w:rPr>
              <w:t>(2022)</w:t>
            </w:r>
          </w:p>
        </w:tc>
        <w:tc>
          <w:tcPr>
            <w:tcW w:w="2110" w:type="dxa"/>
          </w:tcPr>
          <w:p w14:paraId="5776E532">
            <w:pPr>
              <w:jc w:val="both"/>
              <w:rPr>
                <w:i/>
                <w:iCs/>
                <w:sz w:val="20"/>
                <w:szCs w:val="20"/>
                <w:lang w:val="en-US"/>
              </w:rPr>
            </w:pPr>
            <w:r>
              <w:rPr>
                <w:i/>
                <w:iCs/>
                <w:sz w:val="20"/>
                <w:szCs w:val="20"/>
                <w:lang w:val="en-US"/>
              </w:rPr>
              <w:t>The Influence of Tax Rates, Tax Payment Mechanisms, Tax Knowledge, Service Quality, And Taxpayer Awareness of Taxpayer Compliance with Religiosity as Intervening Variables</w:t>
            </w:r>
          </w:p>
        </w:tc>
        <w:tc>
          <w:tcPr>
            <w:tcW w:w="1780" w:type="dxa"/>
          </w:tcPr>
          <w:p w14:paraId="5E8F30E0">
            <w:pPr>
              <w:jc w:val="both"/>
              <w:rPr>
                <w:i/>
                <w:iCs/>
                <w:sz w:val="20"/>
                <w:szCs w:val="20"/>
                <w:lang w:val="en-US"/>
              </w:rPr>
            </w:pPr>
            <w:r>
              <w:rPr>
                <w:i/>
                <w:iCs/>
                <w:color w:val="222222"/>
                <w:sz w:val="20"/>
                <w:szCs w:val="20"/>
                <w:shd w:val="clear" w:color="auto" w:fill="FFFFFF"/>
              </w:rPr>
              <w:t xml:space="preserve"> </w:t>
            </w:r>
            <w:r>
              <w:rPr>
                <w:color w:val="222222"/>
                <w:sz w:val="20"/>
                <w:szCs w:val="20"/>
                <w:shd w:val="clear" w:color="auto" w:fill="FFFFFF"/>
                <w:lang w:val="en-US"/>
              </w:rPr>
              <w:t>Variabel yang terkait</w:t>
            </w:r>
            <w:r>
              <w:rPr>
                <w:i/>
                <w:iCs/>
                <w:color w:val="222222"/>
                <w:sz w:val="20"/>
                <w:szCs w:val="20"/>
                <w:shd w:val="clear" w:color="auto" w:fill="FFFFFF"/>
                <w:lang w:val="en-US"/>
              </w:rPr>
              <w:t xml:space="preserve"> : Tax Rates and taxpayer compliance</w:t>
            </w:r>
          </w:p>
        </w:tc>
        <w:tc>
          <w:tcPr>
            <w:tcW w:w="2479" w:type="dxa"/>
          </w:tcPr>
          <w:p w14:paraId="75588954">
            <w:pPr>
              <w:jc w:val="both"/>
              <w:rPr>
                <w:i/>
                <w:iCs/>
                <w:sz w:val="20"/>
                <w:szCs w:val="20"/>
              </w:rPr>
            </w:pPr>
            <w:r>
              <w:rPr>
                <w:i/>
                <w:iCs/>
                <w:sz w:val="20"/>
                <w:szCs w:val="20"/>
              </w:rPr>
              <w:t>Tax rates do not affect taxpayer compliance, because regardless of the tariff that the government sets, respondents realize that it is the best rate.</w:t>
            </w:r>
          </w:p>
        </w:tc>
      </w:tr>
      <w:tr w14:paraId="130C55C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322784B1">
            <w:pPr>
              <w:jc w:val="center"/>
              <w:rPr>
                <w:b w:val="0"/>
                <w:bCs w:val="0"/>
                <w:sz w:val="20"/>
                <w:szCs w:val="20"/>
                <w:lang w:val="en-US"/>
              </w:rPr>
            </w:pPr>
            <w:r>
              <w:rPr>
                <w:b w:val="0"/>
                <w:bCs w:val="0"/>
                <w:sz w:val="20"/>
                <w:szCs w:val="20"/>
                <w:lang w:val="en-US"/>
              </w:rPr>
              <w:t>7</w:t>
            </w:r>
          </w:p>
        </w:tc>
        <w:tc>
          <w:tcPr>
            <w:tcW w:w="1550" w:type="dxa"/>
            <w:tcBorders>
              <w:top w:val="single" w:color="7E7E7E" w:themeColor="text1" w:themeTint="80" w:sz="4" w:space="0"/>
              <w:bottom w:val="single" w:color="7E7E7E" w:themeColor="text1" w:themeTint="80" w:sz="4" w:space="0"/>
              <w:insideH w:val="single" w:sz="4" w:space="0"/>
            </w:tcBorders>
          </w:tcPr>
          <w:p w14:paraId="550B1BAD">
            <w:pPr>
              <w:jc w:val="both"/>
              <w:rPr>
                <w:sz w:val="20"/>
                <w:szCs w:val="20"/>
                <w:lang w:val="en-US"/>
              </w:rPr>
            </w:pPr>
            <w:r>
              <w:rPr>
                <w:sz w:val="20"/>
                <w:szCs w:val="20"/>
                <w:lang w:val="en-US"/>
              </w:rPr>
              <w:t xml:space="preserve">Yulitasari et al., </w:t>
            </w:r>
          </w:p>
          <w:p w14:paraId="1B0BEC62">
            <w:pPr>
              <w:jc w:val="both"/>
              <w:rPr>
                <w:sz w:val="20"/>
                <w:szCs w:val="20"/>
                <w:lang w:val="en-US"/>
              </w:rPr>
            </w:pPr>
            <w:r>
              <w:rPr>
                <w:sz w:val="20"/>
                <w:szCs w:val="20"/>
                <w:lang w:val="en-US"/>
              </w:rPr>
              <w:t>(2023)</w:t>
            </w:r>
          </w:p>
        </w:tc>
        <w:tc>
          <w:tcPr>
            <w:tcW w:w="2110" w:type="dxa"/>
            <w:tcBorders>
              <w:top w:val="single" w:color="7E7E7E" w:themeColor="text1" w:themeTint="80" w:sz="4" w:space="0"/>
              <w:bottom w:val="single" w:color="7E7E7E" w:themeColor="text1" w:themeTint="80" w:sz="4" w:space="0"/>
              <w:insideH w:val="single" w:sz="4" w:space="0"/>
            </w:tcBorders>
          </w:tcPr>
          <w:p w14:paraId="263335CA">
            <w:pPr>
              <w:jc w:val="both"/>
              <w:rPr>
                <w:i/>
                <w:iCs/>
                <w:sz w:val="20"/>
                <w:szCs w:val="20"/>
                <w:lang w:val="en-US"/>
              </w:rPr>
            </w:pPr>
            <w:r>
              <w:rPr>
                <w:i/>
                <w:iCs/>
                <w:sz w:val="20"/>
                <w:szCs w:val="20"/>
                <w:lang w:val="en-US"/>
              </w:rPr>
              <w:t>Effect of Tax Awareness, Tax Rate and Tax Sanctions on Taxpayer Compliance</w:t>
            </w:r>
          </w:p>
        </w:tc>
        <w:tc>
          <w:tcPr>
            <w:tcW w:w="1780" w:type="dxa"/>
            <w:tcBorders>
              <w:top w:val="single" w:color="7E7E7E" w:themeColor="text1" w:themeTint="80" w:sz="4" w:space="0"/>
              <w:bottom w:val="single" w:color="7E7E7E" w:themeColor="text1" w:themeTint="80" w:sz="4" w:space="0"/>
              <w:insideH w:val="single" w:sz="4" w:space="0"/>
            </w:tcBorders>
          </w:tcPr>
          <w:p w14:paraId="36D2A8BF">
            <w:pPr>
              <w:jc w:val="both"/>
              <w:rPr>
                <w:sz w:val="20"/>
                <w:szCs w:val="20"/>
                <w:lang w:val="en-US"/>
              </w:rPr>
            </w:pPr>
            <w:r>
              <w:rPr>
                <w:sz w:val="20"/>
                <w:szCs w:val="20"/>
                <w:lang w:val="en-US"/>
              </w:rPr>
              <w:t xml:space="preserve">Variabel yang terkait : </w:t>
            </w:r>
            <w:r>
              <w:rPr>
                <w:i/>
                <w:iCs/>
                <w:sz w:val="20"/>
                <w:szCs w:val="20"/>
                <w:lang w:val="en-US"/>
              </w:rPr>
              <w:t>Tax Awareness, Tax Rate and taxpayer compliance</w:t>
            </w:r>
          </w:p>
        </w:tc>
        <w:tc>
          <w:tcPr>
            <w:tcW w:w="2479" w:type="dxa"/>
            <w:tcBorders>
              <w:top w:val="single" w:color="7E7E7E" w:themeColor="text1" w:themeTint="80" w:sz="4" w:space="0"/>
              <w:bottom w:val="single" w:color="7E7E7E" w:themeColor="text1" w:themeTint="80" w:sz="4" w:space="0"/>
              <w:insideH w:val="single" w:sz="4" w:space="0"/>
            </w:tcBorders>
          </w:tcPr>
          <w:p w14:paraId="5CFB9CC9">
            <w:pPr>
              <w:jc w:val="both"/>
              <w:rPr>
                <w:sz w:val="20"/>
                <w:szCs w:val="20"/>
                <w:lang w:val="en-US"/>
              </w:rPr>
            </w:pPr>
            <w:r>
              <w:rPr>
                <w:i/>
                <w:iCs/>
                <w:sz w:val="20"/>
                <w:szCs w:val="20"/>
                <w:lang w:val="en-US"/>
              </w:rPr>
              <w:t>Taxpayer awareness has a significant and positive effect on taxpayer compliance. This shows that the better the level of taxpayer awareness and good tax services by tax officials, the better the taxpayer compliance in paying and reporting their tax obligations</w:t>
            </w:r>
            <w:r>
              <w:rPr>
                <w:sz w:val="20"/>
                <w:szCs w:val="20"/>
                <w:lang w:val="en-US"/>
              </w:rPr>
              <w:t>.</w:t>
            </w:r>
          </w:p>
        </w:tc>
      </w:tr>
    </w:tbl>
    <w:p w14:paraId="6BF7DD7D">
      <w:pPr>
        <w:spacing w:line="480" w:lineRule="auto"/>
        <w:ind w:left="66"/>
        <w:jc w:val="both"/>
        <w:rPr>
          <w:lang w:val="en-US"/>
        </w:rPr>
      </w:pPr>
      <w:r>
        <w:rPr>
          <w:lang w:val="en-US"/>
        </w:rPr>
        <w:t>Sumber ; Hasil Penelitian, 2025</w:t>
      </w:r>
    </w:p>
    <w:p w14:paraId="26FE1E39">
      <w:pPr>
        <w:pStyle w:val="2"/>
        <w:spacing w:line="480" w:lineRule="auto"/>
        <w:ind w:left="0" w:right="-1" w:firstLine="709"/>
        <w:rPr>
          <w:b w:val="0"/>
        </w:rPr>
      </w:pPr>
      <w:r>
        <w:rPr>
          <w:b w:val="0"/>
          <w:lang w:eastAsia="id-ID"/>
        </w:rPr>
        <w:t>Berdasarkan beberapa hasil penelitian terdahulu diatas terdapat satu hasil penelitian yang sama akan dijadikan sebagai patokan dalam penelitian ini karena penelitian tersebut paling mendekati dengan penelitian ini, yaitu penelitian yang dilakukan oleh (</w:t>
      </w:r>
      <w:r>
        <w:rPr>
          <w:b w:val="0"/>
          <w:bCs w:val="0"/>
          <w:lang w:val="en-US"/>
        </w:rPr>
        <w:t>Meutia et al.,</w:t>
      </w:r>
      <w:r>
        <w:rPr>
          <w:b w:val="0"/>
          <w:bCs w:val="0"/>
        </w:rPr>
        <w:t xml:space="preserve"> 202</w:t>
      </w:r>
      <w:r>
        <w:rPr>
          <w:b w:val="0"/>
          <w:bCs w:val="0"/>
          <w:lang w:val="en-US"/>
        </w:rPr>
        <w:t>1</w:t>
      </w:r>
      <w:r>
        <w:rPr>
          <w:b w:val="0"/>
          <w:bCs w:val="0"/>
        </w:rPr>
        <w:t>)</w:t>
      </w:r>
      <w:r>
        <w:rPr>
          <w:b w:val="0"/>
          <w:lang w:eastAsia="id-ID"/>
        </w:rPr>
        <w:t xml:space="preserve"> yang berjudul “</w:t>
      </w:r>
      <w:r>
        <w:rPr>
          <w:b w:val="0"/>
          <w:bCs w:val="0"/>
          <w:shd w:val="clear" w:color="auto" w:fill="FFFFFF"/>
        </w:rPr>
        <w:t>Pengaruh Pemahaman Peraturan Perpajakan, Kesadaran Membayar Pajak, Dan Sanksi Pajak Terhadap Kepatuhan Wajib Pajak (Studi Pada Wajib Pajak Kendaraan Bermotor Di Kota Langsa)</w:t>
      </w:r>
      <w:r>
        <w:rPr>
          <w:b w:val="0"/>
          <w:bCs w:val="0"/>
        </w:rPr>
        <w:t>”</w:t>
      </w:r>
      <w:r>
        <w:rPr>
          <w:b w:val="0"/>
        </w:rPr>
        <w:t>. Persamaannya yaitu menggunakan Pemahamaan perpajakan, kesadaran wajib pajak sebagai variabel independen dan menggunakan kepatuhan wajib pajak sebagai variabel dependen. Perbedaannya dari penelitian meutia tidak menggunakan variabel tarif pajak sedangkan di penelitian saya tidak memakai variabel sanksi pajak. Saya hanya membahas 4 variabel yaitu pemahaman perpajakan, kesadaran wajib pajak, penurunan tarif pajak pp no 23 tahun 2018 dan kepatuhan wajib pajak.</w:t>
      </w:r>
    </w:p>
    <w:p w14:paraId="3CE9F8F2">
      <w:pPr>
        <w:pStyle w:val="2"/>
        <w:spacing w:line="480" w:lineRule="auto"/>
        <w:ind w:left="0" w:right="-1" w:firstLine="709"/>
        <w:rPr>
          <w:b w:val="0"/>
        </w:rPr>
      </w:pPr>
    </w:p>
    <w:p w14:paraId="7ECAF448">
      <w:pPr>
        <w:pStyle w:val="2"/>
        <w:spacing w:line="480" w:lineRule="auto"/>
        <w:ind w:left="0" w:right="-1" w:firstLine="709"/>
        <w:rPr>
          <w:b w:val="0"/>
          <w:bCs w:val="0"/>
        </w:rPr>
      </w:pPr>
    </w:p>
    <w:p w14:paraId="63CAEEF8">
      <w:pPr>
        <w:pStyle w:val="2"/>
        <w:ind w:left="0" w:right="-1" w:firstLine="709"/>
        <w:rPr>
          <w:b w:val="0"/>
          <w:bCs w:val="0"/>
        </w:rPr>
      </w:pPr>
    </w:p>
    <w:p w14:paraId="1E9CED73">
      <w:pPr>
        <w:spacing w:line="480" w:lineRule="auto"/>
        <w:jc w:val="both"/>
        <w:rPr>
          <w:b/>
          <w:lang w:val="en-US"/>
        </w:rPr>
      </w:pPr>
      <w:r>
        <w:rPr>
          <w:b/>
          <w:lang w:val="en-US"/>
        </w:rPr>
        <w:t>2.7</w:t>
      </w:r>
      <w:r>
        <w:rPr>
          <w:b/>
          <w:lang w:val="en-US"/>
        </w:rPr>
        <w:tab/>
      </w:r>
      <w:r>
        <w:rPr>
          <w:b/>
          <w:lang w:val="en-US"/>
        </w:rPr>
        <w:t>Kerangka Konseptual</w:t>
      </w:r>
    </w:p>
    <w:p w14:paraId="4EE3FE59">
      <w:pPr>
        <w:pStyle w:val="14"/>
        <w:autoSpaceDE w:val="0"/>
        <w:autoSpaceDN w:val="0"/>
        <w:adjustRightInd w:val="0"/>
        <w:spacing w:line="480" w:lineRule="auto"/>
        <w:ind w:left="0" w:firstLine="720"/>
        <w:jc w:val="both"/>
        <w:rPr>
          <w:lang w:val="en-US"/>
        </w:rPr>
      </w:pPr>
      <w:r>
        <w:rPr>
          <w:lang w:val="en-US"/>
        </w:rPr>
        <w:t xml:space="preserve">Kerangka konsep menurut (Sugiyono, 2020) adalah suatu hubungan yang akan menghubungkan secara teoritis antara variabel-variabel penelitian yaitu, antara variabel independen dengan variabel dependen yang akan di amati atau di ukur melalui penelitian yang akan di laksanakan. </w:t>
      </w:r>
    </w:p>
    <w:p w14:paraId="392736A8">
      <w:pPr>
        <w:autoSpaceDE w:val="0"/>
        <w:autoSpaceDN w:val="0"/>
        <w:adjustRightInd w:val="0"/>
        <w:spacing w:line="480" w:lineRule="auto"/>
        <w:ind w:firstLine="450"/>
        <w:jc w:val="both"/>
      </w:pPr>
      <w:r>
        <w:t>Berdasarkan tinjauan landasan teori dan penelitian terdahulu, maka dapat disusun suatu kerangka konseptual dalam penelitian ini, seperti yang disajikan dalam gambar dibawah ini:</w:t>
      </w:r>
    </w:p>
    <w:p w14:paraId="2A26E782">
      <w:pPr>
        <w:autoSpaceDE w:val="0"/>
        <w:autoSpaceDN w:val="0"/>
        <w:adjustRightInd w:val="0"/>
        <w:spacing w:line="360" w:lineRule="auto"/>
        <w:jc w:val="both"/>
        <w:rPr>
          <w:lang w:val="en-US"/>
        </w:rPr>
      </w:pPr>
      <w:r>
        <w:rPr>
          <w:lang w:val="en-US" w:eastAsia="en-US"/>
        </w:rPr>
        <mc:AlternateContent>
          <mc:Choice Requires="wpg">
            <w:drawing>
              <wp:anchor distT="0" distB="0" distL="114300" distR="114300" simplePos="0" relativeHeight="251659264" behindDoc="0" locked="0" layoutInCell="1" allowOverlap="1">
                <wp:simplePos x="0" y="0"/>
                <wp:positionH relativeFrom="margin">
                  <wp:align>right</wp:align>
                </wp:positionH>
                <wp:positionV relativeFrom="paragraph">
                  <wp:posOffset>43180</wp:posOffset>
                </wp:positionV>
                <wp:extent cx="5017770" cy="2137410"/>
                <wp:effectExtent l="0" t="0" r="11430" b="15240"/>
                <wp:wrapNone/>
                <wp:docPr id="13" name="Group 13"/>
                <wp:cNvGraphicFramePr/>
                <a:graphic xmlns:a="http://schemas.openxmlformats.org/drawingml/2006/main">
                  <a:graphicData uri="http://schemas.microsoft.com/office/word/2010/wordprocessingGroup">
                    <wpg:wgp>
                      <wpg:cNvGrpSpPr/>
                      <wpg:grpSpPr>
                        <a:xfrm>
                          <a:off x="0" y="0"/>
                          <a:ext cx="5017770" cy="2137410"/>
                          <a:chOff x="0" y="0"/>
                          <a:chExt cx="5018154" cy="2828260"/>
                        </a:xfrm>
                      </wpg:grpSpPr>
                      <wps:wsp>
                        <wps:cNvPr id="6" name="Rectangle 6"/>
                        <wps:cNvSpPr/>
                        <wps:spPr>
                          <a:xfrm>
                            <a:off x="0" y="0"/>
                            <a:ext cx="2339163" cy="28282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 name="Rectangle 2"/>
                        <wps:cNvSpPr/>
                        <wps:spPr>
                          <a:xfrm>
                            <a:off x="170121" y="223284"/>
                            <a:ext cx="2009554" cy="7017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45E169">
                              <w:pPr>
                                <w:jc w:val="center"/>
                                <w:rPr>
                                  <w:lang w:val="en-US"/>
                                </w:rPr>
                              </w:pPr>
                              <w:r>
                                <w:rPr>
                                  <w:lang w:val="en-US"/>
                                </w:rPr>
                                <w:t>PEMAHAMAN PERPAJAKAN</w:t>
                              </w:r>
                            </w:p>
                            <w:p w14:paraId="18B69C15">
                              <w:pPr>
                                <w:jc w:val="center"/>
                                <w:rPr>
                                  <w:lang w:val="en-US"/>
                                </w:rPr>
                              </w:pPr>
                              <w:r>
                                <w:rPr>
                                  <w:lang w:val="en-US"/>
                                </w:rPr>
                                <w:t>(X</w:t>
                              </w:r>
                              <w:r>
                                <w:rPr>
                                  <w:vertAlign w:val="subscript"/>
                                  <w:lang w:val="en-US"/>
                                </w:rPr>
                                <w:t>1</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 name="Rectangle 3"/>
                        <wps:cNvSpPr/>
                        <wps:spPr>
                          <a:xfrm>
                            <a:off x="180754" y="1073888"/>
                            <a:ext cx="2009140" cy="701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664C47">
                              <w:pPr>
                                <w:jc w:val="center"/>
                                <w:rPr>
                                  <w:lang w:val="en-US"/>
                                </w:rPr>
                              </w:pPr>
                              <w:r>
                                <w:rPr>
                                  <w:lang w:val="en-US"/>
                                </w:rPr>
                                <w:t>KESADARAN WAJIB PAJAK</w:t>
                              </w:r>
                            </w:p>
                            <w:p w14:paraId="16FFDB6D">
                              <w:pPr>
                                <w:jc w:val="center"/>
                                <w:rPr>
                                  <w:lang w:val="en-US"/>
                                </w:rPr>
                              </w:pPr>
                              <w:r>
                                <w:rPr>
                                  <w:lang w:val="en-US"/>
                                </w:rPr>
                                <w:t>(X</w:t>
                              </w:r>
                              <w:r>
                                <w:rPr>
                                  <w:vertAlign w:val="subscript"/>
                                  <w:lang w:val="en-US"/>
                                </w:rPr>
                                <w:t>2</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Rectangle 4"/>
                        <wps:cNvSpPr/>
                        <wps:spPr>
                          <a:xfrm>
                            <a:off x="202019" y="1934597"/>
                            <a:ext cx="2009140" cy="80044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4F0FFD1">
                              <w:pPr>
                                <w:jc w:val="center"/>
                                <w:rPr>
                                  <w:lang w:val="en-US"/>
                                </w:rPr>
                              </w:pPr>
                              <w:r>
                                <w:rPr>
                                  <w:lang w:val="en-US"/>
                                </w:rPr>
                                <w:t>PENURUNAN TARIF PAJAK PP NO 23 TAHUN 2018</w:t>
                              </w:r>
                            </w:p>
                            <w:p w14:paraId="18822D80">
                              <w:pPr>
                                <w:jc w:val="center"/>
                                <w:rPr>
                                  <w:lang w:val="en-US"/>
                                </w:rPr>
                              </w:pPr>
                              <w:r>
                                <w:rPr>
                                  <w:lang w:val="en-US"/>
                                </w:rPr>
                                <w:t>(X</w:t>
                              </w:r>
                              <w:r>
                                <w:rPr>
                                  <w:vertAlign w:val="subscript"/>
                                  <w:lang w:val="en-US"/>
                                </w:rPr>
                                <w:t>3</w:t>
                              </w:r>
                              <w:r>
                                <w:rPr>
                                  <w:lang w:val="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 name="Rectangle 5"/>
                        <wps:cNvSpPr/>
                        <wps:spPr>
                          <a:xfrm>
                            <a:off x="3009014" y="1084521"/>
                            <a:ext cx="2009140" cy="7016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390E0B">
                              <w:pPr>
                                <w:jc w:val="center"/>
                                <w:rPr>
                                  <w:lang w:val="en-US"/>
                                </w:rPr>
                              </w:pPr>
                              <w:r>
                                <w:rPr>
                                  <w:lang w:val="en-US"/>
                                </w:rPr>
                                <w:t>KEPATUHAN WAJIB PAJAK (Y)</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 name="Straight Arrow Connector 8"/>
                        <wps:cNvCnPr/>
                        <wps:spPr>
                          <a:xfrm>
                            <a:off x="2339163" y="659219"/>
                            <a:ext cx="670309" cy="754911"/>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1" name="Straight Arrow Connector 11"/>
                        <wps:cNvCnPr/>
                        <wps:spPr>
                          <a:xfrm flipV="1">
                            <a:off x="2339163" y="1414130"/>
                            <a:ext cx="669851" cy="861325"/>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2" name="Straight Arrow Connector 12"/>
                        <wps:cNvCnPr/>
                        <wps:spPr>
                          <a:xfrm>
                            <a:off x="2339163" y="1435395"/>
                            <a:ext cx="669851"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g:wgp>
                  </a:graphicData>
                </a:graphic>
              </wp:anchor>
            </w:drawing>
          </mc:Choice>
          <mc:Fallback>
            <w:pict>
              <v:group id="_x0000_s1026" o:spid="_x0000_s1026" o:spt="203" style="position:absolute;left:0pt;margin-top:3.4pt;height:168.3pt;width:395.1pt;mso-position-horizontal:right;mso-position-horizontal-relative:margin;z-index:251659264;mso-width-relative:page;mso-height-relative:page;" coordsize="5018154,2828260" o:gfxdata="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">
                <o:lock v:ext="edit" aspectratio="f"/>
                <v:rect id="_x0000_s1026" o:spid="_x0000_s1026" o:spt="1" style="position:absolute;left:0;top:0;height:2828260;width:2339163;v-text-anchor:middle;" fillcolor="#FFFFFF [3201]" filled="t" stroked="t" coordsize="21600,21600" o:gfxdata="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PVGW7sAAADa&#10;AAAADwAAAAAAAAABACAAAAAiAAAAZHJzL2Rvd25yZXYueG1sUEsBAhQAFAAAAAgAh07iQDMvBZ47&#10;AAAAOQAAABAAAAAAAAAAAQAgAAAACgEAAGRycy9zaGFwZXhtbC54bWxQSwUGAAAAAAYABgBbAQAA&#10;tAMAAAAA&#10;">
                  <v:fill on="t" focussize="0,0"/>
                  <v:stroke weight="2pt" color="#000000 [3200]" joinstyle="round"/>
                  <v:imagedata o:title=""/>
                  <o:lock v:ext="edit" aspectratio="f"/>
                </v:rect>
                <v:rect id="_x0000_s1026" o:spid="_x0000_s1026" o:spt="1" style="position:absolute;left:170121;top:223284;height:701748;width:2009554;v-text-anchor:middle;" fillcolor="#FFFFFF [3201]" filled="t" stroked="t" coordsize="21600,21600" o:gfxdata="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QFi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7645E169">
                        <w:pPr>
                          <w:jc w:val="center"/>
                          <w:rPr>
                            <w:lang w:val="en-US"/>
                          </w:rPr>
                        </w:pPr>
                        <w:r>
                          <w:rPr>
                            <w:lang w:val="en-US"/>
                          </w:rPr>
                          <w:t>PEMAHAMAN PERPAJAKAN</w:t>
                        </w:r>
                      </w:p>
                      <w:p w14:paraId="18B69C15">
                        <w:pPr>
                          <w:jc w:val="center"/>
                          <w:rPr>
                            <w:lang w:val="en-US"/>
                          </w:rPr>
                        </w:pPr>
                        <w:r>
                          <w:rPr>
                            <w:lang w:val="en-US"/>
                          </w:rPr>
                          <w:t>(X</w:t>
                        </w:r>
                        <w:r>
                          <w:rPr>
                            <w:vertAlign w:val="subscript"/>
                            <w:lang w:val="en-US"/>
                          </w:rPr>
                          <w:t>1</w:t>
                        </w:r>
                        <w:r>
                          <w:rPr>
                            <w:lang w:val="en-US"/>
                          </w:rPr>
                          <w:t>)</w:t>
                        </w:r>
                      </w:p>
                    </w:txbxContent>
                  </v:textbox>
                </v:rect>
                <v:rect id="_x0000_s1026" o:spid="_x0000_s1026" o:spt="1" style="position:absolute;left:180754;top:1073888;height:701675;width:2009140;v-text-anchor:middle;" fillcolor="#FFFFFF [3201]" filled="t" stroked="t" coordsize="21600,21600" o:gfxdata="UEsDBAoAAAAAAIdO4kAAAAAAAAAAAAAAAAAEAAAAZHJzL1BLAwQUAAAACACHTuJAQILlw7wAAADa&#10;AAAADwAAAGRycy9kb3ducmV2LnhtbEWPzWrDMBCE74G+g9hCbokUB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CC5cO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23664C47">
                        <w:pPr>
                          <w:jc w:val="center"/>
                          <w:rPr>
                            <w:lang w:val="en-US"/>
                          </w:rPr>
                        </w:pPr>
                        <w:r>
                          <w:rPr>
                            <w:lang w:val="en-US"/>
                          </w:rPr>
                          <w:t>KESADARAN WAJIB PAJAK</w:t>
                        </w:r>
                      </w:p>
                      <w:p w14:paraId="16FFDB6D">
                        <w:pPr>
                          <w:jc w:val="center"/>
                          <w:rPr>
                            <w:lang w:val="en-US"/>
                          </w:rPr>
                        </w:pPr>
                        <w:r>
                          <w:rPr>
                            <w:lang w:val="en-US"/>
                          </w:rPr>
                          <w:t>(X</w:t>
                        </w:r>
                        <w:r>
                          <w:rPr>
                            <w:vertAlign w:val="subscript"/>
                            <w:lang w:val="en-US"/>
                          </w:rPr>
                          <w:t>2</w:t>
                        </w:r>
                        <w:r>
                          <w:rPr>
                            <w:lang w:val="en-US"/>
                          </w:rPr>
                          <w:t>)</w:t>
                        </w:r>
                      </w:p>
                    </w:txbxContent>
                  </v:textbox>
                </v:rect>
                <v:rect id="_x0000_s1026" o:spid="_x0000_s1026" o:spt="1" style="position:absolute;left:202019;top:1934597;height:800447;width:2009140;v-text-anchor:middle;" fillcolor="#FFFFFF [3201]" filled="t" stroked="t" coordsize="21600,21600" o:gfxdata="UEsDBAoAAAAAAIdO4kAAAAAAAAAAAAAAAAAEAAAAZHJzL1BLAwQUAAAACACHTuJAz2t9t7wAAADa&#10;AAAADwAAAGRycy9kb3ducmV2LnhtbEWPzWrDMBCE74G+g9hCbokUE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rfbe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74F0FFD1">
                        <w:pPr>
                          <w:jc w:val="center"/>
                          <w:rPr>
                            <w:lang w:val="en-US"/>
                          </w:rPr>
                        </w:pPr>
                        <w:r>
                          <w:rPr>
                            <w:lang w:val="en-US"/>
                          </w:rPr>
                          <w:t>PENURUNAN TARIF PAJAK PP NO 23 TAHUN 2018</w:t>
                        </w:r>
                      </w:p>
                      <w:p w14:paraId="18822D80">
                        <w:pPr>
                          <w:jc w:val="center"/>
                          <w:rPr>
                            <w:lang w:val="en-US"/>
                          </w:rPr>
                        </w:pPr>
                        <w:r>
                          <w:rPr>
                            <w:lang w:val="en-US"/>
                          </w:rPr>
                          <w:t>(X</w:t>
                        </w:r>
                        <w:r>
                          <w:rPr>
                            <w:vertAlign w:val="subscript"/>
                            <w:lang w:val="en-US"/>
                          </w:rPr>
                          <w:t>3</w:t>
                        </w:r>
                        <w:r>
                          <w:rPr>
                            <w:lang w:val="en-US"/>
                          </w:rPr>
                          <w:t>)</w:t>
                        </w:r>
                      </w:p>
                    </w:txbxContent>
                  </v:textbox>
                </v:rect>
                <v:rect id="_x0000_s1026" o:spid="_x0000_s1026" o:spt="1" style="position:absolute;left:3009014;top:1084521;height:701675;width:2009140;v-text-anchor:middle;" fillcolor="#FFFFFF [3201]" filled="t" stroked="t" coordsize="21600,21600" o:gfxdata="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An2Cy8AAAA&#10;2gAAAA8AAAAAAAAAAQAgAAAAIgAAAGRycy9kb3ducmV2LnhtbFBLAQIUABQAAAAIAIdO4kAzLwWe&#10;OwAAADkAAAAQAAAAAAAAAAEAIAAAAAsBAABkcnMvc2hhcGV4bWwueG1sUEsFBgAAAAAGAAYAWwEA&#10;ALUDAAAAAA==&#10;">
                  <v:fill on="t" focussize="0,0"/>
                  <v:stroke weight="2pt" color="#000000 [3213]" joinstyle="round"/>
                  <v:imagedata o:title=""/>
                  <o:lock v:ext="edit" aspectratio="f"/>
                  <v:textbox>
                    <w:txbxContent>
                      <w:p w14:paraId="3C390E0B">
                        <w:pPr>
                          <w:jc w:val="center"/>
                          <w:rPr>
                            <w:lang w:val="en-US"/>
                          </w:rPr>
                        </w:pPr>
                        <w:r>
                          <w:rPr>
                            <w:lang w:val="en-US"/>
                          </w:rPr>
                          <w:t>KEPATUHAN WAJIB PAJAK (Y)</w:t>
                        </w:r>
                      </w:p>
                    </w:txbxContent>
                  </v:textbox>
                </v:rect>
                <v:shape id="_x0000_s1026" o:spid="_x0000_s1026" o:spt="32" type="#_x0000_t32" style="position:absolute;left:2339163;top:659219;height:754911;width:670309;" filled="f" stroked="t" coordsize="21600,21600" o:gfxdata="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h7mS7gAAADaAAAA&#10;DwAAAAAAAAABACAAAAAiAAAAZHJzL2Rvd25yZXYueG1sUEsBAhQAFAAAAAgAh07iQDMvBZ47AAAA&#10;OQAAABAAAAAAAAAAAQAgAAAABwEAAGRycy9zaGFwZXhtbC54bWxQSwUGAAAAAAYABgBbAQAAsQMA&#10;AAAA&#10;">
                  <v:fill on="f" focussize="0,0"/>
                  <v:stroke weight="2pt" color="#000000 [3200]" joinstyle="round" endarrow="open"/>
                  <v:imagedata o:title=""/>
                  <o:lock v:ext="edit" aspectratio="f"/>
                  <v:shadow on="t" color="#000000" opacity="24903f" offset="0pt,1.5748031496063pt" origin="0f,32768f" matrix="65536f,0f,0f,65536f"/>
                </v:shape>
                <v:shape id="_x0000_s1026" o:spid="_x0000_s1026" o:spt="32" type="#_x0000_t32" style="position:absolute;left:2339163;top:1414130;flip:y;height:861325;width:669851;" filled="f" stroked="t" coordsize="21600,21600" o:gfxdata="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e8U+vQAA&#10;ANsAAAAPAAAAAAAAAAEAIAAAACIAAABkcnMvZG93bnJldi54bWxQSwECFAAUAAAACACHTuJAMy8F&#10;njsAAAA5AAAAEAAAAAAAAAABACAAAAAMAQAAZHJzL3NoYXBleG1sLnhtbFBLBQYAAAAABgAGAFsB&#10;AAC2AwAAAAA=&#10;">
                  <v:fill on="f" focussize="0,0"/>
                  <v:stroke weight="2pt" color="#000000 [3200]" joinstyle="round" endarrow="open"/>
                  <v:imagedata o:title=""/>
                  <o:lock v:ext="edit" aspectratio="f"/>
                  <v:shadow on="t" color="#000000" opacity="24903f" offset="0pt,1.5748031496063pt" origin="0f,32768f" matrix="65536f,0f,0f,65536f"/>
                </v:shape>
                <v:shape id="_x0000_s1026" o:spid="_x0000_s1026" o:spt="32" type="#_x0000_t32" style="position:absolute;left:2339163;top:1435395;height:0;width:669851;" filled="f" stroked="t" coordsize="21600,21600" o:gfxdata="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VELXf7gAAADbAAAA&#10;DwAAAAAAAAABACAAAAAiAAAAZHJzL2Rvd25yZXYueG1sUEsBAhQAFAAAAAgAh07iQDMvBZ47AAAA&#10;OQAAABAAAAAAAAAAAQAgAAAABwEAAGRycy9zaGFwZXhtbC54bWxQSwUGAAAAAAYABgBbAQAAsQMA&#10;AAAA&#10;">
                  <v:fill on="f" focussize="0,0"/>
                  <v:stroke weight="2pt" color="#000000 [3200]" joinstyle="round" endarrow="open"/>
                  <v:imagedata o:title=""/>
                  <o:lock v:ext="edit" aspectratio="f"/>
                  <v:shadow on="t" color="#000000" opacity="24903f" offset="0pt,1.5748031496063pt" origin="0f,32768f" matrix="65536f,0f,0f,65536f"/>
                </v:shape>
              </v:group>
            </w:pict>
          </mc:Fallback>
        </mc:AlternateContent>
      </w:r>
    </w:p>
    <w:p w14:paraId="272A3E0E">
      <w:pPr>
        <w:tabs>
          <w:tab w:val="center" w:pos="4285"/>
        </w:tabs>
        <w:spacing w:after="200" w:line="276" w:lineRule="auto"/>
        <w:rPr>
          <w:lang w:val="en-US"/>
        </w:rPr>
      </w:pPr>
      <w:r>
        <w:rPr>
          <w:lang w:val="en-US"/>
        </w:rPr>
        <w:tab/>
      </w:r>
    </w:p>
    <w:p w14:paraId="316AF79D">
      <w:pPr>
        <w:ind w:left="66"/>
        <w:jc w:val="both"/>
        <w:rPr>
          <w:b/>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14:paraId="112301E7">
      <w:pPr>
        <w:spacing w:line="480" w:lineRule="auto"/>
        <w:ind w:left="1980" w:firstLine="720"/>
        <w:rPr>
          <w:b/>
          <w:lang w:val="en-US"/>
        </w:rPr>
      </w:pPr>
    </w:p>
    <w:p w14:paraId="56B26308">
      <w:pPr>
        <w:spacing w:line="480" w:lineRule="auto"/>
        <w:ind w:left="1980" w:firstLine="720"/>
        <w:rPr>
          <w:b/>
          <w:lang w:val="en-US"/>
        </w:rPr>
      </w:pPr>
    </w:p>
    <w:p w14:paraId="3A4AFCB8">
      <w:pPr>
        <w:spacing w:line="480" w:lineRule="auto"/>
        <w:ind w:left="1980" w:firstLine="720"/>
        <w:rPr>
          <w:b/>
          <w:lang w:val="en-US"/>
        </w:rPr>
      </w:pPr>
    </w:p>
    <w:p w14:paraId="4169D556">
      <w:pPr>
        <w:spacing w:line="480" w:lineRule="auto"/>
        <w:ind w:left="1980" w:firstLine="720"/>
        <w:rPr>
          <w:b/>
          <w:lang w:val="en-US"/>
        </w:rPr>
      </w:pPr>
    </w:p>
    <w:p w14:paraId="5E24E276">
      <w:pPr>
        <w:spacing w:line="480" w:lineRule="auto"/>
        <w:ind w:left="1980" w:firstLine="720"/>
        <w:rPr>
          <w:b/>
        </w:rPr>
      </w:pPr>
      <w:r>
        <w:rPr>
          <w:b/>
          <w:lang w:val="en-US"/>
        </w:rPr>
        <w:t>Gambar</w:t>
      </w:r>
      <w:r>
        <w:rPr>
          <w:b/>
        </w:rPr>
        <w:t xml:space="preserve"> 2.</w:t>
      </w:r>
      <w:r>
        <w:rPr>
          <w:b/>
          <w:lang w:val="en-US"/>
        </w:rPr>
        <w:t>7</w:t>
      </w:r>
      <w:r>
        <w:rPr>
          <w:b/>
        </w:rPr>
        <w:t xml:space="preserve"> Kerangka Konseptual</w:t>
      </w:r>
    </w:p>
    <w:p w14:paraId="59ACAB53">
      <w:pPr>
        <w:pStyle w:val="6"/>
        <w:numPr>
          <w:ilvl w:val="0"/>
          <w:numId w:val="8"/>
        </w:numPr>
        <w:spacing w:line="480" w:lineRule="auto"/>
        <w:ind w:left="360"/>
        <w:jc w:val="both"/>
        <w:rPr>
          <w:b/>
          <w:bCs/>
        </w:rPr>
      </w:pPr>
      <w:r>
        <w:rPr>
          <w:b/>
          <w:bCs/>
        </w:rPr>
        <w:t>Pengaruh Pemahaman Perpajakan Terhadap Kepatuhan Wajib Pajak</w:t>
      </w:r>
    </w:p>
    <w:p w14:paraId="40A8C3FD">
      <w:pPr>
        <w:pStyle w:val="6"/>
        <w:spacing w:line="480" w:lineRule="auto"/>
        <w:ind w:firstLine="720"/>
        <w:jc w:val="both"/>
      </w:pPr>
      <w:r>
        <w:t>Pemahaman</w:t>
      </w:r>
      <w:r>
        <w:rPr>
          <w:spacing w:val="1"/>
        </w:rPr>
        <w:t xml:space="preserve"> </w:t>
      </w:r>
      <w:r>
        <w:t>perpajakan</w:t>
      </w:r>
      <w:r>
        <w:rPr>
          <w:spacing w:val="1"/>
        </w:rPr>
        <w:t xml:space="preserve"> </w:t>
      </w:r>
      <w:r>
        <w:t>adalah</w:t>
      </w:r>
      <w:r>
        <w:rPr>
          <w:spacing w:val="1"/>
        </w:rPr>
        <w:t xml:space="preserve"> </w:t>
      </w:r>
      <w:r>
        <w:t>suatu</w:t>
      </w:r>
      <w:r>
        <w:rPr>
          <w:spacing w:val="1"/>
        </w:rPr>
        <w:t xml:space="preserve"> </w:t>
      </w:r>
      <w:r>
        <w:t>proses</w:t>
      </w:r>
      <w:r>
        <w:rPr>
          <w:spacing w:val="1"/>
        </w:rPr>
        <w:t xml:space="preserve"> </w:t>
      </w:r>
      <w:r>
        <w:t>wajib</w:t>
      </w:r>
      <w:r>
        <w:rPr>
          <w:spacing w:val="1"/>
        </w:rPr>
        <w:t xml:space="preserve"> </w:t>
      </w:r>
      <w:r>
        <w:t>pajak untuk</w:t>
      </w:r>
      <w:r>
        <w:rPr>
          <w:spacing w:val="1"/>
        </w:rPr>
        <w:t xml:space="preserve"> </w:t>
      </w:r>
      <w:r>
        <w:t>memahami</w:t>
      </w:r>
      <w:r>
        <w:rPr>
          <w:spacing w:val="1"/>
        </w:rPr>
        <w:t xml:space="preserve"> </w:t>
      </w:r>
      <w:r>
        <w:t>dan</w:t>
      </w:r>
      <w:r>
        <w:rPr>
          <w:spacing w:val="1"/>
        </w:rPr>
        <w:t xml:space="preserve"> </w:t>
      </w:r>
      <w:r>
        <w:t>mengetahui</w:t>
      </w:r>
      <w:r>
        <w:rPr>
          <w:spacing w:val="1"/>
        </w:rPr>
        <w:t xml:space="preserve"> </w:t>
      </w:r>
      <w:r>
        <w:t>tentang</w:t>
      </w:r>
      <w:r>
        <w:rPr>
          <w:spacing w:val="1"/>
        </w:rPr>
        <w:t xml:space="preserve"> </w:t>
      </w:r>
      <w:r>
        <w:t>peraturan</w:t>
      </w:r>
      <w:r>
        <w:rPr>
          <w:spacing w:val="1"/>
        </w:rPr>
        <w:t xml:space="preserve"> </w:t>
      </w:r>
      <w:r>
        <w:t>dan</w:t>
      </w:r>
      <w:r>
        <w:rPr>
          <w:spacing w:val="1"/>
        </w:rPr>
        <w:t xml:space="preserve"> </w:t>
      </w:r>
      <w:r>
        <w:t>Undang-undang</w:t>
      </w:r>
      <w:r>
        <w:rPr>
          <w:spacing w:val="1"/>
        </w:rPr>
        <w:t xml:space="preserve"> </w:t>
      </w:r>
      <w:r>
        <w:t>serta</w:t>
      </w:r>
      <w:r>
        <w:rPr>
          <w:spacing w:val="1"/>
        </w:rPr>
        <w:t xml:space="preserve"> </w:t>
      </w:r>
      <w:r>
        <w:t>tata</w:t>
      </w:r>
      <w:r>
        <w:rPr>
          <w:spacing w:val="1"/>
        </w:rPr>
        <w:t xml:space="preserve"> </w:t>
      </w:r>
      <w:r>
        <w:t>cara</w:t>
      </w:r>
      <w:r>
        <w:rPr>
          <w:spacing w:val="1"/>
        </w:rPr>
        <w:t xml:space="preserve"> </w:t>
      </w:r>
      <w:r>
        <w:t>perpajakan yang berlaku dan menerapkannya untuk melaksanakan kegiatan perpajakan</w:t>
      </w:r>
      <w:r>
        <w:rPr>
          <w:spacing w:val="1"/>
        </w:rPr>
        <w:t xml:space="preserve"> </w:t>
      </w:r>
      <w:r>
        <w:t>seperti,</w:t>
      </w:r>
      <w:r>
        <w:rPr>
          <w:spacing w:val="1"/>
        </w:rPr>
        <w:t xml:space="preserve"> </w:t>
      </w:r>
      <w:r>
        <w:t>membayar</w:t>
      </w:r>
      <w:r>
        <w:rPr>
          <w:spacing w:val="1"/>
        </w:rPr>
        <w:t xml:space="preserve"> </w:t>
      </w:r>
      <w:r>
        <w:t>pajak</w:t>
      </w:r>
      <w:r>
        <w:rPr>
          <w:spacing w:val="1"/>
        </w:rPr>
        <w:t xml:space="preserve"> </w:t>
      </w:r>
      <w:r>
        <w:t>tepat</w:t>
      </w:r>
      <w:r>
        <w:rPr>
          <w:spacing w:val="1"/>
        </w:rPr>
        <w:t xml:space="preserve"> </w:t>
      </w:r>
      <w:r>
        <w:t>waktu,</w:t>
      </w:r>
      <w:r>
        <w:rPr>
          <w:spacing w:val="1"/>
        </w:rPr>
        <w:t xml:space="preserve"> </w:t>
      </w:r>
      <w:r>
        <w:t>melaporkan</w:t>
      </w:r>
      <w:r>
        <w:rPr>
          <w:spacing w:val="1"/>
        </w:rPr>
        <w:t xml:space="preserve"> </w:t>
      </w:r>
      <w:r>
        <w:t>SPT,</w:t>
      </w:r>
      <w:r>
        <w:rPr>
          <w:spacing w:val="1"/>
        </w:rPr>
        <w:t xml:space="preserve"> </w:t>
      </w:r>
      <w:r>
        <w:t>dan</w:t>
      </w:r>
      <w:r>
        <w:rPr>
          <w:spacing w:val="1"/>
        </w:rPr>
        <w:t xml:space="preserve"> </w:t>
      </w:r>
      <w:r>
        <w:t>lain</w:t>
      </w:r>
      <w:r>
        <w:rPr>
          <w:spacing w:val="1"/>
        </w:rPr>
        <w:t xml:space="preserve"> </w:t>
      </w:r>
      <w:r>
        <w:t>sebagainya.</w:t>
      </w:r>
      <w:r>
        <w:rPr>
          <w:spacing w:val="1"/>
        </w:rPr>
        <w:t xml:space="preserve"> </w:t>
      </w:r>
      <w:r>
        <w:t>Jika</w:t>
      </w:r>
      <w:r>
        <w:rPr>
          <w:spacing w:val="1"/>
        </w:rPr>
        <w:t xml:space="preserve"> </w:t>
      </w:r>
      <w:r>
        <w:t>seseorang telah memahami dan mengerti tentang peraturan perpajakan makan secara</w:t>
      </w:r>
      <w:r>
        <w:rPr>
          <w:spacing w:val="1"/>
        </w:rPr>
        <w:t xml:space="preserve"> </w:t>
      </w:r>
      <w:r>
        <w:t>otomatis</w:t>
      </w:r>
      <w:r>
        <w:rPr>
          <w:spacing w:val="1"/>
        </w:rPr>
        <w:t xml:space="preserve"> </w:t>
      </w:r>
      <w:r>
        <w:t>kepatuhan</w:t>
      </w:r>
      <w:r>
        <w:rPr>
          <w:spacing w:val="1"/>
        </w:rPr>
        <w:t xml:space="preserve"> </w:t>
      </w:r>
      <w:r>
        <w:t>wajib</w:t>
      </w:r>
      <w:r>
        <w:rPr>
          <w:spacing w:val="1"/>
        </w:rPr>
        <w:t xml:space="preserve"> </w:t>
      </w:r>
      <w:r>
        <w:t>pajak</w:t>
      </w:r>
      <w:r>
        <w:rPr>
          <w:spacing w:val="1"/>
        </w:rPr>
        <w:t xml:space="preserve"> </w:t>
      </w:r>
      <w:r>
        <w:t>dalam</w:t>
      </w:r>
      <w:r>
        <w:rPr>
          <w:spacing w:val="1"/>
        </w:rPr>
        <w:t xml:space="preserve"> </w:t>
      </w:r>
      <w:r>
        <w:t>membayar</w:t>
      </w:r>
      <w:r>
        <w:rPr>
          <w:spacing w:val="1"/>
        </w:rPr>
        <w:t xml:space="preserve"> </w:t>
      </w:r>
      <w:r>
        <w:t>pajak</w:t>
      </w:r>
      <w:r>
        <w:rPr>
          <w:spacing w:val="1"/>
        </w:rPr>
        <w:t xml:space="preserve"> </w:t>
      </w:r>
      <w:r>
        <w:t>akan</w:t>
      </w:r>
      <w:r>
        <w:rPr>
          <w:spacing w:val="1"/>
        </w:rPr>
        <w:t xml:space="preserve"> </w:t>
      </w:r>
      <w:r>
        <w:t>meningkat</w:t>
      </w:r>
      <w:r>
        <w:rPr>
          <w:spacing w:val="1"/>
        </w:rPr>
        <w:t xml:space="preserve"> </w:t>
      </w:r>
      <w:r>
        <w:t>dalam</w:t>
      </w:r>
      <w:r>
        <w:rPr>
          <w:spacing w:val="1"/>
        </w:rPr>
        <w:t xml:space="preserve"> </w:t>
      </w:r>
      <w:r>
        <w:t>(Wijayanti dan Sasongko,</w:t>
      </w:r>
      <w:r>
        <w:rPr>
          <w:spacing w:val="1"/>
        </w:rPr>
        <w:t xml:space="preserve"> </w:t>
      </w:r>
      <w:r>
        <w:t>2017).</w:t>
      </w:r>
    </w:p>
    <w:p w14:paraId="0FB3016A">
      <w:pPr>
        <w:pStyle w:val="6"/>
        <w:spacing w:line="480" w:lineRule="auto"/>
        <w:ind w:firstLine="720"/>
        <w:jc w:val="both"/>
      </w:pPr>
      <w:r>
        <w:t>Menurut (Fatimah &amp; Elan Nurhadi, 2024) Ini menandakan bahwa jika KPP Pratama Jakarta Pesanggrahan meningkatkan pemahaman wajib pajak terhadap kewajibannya akan dapat meningkatkan kepatuhan wajib pajak. Hal ini dapat dilakukan dengan meningkatkan pemahaman wajib pajak tentang peraturan perpajakan melalui sosialisasi perpajakan dan aturan pajak.</w:t>
      </w:r>
    </w:p>
    <w:p w14:paraId="01B96D0A">
      <w:pPr>
        <w:pStyle w:val="6"/>
        <w:numPr>
          <w:ilvl w:val="0"/>
          <w:numId w:val="8"/>
        </w:numPr>
        <w:spacing w:line="480" w:lineRule="auto"/>
        <w:ind w:left="450"/>
        <w:jc w:val="both"/>
        <w:rPr>
          <w:b/>
          <w:bCs/>
        </w:rPr>
      </w:pPr>
      <w:r>
        <w:rPr>
          <w:b/>
          <w:bCs/>
        </w:rPr>
        <w:t>Pengaruh Kesadaran Wajib Pajak Terhadap Kepatuhan Wajib Pajak</w:t>
      </w:r>
    </w:p>
    <w:p w14:paraId="27B3AAF5">
      <w:pPr>
        <w:pStyle w:val="6"/>
        <w:spacing w:line="480" w:lineRule="auto"/>
        <w:ind w:firstLine="720"/>
        <w:jc w:val="both"/>
      </w:pPr>
      <w:r>
        <w:t>Kesadaran</w:t>
      </w:r>
      <w:r>
        <w:rPr>
          <w:spacing w:val="1"/>
        </w:rPr>
        <w:t xml:space="preserve"> </w:t>
      </w:r>
      <w:r>
        <w:t>wajib</w:t>
      </w:r>
      <w:r>
        <w:rPr>
          <w:spacing w:val="1"/>
        </w:rPr>
        <w:t xml:space="preserve"> </w:t>
      </w:r>
      <w:r>
        <w:t>pajak</w:t>
      </w:r>
      <w:r>
        <w:rPr>
          <w:spacing w:val="1"/>
        </w:rPr>
        <w:t xml:space="preserve"> </w:t>
      </w:r>
      <w:r>
        <w:t>merupakan</w:t>
      </w:r>
      <w:r>
        <w:rPr>
          <w:spacing w:val="1"/>
        </w:rPr>
        <w:t xml:space="preserve"> </w:t>
      </w:r>
      <w:r>
        <w:t>suatu</w:t>
      </w:r>
      <w:r>
        <w:rPr>
          <w:spacing w:val="1"/>
        </w:rPr>
        <w:t xml:space="preserve"> </w:t>
      </w:r>
      <w:r>
        <w:t>kondisi</w:t>
      </w:r>
      <w:r>
        <w:rPr>
          <w:spacing w:val="1"/>
        </w:rPr>
        <w:t xml:space="preserve"> </w:t>
      </w:r>
      <w:r>
        <w:t>Wajib</w:t>
      </w:r>
      <w:r>
        <w:rPr>
          <w:spacing w:val="1"/>
        </w:rPr>
        <w:t xml:space="preserve"> </w:t>
      </w:r>
      <w:r>
        <w:t>Pajak</w:t>
      </w:r>
      <w:r>
        <w:rPr>
          <w:spacing w:val="1"/>
        </w:rPr>
        <w:t xml:space="preserve"> untuk </w:t>
      </w:r>
      <w:r>
        <w:t>mengetahui,</w:t>
      </w:r>
      <w:r>
        <w:rPr>
          <w:spacing w:val="1"/>
        </w:rPr>
        <w:t xml:space="preserve"> </w:t>
      </w:r>
      <w:r>
        <w:t>mengakui,</w:t>
      </w:r>
      <w:r>
        <w:rPr>
          <w:spacing w:val="1"/>
        </w:rPr>
        <w:t xml:space="preserve"> </w:t>
      </w:r>
      <w:r>
        <w:t>menghargai</w:t>
      </w:r>
      <w:r>
        <w:rPr>
          <w:spacing w:val="1"/>
        </w:rPr>
        <w:t xml:space="preserve"> </w:t>
      </w:r>
      <w:r>
        <w:t>dan</w:t>
      </w:r>
      <w:r>
        <w:rPr>
          <w:spacing w:val="1"/>
        </w:rPr>
        <w:t xml:space="preserve"> </w:t>
      </w:r>
      <w:r>
        <w:t>menaati</w:t>
      </w:r>
      <w:r>
        <w:rPr>
          <w:spacing w:val="1"/>
        </w:rPr>
        <w:t xml:space="preserve"> </w:t>
      </w:r>
      <w:r>
        <w:t>ketentuan</w:t>
      </w:r>
      <w:r>
        <w:rPr>
          <w:spacing w:val="1"/>
        </w:rPr>
        <w:t xml:space="preserve"> </w:t>
      </w:r>
      <w:r>
        <w:t>perpajakan yang berlaku serta memiliki kesungguhan dan keinginan untuk memenuhi</w:t>
      </w:r>
      <w:r>
        <w:rPr>
          <w:spacing w:val="1"/>
        </w:rPr>
        <w:t xml:space="preserve"> </w:t>
      </w:r>
      <w:r>
        <w:t>kewajiban pajaknya sesuai Undang-Undang perpajakan. Wajib pajak yang memiliki</w:t>
      </w:r>
      <w:r>
        <w:rPr>
          <w:spacing w:val="1"/>
        </w:rPr>
        <w:t xml:space="preserve"> </w:t>
      </w:r>
      <w:r>
        <w:t>kesadaran perpajakan</w:t>
      </w:r>
      <w:r>
        <w:rPr>
          <w:spacing w:val="1"/>
        </w:rPr>
        <w:t xml:space="preserve"> </w:t>
      </w:r>
      <w:r>
        <w:t>yang baik</w:t>
      </w:r>
      <w:r>
        <w:rPr>
          <w:spacing w:val="1"/>
        </w:rPr>
        <w:t xml:space="preserve"> </w:t>
      </w:r>
      <w:r>
        <w:t>akan</w:t>
      </w:r>
      <w:r>
        <w:rPr>
          <w:spacing w:val="1"/>
        </w:rPr>
        <w:t xml:space="preserve"> </w:t>
      </w:r>
      <w:r>
        <w:t>cenderung untuk patuh dalam melaksanakan</w:t>
      </w:r>
      <w:r>
        <w:rPr>
          <w:spacing w:val="1"/>
        </w:rPr>
        <w:t xml:space="preserve"> </w:t>
      </w:r>
      <w:r>
        <w:t>kewajiban</w:t>
      </w:r>
      <w:r>
        <w:rPr>
          <w:spacing w:val="-1"/>
        </w:rPr>
        <w:t xml:space="preserve"> </w:t>
      </w:r>
      <w:r>
        <w:t>perpajakannya.</w:t>
      </w:r>
    </w:p>
    <w:p w14:paraId="38584393">
      <w:pPr>
        <w:pStyle w:val="6"/>
        <w:spacing w:line="480" w:lineRule="auto"/>
        <w:ind w:firstLine="720"/>
        <w:jc w:val="both"/>
      </w:pPr>
      <w:r>
        <w:t>Menurut (Fatimah &amp; Elan Nurhadi, 2024) menunjukan bahwa kepatuhan wajib pajak terutama didorong oleh kesadaran wajib pajak itu sendiri. KPP Pratama perlu meningkatkan kesadaran wajib pajak dalam diri wajib pajak untuk meningkatkan kepatuhan wajib pajak. KPP perlu terus menerus memberikan sosilisasi bahwa pajak diatur dan dipungut langsung berdasarkan undang – undang. Selain itu perlu djelaskan kepada masyarakat bahwa fungsi dan manfaat pajak akan dirasakan atau dinikmati oleh wajib pajak sendiri maupun masyarakat melalui infrastruktur prasaran dan sarana yang pembangunannya dibiayai dari pajak.</w:t>
      </w:r>
    </w:p>
    <w:p w14:paraId="69685533">
      <w:pPr>
        <w:pStyle w:val="6"/>
        <w:spacing w:line="480" w:lineRule="auto"/>
        <w:ind w:firstLine="720"/>
        <w:jc w:val="both"/>
      </w:pPr>
    </w:p>
    <w:p w14:paraId="7C321D3B">
      <w:pPr>
        <w:pStyle w:val="6"/>
        <w:spacing w:line="480" w:lineRule="auto"/>
        <w:ind w:firstLine="720"/>
        <w:jc w:val="both"/>
      </w:pPr>
    </w:p>
    <w:p w14:paraId="5627FF26">
      <w:pPr>
        <w:pStyle w:val="6"/>
        <w:numPr>
          <w:ilvl w:val="0"/>
          <w:numId w:val="8"/>
        </w:numPr>
        <w:spacing w:line="480" w:lineRule="auto"/>
        <w:ind w:left="450"/>
        <w:jc w:val="both"/>
        <w:rPr>
          <w:b/>
          <w:bCs/>
        </w:rPr>
      </w:pPr>
      <w:r>
        <w:rPr>
          <w:b/>
          <w:bCs/>
        </w:rPr>
        <w:t>Pengaruh Penurunan Tarif Pajak PP No. 23 Tahun 2018 Terhadap Kepatuhan Wajib Pajak</w:t>
      </w:r>
    </w:p>
    <w:p w14:paraId="13588318">
      <w:pPr>
        <w:pStyle w:val="6"/>
        <w:spacing w:line="480" w:lineRule="auto"/>
        <w:ind w:firstLine="709"/>
        <w:jc w:val="both"/>
      </w:pPr>
      <w:r>
        <w:t>PP</w:t>
      </w:r>
      <w:r>
        <w:rPr>
          <w:spacing w:val="1"/>
        </w:rPr>
        <w:t xml:space="preserve"> </w:t>
      </w:r>
      <w:r>
        <w:t>No.</w:t>
      </w:r>
      <w:r>
        <w:rPr>
          <w:spacing w:val="1"/>
        </w:rPr>
        <w:t xml:space="preserve"> </w:t>
      </w:r>
      <w:r>
        <w:t>23</w:t>
      </w:r>
      <w:r>
        <w:rPr>
          <w:spacing w:val="1"/>
        </w:rPr>
        <w:t xml:space="preserve"> </w:t>
      </w:r>
      <w:r>
        <w:t>Tahun</w:t>
      </w:r>
      <w:r>
        <w:rPr>
          <w:spacing w:val="1"/>
        </w:rPr>
        <w:t xml:space="preserve"> </w:t>
      </w:r>
      <w:r>
        <w:t>2018</w:t>
      </w:r>
      <w:r>
        <w:rPr>
          <w:spacing w:val="1"/>
        </w:rPr>
        <w:t xml:space="preserve"> </w:t>
      </w:r>
      <w:r>
        <w:t>merupakan</w:t>
      </w:r>
      <w:r>
        <w:rPr>
          <w:spacing w:val="1"/>
        </w:rPr>
        <w:t xml:space="preserve"> </w:t>
      </w:r>
      <w:r>
        <w:t>pajak</w:t>
      </w:r>
      <w:r>
        <w:rPr>
          <w:spacing w:val="1"/>
        </w:rPr>
        <w:t xml:space="preserve"> </w:t>
      </w:r>
      <w:r>
        <w:t>yang</w:t>
      </w:r>
      <w:r>
        <w:rPr>
          <w:spacing w:val="1"/>
        </w:rPr>
        <w:t xml:space="preserve"> </w:t>
      </w:r>
      <w:r>
        <w:t>dikenakan</w:t>
      </w:r>
      <w:r>
        <w:rPr>
          <w:spacing w:val="1"/>
        </w:rPr>
        <w:t xml:space="preserve"> </w:t>
      </w:r>
      <w:r>
        <w:t>atas</w:t>
      </w:r>
      <w:r>
        <w:rPr>
          <w:spacing w:val="1"/>
        </w:rPr>
        <w:t xml:space="preserve"> </w:t>
      </w:r>
      <w:r>
        <w:t>UMKM</w:t>
      </w:r>
      <w:r>
        <w:rPr>
          <w:spacing w:val="1"/>
        </w:rPr>
        <w:t xml:space="preserve"> </w:t>
      </w:r>
      <w:r>
        <w:t>yang</w:t>
      </w:r>
      <w:r>
        <w:rPr>
          <w:spacing w:val="1"/>
        </w:rPr>
        <w:t xml:space="preserve"> </w:t>
      </w:r>
      <w:r>
        <w:t>peredaran</w:t>
      </w:r>
      <w:r>
        <w:rPr>
          <w:spacing w:val="1"/>
        </w:rPr>
        <w:t xml:space="preserve"> </w:t>
      </w:r>
      <w:r>
        <w:t>brutonya</w:t>
      </w:r>
      <w:r>
        <w:rPr>
          <w:spacing w:val="1"/>
        </w:rPr>
        <w:t xml:space="preserve"> </w:t>
      </w:r>
      <w:r>
        <w:t>di</w:t>
      </w:r>
      <w:r>
        <w:rPr>
          <w:spacing w:val="1"/>
        </w:rPr>
        <w:t xml:space="preserve"> </w:t>
      </w:r>
      <w:r>
        <w:t>bawah</w:t>
      </w:r>
      <w:r>
        <w:rPr>
          <w:spacing w:val="1"/>
        </w:rPr>
        <w:t xml:space="preserve"> </w:t>
      </w:r>
      <w:r>
        <w:t>4,8</w:t>
      </w:r>
      <w:r>
        <w:rPr>
          <w:spacing w:val="1"/>
        </w:rPr>
        <w:t xml:space="preserve"> </w:t>
      </w:r>
      <w:r>
        <w:t>miliar</w:t>
      </w:r>
      <w:r>
        <w:rPr>
          <w:spacing w:val="1"/>
        </w:rPr>
        <w:t xml:space="preserve"> </w:t>
      </w:r>
      <w:r>
        <w:t>yang</w:t>
      </w:r>
      <w:r>
        <w:rPr>
          <w:spacing w:val="1"/>
        </w:rPr>
        <w:t xml:space="preserve"> </w:t>
      </w:r>
      <w:r>
        <w:t>berlaku</w:t>
      </w:r>
      <w:r>
        <w:rPr>
          <w:spacing w:val="1"/>
        </w:rPr>
        <w:t xml:space="preserve"> </w:t>
      </w:r>
      <w:r>
        <w:t>efektif</w:t>
      </w:r>
      <w:r>
        <w:rPr>
          <w:spacing w:val="1"/>
        </w:rPr>
        <w:t xml:space="preserve"> </w:t>
      </w:r>
      <w:r>
        <w:t>tanggal</w:t>
      </w:r>
      <w:r>
        <w:rPr>
          <w:spacing w:val="1"/>
        </w:rPr>
        <w:t xml:space="preserve"> </w:t>
      </w:r>
      <w:r>
        <w:t>1</w:t>
      </w:r>
      <w:r>
        <w:rPr>
          <w:spacing w:val="1"/>
        </w:rPr>
        <w:t xml:space="preserve"> </w:t>
      </w:r>
      <w:r>
        <w:t>Juli</w:t>
      </w:r>
      <w:r>
        <w:rPr>
          <w:spacing w:val="1"/>
        </w:rPr>
        <w:t xml:space="preserve"> </w:t>
      </w:r>
      <w:r>
        <w:t>2018.</w:t>
      </w:r>
      <w:r>
        <w:rPr>
          <w:spacing w:val="1"/>
        </w:rPr>
        <w:t xml:space="preserve"> </w:t>
      </w:r>
      <w:r>
        <w:t>Terjadinya pergantian ini bertujuan untuk menurunkan tarif PPh final yang sebelumnya</w:t>
      </w:r>
      <w:r>
        <w:rPr>
          <w:spacing w:val="1"/>
        </w:rPr>
        <w:t xml:space="preserve"> </w:t>
      </w:r>
      <w:r>
        <w:t>sebesar 1 persen menjadi 0,5 persen. Ketentuan pajak ini memiliki sifat opsional dan</w:t>
      </w:r>
      <w:r>
        <w:rPr>
          <w:spacing w:val="1"/>
        </w:rPr>
        <w:t xml:space="preserve"> </w:t>
      </w:r>
      <w:r>
        <w:t>memiliki batas waktu menerapkan tarif final tersebut bagi wajib pajak tertentu.</w:t>
      </w:r>
    </w:p>
    <w:p w14:paraId="6FDD53AA">
      <w:pPr>
        <w:pStyle w:val="6"/>
        <w:spacing w:line="480" w:lineRule="auto"/>
        <w:ind w:firstLine="709"/>
        <w:jc w:val="both"/>
      </w:pPr>
      <w:r>
        <w:t>Menurut (Amelia dan Wicaksono, 2020) terdapat juga penelitian yang menilai keefektifan PP. No. 23 tahun 2018 dan dampaknya pada pendapatan pajak. Terdapat peningkatan dalam pendapatan pajak sejak diberlakukannya PP. No. 23 tahun 2018.</w:t>
      </w:r>
    </w:p>
    <w:p w14:paraId="2FDB2790">
      <w:pPr>
        <w:pStyle w:val="6"/>
        <w:numPr>
          <w:ilvl w:val="0"/>
          <w:numId w:val="8"/>
        </w:numPr>
        <w:spacing w:line="480" w:lineRule="auto"/>
        <w:ind w:left="360"/>
        <w:jc w:val="both"/>
        <w:rPr>
          <w:b/>
          <w:bCs/>
        </w:rPr>
      </w:pPr>
      <w:r>
        <w:rPr>
          <w:b/>
          <w:bCs/>
        </w:rPr>
        <w:t>Pengaruh Pemahaman Perpajakan, Kesadaran Wajib Pajak, Penurunan Tarif Pajak PP No. 23 Tahun 2018 Terhadap Kepatuhan Wajib Pajak</w:t>
      </w:r>
    </w:p>
    <w:p w14:paraId="61E058CB">
      <w:pPr>
        <w:spacing w:line="480" w:lineRule="auto"/>
        <w:ind w:left="66" w:firstLine="654"/>
        <w:jc w:val="both"/>
      </w:pPr>
      <w:r>
        <w:t xml:space="preserve">Dari kerangka teori di atas terdapat lokasi penelitian yang akan di lakukan di </w:t>
      </w:r>
      <w:r>
        <w:rPr>
          <w:lang w:val="en-US"/>
        </w:rPr>
        <w:t>UMKM Lubuk Pakam</w:t>
      </w:r>
      <w:r>
        <w:t xml:space="preserve"> dimana penelitian ini akan melihat variabel terikat yaitu </w:t>
      </w:r>
      <w:r>
        <w:rPr>
          <w:lang w:val="en-US"/>
        </w:rPr>
        <w:t>Pemahaman Perpajakan, Tarif Pajak PP No 23 Tahun 2018</w:t>
      </w:r>
      <w:r>
        <w:t xml:space="preserve"> apakah dapat dipengaruhi oleh </w:t>
      </w:r>
      <w:r>
        <w:rPr>
          <w:lang w:val="en-US"/>
        </w:rPr>
        <w:t>Kepatuhan Wajib Pajak</w:t>
      </w:r>
      <w:r>
        <w:t xml:space="preserve">. Oleh karena itu peneliti merumuskan masalah “Bagaimanakah Pemahaman Perpajakan, Kesadaran Wajib Pajak dan Tarif Pajak PP No 23 Tahun 2018 berpengaruh terhadap Kepatuhan Wajib Pajak pada UMKM Makanan dan Minuman di Lubuk Pakam” dengan metode kuantitatif untuk memecahkan masalah tersebut. Setelah terdapat pemecahan masalah peneliti melakukan kesimpulan dan dapat menjadi rekomendasi bagi instansi yaitu </w:t>
      </w:r>
      <w:r>
        <w:rPr>
          <w:lang w:val="en-US"/>
        </w:rPr>
        <w:t>UMKM Makanan dan Minuman di  Lubuk Pakam</w:t>
      </w:r>
      <w:r>
        <w:t>.</w:t>
      </w:r>
    </w:p>
    <w:p w14:paraId="71E1E8EC">
      <w:pPr>
        <w:spacing w:line="480" w:lineRule="auto"/>
        <w:jc w:val="both"/>
        <w:rPr>
          <w:b/>
          <w:lang w:val="en-US"/>
        </w:rPr>
      </w:pPr>
      <w:r>
        <w:rPr>
          <w:b/>
          <w:lang w:val="en-US"/>
        </w:rPr>
        <w:t>2.8</w:t>
      </w:r>
      <w:r>
        <w:rPr>
          <w:b/>
          <w:lang w:val="en-US"/>
        </w:rPr>
        <w:tab/>
      </w:r>
      <w:r>
        <w:rPr>
          <w:b/>
          <w:lang w:val="en-US"/>
        </w:rPr>
        <w:t>Hipotesis</w:t>
      </w:r>
    </w:p>
    <w:p w14:paraId="7EB59B2D">
      <w:pPr>
        <w:spacing w:line="480" w:lineRule="auto"/>
        <w:ind w:firstLine="720"/>
        <w:jc w:val="both"/>
        <w:rPr>
          <w:lang w:val="en-US"/>
        </w:rPr>
      </w:pPr>
      <w:r>
        <w:t>Menurut (</w:t>
      </w:r>
      <w:r>
        <w:rPr>
          <w:lang w:val="en-US"/>
        </w:rPr>
        <w:t>Sugiyono, 2020)</w:t>
      </w:r>
      <w:r>
        <w:t xml:space="preserve"> Hipotesis adalah pernyataan sementara namun dapat diuji dan dapat untuk memprediksi apa yang ingin ditemukan peneliti dalam data empiris peneliti.</w:t>
      </w:r>
    </w:p>
    <w:p w14:paraId="6EA20352">
      <w:pPr>
        <w:spacing w:line="480" w:lineRule="auto"/>
        <w:ind w:firstLine="720"/>
        <w:jc w:val="both"/>
        <w:rPr>
          <w:lang w:val="en-US"/>
        </w:rPr>
      </w:pPr>
      <w:r>
        <w:t>Berdasarkan uraian kerangka konseptual dan paradigma penelitian sebelumnya, Hipotesis penelitian adalah sebagai berikut :</w:t>
      </w:r>
    </w:p>
    <w:p w14:paraId="28B9B05F">
      <w:pPr>
        <w:spacing w:line="480" w:lineRule="auto"/>
        <w:ind w:left="567" w:hanging="567"/>
        <w:jc w:val="both"/>
        <w:rPr>
          <w:lang w:val="en-US"/>
        </w:rPr>
      </w:pPr>
      <w:r>
        <w:rPr>
          <w:lang w:val="en-US"/>
        </w:rPr>
        <w:t>H</w:t>
      </w:r>
      <w:r>
        <w:rPr>
          <w:vertAlign w:val="subscript"/>
          <w:lang w:val="en-US"/>
        </w:rPr>
        <w:t>1</w:t>
      </w:r>
      <w:r>
        <w:rPr>
          <w:lang w:val="en-US"/>
        </w:rPr>
        <w:t xml:space="preserve"> = Pemahaman perpajakan berpengaruh signifikan terhadap Kepatuhan Wajib Pajak pada UMKM Makanan dan Minuman di Lubuk Pakam</w:t>
      </w:r>
    </w:p>
    <w:p w14:paraId="1662764B">
      <w:pPr>
        <w:spacing w:line="480" w:lineRule="auto"/>
        <w:ind w:left="567" w:hanging="567"/>
        <w:jc w:val="both"/>
        <w:rPr>
          <w:lang w:val="en-US"/>
        </w:rPr>
      </w:pPr>
      <w:r>
        <w:rPr>
          <w:lang w:val="en-US"/>
        </w:rPr>
        <w:t>H</w:t>
      </w:r>
      <w:r>
        <w:rPr>
          <w:vertAlign w:val="subscript"/>
          <w:lang w:val="en-US"/>
        </w:rPr>
        <w:t>2</w:t>
      </w:r>
      <w:r>
        <w:rPr>
          <w:lang w:val="en-US"/>
        </w:rPr>
        <w:t xml:space="preserve"> = Kesadaran Wajib Pajak tidak berpengaruh signifikan terhadap Kepatuhan Wajib Pajak pada UMKM Makanan dan Minuman di Lubuk Pakam</w:t>
      </w:r>
    </w:p>
    <w:p w14:paraId="2DB8A607">
      <w:pPr>
        <w:spacing w:line="480" w:lineRule="auto"/>
        <w:ind w:left="567" w:hanging="567"/>
        <w:jc w:val="both"/>
        <w:rPr>
          <w:lang w:val="en-US"/>
        </w:rPr>
      </w:pPr>
      <w:r>
        <w:rPr>
          <w:lang w:val="en-US"/>
        </w:rPr>
        <w:t>H</w:t>
      </w:r>
      <w:r>
        <w:rPr>
          <w:vertAlign w:val="subscript"/>
          <w:lang w:val="en-US"/>
        </w:rPr>
        <w:t>3</w:t>
      </w:r>
      <w:r>
        <w:rPr>
          <w:lang w:val="en-US"/>
        </w:rPr>
        <w:t xml:space="preserve"> = Penurunan Tarif Pajak PP No 23 Tahun 2018 berpengaruh signifikan terhadap Kepatuhan Wajib Pajak pada UMKM Makanan dan Minuman di Lubuk Pakam</w:t>
      </w:r>
    </w:p>
    <w:p w14:paraId="4AAFE474">
      <w:pPr>
        <w:spacing w:line="480" w:lineRule="auto"/>
      </w:pPr>
      <w:r>
        <w:rPr>
          <w:lang w:val="en-US"/>
        </w:rPr>
        <w:t>H</w:t>
      </w:r>
      <w:r>
        <w:rPr>
          <w:vertAlign w:val="subscript"/>
          <w:lang w:val="en-US"/>
        </w:rPr>
        <w:t>4</w:t>
      </w:r>
      <w:r>
        <w:rPr>
          <w:lang w:val="en-US"/>
        </w:rPr>
        <w:t xml:space="preserve"> = Pemahaman perpajakan, Penurunan Tarif Pajak PP No 23 Tahun 2018, dan Kesadaran Wajib Pajak berpengaruh signifikan terhadap Kepatuhan Wajib Pajak pada UMKM Makanan dan Minuman di Lubuk Pakam</w:t>
      </w:r>
    </w:p>
    <w:sectPr>
      <w:headerReference r:id="rId11" w:type="first"/>
      <w:footerReference r:id="rId14" w:type="first"/>
      <w:headerReference r:id="rId9" w:type="default"/>
      <w:footerReference r:id="rId12" w:type="default"/>
      <w:headerReference r:id="rId10" w:type="even"/>
      <w:footerReference r:id="rId13"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3816657"/>
      <w:docPartObj>
        <w:docPartGallery w:val="AutoText"/>
      </w:docPartObj>
    </w:sdtPr>
    <w:sdtContent>
      <w:p w14:paraId="2C0E31F0">
        <w:pPr>
          <w:pStyle w:val="8"/>
          <w:jc w:val="center"/>
        </w:pPr>
        <w:r>
          <w:fldChar w:fldCharType="begin"/>
        </w:r>
        <w:r>
          <w:instrText xml:space="preserve"> PAGE   \* MERGEFORMAT </w:instrText>
        </w:r>
        <w:r>
          <w:fldChar w:fldCharType="separate"/>
        </w:r>
        <w:r>
          <w:t>1</w:t>
        </w:r>
        <w:r>
          <w:fldChar w:fldCharType="end"/>
        </w:r>
      </w:p>
    </w:sdtContent>
  </w:sdt>
  <w:p w14:paraId="2AEB720F">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EDFA8">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EF4AE">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A4779">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1F281">
    <w:pPr>
      <w:pStyle w:val="9"/>
      <w:jc w:val="right"/>
    </w:pPr>
    <w:r>
      <w:rPr>
        <w:lang w:val="en-US" w:eastAsia="en-US"/>
      </w:rPr>
      <w:pict>
        <v:shape id="WordPictureWatermark4421529" o:spid="_x0000_s2069" o:spt="75" type="#_x0000_t75" style="position:absolute;left:0pt;height:391pt;width:396.8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084DF78">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D1DF5">
    <w:pPr>
      <w:pStyle w:val="9"/>
    </w:pPr>
    <w:r>
      <w:rPr>
        <w:lang w:val="en-US" w:eastAsia="en-US"/>
      </w:rPr>
      <w:pict>
        <v:shape id="WordPictureWatermark4421528" o:spid="_x0000_s2068"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D66EB">
    <w:pPr>
      <w:pStyle w:val="9"/>
    </w:pPr>
    <w:r>
      <w:rPr>
        <w:lang w:val="en-US" w:eastAsia="en-US"/>
      </w:rPr>
      <w:pict>
        <v:shape id="WordPictureWatermark4421527" o:spid="_x0000_s2067"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4840A">
    <w:pPr>
      <w:pStyle w:val="9"/>
    </w:pPr>
    <w:r>
      <w:rPr>
        <w:lang w:val="en-US" w:eastAsia="en-US"/>
      </w:rPr>
      <w:pict>
        <v:shape id="WordPictureWatermark1442404" o:spid="_x0000_s2066"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CB142">
    <w:pPr>
      <w:pStyle w:val="9"/>
    </w:pPr>
    <w:r>
      <w:rPr>
        <w:lang w:val="en-US" w:eastAsia="en-US"/>
      </w:rPr>
      <w:pict>
        <v:shape id="WordPictureWatermark1442403" o:spid="_x0000_s2065"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461F2">
    <w:pPr>
      <w:pStyle w:val="9"/>
    </w:pPr>
    <w:r>
      <w:rPr>
        <w:lang w:val="en-US" w:eastAsia="en-US"/>
      </w:rPr>
      <w:pict>
        <v:shape id="WordPictureWatermark1442402" o:spid="_x0000_s2064"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919A8"/>
    <w:multiLevelType w:val="multilevel"/>
    <w:tmpl w:val="01C919A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D084299"/>
    <w:multiLevelType w:val="multilevel"/>
    <w:tmpl w:val="2D084299"/>
    <w:lvl w:ilvl="0" w:tentative="0">
      <w:start w:val="2"/>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4904576"/>
    <w:multiLevelType w:val="multilevel"/>
    <w:tmpl w:val="349045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E690820"/>
    <w:multiLevelType w:val="multilevel"/>
    <w:tmpl w:val="3E690820"/>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38429E4"/>
    <w:multiLevelType w:val="multilevel"/>
    <w:tmpl w:val="538429E4"/>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090475B"/>
    <w:multiLevelType w:val="multilevel"/>
    <w:tmpl w:val="6090475B"/>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FCA6B01"/>
    <w:multiLevelType w:val="multilevel"/>
    <w:tmpl w:val="6FCA6B01"/>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7DB96C38"/>
    <w:multiLevelType w:val="multilevel"/>
    <w:tmpl w:val="7DB96C3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1"/>
  </w:num>
  <w:num w:numId="3">
    <w:abstractNumId w:val="5"/>
  </w:num>
  <w:num w:numId="4">
    <w:abstractNumId w:val="0"/>
  </w:num>
  <w:num w:numId="5">
    <w:abstractNumId w:val="6"/>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MU7mIZLDzRuCZ1g/uvPU2aOBIRM=" w:salt="NLY6XZmndoEOY9tOzkWrI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221D15"/>
    <w:rsid w:val="00512803"/>
    <w:rsid w:val="006E0EB5"/>
    <w:rsid w:val="00BF1BA6"/>
    <w:rsid w:val="00DD49D0"/>
    <w:rsid w:val="00FA6597"/>
    <w:rsid w:val="15BD3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2"/>
    <w:basedOn w:val="1"/>
    <w:link w:val="16"/>
    <w:unhideWhenUsed/>
    <w:qFormat/>
    <w:uiPriority w:val="99"/>
    <w:pPr>
      <w:widowControl w:val="0"/>
      <w:autoSpaceDE w:val="0"/>
      <w:autoSpaceDN w:val="0"/>
      <w:ind w:left="649"/>
      <w:jc w:val="both"/>
      <w:outlineLvl w:val="1"/>
    </w:pPr>
    <w:rPr>
      <w:b/>
      <w:bCs/>
      <w:lang w:val="m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1"/>
    <w:semiHidden/>
    <w:unhideWhenUsed/>
    <w:qFormat/>
    <w:uiPriority w:val="99"/>
    <w:rPr>
      <w:rFonts w:ascii="Tahoma" w:hAnsi="Tahoma" w:cs="Tahoma"/>
      <w:sz w:val="16"/>
      <w:szCs w:val="16"/>
    </w:rPr>
  </w:style>
  <w:style w:type="paragraph" w:styleId="6">
    <w:name w:val="Body Text"/>
    <w:basedOn w:val="1"/>
    <w:link w:val="17"/>
    <w:qFormat/>
    <w:uiPriority w:val="1"/>
    <w:pPr>
      <w:widowControl w:val="0"/>
      <w:autoSpaceDE w:val="0"/>
      <w:autoSpaceDN w:val="0"/>
    </w:pPr>
    <w:rPr>
      <w:lang w:val="ms"/>
    </w:rPr>
  </w:style>
  <w:style w:type="character" w:styleId="7">
    <w:name w:val="Emphasis"/>
    <w:basedOn w:val="3"/>
    <w:qFormat/>
    <w:uiPriority w:val="20"/>
    <w:rPr>
      <w:i/>
      <w:iCs/>
    </w:rPr>
  </w:style>
  <w:style w:type="paragraph" w:styleId="8">
    <w:name w:val="footer"/>
    <w:basedOn w:val="1"/>
    <w:link w:val="13"/>
    <w:unhideWhenUsed/>
    <w:qFormat/>
    <w:uiPriority w:val="99"/>
    <w:pPr>
      <w:tabs>
        <w:tab w:val="center" w:pos="4680"/>
        <w:tab w:val="right" w:pos="9360"/>
      </w:tabs>
    </w:pPr>
  </w:style>
  <w:style w:type="paragraph" w:styleId="9">
    <w:name w:val="header"/>
    <w:basedOn w:val="1"/>
    <w:link w:val="12"/>
    <w:unhideWhenUsed/>
    <w:qFormat/>
    <w:uiPriority w:val="99"/>
    <w:pPr>
      <w:tabs>
        <w:tab w:val="center" w:pos="4680"/>
        <w:tab w:val="right" w:pos="9360"/>
      </w:tabs>
    </w:pPr>
  </w:style>
  <w:style w:type="character" w:styleId="10">
    <w:name w:val="Strong"/>
    <w:basedOn w:val="3"/>
    <w:qFormat/>
    <w:uiPriority w:val="22"/>
    <w:rPr>
      <w:b/>
      <w:bCs/>
    </w:rPr>
  </w:style>
  <w:style w:type="character" w:customStyle="1" w:styleId="11">
    <w:name w:val="Balloon Text Char"/>
    <w:basedOn w:val="3"/>
    <w:link w:val="5"/>
    <w:semiHidden/>
    <w:qFormat/>
    <w:uiPriority w:val="99"/>
    <w:rPr>
      <w:rFonts w:ascii="Tahoma" w:hAnsi="Tahoma" w:eastAsia="Times New Roman" w:cs="Tahoma"/>
      <w:sz w:val="16"/>
      <w:szCs w:val="16"/>
      <w:lang w:val="en-MY" w:eastAsia="en-GB"/>
    </w:rPr>
  </w:style>
  <w:style w:type="character" w:customStyle="1" w:styleId="12">
    <w:name w:val="Header Char"/>
    <w:basedOn w:val="3"/>
    <w:link w:val="9"/>
    <w:qFormat/>
    <w:uiPriority w:val="99"/>
    <w:rPr>
      <w:rFonts w:ascii="Times New Roman" w:hAnsi="Times New Roman" w:eastAsia="Times New Roman" w:cs="Times New Roman"/>
      <w:sz w:val="24"/>
      <w:szCs w:val="24"/>
      <w:lang w:val="en-MY" w:eastAsia="en-GB"/>
    </w:rPr>
  </w:style>
  <w:style w:type="character" w:customStyle="1" w:styleId="13">
    <w:name w:val="Footer Char"/>
    <w:basedOn w:val="3"/>
    <w:link w:val="8"/>
    <w:qFormat/>
    <w:uiPriority w:val="99"/>
    <w:rPr>
      <w:rFonts w:ascii="Times New Roman" w:hAnsi="Times New Roman" w:eastAsia="Times New Roman" w:cs="Times New Roman"/>
      <w:sz w:val="24"/>
      <w:szCs w:val="24"/>
      <w:lang w:val="en-MY" w:eastAsia="en-GB"/>
    </w:rPr>
  </w:style>
  <w:style w:type="paragraph" w:styleId="14">
    <w:name w:val="List Paragraph"/>
    <w:basedOn w:val="1"/>
    <w:link w:val="15"/>
    <w:qFormat/>
    <w:uiPriority w:val="1"/>
    <w:pPr>
      <w:ind w:left="720"/>
      <w:contextualSpacing/>
    </w:pPr>
  </w:style>
  <w:style w:type="character" w:customStyle="1" w:styleId="15">
    <w:name w:val="List Paragraph Char"/>
    <w:basedOn w:val="3"/>
    <w:link w:val="14"/>
    <w:qFormat/>
    <w:locked/>
    <w:uiPriority w:val="1"/>
    <w:rPr>
      <w:rFonts w:ascii="Times New Roman" w:hAnsi="Times New Roman" w:eastAsia="Times New Roman" w:cs="Times New Roman"/>
      <w:sz w:val="24"/>
      <w:szCs w:val="24"/>
      <w:lang w:val="en-MY" w:eastAsia="en-GB"/>
    </w:rPr>
  </w:style>
  <w:style w:type="character" w:customStyle="1" w:styleId="16">
    <w:name w:val="Heading 2 Char"/>
    <w:basedOn w:val="3"/>
    <w:link w:val="2"/>
    <w:qFormat/>
    <w:uiPriority w:val="99"/>
    <w:rPr>
      <w:rFonts w:ascii="Times New Roman" w:hAnsi="Times New Roman" w:eastAsia="Times New Roman" w:cs="Times New Roman"/>
      <w:b/>
      <w:bCs/>
      <w:sz w:val="24"/>
      <w:szCs w:val="24"/>
      <w:lang w:val="ms" w:eastAsia="en-GB"/>
    </w:rPr>
  </w:style>
  <w:style w:type="character" w:customStyle="1" w:styleId="17">
    <w:name w:val="Body Text Char"/>
    <w:basedOn w:val="3"/>
    <w:link w:val="6"/>
    <w:qFormat/>
    <w:uiPriority w:val="1"/>
    <w:rPr>
      <w:rFonts w:ascii="Times New Roman" w:hAnsi="Times New Roman" w:eastAsia="Times New Roman" w:cs="Times New Roman"/>
      <w:sz w:val="24"/>
      <w:szCs w:val="24"/>
      <w:lang w:val="ms" w:eastAsia="en-GB"/>
    </w:rPr>
  </w:style>
  <w:style w:type="table" w:customStyle="1" w:styleId="18">
    <w:name w:val="Plain Table 2"/>
    <w:basedOn w:val="4"/>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4.xml"/><Relationship Id="rId13" Type="http://schemas.openxmlformats.org/officeDocument/2006/relationships/footer" Target="footer3.xml"/><Relationship Id="rId12" Type="http://schemas.openxmlformats.org/officeDocument/2006/relationships/footer" Target="footer2.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69"/>
    <customShpInfo spid="_x0000_s2068"/>
    <customShpInfo spid="_x0000_s2067"/>
    <customShpInfo spid="_x0000_s2066"/>
    <customShpInfo spid="_x0000_s2065"/>
    <customShpInfo spid="_x0000_s2064"/>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3523</Words>
  <Characters>23129</Characters>
  <Lines>189</Lines>
  <Paragraphs>53</Paragraphs>
  <TotalTime>0</TotalTime>
  <ScaleCrop>false</ScaleCrop>
  <LinksUpToDate>false</LinksUpToDate>
  <CharactersWithSpaces>26543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2026-09-14T04:20:00Z</dcterms:created>
  <dc:creator>berkah-3</dc:creator>
  <cp:lastModifiedBy>Administrator</cp:lastModifiedBy>
  <dcterms:modified xsi:type="dcterms:W3CDTF">2026-09-21T04:27:07Z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47F8418C336E48DA96D14DFBAABBD2F3_13</vt:lpwstr>
  </property>
</Properties>
</file>