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723565">
      <w:pPr>
        <w:spacing w:line="480" w:lineRule="auto"/>
        <w:jc w:val="center"/>
        <w:rPr>
          <w:b/>
          <w:lang w:val="en-US"/>
        </w:rPr>
      </w:pPr>
      <w:bookmarkStart w:id="1" w:name="_GoBack"/>
      <w:bookmarkEnd w:id="1"/>
      <w:r>
        <w:rPr>
          <w:b/>
          <w:lang w:val="en-US"/>
        </w:rPr>
        <w:t>BAB III</w:t>
      </w:r>
    </w:p>
    <w:p w14:paraId="5C6B7DD4">
      <w:pPr>
        <w:spacing w:line="480" w:lineRule="auto"/>
        <w:jc w:val="center"/>
        <w:rPr>
          <w:b/>
          <w:lang w:val="en-US"/>
        </w:rPr>
      </w:pPr>
      <w:r>
        <w:rPr>
          <w:b/>
          <w:lang w:val="en-US"/>
        </w:rPr>
        <w:t>METODOLOGI PENELITIAN</w:t>
      </w:r>
    </w:p>
    <w:p w14:paraId="0F39339B">
      <w:pPr>
        <w:spacing w:line="480" w:lineRule="auto"/>
        <w:jc w:val="both"/>
        <w:rPr>
          <w:b/>
          <w:lang w:val="en-US"/>
        </w:rPr>
      </w:pPr>
    </w:p>
    <w:p w14:paraId="3D26A988">
      <w:pPr>
        <w:spacing w:line="480" w:lineRule="auto"/>
        <w:jc w:val="both"/>
        <w:rPr>
          <w:b/>
          <w:lang w:val="en-US"/>
        </w:rPr>
      </w:pPr>
      <w:r>
        <w:rPr>
          <w:b/>
          <w:lang w:val="en-US"/>
        </w:rPr>
        <w:t>3.1</w:t>
      </w:r>
      <w:r>
        <w:rPr>
          <w:b/>
          <w:lang w:val="en-US"/>
        </w:rPr>
        <w:tab/>
      </w:r>
      <w:r>
        <w:rPr>
          <w:b/>
          <w:lang w:val="en-US"/>
        </w:rPr>
        <w:t>Desain Penelitian</w:t>
      </w:r>
    </w:p>
    <w:p w14:paraId="7F7A5E0A">
      <w:pPr>
        <w:spacing w:line="480" w:lineRule="auto"/>
        <w:ind w:firstLine="720"/>
        <w:jc w:val="both"/>
      </w:pPr>
      <w:r>
        <w:t xml:space="preserve">Jenis penelitian yang digunakan oleh penulis dalam penelitian ini yaitu deskriptif dan kuantitatif. Menurut (Sugiyono, 2020) penelitian desktiptif adalah penelitian yang bertujuan untuk mendeskripsikan suatu keadaan atau objek yang menjadi perhatian dalam kegiatan penelitian secara sistematis. </w:t>
      </w:r>
    </w:p>
    <w:p w14:paraId="149B03FD">
      <w:pPr>
        <w:spacing w:line="480" w:lineRule="auto"/>
        <w:ind w:firstLine="720"/>
        <w:jc w:val="both"/>
        <w:rPr>
          <w:lang w:val="en-US"/>
        </w:rPr>
      </w:pPr>
      <w:r>
        <w:t>Menurut</w:t>
      </w:r>
      <w:r>
        <w:rPr>
          <w:lang w:val="en-US"/>
        </w:rPr>
        <w:t xml:space="preserve"> (Sugiyono</w:t>
      </w:r>
      <w:r>
        <w:t>, 20</w:t>
      </w:r>
      <w:r>
        <w:rPr>
          <w:lang w:val="en-US"/>
        </w:rPr>
        <w:t>20</w:t>
      </w:r>
      <w:r>
        <w:t xml:space="preserve">) mendefinisikan penelitian kuantitatif adalah penelitian yang </w:t>
      </w:r>
      <w:r>
        <w:rPr>
          <w:lang w:val="en-US"/>
        </w:rPr>
        <w:t xml:space="preserve">melandaskan pada filsafat </w:t>
      </w:r>
      <w:r>
        <w:rPr>
          <w:i/>
          <w:lang w:val="en-US"/>
        </w:rPr>
        <w:t>positivism</w:t>
      </w:r>
      <w:r>
        <w:rPr>
          <w:lang w:val="en-US"/>
        </w:rPr>
        <w:t>, digunakan untuk meneliti pada populasi atau sampel tertentu, pengumpulan data menggunakan instrument penelitian, analisis yang bersifat kuantitatif/statistik dengan tujuan untuk menguji hipotesis yang telah diucapkan.</w:t>
      </w:r>
    </w:p>
    <w:p w14:paraId="465EC6B1">
      <w:pPr>
        <w:spacing w:line="480" w:lineRule="auto"/>
        <w:ind w:firstLine="720"/>
        <w:jc w:val="both"/>
        <w:rPr>
          <w:lang w:val="en-US"/>
        </w:rPr>
      </w:pPr>
      <w:r>
        <w:t xml:space="preserve">Berdasarkan jenis penelitian tersebut, maka penulis ingin mendeskripsikan </w:t>
      </w:r>
      <w:r>
        <w:rPr>
          <w:lang w:val="en-US"/>
        </w:rPr>
        <w:t>Analisis Pemahaman Perpajakan, Kesadaran Wajib Pajak dan Penurunan Tarif Pajak PP No 23 Tahun 2018</w:t>
      </w:r>
      <w:r>
        <w:t xml:space="preserve"> berpengaruh terhadap </w:t>
      </w:r>
      <w:r>
        <w:rPr>
          <w:lang w:val="en-US"/>
        </w:rPr>
        <w:t>Kepatuhan Wajib Pajak</w:t>
      </w:r>
      <w:r>
        <w:t xml:space="preserve"> pada </w:t>
      </w:r>
      <w:r>
        <w:rPr>
          <w:lang w:val="en-US"/>
        </w:rPr>
        <w:t>UMKM Makanan dan Minuman di Lubuk Pakam.</w:t>
      </w:r>
    </w:p>
    <w:p w14:paraId="5D340983">
      <w:pPr>
        <w:spacing w:line="480" w:lineRule="auto"/>
        <w:jc w:val="both"/>
        <w:rPr>
          <w:b/>
          <w:bCs/>
          <w:lang w:val="en-US"/>
        </w:rPr>
      </w:pPr>
      <w:r>
        <w:rPr>
          <w:b/>
          <w:bCs/>
          <w:lang w:val="en-US"/>
        </w:rPr>
        <w:t>3.2</w:t>
      </w:r>
      <w:r>
        <w:rPr>
          <w:b/>
          <w:bCs/>
          <w:lang w:val="en-US"/>
        </w:rPr>
        <w:tab/>
      </w:r>
      <w:r>
        <w:rPr>
          <w:b/>
          <w:bCs/>
          <w:lang w:val="en-US"/>
        </w:rPr>
        <w:t xml:space="preserve">Populasi dan Sampel Penelitian </w:t>
      </w:r>
    </w:p>
    <w:p w14:paraId="5F82DD2A">
      <w:pPr>
        <w:spacing w:line="480" w:lineRule="auto"/>
        <w:jc w:val="both"/>
        <w:rPr>
          <w:b/>
          <w:bCs/>
          <w:lang w:val="en-US"/>
        </w:rPr>
      </w:pPr>
      <w:r>
        <w:rPr>
          <w:b/>
          <w:bCs/>
          <w:lang w:val="en-US"/>
        </w:rPr>
        <w:t>3.2.1</w:t>
      </w:r>
      <w:r>
        <w:rPr>
          <w:b/>
          <w:bCs/>
          <w:lang w:val="en-US"/>
        </w:rPr>
        <w:tab/>
      </w:r>
      <w:r>
        <w:rPr>
          <w:b/>
          <w:lang w:val="en-US"/>
        </w:rPr>
        <w:t>Populasi</w:t>
      </w:r>
    </w:p>
    <w:p w14:paraId="2BF95936">
      <w:pPr>
        <w:spacing w:line="480" w:lineRule="auto"/>
        <w:ind w:firstLine="720"/>
        <w:jc w:val="both"/>
        <w:rPr>
          <w:lang w:val="en-US"/>
        </w:rPr>
      </w:pPr>
      <w:r>
        <w:rPr>
          <w:lang w:val="en-US"/>
        </w:rPr>
        <w:t>Menurut (Sugiyono, 2020) Populasi adalah wilayah generalisasi yang terdiri atas obyek/subyek yang mempunyai kuantitas dan karakteristik tertentu yang ditetapkan oleh peneliti untuk dipelajari dan kemudian ditarik kesimpulannya.</w:t>
      </w:r>
    </w:p>
    <w:p w14:paraId="026CDF05">
      <w:pPr>
        <w:spacing w:line="480" w:lineRule="auto"/>
        <w:ind w:firstLine="360"/>
        <w:jc w:val="both"/>
        <w:sectPr>
          <w:headerReference r:id="rId7" w:type="first"/>
          <w:footerReference r:id="rId10" w:type="first"/>
          <w:headerReference r:id="rId5" w:type="default"/>
          <w:footerReference r:id="rId8" w:type="default"/>
          <w:headerReference r:id="rId6" w:type="even"/>
          <w:footerReference r:id="rId9" w:type="even"/>
          <w:pgSz w:w="11907" w:h="16840"/>
          <w:pgMar w:top="2268" w:right="1701" w:bottom="1701" w:left="2268" w:header="720" w:footer="720" w:gutter="0"/>
          <w:cols w:space="720" w:num="1"/>
          <w:docGrid w:linePitch="360" w:charSpace="0"/>
        </w:sectPr>
      </w:pPr>
    </w:p>
    <w:p w14:paraId="7BDE088C">
      <w:pPr>
        <w:spacing w:line="480" w:lineRule="auto"/>
        <w:ind w:left="66" w:firstLine="720"/>
        <w:jc w:val="both"/>
      </w:pPr>
      <w:r>
        <w:t xml:space="preserve">Populasi dalam penelitian ini adalah sebanyak </w:t>
      </w:r>
      <w:r>
        <w:rPr>
          <w:spacing w:val="1"/>
        </w:rPr>
        <w:t xml:space="preserve">70 UMKM di bidang Makanan dan Minuman </w:t>
      </w:r>
      <w:r>
        <w:t>yang</w:t>
      </w:r>
      <w:r>
        <w:rPr>
          <w:spacing w:val="1"/>
        </w:rPr>
        <w:t xml:space="preserve"> </w:t>
      </w:r>
      <w:r>
        <w:t>terdaftar</w:t>
      </w:r>
      <w:r>
        <w:rPr>
          <w:spacing w:val="1"/>
        </w:rPr>
        <w:t xml:space="preserve"> </w:t>
      </w:r>
      <w:r>
        <w:t>di</w:t>
      </w:r>
      <w:r>
        <w:rPr>
          <w:spacing w:val="1"/>
        </w:rPr>
        <w:t xml:space="preserve"> KPP Pratama </w:t>
      </w:r>
      <w:r>
        <w:t>Lubuk</w:t>
      </w:r>
      <w:r>
        <w:rPr>
          <w:spacing w:val="1"/>
        </w:rPr>
        <w:t xml:space="preserve"> </w:t>
      </w:r>
      <w:r>
        <w:t>Pakam</w:t>
      </w:r>
      <w:r>
        <w:rPr>
          <w:spacing w:val="1"/>
        </w:rPr>
        <w:t xml:space="preserve"> </w:t>
      </w:r>
      <w:r>
        <w:t>yang</w:t>
      </w:r>
      <w:r>
        <w:rPr>
          <w:spacing w:val="1"/>
        </w:rPr>
        <w:t xml:space="preserve"> </w:t>
      </w:r>
      <w:r>
        <w:t>bekerja</w:t>
      </w:r>
      <w:r>
        <w:rPr>
          <w:spacing w:val="1"/>
        </w:rPr>
        <w:t xml:space="preserve"> </w:t>
      </w:r>
      <w:r>
        <w:t>pada</w:t>
      </w:r>
      <w:r>
        <w:rPr>
          <w:spacing w:val="1"/>
        </w:rPr>
        <w:t xml:space="preserve"> </w:t>
      </w:r>
      <w:r>
        <w:t>Usaha</w:t>
      </w:r>
      <w:r>
        <w:rPr>
          <w:spacing w:val="1"/>
        </w:rPr>
        <w:t xml:space="preserve"> </w:t>
      </w:r>
      <w:r>
        <w:t>Mikro</w:t>
      </w:r>
      <w:r>
        <w:rPr>
          <w:spacing w:val="1"/>
        </w:rPr>
        <w:t xml:space="preserve"> </w:t>
      </w:r>
      <w:r>
        <w:t>Kecil</w:t>
      </w:r>
      <w:r>
        <w:rPr>
          <w:spacing w:val="1"/>
        </w:rPr>
        <w:t xml:space="preserve"> </w:t>
      </w:r>
      <w:r>
        <w:t>Menengah</w:t>
      </w:r>
      <w:r>
        <w:rPr>
          <w:spacing w:val="-1"/>
        </w:rPr>
        <w:t xml:space="preserve"> </w:t>
      </w:r>
      <w:r>
        <w:t>di</w:t>
      </w:r>
      <w:r>
        <w:rPr>
          <w:spacing w:val="2"/>
        </w:rPr>
        <w:t xml:space="preserve"> </w:t>
      </w:r>
      <w:r>
        <w:t>Lubuk Pakam, (KPP Pratama Lubuk Pakam.co.id, 2024).</w:t>
      </w:r>
    </w:p>
    <w:p w14:paraId="7E42F5B0">
      <w:pPr>
        <w:spacing w:line="480" w:lineRule="auto"/>
        <w:rPr>
          <w:b/>
          <w:lang w:val="en-US"/>
        </w:rPr>
      </w:pPr>
      <w:r>
        <w:rPr>
          <w:b/>
          <w:lang w:val="en-US"/>
        </w:rPr>
        <w:t>3.2.2</w:t>
      </w:r>
      <w:r>
        <w:rPr>
          <w:b/>
          <w:lang w:val="en-US"/>
        </w:rPr>
        <w:tab/>
      </w:r>
      <w:r>
        <w:rPr>
          <w:b/>
          <w:lang w:val="en-US"/>
        </w:rPr>
        <w:t>Sampel</w:t>
      </w:r>
    </w:p>
    <w:p w14:paraId="4A802FB4">
      <w:pPr>
        <w:pStyle w:val="15"/>
        <w:autoSpaceDE w:val="0"/>
        <w:autoSpaceDN w:val="0"/>
        <w:adjustRightInd w:val="0"/>
        <w:spacing w:line="480" w:lineRule="auto"/>
        <w:ind w:left="0" w:firstLine="720"/>
        <w:jc w:val="both"/>
        <w:rPr>
          <w:lang w:val="en-US"/>
        </w:rPr>
      </w:pPr>
      <w:r>
        <w:rPr>
          <w:lang w:val="en-US"/>
        </w:rPr>
        <w:t>Menurut (Sugiyono, 2020) Sampel adalah bagian dari jumlah dan karakteristik yang dimiliki oleh populasi tersebut. Bila populasi besar, dan peneliti tidak mungkin mempelajari semua yang ada pada populasi, misalnya karena keterbatasan dana, tenaga dan waktu, maka peneliti dapat menggunakan sampel yang diambil dari populasi itu.</w:t>
      </w:r>
    </w:p>
    <w:p w14:paraId="74F950EF">
      <w:pPr>
        <w:pStyle w:val="15"/>
        <w:autoSpaceDE w:val="0"/>
        <w:autoSpaceDN w:val="0"/>
        <w:adjustRightInd w:val="0"/>
        <w:spacing w:line="480" w:lineRule="auto"/>
        <w:ind w:left="0" w:firstLine="720"/>
        <w:jc w:val="both"/>
        <w:rPr>
          <w:spacing w:val="1"/>
          <w:lang w:val="en-US"/>
        </w:rPr>
      </w:pPr>
      <w:r>
        <w:t xml:space="preserve">Dalam penelitian pengambilan sampel menggunakan </w:t>
      </w:r>
      <w:r>
        <w:rPr>
          <w:lang w:val="en-US"/>
        </w:rPr>
        <w:t>random sampling</w:t>
      </w:r>
      <w:r>
        <w:t>, yaitu menurut (Sugiyono, 20</w:t>
      </w:r>
      <w:r>
        <w:rPr>
          <w:lang w:val="en-US"/>
        </w:rPr>
        <w:t>20</w:t>
      </w:r>
      <w:r>
        <w:t>) jika populasi lebih kecil dari 100 orang, semua populasi dijadikan sampel.</w:t>
      </w:r>
      <w:r>
        <w:rPr>
          <w:lang w:val="en-AU"/>
        </w:rPr>
        <w:t xml:space="preserve"> Maka semua populasi didalam penelitian ini akan dijadikan sampel yaitu sebanyak 70 responden yaitu </w:t>
      </w:r>
      <w:r>
        <w:rPr>
          <w:spacing w:val="1"/>
        </w:rPr>
        <w:t>UMKM di bidang Makanan dan Minuman</w:t>
      </w:r>
      <w:r>
        <w:rPr>
          <w:spacing w:val="1"/>
          <w:lang w:val="en-US"/>
        </w:rPr>
        <w:t>.</w:t>
      </w:r>
    </w:p>
    <w:p w14:paraId="4027EFF1">
      <w:pPr>
        <w:autoSpaceDE w:val="0"/>
        <w:autoSpaceDN w:val="0"/>
        <w:adjustRightInd w:val="0"/>
        <w:jc w:val="center"/>
        <w:rPr>
          <w:b/>
          <w:bCs/>
          <w:spacing w:val="1"/>
          <w:lang w:val="en-US"/>
        </w:rPr>
      </w:pPr>
      <w:r>
        <w:rPr>
          <w:b/>
          <w:bCs/>
          <w:spacing w:val="1"/>
          <w:lang w:val="en-US"/>
        </w:rPr>
        <w:t>Tabel 3.1</w:t>
      </w:r>
    </w:p>
    <w:p w14:paraId="7FD34FA7">
      <w:pPr>
        <w:autoSpaceDE w:val="0"/>
        <w:autoSpaceDN w:val="0"/>
        <w:adjustRightInd w:val="0"/>
        <w:jc w:val="center"/>
        <w:rPr>
          <w:b/>
          <w:bCs/>
          <w:sz w:val="22"/>
          <w:szCs w:val="22"/>
          <w:lang w:val="en-US"/>
        </w:rPr>
      </w:pPr>
      <w:r>
        <w:rPr>
          <w:b/>
          <w:bCs/>
          <w:sz w:val="22"/>
          <w:szCs w:val="22"/>
          <w:lang w:val="en-US"/>
        </w:rPr>
        <w:t>Jumlah Bidang UMKM Makanan dan Minuman yang Terdaftar di Lubuk Pakam</w:t>
      </w:r>
    </w:p>
    <w:tbl>
      <w:tblPr>
        <w:tblStyle w:val="17"/>
        <w:tblW w:w="5670" w:type="dxa"/>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3"/>
        <w:gridCol w:w="2888"/>
        <w:gridCol w:w="2049"/>
      </w:tblGrid>
      <w:tr w14:paraId="55D57DF6">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bottom w:val="single" w:color="7E7E7E" w:themeColor="text1" w:themeTint="80" w:sz="4" w:space="0"/>
              <w:insideH w:val="single" w:sz="4" w:space="0"/>
            </w:tcBorders>
            <w:noWrap/>
          </w:tcPr>
          <w:p w14:paraId="3A8FD016">
            <w:pPr>
              <w:jc w:val="center"/>
              <w:rPr>
                <w:b/>
                <w:bCs/>
                <w:color w:val="000000"/>
              </w:rPr>
            </w:pPr>
            <w:r>
              <w:rPr>
                <w:b/>
                <w:bCs/>
                <w:color w:val="000000"/>
              </w:rPr>
              <w:t>No</w:t>
            </w:r>
          </w:p>
        </w:tc>
        <w:tc>
          <w:tcPr>
            <w:tcW w:w="2888" w:type="dxa"/>
            <w:tcBorders>
              <w:bottom w:val="single" w:color="7E7E7E" w:themeColor="text1" w:themeTint="80" w:sz="4" w:space="0"/>
              <w:insideH w:val="single" w:sz="4" w:space="0"/>
            </w:tcBorders>
            <w:noWrap/>
          </w:tcPr>
          <w:p w14:paraId="64A28CC3">
            <w:pPr>
              <w:jc w:val="center"/>
              <w:rPr>
                <w:b/>
                <w:bCs/>
                <w:color w:val="000000"/>
              </w:rPr>
            </w:pPr>
            <w:r>
              <w:rPr>
                <w:b/>
                <w:bCs/>
                <w:color w:val="000000"/>
              </w:rPr>
              <w:t>Wilayah/Kelurahan</w:t>
            </w:r>
          </w:p>
        </w:tc>
        <w:tc>
          <w:tcPr>
            <w:tcW w:w="2049" w:type="dxa"/>
            <w:tcBorders>
              <w:bottom w:val="single" w:color="7E7E7E" w:themeColor="text1" w:themeTint="80" w:sz="4" w:space="0"/>
              <w:insideH w:val="single" w:sz="4" w:space="0"/>
            </w:tcBorders>
            <w:noWrap/>
          </w:tcPr>
          <w:p w14:paraId="08CEB57D">
            <w:pPr>
              <w:jc w:val="center"/>
              <w:rPr>
                <w:b/>
                <w:bCs/>
                <w:color w:val="000000"/>
              </w:rPr>
            </w:pPr>
            <w:r>
              <w:rPr>
                <w:b/>
                <w:bCs/>
                <w:color w:val="000000"/>
              </w:rPr>
              <w:t>Jumlah UMKM</w:t>
            </w:r>
          </w:p>
        </w:tc>
      </w:tr>
      <w:tr w14:paraId="70DEFCA4">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33A42457">
            <w:pPr>
              <w:jc w:val="center"/>
              <w:rPr>
                <w:b w:val="0"/>
                <w:bCs w:val="0"/>
                <w:color w:val="000000"/>
              </w:rPr>
            </w:pPr>
            <w:r>
              <w:rPr>
                <w:b w:val="0"/>
                <w:bCs w:val="0"/>
                <w:color w:val="000000"/>
              </w:rPr>
              <w:t>1</w:t>
            </w:r>
          </w:p>
        </w:tc>
        <w:tc>
          <w:tcPr>
            <w:tcW w:w="2888" w:type="dxa"/>
            <w:tcBorders>
              <w:top w:val="single" w:color="7E7E7E" w:themeColor="text1" w:themeTint="80" w:sz="4" w:space="0"/>
              <w:bottom w:val="single" w:color="7E7E7E" w:themeColor="text1" w:themeTint="80" w:sz="4" w:space="0"/>
              <w:insideH w:val="single" w:sz="4" w:space="0"/>
            </w:tcBorders>
            <w:noWrap/>
          </w:tcPr>
          <w:p w14:paraId="0274C339">
            <w:pPr>
              <w:rPr>
                <w:color w:val="000000"/>
              </w:rPr>
            </w:pPr>
            <w:r>
              <w:rPr>
                <w:color w:val="000000"/>
              </w:rPr>
              <w:t>Tanjung Garbus Satu</w:t>
            </w:r>
          </w:p>
        </w:tc>
        <w:tc>
          <w:tcPr>
            <w:tcW w:w="2049" w:type="dxa"/>
            <w:tcBorders>
              <w:top w:val="single" w:color="7E7E7E" w:themeColor="text1" w:themeTint="80" w:sz="4" w:space="0"/>
              <w:bottom w:val="single" w:color="7E7E7E" w:themeColor="text1" w:themeTint="80" w:sz="4" w:space="0"/>
              <w:insideH w:val="single" w:sz="4" w:space="0"/>
            </w:tcBorders>
            <w:noWrap/>
          </w:tcPr>
          <w:p w14:paraId="7D408F88">
            <w:pPr>
              <w:jc w:val="center"/>
              <w:rPr>
                <w:color w:val="000000"/>
              </w:rPr>
            </w:pPr>
            <w:r>
              <w:rPr>
                <w:color w:val="000000"/>
              </w:rPr>
              <w:t>8 UMKM</w:t>
            </w:r>
          </w:p>
        </w:tc>
      </w:tr>
      <w:tr w14:paraId="27EA660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652FF2F8">
            <w:pPr>
              <w:jc w:val="center"/>
              <w:rPr>
                <w:b w:val="0"/>
                <w:bCs w:val="0"/>
                <w:color w:val="000000"/>
              </w:rPr>
            </w:pPr>
            <w:r>
              <w:rPr>
                <w:b w:val="0"/>
                <w:bCs w:val="0"/>
                <w:color w:val="000000"/>
              </w:rPr>
              <w:t>2</w:t>
            </w:r>
          </w:p>
        </w:tc>
        <w:tc>
          <w:tcPr>
            <w:tcW w:w="2888" w:type="dxa"/>
            <w:noWrap/>
          </w:tcPr>
          <w:p w14:paraId="1BB8FD3D">
            <w:pPr>
              <w:rPr>
                <w:color w:val="000000"/>
              </w:rPr>
            </w:pPr>
            <w:r>
              <w:rPr>
                <w:color w:val="000000"/>
              </w:rPr>
              <w:t>Bakaran Batu</w:t>
            </w:r>
          </w:p>
        </w:tc>
        <w:tc>
          <w:tcPr>
            <w:tcW w:w="2049" w:type="dxa"/>
            <w:noWrap/>
          </w:tcPr>
          <w:p w14:paraId="793CF323">
            <w:pPr>
              <w:jc w:val="center"/>
              <w:rPr>
                <w:color w:val="000000"/>
              </w:rPr>
            </w:pPr>
            <w:r>
              <w:rPr>
                <w:color w:val="000000"/>
              </w:rPr>
              <w:t>9 UMKM</w:t>
            </w:r>
          </w:p>
        </w:tc>
      </w:tr>
      <w:tr w14:paraId="49FD2B9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0D3F98A3">
            <w:pPr>
              <w:jc w:val="center"/>
              <w:rPr>
                <w:b w:val="0"/>
                <w:bCs w:val="0"/>
                <w:color w:val="000000"/>
              </w:rPr>
            </w:pPr>
            <w:r>
              <w:rPr>
                <w:b w:val="0"/>
                <w:bCs w:val="0"/>
                <w:color w:val="000000"/>
              </w:rPr>
              <w:t>3</w:t>
            </w:r>
          </w:p>
        </w:tc>
        <w:tc>
          <w:tcPr>
            <w:tcW w:w="2888" w:type="dxa"/>
            <w:tcBorders>
              <w:top w:val="single" w:color="7E7E7E" w:themeColor="text1" w:themeTint="80" w:sz="4" w:space="0"/>
              <w:bottom w:val="single" w:color="7E7E7E" w:themeColor="text1" w:themeTint="80" w:sz="4" w:space="0"/>
              <w:insideH w:val="single" w:sz="4" w:space="0"/>
            </w:tcBorders>
            <w:noWrap/>
          </w:tcPr>
          <w:p w14:paraId="51FAE88A">
            <w:pPr>
              <w:rPr>
                <w:color w:val="000000"/>
              </w:rPr>
            </w:pPr>
            <w:r>
              <w:rPr>
                <w:color w:val="000000"/>
              </w:rPr>
              <w:t>Petapahan</w:t>
            </w:r>
          </w:p>
        </w:tc>
        <w:tc>
          <w:tcPr>
            <w:tcW w:w="2049" w:type="dxa"/>
            <w:tcBorders>
              <w:top w:val="single" w:color="7E7E7E" w:themeColor="text1" w:themeTint="80" w:sz="4" w:space="0"/>
              <w:bottom w:val="single" w:color="7E7E7E" w:themeColor="text1" w:themeTint="80" w:sz="4" w:space="0"/>
              <w:insideH w:val="single" w:sz="4" w:space="0"/>
            </w:tcBorders>
            <w:noWrap/>
          </w:tcPr>
          <w:p w14:paraId="41012DDB">
            <w:pPr>
              <w:jc w:val="center"/>
              <w:rPr>
                <w:color w:val="000000"/>
              </w:rPr>
            </w:pPr>
            <w:r>
              <w:rPr>
                <w:color w:val="000000"/>
              </w:rPr>
              <w:t>3 UMKM</w:t>
            </w:r>
          </w:p>
        </w:tc>
      </w:tr>
      <w:tr w14:paraId="4CEACA7C">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113ABC8E">
            <w:pPr>
              <w:jc w:val="center"/>
              <w:rPr>
                <w:b w:val="0"/>
                <w:bCs w:val="0"/>
                <w:color w:val="000000"/>
              </w:rPr>
            </w:pPr>
            <w:r>
              <w:rPr>
                <w:b w:val="0"/>
                <w:bCs w:val="0"/>
                <w:color w:val="000000"/>
              </w:rPr>
              <w:t>4</w:t>
            </w:r>
          </w:p>
        </w:tc>
        <w:tc>
          <w:tcPr>
            <w:tcW w:w="2888" w:type="dxa"/>
            <w:noWrap/>
          </w:tcPr>
          <w:p w14:paraId="0ABD7627">
            <w:pPr>
              <w:rPr>
                <w:color w:val="000000"/>
              </w:rPr>
            </w:pPr>
            <w:r>
              <w:rPr>
                <w:color w:val="000000"/>
              </w:rPr>
              <w:t>Lubuk Pakam Tiga</w:t>
            </w:r>
          </w:p>
        </w:tc>
        <w:tc>
          <w:tcPr>
            <w:tcW w:w="2049" w:type="dxa"/>
            <w:noWrap/>
          </w:tcPr>
          <w:p w14:paraId="63346527">
            <w:pPr>
              <w:jc w:val="center"/>
              <w:rPr>
                <w:color w:val="000000"/>
              </w:rPr>
            </w:pPr>
            <w:r>
              <w:rPr>
                <w:color w:val="000000"/>
              </w:rPr>
              <w:t>3 UMKM</w:t>
            </w:r>
          </w:p>
        </w:tc>
      </w:tr>
      <w:tr w14:paraId="17100EF8">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tcBorders>
              <w:top w:val="single" w:color="7E7E7E" w:themeColor="text1" w:themeTint="80" w:sz="4" w:space="0"/>
              <w:bottom w:val="single" w:color="7E7E7E" w:themeColor="text1" w:themeTint="80" w:sz="4" w:space="0"/>
              <w:insideH w:val="single" w:sz="4" w:space="0"/>
            </w:tcBorders>
            <w:noWrap/>
          </w:tcPr>
          <w:p w14:paraId="01DACB73">
            <w:pPr>
              <w:jc w:val="center"/>
              <w:rPr>
                <w:b w:val="0"/>
                <w:bCs w:val="0"/>
                <w:color w:val="000000"/>
              </w:rPr>
            </w:pPr>
            <w:r>
              <w:rPr>
                <w:b w:val="0"/>
                <w:bCs w:val="0"/>
                <w:color w:val="000000"/>
              </w:rPr>
              <w:t>5</w:t>
            </w:r>
          </w:p>
        </w:tc>
        <w:tc>
          <w:tcPr>
            <w:tcW w:w="2888" w:type="dxa"/>
            <w:tcBorders>
              <w:top w:val="single" w:color="7E7E7E" w:themeColor="text1" w:themeTint="80" w:sz="4" w:space="0"/>
              <w:bottom w:val="single" w:color="7E7E7E" w:themeColor="text1" w:themeTint="80" w:sz="4" w:space="0"/>
              <w:insideH w:val="single" w:sz="4" w:space="0"/>
            </w:tcBorders>
            <w:noWrap/>
          </w:tcPr>
          <w:p w14:paraId="791E6F62">
            <w:pPr>
              <w:rPr>
                <w:color w:val="000000"/>
              </w:rPr>
            </w:pPr>
            <w:r>
              <w:rPr>
                <w:color w:val="000000"/>
              </w:rPr>
              <w:t>Pantai Labu (Besar/Sidodadi)</w:t>
            </w:r>
          </w:p>
        </w:tc>
        <w:tc>
          <w:tcPr>
            <w:tcW w:w="2049" w:type="dxa"/>
            <w:tcBorders>
              <w:top w:val="single" w:color="7E7E7E" w:themeColor="text1" w:themeTint="80" w:sz="4" w:space="0"/>
              <w:bottom w:val="single" w:color="7E7E7E" w:themeColor="text1" w:themeTint="80" w:sz="4" w:space="0"/>
              <w:insideH w:val="single" w:sz="4" w:space="0"/>
            </w:tcBorders>
            <w:noWrap/>
          </w:tcPr>
          <w:p w14:paraId="48F31C74">
            <w:pPr>
              <w:jc w:val="center"/>
              <w:rPr>
                <w:color w:val="000000"/>
              </w:rPr>
            </w:pPr>
            <w:r>
              <w:rPr>
                <w:color w:val="000000"/>
              </w:rPr>
              <w:t>4 UMKM</w:t>
            </w:r>
          </w:p>
        </w:tc>
      </w:tr>
      <w:tr w14:paraId="3F600D8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33" w:type="dxa"/>
            <w:noWrap/>
          </w:tcPr>
          <w:p w14:paraId="555B3349">
            <w:pPr>
              <w:jc w:val="center"/>
              <w:rPr>
                <w:b w:val="0"/>
                <w:bCs w:val="0"/>
                <w:color w:val="000000"/>
              </w:rPr>
            </w:pPr>
            <w:r>
              <w:rPr>
                <w:b w:val="0"/>
                <w:bCs w:val="0"/>
                <w:color w:val="000000"/>
              </w:rPr>
              <w:t>6</w:t>
            </w:r>
          </w:p>
        </w:tc>
        <w:tc>
          <w:tcPr>
            <w:tcW w:w="2888" w:type="dxa"/>
            <w:noWrap/>
          </w:tcPr>
          <w:p w14:paraId="37ED03A2">
            <w:pPr>
              <w:rPr>
                <w:color w:val="000000"/>
              </w:rPr>
            </w:pPr>
            <w:r>
              <w:rPr>
                <w:color w:val="000000"/>
              </w:rPr>
              <w:t>Kota Lubuk Pakam</w:t>
            </w:r>
          </w:p>
        </w:tc>
        <w:tc>
          <w:tcPr>
            <w:tcW w:w="2049" w:type="dxa"/>
            <w:noWrap/>
          </w:tcPr>
          <w:p w14:paraId="30949C6A">
            <w:pPr>
              <w:jc w:val="center"/>
              <w:rPr>
                <w:color w:val="000000"/>
              </w:rPr>
            </w:pPr>
            <w:r>
              <w:rPr>
                <w:color w:val="000000"/>
              </w:rPr>
              <w:t>43 UMKM</w:t>
            </w:r>
          </w:p>
        </w:tc>
      </w:tr>
      <w:tr w14:paraId="4AFDE915">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3621" w:type="dxa"/>
            <w:gridSpan w:val="2"/>
            <w:tcBorders>
              <w:top w:val="single" w:color="7E7E7E" w:themeColor="text1" w:themeTint="80" w:sz="4" w:space="0"/>
              <w:bottom w:val="single" w:color="7E7E7E" w:themeColor="text1" w:themeTint="80" w:sz="4" w:space="0"/>
              <w:insideH w:val="single" w:sz="4" w:space="0"/>
            </w:tcBorders>
            <w:noWrap/>
          </w:tcPr>
          <w:p w14:paraId="433ED886">
            <w:pPr>
              <w:jc w:val="center"/>
              <w:rPr>
                <w:b/>
                <w:bCs/>
                <w:color w:val="000000"/>
              </w:rPr>
            </w:pPr>
            <w:r>
              <w:rPr>
                <w:b/>
                <w:bCs/>
                <w:color w:val="000000"/>
              </w:rPr>
              <w:t>Total</w:t>
            </w:r>
          </w:p>
        </w:tc>
        <w:tc>
          <w:tcPr>
            <w:tcW w:w="2049" w:type="dxa"/>
            <w:tcBorders>
              <w:top w:val="single" w:color="7E7E7E" w:themeColor="text1" w:themeTint="80" w:sz="4" w:space="0"/>
              <w:bottom w:val="single" w:color="7E7E7E" w:themeColor="text1" w:themeTint="80" w:sz="4" w:space="0"/>
              <w:insideH w:val="single" w:sz="4" w:space="0"/>
            </w:tcBorders>
            <w:noWrap/>
          </w:tcPr>
          <w:p w14:paraId="766FA504">
            <w:pPr>
              <w:jc w:val="center"/>
              <w:rPr>
                <w:b/>
                <w:bCs/>
                <w:color w:val="000000"/>
              </w:rPr>
            </w:pPr>
            <w:r>
              <w:rPr>
                <w:b/>
                <w:bCs/>
                <w:color w:val="000000"/>
              </w:rPr>
              <w:t>70 UMKM</w:t>
            </w:r>
          </w:p>
        </w:tc>
      </w:tr>
    </w:tbl>
    <w:p w14:paraId="3B275E51">
      <w:pPr>
        <w:autoSpaceDE w:val="0"/>
        <w:autoSpaceDN w:val="0"/>
        <w:adjustRightInd w:val="0"/>
        <w:spacing w:line="480" w:lineRule="auto"/>
        <w:ind w:left="1134"/>
        <w:jc w:val="both"/>
        <w:rPr>
          <w:bCs/>
          <w:lang w:val="en-US"/>
        </w:rPr>
      </w:pPr>
      <w:r>
        <w:rPr>
          <w:bCs/>
          <w:lang w:val="en-US"/>
        </w:rPr>
        <w:t>Sumber : Data Primer Diolah, 2025</w:t>
      </w:r>
    </w:p>
    <w:p w14:paraId="2CE7EA33">
      <w:pPr>
        <w:autoSpaceDE w:val="0"/>
        <w:autoSpaceDN w:val="0"/>
        <w:adjustRightInd w:val="0"/>
        <w:spacing w:line="480" w:lineRule="auto"/>
        <w:ind w:firstLine="720"/>
        <w:jc w:val="both"/>
      </w:pPr>
      <w:r>
        <w:t>Tabel 3.1 terlihat bahwa pelaku UMKM sektor makanan dan minuman di wilayah Lubuk Pakam tersebar di beberapa kelurahan/kawasan administratif. Wilayah dengan jumlah UMKM terbanyak adalah Wilayah Umum Kota Lubuk Pakam yang mencakup 43 pelaku usaha. Sementara itu, wilayah dengan jumlah UMKM terbanyak berikutnya adalah Bakaran Batu dengan 9 pelaku usaha, dan Tanjung Garbus Satu dengan 8 pelaku usaha. Wilayah lain seperti Pantai Labu (Besar dan Sidodadi) memiliki 4 UMKM, sementara Petapahan dan Lubuk Pakam Tiga masing-masing memiliki 3 UMKM. Pemilihan sampel ini dilakukan untuk mencerminkan keterwakilan pelaku UMKM makanan dan minuman di seluruh wilayah Lubuk Pakam secara merata sesuai dengan keberadaan dan aktivitas usaha mereka di masing-masing daerah.</w:t>
      </w:r>
    </w:p>
    <w:p w14:paraId="4A12B431">
      <w:pPr>
        <w:spacing w:line="480" w:lineRule="auto"/>
        <w:jc w:val="both"/>
        <w:rPr>
          <w:b/>
          <w:lang w:val="en-US"/>
        </w:rPr>
      </w:pPr>
      <w:r>
        <w:rPr>
          <w:b/>
          <w:lang w:val="en-US"/>
        </w:rPr>
        <w:t>3.3</w:t>
      </w:r>
      <w:r>
        <w:rPr>
          <w:b/>
          <w:lang w:val="en-US"/>
        </w:rPr>
        <w:tab/>
      </w:r>
      <w:r>
        <w:rPr>
          <w:b/>
          <w:lang w:val="en-US"/>
        </w:rPr>
        <w:t>Lokasi dan Waktu Penelitian</w:t>
      </w:r>
    </w:p>
    <w:p w14:paraId="0E9FFD35">
      <w:pPr>
        <w:spacing w:line="480" w:lineRule="auto"/>
        <w:jc w:val="both"/>
        <w:rPr>
          <w:b/>
          <w:lang w:val="en-US"/>
        </w:rPr>
      </w:pPr>
      <w:r>
        <w:rPr>
          <w:b/>
          <w:lang w:val="en-US"/>
        </w:rPr>
        <w:t>3.3.1</w:t>
      </w:r>
      <w:r>
        <w:rPr>
          <w:b/>
          <w:lang w:val="en-US"/>
        </w:rPr>
        <w:tab/>
      </w:r>
      <w:r>
        <w:rPr>
          <w:b/>
          <w:lang w:val="en-US"/>
        </w:rPr>
        <w:t>Lokasi Penelitian</w:t>
      </w:r>
    </w:p>
    <w:p w14:paraId="39F60465">
      <w:pPr>
        <w:spacing w:line="480" w:lineRule="auto"/>
        <w:ind w:firstLine="720"/>
        <w:jc w:val="both"/>
        <w:rPr>
          <w:lang w:val="en-US"/>
        </w:rPr>
      </w:pPr>
      <w:r>
        <w:rPr>
          <w:lang w:val="en-US"/>
        </w:rPr>
        <w:t>Lokasi Penelitian ini adalah UMKM di Lubuk Pakam pada Tahun 2024, Kabupaten Deli Serdang, Provinsi Sumatera Utara.</w:t>
      </w:r>
    </w:p>
    <w:p w14:paraId="524F862D">
      <w:pPr>
        <w:spacing w:line="480" w:lineRule="auto"/>
        <w:jc w:val="both"/>
        <w:rPr>
          <w:b/>
          <w:lang w:val="en-US"/>
        </w:rPr>
      </w:pPr>
      <w:r>
        <w:rPr>
          <w:b/>
          <w:lang w:val="en-US"/>
        </w:rPr>
        <w:t>3.3.2</w:t>
      </w:r>
      <w:r>
        <w:rPr>
          <w:b/>
          <w:lang w:val="en-US"/>
        </w:rPr>
        <w:tab/>
      </w:r>
      <w:r>
        <w:rPr>
          <w:b/>
          <w:lang w:val="en-US"/>
        </w:rPr>
        <w:t>Waktu Penelitian</w:t>
      </w:r>
    </w:p>
    <w:p w14:paraId="01ED403D">
      <w:pPr>
        <w:spacing w:line="480" w:lineRule="auto"/>
        <w:ind w:firstLine="720"/>
        <w:jc w:val="both"/>
        <w:rPr>
          <w:lang w:val="en-US"/>
        </w:rPr>
      </w:pPr>
      <w:r>
        <w:t>Penelitian ini dilaksanakan pada periode bulan Januari hingga September 2025. Tahapan kegiatan penelitian meliputi penyusunan proposal, pengumpulan data melalui penyebaran kuesioner kepada pelaku UMKM makanan dan minuman di wilayah Lubuk Pakam, pengolahan data, analisis data, hingga penyusunan laporan akhir penelitian. Pemilihan rentang waktu tersebut disesuaikan dengan kebutuhan penelitian serta mempertimbangkan ketersediaan responden dan kemudahan akses ke lokasi penelitian. Seluruh kegiatan dilakukan secara sistematis guna memastikan validitas dan keandalan data yang diperoleh dalam menjawab tujuan penelitian.</w:t>
      </w:r>
    </w:p>
    <w:p w14:paraId="1FF9DD3F">
      <w:pPr>
        <w:jc w:val="center"/>
        <w:rPr>
          <w:b/>
          <w:lang w:val="en-US"/>
        </w:rPr>
      </w:pPr>
      <w:r>
        <w:rPr>
          <w:b/>
          <w:lang w:val="en-US"/>
        </w:rPr>
        <w:t>Tabel 3.2</w:t>
      </w:r>
    </w:p>
    <w:p w14:paraId="15C0B882">
      <w:pPr>
        <w:jc w:val="center"/>
        <w:rPr>
          <w:b/>
          <w:lang w:val="en-US"/>
        </w:rPr>
      </w:pPr>
      <w:r>
        <w:rPr>
          <w:b/>
          <w:lang w:val="en-US"/>
        </w:rPr>
        <w:t>Jadwal Penelitian</w:t>
      </w:r>
    </w:p>
    <w:tbl>
      <w:tblPr>
        <w:tblStyle w:val="11"/>
        <w:tblW w:w="536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611"/>
        <w:gridCol w:w="652"/>
        <w:gridCol w:w="706"/>
        <w:gridCol w:w="812"/>
        <w:gridCol w:w="706"/>
        <w:gridCol w:w="769"/>
        <w:gridCol w:w="729"/>
        <w:gridCol w:w="729"/>
        <w:gridCol w:w="729"/>
        <w:gridCol w:w="728"/>
      </w:tblGrid>
      <w:tr w14:paraId="223A3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6F000A57">
            <w:pPr>
              <w:ind w:left="66"/>
              <w:jc w:val="center"/>
              <w:rPr>
                <w:b/>
                <w:sz w:val="20"/>
                <w:szCs w:val="20"/>
              </w:rPr>
            </w:pPr>
            <w:r>
              <w:rPr>
                <w:b/>
                <w:sz w:val="20"/>
                <w:szCs w:val="20"/>
              </w:rPr>
              <w:t>No</w:t>
            </w:r>
          </w:p>
        </w:tc>
        <w:tc>
          <w:tcPr>
            <w:tcW w:w="1566" w:type="dxa"/>
          </w:tcPr>
          <w:p w14:paraId="43D85BC6">
            <w:pPr>
              <w:ind w:left="66"/>
              <w:jc w:val="center"/>
              <w:rPr>
                <w:b/>
                <w:sz w:val="20"/>
                <w:szCs w:val="20"/>
              </w:rPr>
            </w:pPr>
            <w:r>
              <w:rPr>
                <w:b/>
                <w:sz w:val="20"/>
                <w:szCs w:val="20"/>
              </w:rPr>
              <w:t>Kegiatan</w:t>
            </w:r>
          </w:p>
        </w:tc>
        <w:tc>
          <w:tcPr>
            <w:tcW w:w="634" w:type="dxa"/>
          </w:tcPr>
          <w:p w14:paraId="1519D162">
            <w:pPr>
              <w:jc w:val="center"/>
              <w:rPr>
                <w:b/>
                <w:sz w:val="20"/>
                <w:szCs w:val="20"/>
                <w:lang w:val="en-US"/>
              </w:rPr>
            </w:pPr>
            <w:r>
              <w:rPr>
                <w:b/>
                <w:sz w:val="20"/>
                <w:szCs w:val="20"/>
                <w:lang w:val="en-US"/>
              </w:rPr>
              <w:t>Jan</w:t>
            </w:r>
          </w:p>
          <w:p w14:paraId="60FBB2BE">
            <w:pPr>
              <w:jc w:val="center"/>
              <w:rPr>
                <w:b/>
                <w:sz w:val="20"/>
                <w:szCs w:val="20"/>
                <w:lang w:val="en-US"/>
              </w:rPr>
            </w:pPr>
            <w:r>
              <w:rPr>
                <w:b/>
                <w:sz w:val="20"/>
                <w:szCs w:val="20"/>
              </w:rPr>
              <w:t>202</w:t>
            </w:r>
            <w:r>
              <w:rPr>
                <w:b/>
                <w:sz w:val="20"/>
                <w:szCs w:val="20"/>
                <w:lang w:val="en-US"/>
              </w:rPr>
              <w:t>5</w:t>
            </w:r>
          </w:p>
        </w:tc>
        <w:tc>
          <w:tcPr>
            <w:tcW w:w="686" w:type="dxa"/>
          </w:tcPr>
          <w:p w14:paraId="67953D36">
            <w:pPr>
              <w:jc w:val="center"/>
              <w:rPr>
                <w:b/>
                <w:sz w:val="20"/>
                <w:szCs w:val="20"/>
                <w:lang w:val="en-US"/>
              </w:rPr>
            </w:pPr>
            <w:r>
              <w:rPr>
                <w:b/>
                <w:sz w:val="20"/>
                <w:szCs w:val="20"/>
                <w:lang w:val="en-US"/>
              </w:rPr>
              <w:t>Feb</w:t>
            </w:r>
          </w:p>
          <w:p w14:paraId="56C271A7">
            <w:pPr>
              <w:ind w:left="66"/>
              <w:jc w:val="center"/>
              <w:rPr>
                <w:b/>
                <w:sz w:val="20"/>
                <w:szCs w:val="20"/>
                <w:lang w:val="en-US"/>
              </w:rPr>
            </w:pPr>
            <w:r>
              <w:rPr>
                <w:b/>
                <w:sz w:val="20"/>
                <w:szCs w:val="20"/>
                <w:lang w:val="en-US"/>
              </w:rPr>
              <w:t>2025</w:t>
            </w:r>
          </w:p>
        </w:tc>
        <w:tc>
          <w:tcPr>
            <w:tcW w:w="789" w:type="dxa"/>
          </w:tcPr>
          <w:p w14:paraId="26A03905">
            <w:pPr>
              <w:jc w:val="center"/>
              <w:rPr>
                <w:b/>
                <w:sz w:val="20"/>
                <w:szCs w:val="20"/>
                <w:lang w:val="en-US"/>
              </w:rPr>
            </w:pPr>
            <w:r>
              <w:rPr>
                <w:b/>
                <w:sz w:val="20"/>
                <w:szCs w:val="20"/>
                <w:lang w:val="en-US"/>
              </w:rPr>
              <w:t>Mar</w:t>
            </w:r>
          </w:p>
          <w:p w14:paraId="21EEE246">
            <w:pPr>
              <w:ind w:left="66"/>
              <w:jc w:val="center"/>
              <w:rPr>
                <w:b/>
                <w:sz w:val="20"/>
                <w:szCs w:val="20"/>
                <w:lang w:val="en-US"/>
              </w:rPr>
            </w:pPr>
            <w:r>
              <w:rPr>
                <w:b/>
                <w:sz w:val="20"/>
                <w:szCs w:val="20"/>
                <w:lang w:val="en-US"/>
              </w:rPr>
              <w:t>2025</w:t>
            </w:r>
          </w:p>
        </w:tc>
        <w:tc>
          <w:tcPr>
            <w:tcW w:w="686" w:type="dxa"/>
          </w:tcPr>
          <w:p w14:paraId="6E4B2DBA">
            <w:pPr>
              <w:ind w:left="66"/>
              <w:jc w:val="center"/>
              <w:rPr>
                <w:b/>
                <w:sz w:val="20"/>
                <w:szCs w:val="20"/>
                <w:lang w:val="en-US"/>
              </w:rPr>
            </w:pPr>
            <w:r>
              <w:rPr>
                <w:b/>
                <w:sz w:val="20"/>
                <w:szCs w:val="20"/>
                <w:lang w:val="en-US"/>
              </w:rPr>
              <w:t>Apr 2025</w:t>
            </w:r>
          </w:p>
        </w:tc>
        <w:tc>
          <w:tcPr>
            <w:tcW w:w="748" w:type="dxa"/>
          </w:tcPr>
          <w:p w14:paraId="18B3D2D0">
            <w:pPr>
              <w:jc w:val="center"/>
              <w:rPr>
                <w:b/>
                <w:sz w:val="20"/>
                <w:szCs w:val="20"/>
                <w:lang w:val="en-US"/>
              </w:rPr>
            </w:pPr>
            <w:r>
              <w:rPr>
                <w:b/>
                <w:sz w:val="20"/>
                <w:szCs w:val="20"/>
                <w:lang w:val="en-US"/>
              </w:rPr>
              <w:t>Mei</w:t>
            </w:r>
          </w:p>
          <w:p w14:paraId="46E97190">
            <w:pPr>
              <w:jc w:val="center"/>
              <w:rPr>
                <w:b/>
                <w:sz w:val="20"/>
                <w:szCs w:val="20"/>
                <w:lang w:val="en-US"/>
              </w:rPr>
            </w:pPr>
            <w:r>
              <w:rPr>
                <w:b/>
                <w:sz w:val="20"/>
                <w:szCs w:val="20"/>
              </w:rPr>
              <w:t>202</w:t>
            </w:r>
            <w:r>
              <w:rPr>
                <w:b/>
                <w:sz w:val="20"/>
                <w:szCs w:val="20"/>
                <w:lang w:val="en-US"/>
              </w:rPr>
              <w:t>5</w:t>
            </w:r>
          </w:p>
        </w:tc>
        <w:tc>
          <w:tcPr>
            <w:tcW w:w="709" w:type="dxa"/>
          </w:tcPr>
          <w:p w14:paraId="5F2890E6">
            <w:pPr>
              <w:jc w:val="center"/>
              <w:rPr>
                <w:b/>
                <w:sz w:val="20"/>
                <w:szCs w:val="20"/>
                <w:lang w:val="en-US"/>
              </w:rPr>
            </w:pPr>
            <w:r>
              <w:rPr>
                <w:b/>
                <w:sz w:val="20"/>
                <w:szCs w:val="20"/>
                <w:lang w:val="en-US"/>
              </w:rPr>
              <w:t>Juni</w:t>
            </w:r>
          </w:p>
          <w:p w14:paraId="053486FF">
            <w:pPr>
              <w:jc w:val="center"/>
              <w:rPr>
                <w:b/>
                <w:sz w:val="20"/>
                <w:szCs w:val="20"/>
                <w:lang w:val="en-US"/>
              </w:rPr>
            </w:pPr>
            <w:r>
              <w:rPr>
                <w:b/>
                <w:sz w:val="20"/>
                <w:szCs w:val="20"/>
                <w:lang w:val="en-US"/>
              </w:rPr>
              <w:t>2025</w:t>
            </w:r>
          </w:p>
        </w:tc>
        <w:tc>
          <w:tcPr>
            <w:tcW w:w="709" w:type="dxa"/>
          </w:tcPr>
          <w:p w14:paraId="5978F8EF">
            <w:pPr>
              <w:jc w:val="center"/>
              <w:rPr>
                <w:b/>
                <w:sz w:val="20"/>
                <w:szCs w:val="20"/>
                <w:lang w:val="en-US"/>
              </w:rPr>
            </w:pPr>
            <w:r>
              <w:rPr>
                <w:b/>
                <w:sz w:val="20"/>
                <w:szCs w:val="20"/>
                <w:lang w:val="en-US"/>
              </w:rPr>
              <w:t>Juli</w:t>
            </w:r>
          </w:p>
          <w:p w14:paraId="3AB88E44">
            <w:pPr>
              <w:ind w:left="66"/>
              <w:jc w:val="center"/>
              <w:rPr>
                <w:b/>
                <w:sz w:val="20"/>
                <w:szCs w:val="20"/>
                <w:lang w:val="en-US"/>
              </w:rPr>
            </w:pPr>
            <w:r>
              <w:rPr>
                <w:b/>
                <w:sz w:val="20"/>
                <w:szCs w:val="20"/>
                <w:lang w:val="en-US"/>
              </w:rPr>
              <w:t>2025</w:t>
            </w:r>
          </w:p>
        </w:tc>
        <w:tc>
          <w:tcPr>
            <w:tcW w:w="709" w:type="dxa"/>
          </w:tcPr>
          <w:p w14:paraId="01C77193">
            <w:pPr>
              <w:jc w:val="center"/>
              <w:rPr>
                <w:b/>
                <w:sz w:val="20"/>
                <w:szCs w:val="20"/>
                <w:lang w:val="en-US"/>
              </w:rPr>
            </w:pPr>
            <w:r>
              <w:rPr>
                <w:b/>
                <w:sz w:val="20"/>
                <w:szCs w:val="20"/>
                <w:lang w:val="en-US"/>
              </w:rPr>
              <w:t>Agts</w:t>
            </w:r>
          </w:p>
          <w:p w14:paraId="7AE89153">
            <w:pPr>
              <w:jc w:val="center"/>
              <w:rPr>
                <w:b/>
                <w:sz w:val="20"/>
                <w:szCs w:val="20"/>
                <w:lang w:val="en-US"/>
              </w:rPr>
            </w:pPr>
            <w:r>
              <w:rPr>
                <w:b/>
                <w:sz w:val="20"/>
                <w:szCs w:val="20"/>
                <w:lang w:val="en-US"/>
              </w:rPr>
              <w:t>2025</w:t>
            </w:r>
          </w:p>
        </w:tc>
        <w:tc>
          <w:tcPr>
            <w:tcW w:w="708" w:type="dxa"/>
          </w:tcPr>
          <w:p w14:paraId="448D127C">
            <w:pPr>
              <w:jc w:val="center"/>
              <w:rPr>
                <w:b/>
                <w:sz w:val="20"/>
                <w:szCs w:val="20"/>
                <w:lang w:val="en-US"/>
              </w:rPr>
            </w:pPr>
            <w:r>
              <w:rPr>
                <w:b/>
                <w:sz w:val="20"/>
                <w:szCs w:val="20"/>
                <w:lang w:val="en-US"/>
              </w:rPr>
              <w:t>Sept</w:t>
            </w:r>
          </w:p>
          <w:p w14:paraId="540A43BD">
            <w:pPr>
              <w:jc w:val="center"/>
              <w:rPr>
                <w:b/>
                <w:sz w:val="20"/>
                <w:szCs w:val="20"/>
                <w:lang w:val="en-US"/>
              </w:rPr>
            </w:pPr>
            <w:r>
              <w:rPr>
                <w:b/>
                <w:sz w:val="20"/>
                <w:szCs w:val="20"/>
                <w:lang w:val="en-US"/>
              </w:rPr>
              <w:t>2025</w:t>
            </w:r>
          </w:p>
        </w:tc>
      </w:tr>
      <w:tr w14:paraId="6E1DE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0B9B3A8D">
            <w:pPr>
              <w:ind w:left="66"/>
              <w:jc w:val="both"/>
              <w:rPr>
                <w:sz w:val="20"/>
                <w:szCs w:val="20"/>
                <w:lang w:val="en-US"/>
              </w:rPr>
            </w:pPr>
            <w:r>
              <w:rPr>
                <w:sz w:val="20"/>
                <w:szCs w:val="20"/>
              </w:rPr>
              <w:t>1</w:t>
            </w:r>
            <w:r>
              <w:rPr>
                <w:sz w:val="20"/>
                <w:szCs w:val="20"/>
                <w:lang w:val="en-US"/>
              </w:rPr>
              <w:t>.</w:t>
            </w:r>
          </w:p>
        </w:tc>
        <w:tc>
          <w:tcPr>
            <w:tcW w:w="1566" w:type="dxa"/>
          </w:tcPr>
          <w:p w14:paraId="2BC888EB">
            <w:pPr>
              <w:ind w:left="66"/>
              <w:jc w:val="both"/>
              <w:rPr>
                <w:sz w:val="20"/>
                <w:szCs w:val="20"/>
              </w:rPr>
            </w:pPr>
            <w:r>
              <w:rPr>
                <w:sz w:val="20"/>
                <w:szCs w:val="20"/>
              </w:rPr>
              <w:t>Pengajuan Judul</w:t>
            </w:r>
          </w:p>
        </w:tc>
        <w:tc>
          <w:tcPr>
            <w:tcW w:w="634" w:type="dxa"/>
            <w:shd w:val="clear" w:color="auto" w:fill="000000" w:themeFill="text1"/>
          </w:tcPr>
          <w:p w14:paraId="745D75E6">
            <w:pPr>
              <w:ind w:left="66"/>
              <w:jc w:val="both"/>
              <w:rPr>
                <w:b/>
                <w:sz w:val="20"/>
                <w:szCs w:val="20"/>
              </w:rPr>
            </w:pPr>
          </w:p>
        </w:tc>
        <w:tc>
          <w:tcPr>
            <w:tcW w:w="686" w:type="dxa"/>
          </w:tcPr>
          <w:p w14:paraId="7E6EE6B9">
            <w:pPr>
              <w:ind w:left="66"/>
              <w:jc w:val="both"/>
              <w:rPr>
                <w:b/>
                <w:sz w:val="20"/>
                <w:szCs w:val="20"/>
              </w:rPr>
            </w:pPr>
          </w:p>
        </w:tc>
        <w:tc>
          <w:tcPr>
            <w:tcW w:w="789" w:type="dxa"/>
          </w:tcPr>
          <w:p w14:paraId="4641CF47">
            <w:pPr>
              <w:ind w:left="66"/>
              <w:jc w:val="both"/>
              <w:rPr>
                <w:b/>
                <w:sz w:val="20"/>
                <w:szCs w:val="20"/>
              </w:rPr>
            </w:pPr>
          </w:p>
        </w:tc>
        <w:tc>
          <w:tcPr>
            <w:tcW w:w="686" w:type="dxa"/>
          </w:tcPr>
          <w:p w14:paraId="05DCF562">
            <w:pPr>
              <w:ind w:left="66"/>
              <w:jc w:val="both"/>
              <w:rPr>
                <w:b/>
                <w:sz w:val="20"/>
                <w:szCs w:val="20"/>
              </w:rPr>
            </w:pPr>
          </w:p>
        </w:tc>
        <w:tc>
          <w:tcPr>
            <w:tcW w:w="748" w:type="dxa"/>
          </w:tcPr>
          <w:p w14:paraId="732AD4D3">
            <w:pPr>
              <w:ind w:left="66"/>
              <w:jc w:val="both"/>
              <w:rPr>
                <w:b/>
                <w:sz w:val="20"/>
                <w:szCs w:val="20"/>
              </w:rPr>
            </w:pPr>
          </w:p>
        </w:tc>
        <w:tc>
          <w:tcPr>
            <w:tcW w:w="709" w:type="dxa"/>
          </w:tcPr>
          <w:p w14:paraId="49402195">
            <w:pPr>
              <w:ind w:left="66"/>
              <w:jc w:val="both"/>
              <w:rPr>
                <w:b/>
                <w:sz w:val="20"/>
                <w:szCs w:val="20"/>
              </w:rPr>
            </w:pPr>
          </w:p>
        </w:tc>
        <w:tc>
          <w:tcPr>
            <w:tcW w:w="709" w:type="dxa"/>
          </w:tcPr>
          <w:p w14:paraId="1F7B39B5">
            <w:pPr>
              <w:ind w:left="66"/>
              <w:jc w:val="both"/>
              <w:rPr>
                <w:b/>
                <w:sz w:val="20"/>
                <w:szCs w:val="20"/>
              </w:rPr>
            </w:pPr>
          </w:p>
        </w:tc>
        <w:tc>
          <w:tcPr>
            <w:tcW w:w="709" w:type="dxa"/>
          </w:tcPr>
          <w:p w14:paraId="7386196C">
            <w:pPr>
              <w:ind w:left="66"/>
              <w:jc w:val="both"/>
              <w:rPr>
                <w:b/>
                <w:sz w:val="20"/>
                <w:szCs w:val="20"/>
              </w:rPr>
            </w:pPr>
          </w:p>
        </w:tc>
        <w:tc>
          <w:tcPr>
            <w:tcW w:w="708" w:type="dxa"/>
          </w:tcPr>
          <w:p w14:paraId="09AFEB5C">
            <w:pPr>
              <w:ind w:left="66"/>
              <w:jc w:val="both"/>
              <w:rPr>
                <w:b/>
                <w:sz w:val="20"/>
                <w:szCs w:val="20"/>
              </w:rPr>
            </w:pPr>
          </w:p>
        </w:tc>
      </w:tr>
      <w:tr w14:paraId="34E28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4A973AB5">
            <w:pPr>
              <w:ind w:left="66"/>
              <w:jc w:val="both"/>
              <w:rPr>
                <w:sz w:val="20"/>
                <w:szCs w:val="20"/>
                <w:lang w:val="en-US"/>
              </w:rPr>
            </w:pPr>
            <w:r>
              <w:rPr>
                <w:sz w:val="20"/>
                <w:szCs w:val="20"/>
              </w:rPr>
              <w:t>2</w:t>
            </w:r>
            <w:r>
              <w:rPr>
                <w:sz w:val="20"/>
                <w:szCs w:val="20"/>
                <w:lang w:val="en-US"/>
              </w:rPr>
              <w:t>.</w:t>
            </w:r>
          </w:p>
        </w:tc>
        <w:tc>
          <w:tcPr>
            <w:tcW w:w="1566" w:type="dxa"/>
          </w:tcPr>
          <w:p w14:paraId="5839307B">
            <w:pPr>
              <w:ind w:left="66"/>
              <w:jc w:val="both"/>
              <w:rPr>
                <w:sz w:val="20"/>
                <w:szCs w:val="20"/>
              </w:rPr>
            </w:pPr>
            <w:r>
              <w:rPr>
                <w:sz w:val="20"/>
                <w:szCs w:val="20"/>
              </w:rPr>
              <w:t>Pra Riset</w:t>
            </w:r>
          </w:p>
        </w:tc>
        <w:tc>
          <w:tcPr>
            <w:tcW w:w="634" w:type="dxa"/>
          </w:tcPr>
          <w:p w14:paraId="4E1DA45F">
            <w:pPr>
              <w:ind w:left="66"/>
              <w:jc w:val="both"/>
              <w:rPr>
                <w:b/>
                <w:sz w:val="20"/>
                <w:szCs w:val="20"/>
              </w:rPr>
            </w:pPr>
          </w:p>
        </w:tc>
        <w:tc>
          <w:tcPr>
            <w:tcW w:w="686" w:type="dxa"/>
            <w:shd w:val="clear" w:color="auto" w:fill="000000" w:themeFill="text1"/>
          </w:tcPr>
          <w:p w14:paraId="23FE3DF2">
            <w:pPr>
              <w:ind w:left="66"/>
              <w:jc w:val="both"/>
              <w:rPr>
                <w:b/>
                <w:sz w:val="20"/>
                <w:szCs w:val="20"/>
              </w:rPr>
            </w:pPr>
          </w:p>
        </w:tc>
        <w:tc>
          <w:tcPr>
            <w:tcW w:w="789" w:type="dxa"/>
          </w:tcPr>
          <w:p w14:paraId="392EFA7B">
            <w:pPr>
              <w:ind w:left="66"/>
              <w:jc w:val="both"/>
              <w:rPr>
                <w:b/>
                <w:sz w:val="20"/>
                <w:szCs w:val="20"/>
              </w:rPr>
            </w:pPr>
          </w:p>
        </w:tc>
        <w:tc>
          <w:tcPr>
            <w:tcW w:w="686" w:type="dxa"/>
          </w:tcPr>
          <w:p w14:paraId="63C3E416">
            <w:pPr>
              <w:ind w:left="66"/>
              <w:jc w:val="both"/>
              <w:rPr>
                <w:b/>
                <w:sz w:val="20"/>
                <w:szCs w:val="20"/>
              </w:rPr>
            </w:pPr>
          </w:p>
        </w:tc>
        <w:tc>
          <w:tcPr>
            <w:tcW w:w="748" w:type="dxa"/>
          </w:tcPr>
          <w:p w14:paraId="4FBD5D44">
            <w:pPr>
              <w:ind w:left="66"/>
              <w:jc w:val="both"/>
              <w:rPr>
                <w:b/>
                <w:sz w:val="20"/>
                <w:szCs w:val="20"/>
              </w:rPr>
            </w:pPr>
          </w:p>
        </w:tc>
        <w:tc>
          <w:tcPr>
            <w:tcW w:w="709" w:type="dxa"/>
          </w:tcPr>
          <w:p w14:paraId="3A581A49">
            <w:pPr>
              <w:ind w:left="66"/>
              <w:jc w:val="both"/>
              <w:rPr>
                <w:b/>
                <w:sz w:val="20"/>
                <w:szCs w:val="20"/>
              </w:rPr>
            </w:pPr>
          </w:p>
        </w:tc>
        <w:tc>
          <w:tcPr>
            <w:tcW w:w="709" w:type="dxa"/>
          </w:tcPr>
          <w:p w14:paraId="3A10075D">
            <w:pPr>
              <w:ind w:left="66"/>
              <w:jc w:val="both"/>
              <w:rPr>
                <w:b/>
                <w:sz w:val="20"/>
                <w:szCs w:val="20"/>
              </w:rPr>
            </w:pPr>
          </w:p>
        </w:tc>
        <w:tc>
          <w:tcPr>
            <w:tcW w:w="709" w:type="dxa"/>
          </w:tcPr>
          <w:p w14:paraId="5373BC1C">
            <w:pPr>
              <w:ind w:left="66"/>
              <w:jc w:val="both"/>
              <w:rPr>
                <w:b/>
                <w:sz w:val="20"/>
                <w:szCs w:val="20"/>
              </w:rPr>
            </w:pPr>
          </w:p>
        </w:tc>
        <w:tc>
          <w:tcPr>
            <w:tcW w:w="708" w:type="dxa"/>
          </w:tcPr>
          <w:p w14:paraId="7A0F6002">
            <w:pPr>
              <w:ind w:left="66"/>
              <w:jc w:val="both"/>
              <w:rPr>
                <w:b/>
                <w:sz w:val="20"/>
                <w:szCs w:val="20"/>
              </w:rPr>
            </w:pPr>
          </w:p>
        </w:tc>
      </w:tr>
      <w:tr w14:paraId="4C1D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1AC4ECFC">
            <w:pPr>
              <w:ind w:left="66"/>
              <w:jc w:val="both"/>
              <w:rPr>
                <w:sz w:val="20"/>
                <w:szCs w:val="20"/>
                <w:lang w:val="en-US"/>
              </w:rPr>
            </w:pPr>
            <w:r>
              <w:rPr>
                <w:sz w:val="20"/>
                <w:szCs w:val="20"/>
              </w:rPr>
              <w:t>3</w:t>
            </w:r>
            <w:r>
              <w:rPr>
                <w:sz w:val="20"/>
                <w:szCs w:val="20"/>
                <w:lang w:val="en-US"/>
              </w:rPr>
              <w:t>.</w:t>
            </w:r>
          </w:p>
        </w:tc>
        <w:tc>
          <w:tcPr>
            <w:tcW w:w="1566" w:type="dxa"/>
          </w:tcPr>
          <w:p w14:paraId="244C8D56">
            <w:pPr>
              <w:ind w:left="66"/>
              <w:jc w:val="both"/>
              <w:rPr>
                <w:sz w:val="20"/>
                <w:szCs w:val="20"/>
              </w:rPr>
            </w:pPr>
            <w:r>
              <w:rPr>
                <w:sz w:val="20"/>
                <w:szCs w:val="20"/>
              </w:rPr>
              <w:t>Penyusunan Proposal</w:t>
            </w:r>
          </w:p>
        </w:tc>
        <w:tc>
          <w:tcPr>
            <w:tcW w:w="634" w:type="dxa"/>
          </w:tcPr>
          <w:p w14:paraId="7436A4C5">
            <w:pPr>
              <w:ind w:left="66"/>
              <w:jc w:val="both"/>
              <w:rPr>
                <w:b/>
                <w:sz w:val="20"/>
                <w:szCs w:val="20"/>
              </w:rPr>
            </w:pPr>
          </w:p>
        </w:tc>
        <w:tc>
          <w:tcPr>
            <w:tcW w:w="686" w:type="dxa"/>
            <w:shd w:val="clear" w:color="auto" w:fill="000000" w:themeFill="text1"/>
          </w:tcPr>
          <w:p w14:paraId="37E083DF">
            <w:pPr>
              <w:ind w:left="66"/>
              <w:jc w:val="both"/>
              <w:rPr>
                <w:b/>
                <w:sz w:val="20"/>
                <w:szCs w:val="20"/>
              </w:rPr>
            </w:pPr>
          </w:p>
        </w:tc>
        <w:tc>
          <w:tcPr>
            <w:tcW w:w="789" w:type="dxa"/>
            <w:shd w:val="clear" w:color="auto" w:fill="000000" w:themeFill="text1"/>
          </w:tcPr>
          <w:p w14:paraId="42B0BD56">
            <w:pPr>
              <w:ind w:left="66"/>
              <w:jc w:val="both"/>
              <w:rPr>
                <w:b/>
                <w:sz w:val="20"/>
                <w:szCs w:val="20"/>
                <w:lang w:val="en-US"/>
              </w:rPr>
            </w:pPr>
          </w:p>
        </w:tc>
        <w:tc>
          <w:tcPr>
            <w:tcW w:w="686" w:type="dxa"/>
            <w:shd w:val="clear" w:color="auto" w:fill="FFFFFF" w:themeFill="background1"/>
          </w:tcPr>
          <w:p w14:paraId="5952EA5E">
            <w:pPr>
              <w:ind w:left="66"/>
              <w:jc w:val="both"/>
              <w:rPr>
                <w:b/>
                <w:sz w:val="20"/>
                <w:szCs w:val="20"/>
              </w:rPr>
            </w:pPr>
          </w:p>
        </w:tc>
        <w:tc>
          <w:tcPr>
            <w:tcW w:w="748" w:type="dxa"/>
          </w:tcPr>
          <w:p w14:paraId="16CCE65A">
            <w:pPr>
              <w:ind w:left="66"/>
              <w:jc w:val="both"/>
              <w:rPr>
                <w:b/>
                <w:sz w:val="20"/>
                <w:szCs w:val="20"/>
              </w:rPr>
            </w:pPr>
          </w:p>
        </w:tc>
        <w:tc>
          <w:tcPr>
            <w:tcW w:w="709" w:type="dxa"/>
          </w:tcPr>
          <w:p w14:paraId="0D2F9522">
            <w:pPr>
              <w:ind w:left="66"/>
              <w:jc w:val="both"/>
              <w:rPr>
                <w:b/>
                <w:sz w:val="20"/>
                <w:szCs w:val="20"/>
              </w:rPr>
            </w:pPr>
          </w:p>
        </w:tc>
        <w:tc>
          <w:tcPr>
            <w:tcW w:w="709" w:type="dxa"/>
          </w:tcPr>
          <w:p w14:paraId="3F9C3B6D">
            <w:pPr>
              <w:ind w:left="66"/>
              <w:jc w:val="both"/>
              <w:rPr>
                <w:b/>
                <w:sz w:val="20"/>
                <w:szCs w:val="20"/>
              </w:rPr>
            </w:pPr>
          </w:p>
        </w:tc>
        <w:tc>
          <w:tcPr>
            <w:tcW w:w="709" w:type="dxa"/>
          </w:tcPr>
          <w:p w14:paraId="4115418E">
            <w:pPr>
              <w:ind w:left="66"/>
              <w:jc w:val="both"/>
              <w:rPr>
                <w:b/>
                <w:sz w:val="20"/>
                <w:szCs w:val="20"/>
              </w:rPr>
            </w:pPr>
          </w:p>
        </w:tc>
        <w:tc>
          <w:tcPr>
            <w:tcW w:w="708" w:type="dxa"/>
          </w:tcPr>
          <w:p w14:paraId="12A2DAFF">
            <w:pPr>
              <w:ind w:left="66"/>
              <w:jc w:val="both"/>
              <w:rPr>
                <w:b/>
                <w:sz w:val="20"/>
                <w:szCs w:val="20"/>
              </w:rPr>
            </w:pPr>
          </w:p>
        </w:tc>
      </w:tr>
      <w:tr w14:paraId="12C7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4936512C">
            <w:pPr>
              <w:ind w:left="66"/>
              <w:jc w:val="both"/>
              <w:rPr>
                <w:sz w:val="20"/>
                <w:szCs w:val="20"/>
                <w:lang w:val="en-US"/>
              </w:rPr>
            </w:pPr>
            <w:r>
              <w:rPr>
                <w:sz w:val="20"/>
                <w:szCs w:val="20"/>
              </w:rPr>
              <w:t>4</w:t>
            </w:r>
            <w:r>
              <w:rPr>
                <w:sz w:val="20"/>
                <w:szCs w:val="20"/>
                <w:lang w:val="en-US"/>
              </w:rPr>
              <w:t>.</w:t>
            </w:r>
          </w:p>
        </w:tc>
        <w:tc>
          <w:tcPr>
            <w:tcW w:w="1566" w:type="dxa"/>
          </w:tcPr>
          <w:p w14:paraId="42356688">
            <w:pPr>
              <w:ind w:left="66"/>
              <w:jc w:val="both"/>
              <w:rPr>
                <w:sz w:val="20"/>
                <w:szCs w:val="20"/>
              </w:rPr>
            </w:pPr>
            <w:r>
              <w:rPr>
                <w:sz w:val="20"/>
                <w:szCs w:val="20"/>
              </w:rPr>
              <w:t>Bimbingan Proposal</w:t>
            </w:r>
          </w:p>
        </w:tc>
        <w:tc>
          <w:tcPr>
            <w:tcW w:w="634" w:type="dxa"/>
          </w:tcPr>
          <w:p w14:paraId="6968AE3F">
            <w:pPr>
              <w:ind w:left="66"/>
              <w:jc w:val="both"/>
              <w:rPr>
                <w:b/>
                <w:sz w:val="20"/>
                <w:szCs w:val="20"/>
              </w:rPr>
            </w:pPr>
          </w:p>
        </w:tc>
        <w:tc>
          <w:tcPr>
            <w:tcW w:w="686" w:type="dxa"/>
            <w:shd w:val="clear" w:color="auto" w:fill="000000" w:themeFill="text1"/>
          </w:tcPr>
          <w:p w14:paraId="3D97DC77">
            <w:pPr>
              <w:ind w:left="66"/>
              <w:jc w:val="both"/>
              <w:rPr>
                <w:b/>
                <w:sz w:val="20"/>
                <w:szCs w:val="20"/>
              </w:rPr>
            </w:pPr>
          </w:p>
        </w:tc>
        <w:tc>
          <w:tcPr>
            <w:tcW w:w="789" w:type="dxa"/>
            <w:shd w:val="clear" w:color="auto" w:fill="000000" w:themeFill="text1"/>
          </w:tcPr>
          <w:p w14:paraId="6B05F312">
            <w:pPr>
              <w:ind w:left="66"/>
              <w:jc w:val="both"/>
              <w:rPr>
                <w:b/>
                <w:sz w:val="20"/>
                <w:szCs w:val="20"/>
              </w:rPr>
            </w:pPr>
          </w:p>
        </w:tc>
        <w:tc>
          <w:tcPr>
            <w:tcW w:w="686" w:type="dxa"/>
            <w:shd w:val="clear" w:color="auto" w:fill="000000" w:themeFill="text1"/>
          </w:tcPr>
          <w:p w14:paraId="4012EBC4">
            <w:pPr>
              <w:ind w:left="66"/>
              <w:jc w:val="both"/>
              <w:rPr>
                <w:b/>
                <w:sz w:val="20"/>
                <w:szCs w:val="20"/>
              </w:rPr>
            </w:pPr>
          </w:p>
        </w:tc>
        <w:tc>
          <w:tcPr>
            <w:tcW w:w="748" w:type="dxa"/>
            <w:shd w:val="clear" w:color="auto" w:fill="000000" w:themeFill="text1"/>
          </w:tcPr>
          <w:p w14:paraId="189CA4F2">
            <w:pPr>
              <w:ind w:left="66"/>
              <w:jc w:val="both"/>
              <w:rPr>
                <w:b/>
                <w:sz w:val="20"/>
                <w:szCs w:val="20"/>
              </w:rPr>
            </w:pPr>
          </w:p>
        </w:tc>
        <w:tc>
          <w:tcPr>
            <w:tcW w:w="709" w:type="dxa"/>
            <w:shd w:val="clear" w:color="auto" w:fill="000000" w:themeFill="text1"/>
          </w:tcPr>
          <w:p w14:paraId="66F4A393">
            <w:pPr>
              <w:ind w:left="66"/>
              <w:jc w:val="both"/>
              <w:rPr>
                <w:b/>
                <w:sz w:val="20"/>
                <w:szCs w:val="20"/>
              </w:rPr>
            </w:pPr>
          </w:p>
        </w:tc>
        <w:tc>
          <w:tcPr>
            <w:tcW w:w="709" w:type="dxa"/>
          </w:tcPr>
          <w:p w14:paraId="62E49B28">
            <w:pPr>
              <w:ind w:left="66"/>
              <w:jc w:val="both"/>
              <w:rPr>
                <w:b/>
                <w:sz w:val="20"/>
                <w:szCs w:val="20"/>
              </w:rPr>
            </w:pPr>
          </w:p>
        </w:tc>
        <w:tc>
          <w:tcPr>
            <w:tcW w:w="709" w:type="dxa"/>
          </w:tcPr>
          <w:p w14:paraId="2F983B28">
            <w:pPr>
              <w:ind w:left="66"/>
              <w:jc w:val="both"/>
              <w:rPr>
                <w:b/>
                <w:sz w:val="20"/>
                <w:szCs w:val="20"/>
              </w:rPr>
            </w:pPr>
          </w:p>
        </w:tc>
        <w:tc>
          <w:tcPr>
            <w:tcW w:w="708" w:type="dxa"/>
          </w:tcPr>
          <w:p w14:paraId="0B58C9F6">
            <w:pPr>
              <w:ind w:left="66"/>
              <w:jc w:val="both"/>
              <w:rPr>
                <w:b/>
                <w:sz w:val="20"/>
                <w:szCs w:val="20"/>
              </w:rPr>
            </w:pPr>
          </w:p>
        </w:tc>
      </w:tr>
      <w:tr w14:paraId="39655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0FD2D0A0">
            <w:pPr>
              <w:ind w:left="66"/>
              <w:jc w:val="both"/>
              <w:rPr>
                <w:sz w:val="20"/>
                <w:szCs w:val="20"/>
                <w:lang w:val="en-US"/>
              </w:rPr>
            </w:pPr>
            <w:r>
              <w:rPr>
                <w:sz w:val="20"/>
                <w:szCs w:val="20"/>
              </w:rPr>
              <w:t>5</w:t>
            </w:r>
            <w:r>
              <w:rPr>
                <w:sz w:val="20"/>
                <w:szCs w:val="20"/>
                <w:lang w:val="en-US"/>
              </w:rPr>
              <w:t>.</w:t>
            </w:r>
          </w:p>
        </w:tc>
        <w:tc>
          <w:tcPr>
            <w:tcW w:w="1566" w:type="dxa"/>
          </w:tcPr>
          <w:p w14:paraId="721C7018">
            <w:pPr>
              <w:ind w:left="66"/>
              <w:jc w:val="both"/>
              <w:rPr>
                <w:sz w:val="20"/>
                <w:szCs w:val="20"/>
              </w:rPr>
            </w:pPr>
            <w:r>
              <w:rPr>
                <w:sz w:val="20"/>
                <w:szCs w:val="20"/>
              </w:rPr>
              <w:t>Seminar Proposal</w:t>
            </w:r>
          </w:p>
        </w:tc>
        <w:tc>
          <w:tcPr>
            <w:tcW w:w="634" w:type="dxa"/>
          </w:tcPr>
          <w:p w14:paraId="6C915B6C">
            <w:pPr>
              <w:ind w:left="66"/>
              <w:jc w:val="both"/>
              <w:rPr>
                <w:b/>
                <w:sz w:val="20"/>
                <w:szCs w:val="20"/>
              </w:rPr>
            </w:pPr>
          </w:p>
        </w:tc>
        <w:tc>
          <w:tcPr>
            <w:tcW w:w="686" w:type="dxa"/>
          </w:tcPr>
          <w:p w14:paraId="2041784F">
            <w:pPr>
              <w:ind w:left="66"/>
              <w:jc w:val="both"/>
              <w:rPr>
                <w:b/>
                <w:sz w:val="20"/>
                <w:szCs w:val="20"/>
              </w:rPr>
            </w:pPr>
          </w:p>
        </w:tc>
        <w:tc>
          <w:tcPr>
            <w:tcW w:w="789" w:type="dxa"/>
            <w:shd w:val="clear" w:color="auto" w:fill="FFFFFF" w:themeFill="background1"/>
          </w:tcPr>
          <w:p w14:paraId="619B2CC2">
            <w:pPr>
              <w:ind w:left="66"/>
              <w:jc w:val="both"/>
              <w:rPr>
                <w:b/>
                <w:sz w:val="20"/>
                <w:szCs w:val="20"/>
              </w:rPr>
            </w:pPr>
          </w:p>
        </w:tc>
        <w:tc>
          <w:tcPr>
            <w:tcW w:w="686" w:type="dxa"/>
          </w:tcPr>
          <w:p w14:paraId="09F8A1DA">
            <w:pPr>
              <w:ind w:left="66"/>
              <w:jc w:val="both"/>
              <w:rPr>
                <w:b/>
                <w:sz w:val="20"/>
                <w:szCs w:val="20"/>
              </w:rPr>
            </w:pPr>
          </w:p>
        </w:tc>
        <w:tc>
          <w:tcPr>
            <w:tcW w:w="748" w:type="dxa"/>
          </w:tcPr>
          <w:p w14:paraId="0C15EEF9">
            <w:pPr>
              <w:ind w:left="66"/>
              <w:jc w:val="both"/>
              <w:rPr>
                <w:b/>
                <w:sz w:val="20"/>
                <w:szCs w:val="20"/>
              </w:rPr>
            </w:pPr>
          </w:p>
        </w:tc>
        <w:tc>
          <w:tcPr>
            <w:tcW w:w="709" w:type="dxa"/>
          </w:tcPr>
          <w:p w14:paraId="27A40851">
            <w:pPr>
              <w:ind w:left="66"/>
              <w:jc w:val="both"/>
              <w:rPr>
                <w:b/>
                <w:sz w:val="20"/>
                <w:szCs w:val="20"/>
              </w:rPr>
            </w:pPr>
          </w:p>
        </w:tc>
        <w:tc>
          <w:tcPr>
            <w:tcW w:w="709" w:type="dxa"/>
            <w:shd w:val="clear" w:color="auto" w:fill="000000" w:themeFill="text1"/>
          </w:tcPr>
          <w:p w14:paraId="0F1178B7">
            <w:pPr>
              <w:ind w:left="66"/>
              <w:jc w:val="both"/>
              <w:rPr>
                <w:b/>
                <w:sz w:val="20"/>
                <w:szCs w:val="20"/>
              </w:rPr>
            </w:pPr>
          </w:p>
        </w:tc>
        <w:tc>
          <w:tcPr>
            <w:tcW w:w="709" w:type="dxa"/>
          </w:tcPr>
          <w:p w14:paraId="57C6CFE5">
            <w:pPr>
              <w:ind w:left="66"/>
              <w:jc w:val="both"/>
              <w:rPr>
                <w:b/>
                <w:sz w:val="20"/>
                <w:szCs w:val="20"/>
              </w:rPr>
            </w:pPr>
          </w:p>
        </w:tc>
        <w:tc>
          <w:tcPr>
            <w:tcW w:w="708" w:type="dxa"/>
          </w:tcPr>
          <w:p w14:paraId="3184B917">
            <w:pPr>
              <w:ind w:left="66"/>
              <w:jc w:val="both"/>
              <w:rPr>
                <w:b/>
                <w:sz w:val="20"/>
                <w:szCs w:val="20"/>
              </w:rPr>
            </w:pPr>
          </w:p>
        </w:tc>
      </w:tr>
      <w:tr w14:paraId="0F8C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1511E618">
            <w:pPr>
              <w:ind w:left="66"/>
              <w:jc w:val="both"/>
              <w:rPr>
                <w:sz w:val="20"/>
                <w:szCs w:val="20"/>
                <w:lang w:val="en-US"/>
              </w:rPr>
            </w:pPr>
            <w:r>
              <w:rPr>
                <w:sz w:val="20"/>
                <w:szCs w:val="20"/>
              </w:rPr>
              <w:t>6</w:t>
            </w:r>
            <w:r>
              <w:rPr>
                <w:sz w:val="20"/>
                <w:szCs w:val="20"/>
                <w:lang w:val="en-US"/>
              </w:rPr>
              <w:t>.</w:t>
            </w:r>
          </w:p>
        </w:tc>
        <w:tc>
          <w:tcPr>
            <w:tcW w:w="1566" w:type="dxa"/>
          </w:tcPr>
          <w:p w14:paraId="20B7F1C2">
            <w:pPr>
              <w:ind w:left="66"/>
              <w:jc w:val="both"/>
              <w:rPr>
                <w:sz w:val="20"/>
                <w:szCs w:val="20"/>
                <w:lang w:val="en-US"/>
              </w:rPr>
            </w:pPr>
            <w:r>
              <w:rPr>
                <w:sz w:val="20"/>
                <w:szCs w:val="20"/>
                <w:lang w:val="en-US"/>
              </w:rPr>
              <w:t>Riset</w:t>
            </w:r>
          </w:p>
        </w:tc>
        <w:tc>
          <w:tcPr>
            <w:tcW w:w="634" w:type="dxa"/>
          </w:tcPr>
          <w:p w14:paraId="284EAE4E">
            <w:pPr>
              <w:ind w:left="66"/>
              <w:jc w:val="both"/>
              <w:rPr>
                <w:b/>
                <w:sz w:val="20"/>
                <w:szCs w:val="20"/>
              </w:rPr>
            </w:pPr>
          </w:p>
        </w:tc>
        <w:tc>
          <w:tcPr>
            <w:tcW w:w="686" w:type="dxa"/>
          </w:tcPr>
          <w:p w14:paraId="0B1B6B89">
            <w:pPr>
              <w:ind w:left="66"/>
              <w:jc w:val="both"/>
              <w:rPr>
                <w:b/>
                <w:sz w:val="20"/>
                <w:szCs w:val="20"/>
              </w:rPr>
            </w:pPr>
          </w:p>
        </w:tc>
        <w:tc>
          <w:tcPr>
            <w:tcW w:w="789" w:type="dxa"/>
          </w:tcPr>
          <w:p w14:paraId="2DC63ACF">
            <w:pPr>
              <w:ind w:left="66"/>
              <w:jc w:val="both"/>
              <w:rPr>
                <w:b/>
                <w:sz w:val="20"/>
                <w:szCs w:val="20"/>
              </w:rPr>
            </w:pPr>
          </w:p>
        </w:tc>
        <w:tc>
          <w:tcPr>
            <w:tcW w:w="686" w:type="dxa"/>
          </w:tcPr>
          <w:p w14:paraId="7E531E85">
            <w:pPr>
              <w:ind w:left="66"/>
              <w:jc w:val="both"/>
              <w:rPr>
                <w:b/>
                <w:sz w:val="20"/>
                <w:szCs w:val="20"/>
              </w:rPr>
            </w:pPr>
          </w:p>
        </w:tc>
        <w:tc>
          <w:tcPr>
            <w:tcW w:w="748" w:type="dxa"/>
          </w:tcPr>
          <w:p w14:paraId="51CD35EA">
            <w:pPr>
              <w:ind w:left="66"/>
              <w:jc w:val="both"/>
              <w:rPr>
                <w:b/>
                <w:sz w:val="20"/>
                <w:szCs w:val="20"/>
              </w:rPr>
            </w:pPr>
          </w:p>
        </w:tc>
        <w:tc>
          <w:tcPr>
            <w:tcW w:w="709" w:type="dxa"/>
          </w:tcPr>
          <w:p w14:paraId="20619FEA">
            <w:pPr>
              <w:ind w:left="66"/>
              <w:jc w:val="both"/>
              <w:rPr>
                <w:b/>
                <w:sz w:val="20"/>
                <w:szCs w:val="20"/>
              </w:rPr>
            </w:pPr>
          </w:p>
        </w:tc>
        <w:tc>
          <w:tcPr>
            <w:tcW w:w="709" w:type="dxa"/>
          </w:tcPr>
          <w:p w14:paraId="3EAAFAD9">
            <w:pPr>
              <w:ind w:left="66"/>
              <w:jc w:val="both"/>
              <w:rPr>
                <w:b/>
                <w:sz w:val="20"/>
                <w:szCs w:val="20"/>
              </w:rPr>
            </w:pPr>
          </w:p>
        </w:tc>
        <w:tc>
          <w:tcPr>
            <w:tcW w:w="709" w:type="dxa"/>
            <w:shd w:val="clear" w:color="auto" w:fill="000000" w:themeFill="text1"/>
          </w:tcPr>
          <w:p w14:paraId="75D6E306">
            <w:pPr>
              <w:ind w:left="66"/>
              <w:jc w:val="both"/>
              <w:rPr>
                <w:b/>
                <w:sz w:val="20"/>
                <w:szCs w:val="20"/>
              </w:rPr>
            </w:pPr>
          </w:p>
        </w:tc>
        <w:tc>
          <w:tcPr>
            <w:tcW w:w="708" w:type="dxa"/>
            <w:shd w:val="clear" w:color="auto" w:fill="FFFFFF" w:themeFill="background1"/>
          </w:tcPr>
          <w:p w14:paraId="669E4174">
            <w:pPr>
              <w:ind w:left="66"/>
              <w:jc w:val="both"/>
              <w:rPr>
                <w:b/>
                <w:sz w:val="20"/>
                <w:szCs w:val="20"/>
              </w:rPr>
            </w:pPr>
          </w:p>
        </w:tc>
      </w:tr>
      <w:tr w14:paraId="3E815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5052202B">
            <w:pPr>
              <w:ind w:left="66"/>
              <w:jc w:val="both"/>
              <w:rPr>
                <w:sz w:val="20"/>
                <w:szCs w:val="20"/>
                <w:lang w:val="en-US"/>
              </w:rPr>
            </w:pPr>
            <w:r>
              <w:rPr>
                <w:sz w:val="20"/>
                <w:szCs w:val="20"/>
              </w:rPr>
              <w:t>7</w:t>
            </w:r>
            <w:r>
              <w:rPr>
                <w:sz w:val="20"/>
                <w:szCs w:val="20"/>
                <w:lang w:val="en-US"/>
              </w:rPr>
              <w:t>.</w:t>
            </w:r>
          </w:p>
        </w:tc>
        <w:tc>
          <w:tcPr>
            <w:tcW w:w="1566" w:type="dxa"/>
          </w:tcPr>
          <w:p w14:paraId="026B4060">
            <w:pPr>
              <w:ind w:left="66"/>
              <w:jc w:val="both"/>
              <w:rPr>
                <w:sz w:val="20"/>
                <w:szCs w:val="20"/>
              </w:rPr>
            </w:pPr>
            <w:r>
              <w:rPr>
                <w:sz w:val="20"/>
                <w:szCs w:val="20"/>
              </w:rPr>
              <w:t>Pengolahan Data</w:t>
            </w:r>
          </w:p>
        </w:tc>
        <w:tc>
          <w:tcPr>
            <w:tcW w:w="634" w:type="dxa"/>
          </w:tcPr>
          <w:p w14:paraId="7EF9D8FF">
            <w:pPr>
              <w:ind w:left="66"/>
              <w:jc w:val="both"/>
              <w:rPr>
                <w:b/>
                <w:sz w:val="20"/>
                <w:szCs w:val="20"/>
              </w:rPr>
            </w:pPr>
          </w:p>
        </w:tc>
        <w:tc>
          <w:tcPr>
            <w:tcW w:w="686" w:type="dxa"/>
          </w:tcPr>
          <w:p w14:paraId="717C8C0E">
            <w:pPr>
              <w:ind w:left="66"/>
              <w:jc w:val="both"/>
              <w:rPr>
                <w:b/>
                <w:sz w:val="20"/>
                <w:szCs w:val="20"/>
              </w:rPr>
            </w:pPr>
          </w:p>
        </w:tc>
        <w:tc>
          <w:tcPr>
            <w:tcW w:w="789" w:type="dxa"/>
          </w:tcPr>
          <w:p w14:paraId="1087C0F4">
            <w:pPr>
              <w:ind w:left="66"/>
              <w:jc w:val="both"/>
              <w:rPr>
                <w:b/>
                <w:sz w:val="20"/>
                <w:szCs w:val="20"/>
              </w:rPr>
            </w:pPr>
          </w:p>
        </w:tc>
        <w:tc>
          <w:tcPr>
            <w:tcW w:w="686" w:type="dxa"/>
          </w:tcPr>
          <w:p w14:paraId="78B0956D">
            <w:pPr>
              <w:ind w:left="66"/>
              <w:jc w:val="both"/>
              <w:rPr>
                <w:b/>
                <w:sz w:val="20"/>
                <w:szCs w:val="20"/>
              </w:rPr>
            </w:pPr>
          </w:p>
        </w:tc>
        <w:tc>
          <w:tcPr>
            <w:tcW w:w="748" w:type="dxa"/>
          </w:tcPr>
          <w:p w14:paraId="5AB553D6">
            <w:pPr>
              <w:ind w:left="66"/>
              <w:jc w:val="both"/>
              <w:rPr>
                <w:b/>
                <w:sz w:val="20"/>
                <w:szCs w:val="20"/>
              </w:rPr>
            </w:pPr>
          </w:p>
        </w:tc>
        <w:tc>
          <w:tcPr>
            <w:tcW w:w="709" w:type="dxa"/>
          </w:tcPr>
          <w:p w14:paraId="3069C4DC">
            <w:pPr>
              <w:ind w:left="66"/>
              <w:jc w:val="both"/>
              <w:rPr>
                <w:b/>
                <w:sz w:val="20"/>
                <w:szCs w:val="20"/>
              </w:rPr>
            </w:pPr>
          </w:p>
        </w:tc>
        <w:tc>
          <w:tcPr>
            <w:tcW w:w="709" w:type="dxa"/>
          </w:tcPr>
          <w:p w14:paraId="0A0A18B8">
            <w:pPr>
              <w:ind w:left="66"/>
              <w:jc w:val="both"/>
              <w:rPr>
                <w:b/>
                <w:sz w:val="20"/>
                <w:szCs w:val="20"/>
              </w:rPr>
            </w:pPr>
          </w:p>
        </w:tc>
        <w:tc>
          <w:tcPr>
            <w:tcW w:w="709" w:type="dxa"/>
            <w:shd w:val="clear" w:color="auto" w:fill="000000" w:themeFill="text1"/>
          </w:tcPr>
          <w:p w14:paraId="58F39E8A">
            <w:pPr>
              <w:ind w:left="66"/>
              <w:jc w:val="both"/>
              <w:rPr>
                <w:b/>
                <w:sz w:val="20"/>
                <w:szCs w:val="20"/>
              </w:rPr>
            </w:pPr>
          </w:p>
        </w:tc>
        <w:tc>
          <w:tcPr>
            <w:tcW w:w="708" w:type="dxa"/>
            <w:shd w:val="clear" w:color="auto" w:fill="FFFFFF" w:themeFill="background1"/>
          </w:tcPr>
          <w:p w14:paraId="3686DEA4">
            <w:pPr>
              <w:ind w:left="66"/>
              <w:jc w:val="both"/>
              <w:rPr>
                <w:b/>
                <w:sz w:val="20"/>
                <w:szCs w:val="20"/>
              </w:rPr>
            </w:pPr>
          </w:p>
        </w:tc>
      </w:tr>
      <w:tr w14:paraId="351C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22797B98">
            <w:pPr>
              <w:ind w:left="66"/>
              <w:jc w:val="both"/>
              <w:rPr>
                <w:sz w:val="20"/>
                <w:szCs w:val="20"/>
                <w:lang w:val="en-US"/>
              </w:rPr>
            </w:pPr>
            <w:r>
              <w:rPr>
                <w:sz w:val="20"/>
                <w:szCs w:val="20"/>
              </w:rPr>
              <w:t>8</w:t>
            </w:r>
            <w:r>
              <w:rPr>
                <w:sz w:val="20"/>
                <w:szCs w:val="20"/>
                <w:lang w:val="en-US"/>
              </w:rPr>
              <w:t>.</w:t>
            </w:r>
          </w:p>
        </w:tc>
        <w:tc>
          <w:tcPr>
            <w:tcW w:w="1566" w:type="dxa"/>
          </w:tcPr>
          <w:p w14:paraId="6B9B1BA1">
            <w:pPr>
              <w:ind w:left="66"/>
              <w:jc w:val="both"/>
              <w:rPr>
                <w:sz w:val="20"/>
                <w:szCs w:val="20"/>
              </w:rPr>
            </w:pPr>
            <w:r>
              <w:rPr>
                <w:sz w:val="20"/>
                <w:szCs w:val="20"/>
              </w:rPr>
              <w:t>Penyusunan Skripsi</w:t>
            </w:r>
          </w:p>
        </w:tc>
        <w:tc>
          <w:tcPr>
            <w:tcW w:w="634" w:type="dxa"/>
          </w:tcPr>
          <w:p w14:paraId="76C57300">
            <w:pPr>
              <w:ind w:left="66"/>
              <w:jc w:val="both"/>
              <w:rPr>
                <w:b/>
                <w:sz w:val="20"/>
                <w:szCs w:val="20"/>
              </w:rPr>
            </w:pPr>
          </w:p>
        </w:tc>
        <w:tc>
          <w:tcPr>
            <w:tcW w:w="686" w:type="dxa"/>
          </w:tcPr>
          <w:p w14:paraId="1CCDE338">
            <w:pPr>
              <w:ind w:left="66"/>
              <w:jc w:val="both"/>
              <w:rPr>
                <w:b/>
                <w:sz w:val="20"/>
                <w:szCs w:val="20"/>
                <w:lang w:val="en-US"/>
              </w:rPr>
            </w:pPr>
          </w:p>
        </w:tc>
        <w:tc>
          <w:tcPr>
            <w:tcW w:w="789" w:type="dxa"/>
          </w:tcPr>
          <w:p w14:paraId="38D56C9D">
            <w:pPr>
              <w:ind w:left="66"/>
              <w:jc w:val="both"/>
              <w:rPr>
                <w:b/>
                <w:sz w:val="20"/>
                <w:szCs w:val="20"/>
              </w:rPr>
            </w:pPr>
          </w:p>
        </w:tc>
        <w:tc>
          <w:tcPr>
            <w:tcW w:w="686" w:type="dxa"/>
          </w:tcPr>
          <w:p w14:paraId="0C4D4F69">
            <w:pPr>
              <w:ind w:left="66"/>
              <w:jc w:val="both"/>
              <w:rPr>
                <w:b/>
                <w:sz w:val="20"/>
                <w:szCs w:val="20"/>
              </w:rPr>
            </w:pPr>
          </w:p>
        </w:tc>
        <w:tc>
          <w:tcPr>
            <w:tcW w:w="748" w:type="dxa"/>
          </w:tcPr>
          <w:p w14:paraId="3F9CA78E">
            <w:pPr>
              <w:ind w:left="66"/>
              <w:jc w:val="both"/>
              <w:rPr>
                <w:b/>
                <w:sz w:val="20"/>
                <w:szCs w:val="20"/>
              </w:rPr>
            </w:pPr>
          </w:p>
        </w:tc>
        <w:tc>
          <w:tcPr>
            <w:tcW w:w="709" w:type="dxa"/>
          </w:tcPr>
          <w:p w14:paraId="48E83D92">
            <w:pPr>
              <w:ind w:left="66"/>
              <w:jc w:val="both"/>
              <w:rPr>
                <w:b/>
                <w:sz w:val="20"/>
                <w:szCs w:val="20"/>
              </w:rPr>
            </w:pPr>
          </w:p>
        </w:tc>
        <w:tc>
          <w:tcPr>
            <w:tcW w:w="709" w:type="dxa"/>
          </w:tcPr>
          <w:p w14:paraId="135A06C4">
            <w:pPr>
              <w:ind w:left="66"/>
              <w:jc w:val="both"/>
              <w:rPr>
                <w:b/>
                <w:sz w:val="20"/>
                <w:szCs w:val="20"/>
              </w:rPr>
            </w:pPr>
          </w:p>
        </w:tc>
        <w:tc>
          <w:tcPr>
            <w:tcW w:w="709" w:type="dxa"/>
            <w:shd w:val="clear" w:color="auto" w:fill="000000" w:themeFill="text1"/>
          </w:tcPr>
          <w:p w14:paraId="0585C034">
            <w:pPr>
              <w:ind w:left="66"/>
              <w:jc w:val="both"/>
              <w:rPr>
                <w:b/>
                <w:sz w:val="20"/>
                <w:szCs w:val="20"/>
              </w:rPr>
            </w:pPr>
          </w:p>
        </w:tc>
        <w:tc>
          <w:tcPr>
            <w:tcW w:w="708" w:type="dxa"/>
          </w:tcPr>
          <w:p w14:paraId="77E55101">
            <w:pPr>
              <w:ind w:left="66"/>
              <w:jc w:val="both"/>
              <w:rPr>
                <w:b/>
                <w:sz w:val="20"/>
                <w:szCs w:val="20"/>
              </w:rPr>
            </w:pPr>
          </w:p>
        </w:tc>
      </w:tr>
      <w:tr w14:paraId="1BD7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4C9A6BAE">
            <w:pPr>
              <w:ind w:left="66"/>
              <w:jc w:val="both"/>
              <w:rPr>
                <w:sz w:val="20"/>
                <w:szCs w:val="20"/>
                <w:lang w:val="en-US"/>
              </w:rPr>
            </w:pPr>
            <w:r>
              <w:rPr>
                <w:sz w:val="20"/>
                <w:szCs w:val="20"/>
              </w:rPr>
              <w:t>9</w:t>
            </w:r>
            <w:r>
              <w:rPr>
                <w:sz w:val="20"/>
                <w:szCs w:val="20"/>
                <w:lang w:val="en-US"/>
              </w:rPr>
              <w:t>.</w:t>
            </w:r>
          </w:p>
        </w:tc>
        <w:tc>
          <w:tcPr>
            <w:tcW w:w="1566" w:type="dxa"/>
          </w:tcPr>
          <w:p w14:paraId="168E982D">
            <w:pPr>
              <w:ind w:left="66"/>
              <w:jc w:val="both"/>
              <w:rPr>
                <w:sz w:val="20"/>
                <w:szCs w:val="20"/>
              </w:rPr>
            </w:pPr>
            <w:r>
              <w:rPr>
                <w:sz w:val="20"/>
                <w:szCs w:val="20"/>
              </w:rPr>
              <w:t>Bimbingan Skripsi</w:t>
            </w:r>
          </w:p>
        </w:tc>
        <w:tc>
          <w:tcPr>
            <w:tcW w:w="634" w:type="dxa"/>
          </w:tcPr>
          <w:p w14:paraId="6FE93170">
            <w:pPr>
              <w:ind w:left="66"/>
              <w:jc w:val="both"/>
              <w:rPr>
                <w:b/>
                <w:sz w:val="20"/>
                <w:szCs w:val="20"/>
              </w:rPr>
            </w:pPr>
          </w:p>
        </w:tc>
        <w:tc>
          <w:tcPr>
            <w:tcW w:w="686" w:type="dxa"/>
          </w:tcPr>
          <w:p w14:paraId="5A4DC739">
            <w:pPr>
              <w:ind w:left="66"/>
              <w:jc w:val="both"/>
              <w:rPr>
                <w:b/>
                <w:sz w:val="20"/>
                <w:szCs w:val="20"/>
              </w:rPr>
            </w:pPr>
          </w:p>
        </w:tc>
        <w:tc>
          <w:tcPr>
            <w:tcW w:w="789" w:type="dxa"/>
          </w:tcPr>
          <w:p w14:paraId="0BFFEC30">
            <w:pPr>
              <w:ind w:left="66"/>
              <w:jc w:val="both"/>
              <w:rPr>
                <w:b/>
                <w:sz w:val="20"/>
                <w:szCs w:val="20"/>
              </w:rPr>
            </w:pPr>
          </w:p>
        </w:tc>
        <w:tc>
          <w:tcPr>
            <w:tcW w:w="686" w:type="dxa"/>
          </w:tcPr>
          <w:p w14:paraId="55B7D822">
            <w:pPr>
              <w:ind w:left="66"/>
              <w:jc w:val="both"/>
              <w:rPr>
                <w:b/>
                <w:sz w:val="20"/>
                <w:szCs w:val="20"/>
              </w:rPr>
            </w:pPr>
          </w:p>
        </w:tc>
        <w:tc>
          <w:tcPr>
            <w:tcW w:w="748" w:type="dxa"/>
          </w:tcPr>
          <w:p w14:paraId="77A0D3EB">
            <w:pPr>
              <w:ind w:left="66"/>
              <w:jc w:val="both"/>
              <w:rPr>
                <w:b/>
                <w:sz w:val="20"/>
                <w:szCs w:val="20"/>
              </w:rPr>
            </w:pPr>
          </w:p>
        </w:tc>
        <w:tc>
          <w:tcPr>
            <w:tcW w:w="709" w:type="dxa"/>
          </w:tcPr>
          <w:p w14:paraId="337B7B02">
            <w:pPr>
              <w:ind w:left="66"/>
              <w:jc w:val="both"/>
              <w:rPr>
                <w:b/>
                <w:sz w:val="20"/>
                <w:szCs w:val="20"/>
              </w:rPr>
            </w:pPr>
          </w:p>
        </w:tc>
        <w:tc>
          <w:tcPr>
            <w:tcW w:w="709" w:type="dxa"/>
          </w:tcPr>
          <w:p w14:paraId="715D79FE">
            <w:pPr>
              <w:ind w:left="66"/>
              <w:jc w:val="both"/>
              <w:rPr>
                <w:b/>
                <w:sz w:val="20"/>
                <w:szCs w:val="20"/>
              </w:rPr>
            </w:pPr>
          </w:p>
        </w:tc>
        <w:tc>
          <w:tcPr>
            <w:tcW w:w="709" w:type="dxa"/>
            <w:shd w:val="clear" w:color="auto" w:fill="000000" w:themeFill="text1"/>
          </w:tcPr>
          <w:p w14:paraId="367094ED">
            <w:pPr>
              <w:ind w:left="66"/>
              <w:jc w:val="both"/>
              <w:rPr>
                <w:b/>
                <w:sz w:val="20"/>
                <w:szCs w:val="20"/>
              </w:rPr>
            </w:pPr>
          </w:p>
        </w:tc>
        <w:tc>
          <w:tcPr>
            <w:tcW w:w="708" w:type="dxa"/>
          </w:tcPr>
          <w:p w14:paraId="1A2166AD">
            <w:pPr>
              <w:ind w:left="66"/>
              <w:jc w:val="both"/>
              <w:rPr>
                <w:b/>
                <w:sz w:val="20"/>
                <w:szCs w:val="20"/>
              </w:rPr>
            </w:pPr>
          </w:p>
        </w:tc>
      </w:tr>
      <w:tr w14:paraId="64AB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56" w:type="dxa"/>
          </w:tcPr>
          <w:p w14:paraId="54E850F2">
            <w:pPr>
              <w:ind w:left="66"/>
              <w:jc w:val="both"/>
              <w:rPr>
                <w:sz w:val="20"/>
                <w:szCs w:val="20"/>
                <w:lang w:val="en-US"/>
              </w:rPr>
            </w:pPr>
            <w:r>
              <w:rPr>
                <w:sz w:val="20"/>
                <w:szCs w:val="20"/>
              </w:rPr>
              <w:t>10</w:t>
            </w:r>
            <w:r>
              <w:rPr>
                <w:sz w:val="20"/>
                <w:szCs w:val="20"/>
                <w:lang w:val="en-US"/>
              </w:rPr>
              <w:t>.</w:t>
            </w:r>
          </w:p>
        </w:tc>
        <w:tc>
          <w:tcPr>
            <w:tcW w:w="1566" w:type="dxa"/>
          </w:tcPr>
          <w:p w14:paraId="0F97098A">
            <w:pPr>
              <w:ind w:left="66"/>
              <w:jc w:val="both"/>
              <w:rPr>
                <w:sz w:val="20"/>
                <w:szCs w:val="20"/>
                <w:lang w:val="en-US"/>
              </w:rPr>
            </w:pPr>
            <w:r>
              <w:rPr>
                <w:sz w:val="20"/>
                <w:szCs w:val="20"/>
              </w:rPr>
              <w:t>Sidang</w:t>
            </w:r>
            <w:r>
              <w:rPr>
                <w:sz w:val="20"/>
                <w:szCs w:val="20"/>
                <w:lang w:val="en-US"/>
              </w:rPr>
              <w:t xml:space="preserve"> Meja Hijau</w:t>
            </w:r>
          </w:p>
        </w:tc>
        <w:tc>
          <w:tcPr>
            <w:tcW w:w="634" w:type="dxa"/>
          </w:tcPr>
          <w:p w14:paraId="73F8D7FF">
            <w:pPr>
              <w:ind w:left="66"/>
              <w:jc w:val="both"/>
              <w:rPr>
                <w:b/>
                <w:sz w:val="20"/>
                <w:szCs w:val="20"/>
              </w:rPr>
            </w:pPr>
          </w:p>
        </w:tc>
        <w:tc>
          <w:tcPr>
            <w:tcW w:w="686" w:type="dxa"/>
          </w:tcPr>
          <w:p w14:paraId="55C09825">
            <w:pPr>
              <w:ind w:left="66"/>
              <w:jc w:val="both"/>
              <w:rPr>
                <w:b/>
                <w:sz w:val="20"/>
                <w:szCs w:val="20"/>
              </w:rPr>
            </w:pPr>
          </w:p>
        </w:tc>
        <w:tc>
          <w:tcPr>
            <w:tcW w:w="789" w:type="dxa"/>
          </w:tcPr>
          <w:p w14:paraId="1095FC66">
            <w:pPr>
              <w:ind w:left="66"/>
              <w:jc w:val="both"/>
              <w:rPr>
                <w:b/>
                <w:sz w:val="20"/>
                <w:szCs w:val="20"/>
              </w:rPr>
            </w:pPr>
          </w:p>
        </w:tc>
        <w:tc>
          <w:tcPr>
            <w:tcW w:w="686" w:type="dxa"/>
          </w:tcPr>
          <w:p w14:paraId="1BEC67E6">
            <w:pPr>
              <w:ind w:left="66"/>
              <w:jc w:val="both"/>
              <w:rPr>
                <w:b/>
                <w:sz w:val="20"/>
                <w:szCs w:val="20"/>
              </w:rPr>
            </w:pPr>
          </w:p>
        </w:tc>
        <w:tc>
          <w:tcPr>
            <w:tcW w:w="748" w:type="dxa"/>
          </w:tcPr>
          <w:p w14:paraId="05E73D5C">
            <w:pPr>
              <w:ind w:left="66"/>
              <w:jc w:val="both"/>
              <w:rPr>
                <w:b/>
                <w:sz w:val="20"/>
                <w:szCs w:val="20"/>
              </w:rPr>
            </w:pPr>
          </w:p>
        </w:tc>
        <w:tc>
          <w:tcPr>
            <w:tcW w:w="709" w:type="dxa"/>
          </w:tcPr>
          <w:p w14:paraId="35168223">
            <w:pPr>
              <w:ind w:left="66"/>
              <w:jc w:val="both"/>
              <w:rPr>
                <w:b/>
                <w:sz w:val="20"/>
                <w:szCs w:val="20"/>
              </w:rPr>
            </w:pPr>
          </w:p>
        </w:tc>
        <w:tc>
          <w:tcPr>
            <w:tcW w:w="709" w:type="dxa"/>
          </w:tcPr>
          <w:p w14:paraId="23F728C6">
            <w:pPr>
              <w:ind w:left="66"/>
              <w:jc w:val="both"/>
              <w:rPr>
                <w:b/>
                <w:sz w:val="20"/>
                <w:szCs w:val="20"/>
              </w:rPr>
            </w:pPr>
          </w:p>
        </w:tc>
        <w:tc>
          <w:tcPr>
            <w:tcW w:w="709" w:type="dxa"/>
          </w:tcPr>
          <w:p w14:paraId="66445A14">
            <w:pPr>
              <w:ind w:left="66"/>
              <w:jc w:val="both"/>
              <w:rPr>
                <w:b/>
                <w:sz w:val="20"/>
                <w:szCs w:val="20"/>
              </w:rPr>
            </w:pPr>
          </w:p>
        </w:tc>
        <w:tc>
          <w:tcPr>
            <w:tcW w:w="708" w:type="dxa"/>
            <w:shd w:val="clear" w:color="auto" w:fill="000000" w:themeFill="text1"/>
          </w:tcPr>
          <w:p w14:paraId="260FA947">
            <w:pPr>
              <w:ind w:left="66"/>
              <w:jc w:val="both"/>
              <w:rPr>
                <w:b/>
                <w:sz w:val="20"/>
                <w:szCs w:val="20"/>
              </w:rPr>
            </w:pPr>
          </w:p>
        </w:tc>
      </w:tr>
    </w:tbl>
    <w:p w14:paraId="2A8462B0">
      <w:pPr>
        <w:ind w:left="66"/>
        <w:jc w:val="both"/>
        <w:rPr>
          <w:lang w:val="en-US"/>
        </w:rPr>
      </w:pPr>
    </w:p>
    <w:p w14:paraId="1E5C4BB6">
      <w:pPr>
        <w:spacing w:line="480" w:lineRule="auto"/>
        <w:jc w:val="both"/>
        <w:rPr>
          <w:b/>
          <w:lang w:val="en-US"/>
        </w:rPr>
      </w:pPr>
      <w:r>
        <w:rPr>
          <w:b/>
          <w:lang w:val="en-US"/>
        </w:rPr>
        <w:t>3.4</w:t>
      </w:r>
      <w:r>
        <w:rPr>
          <w:b/>
          <w:lang w:val="en-US"/>
        </w:rPr>
        <w:tab/>
      </w:r>
      <w:r>
        <w:rPr>
          <w:b/>
          <w:lang w:val="en-US"/>
        </w:rPr>
        <w:t>Definisi dan Operasionalisasi Variabel</w:t>
      </w:r>
    </w:p>
    <w:p w14:paraId="38A721F2">
      <w:pPr>
        <w:spacing w:line="480" w:lineRule="auto"/>
        <w:ind w:firstLine="720"/>
        <w:jc w:val="both"/>
        <w:rPr>
          <w:lang w:val="en-US"/>
        </w:rPr>
      </w:pPr>
      <w:r>
        <w:t>Menurut (</w:t>
      </w:r>
      <w:r>
        <w:rPr>
          <w:lang w:val="en-US"/>
        </w:rPr>
        <w:t xml:space="preserve">Bahri, </w:t>
      </w:r>
      <w:r>
        <w:t>20</w:t>
      </w:r>
      <w:r>
        <w:rPr>
          <w:lang w:val="en-US"/>
        </w:rPr>
        <w:t>20</w:t>
      </w:r>
      <w:r>
        <w:t>) Variabel</w:t>
      </w:r>
      <w:r>
        <w:rPr>
          <w:lang w:val="en-US"/>
        </w:rPr>
        <w:t xml:space="preserve"> merupakan sesuatu yang mempunyai nilai dan dapat diukur, baik berwujud (</w:t>
      </w:r>
      <w:r>
        <w:rPr>
          <w:i/>
          <w:lang w:val="en-US"/>
        </w:rPr>
        <w:t>tangible</w:t>
      </w:r>
      <w:r>
        <w:rPr>
          <w:lang w:val="en-US"/>
        </w:rPr>
        <w:t>) maupun tidak berwujud (</w:t>
      </w:r>
      <w:r>
        <w:rPr>
          <w:i/>
          <w:lang w:val="en-US"/>
        </w:rPr>
        <w:t>intangible</w:t>
      </w:r>
      <w:r>
        <w:rPr>
          <w:lang w:val="en-US"/>
        </w:rPr>
        <w:t>). Nilai yang diberikan pada suatu variabel didasarkan pada ciri-ciri variabel tersebut. Variabel harus dapat didefinisikan dengan jelas baik secara konseptual maupun operasional</w:t>
      </w:r>
      <w:r>
        <w:t>.</w:t>
      </w:r>
      <w:r>
        <w:rPr>
          <w:lang w:val="en-US"/>
        </w:rPr>
        <w:t xml:space="preserve"> </w:t>
      </w:r>
    </w:p>
    <w:p w14:paraId="14AE2739">
      <w:pPr>
        <w:ind w:left="66" w:firstLine="360"/>
        <w:jc w:val="center"/>
        <w:rPr>
          <w:b/>
          <w:lang w:val="en-US"/>
        </w:rPr>
      </w:pPr>
      <w:r>
        <w:rPr>
          <w:b/>
          <w:lang w:val="en-US"/>
        </w:rPr>
        <w:t>Tabel 3.3</w:t>
      </w:r>
    </w:p>
    <w:p w14:paraId="6F6F751C">
      <w:pPr>
        <w:ind w:left="66" w:firstLine="360"/>
        <w:jc w:val="center"/>
        <w:rPr>
          <w:b/>
          <w:lang w:val="en-US"/>
        </w:rPr>
      </w:pPr>
      <w:r>
        <w:rPr>
          <w:b/>
          <w:lang w:val="en-US"/>
        </w:rPr>
        <w:t>Definisi dan Operasionalisasi Variabel</w:t>
      </w:r>
    </w:p>
    <w:tbl>
      <w:tblPr>
        <w:tblStyle w:val="17"/>
        <w:tblW w:w="0" w:type="auto"/>
        <w:jc w:val="center"/>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04"/>
        <w:gridCol w:w="1823"/>
        <w:gridCol w:w="2494"/>
        <w:gridCol w:w="2299"/>
        <w:gridCol w:w="1034"/>
      </w:tblGrid>
      <w:tr w14:paraId="1D3407D7">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blHeader/>
          <w:jc w:val="center"/>
        </w:trPr>
        <w:tc>
          <w:tcPr>
            <w:tcW w:w="510" w:type="dxa"/>
            <w:tcBorders>
              <w:bottom w:val="single" w:color="7E7E7E" w:themeColor="text1" w:themeTint="80" w:sz="4" w:space="0"/>
              <w:insideH w:val="single" w:sz="4" w:space="0"/>
            </w:tcBorders>
          </w:tcPr>
          <w:p w14:paraId="674A9C2F">
            <w:pPr>
              <w:jc w:val="center"/>
              <w:rPr>
                <w:b w:val="0"/>
                <w:bCs/>
                <w:sz w:val="20"/>
                <w:szCs w:val="20"/>
                <w:lang w:val="en-US"/>
              </w:rPr>
            </w:pPr>
            <w:bookmarkStart w:id="0" w:name="_Hlk185359075"/>
            <w:r>
              <w:rPr>
                <w:b/>
                <w:bCs/>
                <w:sz w:val="20"/>
                <w:szCs w:val="20"/>
                <w:lang w:val="en-US"/>
              </w:rPr>
              <w:t>No</w:t>
            </w:r>
          </w:p>
        </w:tc>
        <w:tc>
          <w:tcPr>
            <w:tcW w:w="1888" w:type="dxa"/>
            <w:tcBorders>
              <w:bottom w:val="single" w:color="7E7E7E" w:themeColor="text1" w:themeTint="80" w:sz="4" w:space="0"/>
              <w:insideH w:val="single" w:sz="4" w:space="0"/>
            </w:tcBorders>
          </w:tcPr>
          <w:p w14:paraId="6CCAA4FD">
            <w:pPr>
              <w:jc w:val="center"/>
              <w:rPr>
                <w:b w:val="0"/>
                <w:bCs/>
                <w:sz w:val="20"/>
                <w:szCs w:val="20"/>
                <w:lang w:val="en-US"/>
              </w:rPr>
            </w:pPr>
            <w:r>
              <w:rPr>
                <w:b/>
                <w:bCs/>
                <w:sz w:val="20"/>
                <w:szCs w:val="20"/>
                <w:lang w:val="en-US"/>
              </w:rPr>
              <w:t>Variabel</w:t>
            </w:r>
          </w:p>
        </w:tc>
        <w:tc>
          <w:tcPr>
            <w:tcW w:w="2599" w:type="dxa"/>
            <w:tcBorders>
              <w:bottom w:val="single" w:color="7E7E7E" w:themeColor="text1" w:themeTint="80" w:sz="4" w:space="0"/>
              <w:insideH w:val="single" w:sz="4" w:space="0"/>
            </w:tcBorders>
          </w:tcPr>
          <w:p w14:paraId="6F482B33">
            <w:pPr>
              <w:jc w:val="center"/>
              <w:rPr>
                <w:b w:val="0"/>
                <w:bCs/>
                <w:sz w:val="20"/>
                <w:szCs w:val="20"/>
                <w:lang w:val="en-US"/>
              </w:rPr>
            </w:pPr>
            <w:r>
              <w:rPr>
                <w:b/>
                <w:bCs/>
                <w:sz w:val="20"/>
                <w:szCs w:val="20"/>
                <w:lang w:val="en-US"/>
              </w:rPr>
              <w:t>Definisi</w:t>
            </w:r>
          </w:p>
        </w:tc>
        <w:tc>
          <w:tcPr>
            <w:tcW w:w="2363" w:type="dxa"/>
            <w:tcBorders>
              <w:bottom w:val="single" w:color="7E7E7E" w:themeColor="text1" w:themeTint="80" w:sz="4" w:space="0"/>
              <w:insideH w:val="single" w:sz="4" w:space="0"/>
            </w:tcBorders>
          </w:tcPr>
          <w:p w14:paraId="286925F3">
            <w:pPr>
              <w:jc w:val="center"/>
              <w:rPr>
                <w:b w:val="0"/>
                <w:bCs/>
                <w:sz w:val="20"/>
                <w:szCs w:val="20"/>
                <w:lang w:val="en-US"/>
              </w:rPr>
            </w:pPr>
            <w:r>
              <w:rPr>
                <w:b/>
                <w:bCs/>
                <w:sz w:val="20"/>
                <w:szCs w:val="20"/>
                <w:lang w:val="en-US"/>
              </w:rPr>
              <w:t>Indikator</w:t>
            </w:r>
          </w:p>
        </w:tc>
        <w:tc>
          <w:tcPr>
            <w:tcW w:w="1069" w:type="dxa"/>
            <w:tcBorders>
              <w:bottom w:val="single" w:color="7E7E7E" w:themeColor="text1" w:themeTint="80" w:sz="4" w:space="0"/>
              <w:insideH w:val="single" w:sz="4" w:space="0"/>
            </w:tcBorders>
          </w:tcPr>
          <w:p w14:paraId="6D0885D0">
            <w:pPr>
              <w:jc w:val="center"/>
              <w:rPr>
                <w:b w:val="0"/>
                <w:bCs/>
                <w:sz w:val="20"/>
                <w:szCs w:val="20"/>
                <w:lang w:val="en-US"/>
              </w:rPr>
            </w:pPr>
            <w:r>
              <w:rPr>
                <w:b/>
                <w:bCs/>
                <w:sz w:val="20"/>
                <w:szCs w:val="20"/>
                <w:lang w:val="en-US"/>
              </w:rPr>
              <w:t>Skala</w:t>
            </w:r>
          </w:p>
        </w:tc>
      </w:tr>
      <w:tr w14:paraId="200812C2">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8" w:hRule="atLeast"/>
          <w:jc w:val="center"/>
        </w:trPr>
        <w:tc>
          <w:tcPr>
            <w:tcW w:w="510" w:type="dxa"/>
            <w:tcBorders>
              <w:top w:val="single" w:color="7E7E7E" w:themeColor="text1" w:themeTint="80" w:sz="4" w:space="0"/>
              <w:bottom w:val="single" w:color="7E7E7E" w:themeColor="text1" w:themeTint="80" w:sz="4" w:space="0"/>
              <w:insideH w:val="single" w:sz="4" w:space="0"/>
            </w:tcBorders>
          </w:tcPr>
          <w:p w14:paraId="79D44F5F">
            <w:pPr>
              <w:jc w:val="center"/>
              <w:rPr>
                <w:b w:val="0"/>
                <w:bCs w:val="0"/>
                <w:sz w:val="20"/>
                <w:szCs w:val="20"/>
                <w:lang w:val="en-US"/>
              </w:rPr>
            </w:pPr>
            <w:r>
              <w:rPr>
                <w:b w:val="0"/>
                <w:bCs w:val="0"/>
                <w:sz w:val="20"/>
                <w:szCs w:val="20"/>
                <w:lang w:val="en-US"/>
              </w:rPr>
              <w:t>1</w:t>
            </w:r>
          </w:p>
        </w:tc>
        <w:tc>
          <w:tcPr>
            <w:tcW w:w="1888" w:type="dxa"/>
            <w:tcBorders>
              <w:top w:val="single" w:color="7E7E7E" w:themeColor="text1" w:themeTint="80" w:sz="4" w:space="0"/>
              <w:bottom w:val="single" w:color="7E7E7E" w:themeColor="text1" w:themeTint="80" w:sz="4" w:space="0"/>
              <w:insideH w:val="single" w:sz="4" w:space="0"/>
            </w:tcBorders>
          </w:tcPr>
          <w:p w14:paraId="42ABE55C">
            <w:pPr>
              <w:jc w:val="center"/>
              <w:rPr>
                <w:sz w:val="20"/>
                <w:szCs w:val="20"/>
                <w:lang w:val="en-US"/>
              </w:rPr>
            </w:pPr>
            <w:r>
              <w:rPr>
                <w:sz w:val="20"/>
                <w:szCs w:val="20"/>
                <w:lang w:val="en-US"/>
              </w:rPr>
              <w:t>Pemahaman Perpajakan</w:t>
            </w:r>
          </w:p>
          <w:p w14:paraId="7E22455D">
            <w:pPr>
              <w:jc w:val="center"/>
              <w:rPr>
                <w:sz w:val="20"/>
                <w:szCs w:val="20"/>
                <w:lang w:val="en-US"/>
              </w:rPr>
            </w:pPr>
            <w:r>
              <w:rPr>
                <w:sz w:val="20"/>
                <w:szCs w:val="20"/>
                <w:lang w:val="en-US"/>
              </w:rPr>
              <w:t>(X</w:t>
            </w:r>
            <w:r>
              <w:rPr>
                <w:sz w:val="20"/>
                <w:szCs w:val="20"/>
                <w:vertAlign w:val="subscript"/>
                <w:lang w:val="en-US"/>
              </w:rPr>
              <w:t>1</w:t>
            </w:r>
            <w:r>
              <w:rPr>
                <w:sz w:val="20"/>
                <w:szCs w:val="20"/>
                <w:lang w:val="en-US"/>
              </w:rPr>
              <w:t>)</w:t>
            </w:r>
          </w:p>
        </w:tc>
        <w:tc>
          <w:tcPr>
            <w:tcW w:w="2599" w:type="dxa"/>
            <w:tcBorders>
              <w:top w:val="single" w:color="7E7E7E" w:themeColor="text1" w:themeTint="80" w:sz="4" w:space="0"/>
              <w:bottom w:val="single" w:color="7E7E7E" w:themeColor="text1" w:themeTint="80" w:sz="4" w:space="0"/>
              <w:insideH w:val="single" w:sz="4" w:space="0"/>
            </w:tcBorders>
          </w:tcPr>
          <w:p w14:paraId="4155C9BA">
            <w:pPr>
              <w:jc w:val="both"/>
              <w:rPr>
                <w:sz w:val="20"/>
                <w:szCs w:val="20"/>
                <w:lang w:val="en-US"/>
              </w:rPr>
            </w:pPr>
            <w:r>
              <w:rPr>
                <w:sz w:val="20"/>
                <w:szCs w:val="20"/>
              </w:rPr>
              <w:t>Pemahaman Perpajakan adalah</w:t>
            </w:r>
            <w:r>
              <w:rPr>
                <w:sz w:val="20"/>
                <w:szCs w:val="20"/>
                <w:lang w:val="en-US"/>
              </w:rPr>
              <w:t xml:space="preserve"> </w:t>
            </w:r>
            <w:r>
              <w:rPr>
                <w:sz w:val="20"/>
                <w:szCs w:val="20"/>
              </w:rPr>
              <w:t>suatu proses wajib pajak memahami dan mengetahui tentang peraturan dan Undang-undang serta tata cara perpajakan yang berlaku dan menerapkannya untuk melaksanakan kegiatan perpajakan seperti, membayar pajak tepat waktu, melaporkan</w:t>
            </w:r>
            <w:r>
              <w:rPr>
                <w:sz w:val="20"/>
                <w:szCs w:val="20"/>
                <w:lang w:val="en-US"/>
              </w:rPr>
              <w:t xml:space="preserve"> </w:t>
            </w:r>
            <w:r>
              <w:rPr>
                <w:sz w:val="20"/>
                <w:szCs w:val="20"/>
              </w:rPr>
              <w:t>SPT, dan lain sebagainya.</w:t>
            </w:r>
          </w:p>
        </w:tc>
        <w:tc>
          <w:tcPr>
            <w:tcW w:w="2363" w:type="dxa"/>
            <w:tcBorders>
              <w:top w:val="single" w:color="7E7E7E" w:themeColor="text1" w:themeTint="80" w:sz="4" w:space="0"/>
              <w:bottom w:val="single" w:color="7E7E7E" w:themeColor="text1" w:themeTint="80" w:sz="4" w:space="0"/>
              <w:insideH w:val="single" w:sz="4" w:space="0"/>
            </w:tcBorders>
          </w:tcPr>
          <w:p w14:paraId="6FDBEE07">
            <w:pPr>
              <w:pStyle w:val="15"/>
              <w:numPr>
                <w:ilvl w:val="0"/>
                <w:numId w:val="1"/>
              </w:numPr>
              <w:ind w:left="413"/>
              <w:rPr>
                <w:sz w:val="20"/>
                <w:szCs w:val="20"/>
                <w:lang w:val="en-US"/>
              </w:rPr>
            </w:pPr>
            <w:r>
              <w:rPr>
                <w:sz w:val="20"/>
                <w:szCs w:val="20"/>
              </w:rPr>
              <w:t>Pemahaman mengenai Ketentuan Umum dan Tata Cara Perpajakan</w:t>
            </w:r>
            <w:r>
              <w:rPr>
                <w:sz w:val="20"/>
                <w:szCs w:val="20"/>
                <w:lang w:val="en-US"/>
              </w:rPr>
              <w:t>.</w:t>
            </w:r>
          </w:p>
          <w:p w14:paraId="185236ED">
            <w:pPr>
              <w:pStyle w:val="15"/>
              <w:numPr>
                <w:ilvl w:val="0"/>
                <w:numId w:val="2"/>
              </w:numPr>
              <w:ind w:left="413"/>
              <w:jc w:val="both"/>
              <w:rPr>
                <w:sz w:val="20"/>
                <w:szCs w:val="20"/>
                <w:lang w:val="en-US"/>
              </w:rPr>
            </w:pPr>
            <w:r>
              <w:rPr>
                <w:sz w:val="20"/>
                <w:szCs w:val="20"/>
              </w:rPr>
              <w:t xml:space="preserve">Pemahaman Sistem perpajakan </w:t>
            </w:r>
          </w:p>
          <w:p w14:paraId="6EB67ADD">
            <w:pPr>
              <w:pStyle w:val="15"/>
              <w:numPr>
                <w:ilvl w:val="0"/>
                <w:numId w:val="2"/>
              </w:numPr>
              <w:ind w:left="413"/>
              <w:jc w:val="both"/>
              <w:rPr>
                <w:sz w:val="20"/>
                <w:szCs w:val="20"/>
                <w:lang w:val="en-US"/>
              </w:rPr>
            </w:pPr>
            <w:r>
              <w:rPr>
                <w:sz w:val="20"/>
                <w:szCs w:val="20"/>
                <w:lang w:val="en-US"/>
              </w:rPr>
              <w:t>Pemahaman sanksi pajak kendaraan</w:t>
            </w:r>
          </w:p>
          <w:p w14:paraId="37447A1E">
            <w:pPr>
              <w:pStyle w:val="15"/>
              <w:numPr>
                <w:ilvl w:val="0"/>
                <w:numId w:val="2"/>
              </w:numPr>
              <w:ind w:left="413"/>
              <w:jc w:val="both"/>
              <w:rPr>
                <w:sz w:val="20"/>
                <w:szCs w:val="20"/>
                <w:lang w:val="en-US"/>
              </w:rPr>
            </w:pPr>
            <w:r>
              <w:rPr>
                <w:sz w:val="20"/>
                <w:szCs w:val="20"/>
                <w:lang w:val="en-US"/>
              </w:rPr>
              <w:t>Pemahaman hak dan kewajiban</w:t>
            </w:r>
          </w:p>
          <w:p w14:paraId="3E3326A4">
            <w:pPr>
              <w:pStyle w:val="15"/>
              <w:numPr>
                <w:ilvl w:val="0"/>
                <w:numId w:val="2"/>
              </w:numPr>
              <w:ind w:left="413"/>
              <w:jc w:val="both"/>
              <w:rPr>
                <w:sz w:val="20"/>
                <w:szCs w:val="20"/>
                <w:lang w:val="en-US"/>
              </w:rPr>
            </w:pPr>
            <w:r>
              <w:rPr>
                <w:sz w:val="20"/>
                <w:szCs w:val="20"/>
                <w:lang w:val="en-US"/>
              </w:rPr>
              <w:t>Pemahaman pelaporan pajak kendaraan</w:t>
            </w:r>
          </w:p>
          <w:p w14:paraId="346861E4">
            <w:pPr>
              <w:pStyle w:val="15"/>
              <w:numPr>
                <w:ilvl w:val="0"/>
                <w:numId w:val="2"/>
              </w:numPr>
              <w:ind w:left="413"/>
              <w:jc w:val="both"/>
              <w:rPr>
                <w:sz w:val="20"/>
                <w:szCs w:val="20"/>
                <w:lang w:val="en-US"/>
              </w:rPr>
            </w:pPr>
            <w:r>
              <w:rPr>
                <w:sz w:val="20"/>
                <w:szCs w:val="20"/>
                <w:lang w:val="en-US"/>
              </w:rPr>
              <w:t>Pemahaman penentuan nilai kendaraan</w:t>
            </w:r>
          </w:p>
          <w:p w14:paraId="65BA4029">
            <w:pPr>
              <w:pStyle w:val="15"/>
              <w:numPr>
                <w:ilvl w:val="0"/>
                <w:numId w:val="2"/>
              </w:numPr>
              <w:ind w:left="413"/>
              <w:jc w:val="both"/>
              <w:rPr>
                <w:sz w:val="20"/>
                <w:szCs w:val="20"/>
                <w:lang w:val="en-US"/>
              </w:rPr>
            </w:pPr>
            <w:r>
              <w:rPr>
                <w:sz w:val="20"/>
                <w:szCs w:val="20"/>
                <w:lang w:val="en-US"/>
              </w:rPr>
              <w:t>Pemahaman tarif pajak bermotor</w:t>
            </w:r>
          </w:p>
          <w:p w14:paraId="3183CED6">
            <w:pPr>
              <w:jc w:val="both"/>
              <w:rPr>
                <w:sz w:val="20"/>
                <w:szCs w:val="20"/>
                <w:lang w:val="en-US"/>
              </w:rPr>
            </w:pPr>
            <w:r>
              <w:rPr>
                <w:sz w:val="20"/>
                <w:szCs w:val="20"/>
                <w:lang w:val="en-US"/>
              </w:rPr>
              <w:t xml:space="preserve">Sumber : </w:t>
            </w:r>
          </w:p>
          <w:p w14:paraId="6CF4ABFD">
            <w:pPr>
              <w:jc w:val="both"/>
              <w:rPr>
                <w:sz w:val="20"/>
                <w:szCs w:val="20"/>
                <w:lang w:val="en-US"/>
              </w:rPr>
            </w:pPr>
            <w:r>
              <w:rPr>
                <w:sz w:val="20"/>
                <w:szCs w:val="20"/>
                <w:lang w:val="en-US"/>
              </w:rPr>
              <w:t>Sudijono  (2022)</w:t>
            </w:r>
          </w:p>
        </w:tc>
        <w:tc>
          <w:tcPr>
            <w:tcW w:w="1069" w:type="dxa"/>
            <w:tcBorders>
              <w:top w:val="single" w:color="7E7E7E" w:themeColor="text1" w:themeTint="80" w:sz="4" w:space="0"/>
              <w:bottom w:val="single" w:color="7E7E7E" w:themeColor="text1" w:themeTint="80" w:sz="4" w:space="0"/>
              <w:insideH w:val="single" w:sz="4" w:space="0"/>
            </w:tcBorders>
          </w:tcPr>
          <w:p w14:paraId="07C8ED1F">
            <w:pPr>
              <w:jc w:val="center"/>
              <w:rPr>
                <w:i/>
                <w:sz w:val="20"/>
                <w:szCs w:val="20"/>
                <w:lang w:val="en-US"/>
              </w:rPr>
            </w:pPr>
            <w:r>
              <w:rPr>
                <w:i/>
                <w:sz w:val="20"/>
                <w:szCs w:val="20"/>
                <w:lang w:val="en-US"/>
              </w:rPr>
              <w:t>Likert</w:t>
            </w:r>
          </w:p>
        </w:tc>
      </w:tr>
      <w:tr w14:paraId="11507463">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5650E767">
            <w:pPr>
              <w:jc w:val="center"/>
              <w:rPr>
                <w:b w:val="0"/>
                <w:bCs w:val="0"/>
                <w:sz w:val="20"/>
                <w:szCs w:val="20"/>
                <w:lang w:val="en-US"/>
              </w:rPr>
            </w:pPr>
            <w:r>
              <w:rPr>
                <w:b w:val="0"/>
                <w:bCs w:val="0"/>
                <w:sz w:val="20"/>
                <w:szCs w:val="20"/>
                <w:lang w:val="en-US"/>
              </w:rPr>
              <w:t>2.</w:t>
            </w:r>
          </w:p>
        </w:tc>
        <w:tc>
          <w:tcPr>
            <w:tcW w:w="1888" w:type="dxa"/>
          </w:tcPr>
          <w:p w14:paraId="32E78992">
            <w:pPr>
              <w:jc w:val="center"/>
              <w:rPr>
                <w:sz w:val="20"/>
                <w:szCs w:val="20"/>
                <w:lang w:val="en-US"/>
              </w:rPr>
            </w:pPr>
            <w:r>
              <w:rPr>
                <w:sz w:val="20"/>
                <w:szCs w:val="20"/>
                <w:lang w:val="en-US"/>
              </w:rPr>
              <w:t>Kesadaran Wajib Pajak</w:t>
            </w:r>
          </w:p>
          <w:p w14:paraId="2F182C85">
            <w:pPr>
              <w:jc w:val="center"/>
              <w:rPr>
                <w:sz w:val="20"/>
                <w:szCs w:val="20"/>
                <w:lang w:val="en-US"/>
              </w:rPr>
            </w:pPr>
            <w:r>
              <w:rPr>
                <w:sz w:val="20"/>
                <w:szCs w:val="20"/>
                <w:lang w:val="en-US"/>
              </w:rPr>
              <w:t>(X</w:t>
            </w:r>
            <w:r>
              <w:rPr>
                <w:sz w:val="20"/>
                <w:szCs w:val="20"/>
                <w:vertAlign w:val="subscript"/>
                <w:lang w:val="en-US"/>
              </w:rPr>
              <w:t>2</w:t>
            </w:r>
            <w:r>
              <w:rPr>
                <w:sz w:val="20"/>
                <w:szCs w:val="20"/>
                <w:lang w:val="en-US"/>
              </w:rPr>
              <w:t>)</w:t>
            </w:r>
          </w:p>
        </w:tc>
        <w:tc>
          <w:tcPr>
            <w:tcW w:w="2599" w:type="dxa"/>
          </w:tcPr>
          <w:p w14:paraId="687198D4">
            <w:pPr>
              <w:jc w:val="both"/>
              <w:rPr>
                <w:sz w:val="20"/>
                <w:szCs w:val="20"/>
                <w:lang w:val="en-US"/>
              </w:rPr>
            </w:pPr>
            <w:r>
              <w:rPr>
                <w:sz w:val="20"/>
                <w:szCs w:val="20"/>
              </w:rPr>
              <w:t>Kesadaran wajib pajak merupakan suatu kondisi dimana Wajib Pajak mengetahui, mengakui, menghargai dan menaati ketentuan perpajakan yang berlaku serta memiliki kesungguhan dan keinginan untuk memenuhi kewajiban pajaknya sesuai Undang-Undang perpajakan.</w:t>
            </w:r>
          </w:p>
        </w:tc>
        <w:tc>
          <w:tcPr>
            <w:tcW w:w="2363" w:type="dxa"/>
          </w:tcPr>
          <w:p w14:paraId="4F50A06A">
            <w:pPr>
              <w:pStyle w:val="15"/>
              <w:numPr>
                <w:ilvl w:val="0"/>
                <w:numId w:val="3"/>
              </w:numPr>
              <w:ind w:left="418"/>
              <w:jc w:val="both"/>
              <w:rPr>
                <w:sz w:val="20"/>
                <w:szCs w:val="20"/>
                <w:lang w:val="en-US"/>
              </w:rPr>
            </w:pPr>
            <w:r>
              <w:rPr>
                <w:sz w:val="20"/>
                <w:szCs w:val="20"/>
                <w:lang w:val="en-US"/>
              </w:rPr>
              <w:t>Kesadaran adanya undang-undang dan ketentuan perpajakan</w:t>
            </w:r>
          </w:p>
          <w:p w14:paraId="78FBCB43">
            <w:pPr>
              <w:pStyle w:val="15"/>
              <w:numPr>
                <w:ilvl w:val="0"/>
                <w:numId w:val="3"/>
              </w:numPr>
              <w:ind w:left="418"/>
              <w:jc w:val="both"/>
              <w:rPr>
                <w:sz w:val="20"/>
                <w:szCs w:val="20"/>
                <w:lang w:val="en-US"/>
              </w:rPr>
            </w:pPr>
            <w:r>
              <w:rPr>
                <w:sz w:val="20"/>
                <w:szCs w:val="20"/>
                <w:lang w:val="en-US"/>
              </w:rPr>
              <w:t>Kesadaran bahwa pajak merupakan sumber pembiayaan negara</w:t>
            </w:r>
          </w:p>
          <w:p w14:paraId="5D8C3F18">
            <w:pPr>
              <w:pStyle w:val="15"/>
              <w:numPr>
                <w:ilvl w:val="0"/>
                <w:numId w:val="3"/>
              </w:numPr>
              <w:ind w:left="418"/>
              <w:jc w:val="both"/>
              <w:rPr>
                <w:sz w:val="20"/>
                <w:szCs w:val="20"/>
                <w:lang w:val="en-US"/>
              </w:rPr>
            </w:pPr>
            <w:r>
              <w:rPr>
                <w:sz w:val="20"/>
                <w:szCs w:val="20"/>
                <w:lang w:val="en-US"/>
              </w:rPr>
              <w:t>Kesadaran bahwa kewajiban perpajakan harus dilaksanakan sesuai dengan ketentuan yang berlaku</w:t>
            </w:r>
          </w:p>
          <w:p w14:paraId="520CF56B">
            <w:pPr>
              <w:pStyle w:val="15"/>
              <w:rPr>
                <w:sz w:val="20"/>
                <w:szCs w:val="20"/>
                <w:lang w:val="en-US"/>
              </w:rPr>
            </w:pPr>
          </w:p>
          <w:p w14:paraId="4F2293DB">
            <w:pPr>
              <w:ind w:left="27"/>
              <w:jc w:val="both"/>
              <w:rPr>
                <w:sz w:val="20"/>
                <w:szCs w:val="20"/>
                <w:lang w:val="en-US"/>
              </w:rPr>
            </w:pPr>
            <w:r>
              <w:rPr>
                <w:sz w:val="20"/>
                <w:szCs w:val="20"/>
                <w:lang w:val="en-US"/>
              </w:rPr>
              <w:t>Sumber:</w:t>
            </w:r>
          </w:p>
          <w:p w14:paraId="0F58DFBB">
            <w:pPr>
              <w:jc w:val="both"/>
              <w:rPr>
                <w:sz w:val="20"/>
                <w:szCs w:val="20"/>
                <w:lang w:val="en-US"/>
              </w:rPr>
            </w:pPr>
            <w:r>
              <w:rPr>
                <w:sz w:val="20"/>
                <w:szCs w:val="20"/>
                <w:lang w:val="en-AU"/>
              </w:rPr>
              <w:t xml:space="preserve">Setiawan </w:t>
            </w:r>
            <w:r>
              <w:rPr>
                <w:sz w:val="20"/>
                <w:szCs w:val="20"/>
              </w:rPr>
              <w:t>(20</w:t>
            </w:r>
            <w:r>
              <w:rPr>
                <w:sz w:val="20"/>
                <w:szCs w:val="20"/>
                <w:lang w:val="en-AU"/>
              </w:rPr>
              <w:t>20</w:t>
            </w:r>
            <w:r>
              <w:rPr>
                <w:sz w:val="20"/>
                <w:szCs w:val="20"/>
                <w:lang w:val="en-US"/>
              </w:rPr>
              <w:t>)</w:t>
            </w:r>
          </w:p>
        </w:tc>
        <w:tc>
          <w:tcPr>
            <w:tcW w:w="1069" w:type="dxa"/>
          </w:tcPr>
          <w:p w14:paraId="2F973446">
            <w:pPr>
              <w:jc w:val="center"/>
              <w:rPr>
                <w:i/>
                <w:sz w:val="20"/>
                <w:szCs w:val="20"/>
                <w:lang w:val="en-US"/>
              </w:rPr>
            </w:pPr>
            <w:r>
              <w:rPr>
                <w:i/>
                <w:sz w:val="20"/>
                <w:szCs w:val="20"/>
                <w:lang w:val="en-US"/>
              </w:rPr>
              <w:t>Likert</w:t>
            </w:r>
          </w:p>
        </w:tc>
      </w:tr>
      <w:tr w14:paraId="0F04BFF9">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Borders>
              <w:top w:val="single" w:color="7E7E7E" w:themeColor="text1" w:themeTint="80" w:sz="4" w:space="0"/>
              <w:bottom w:val="single" w:color="7E7E7E" w:themeColor="text1" w:themeTint="80" w:sz="4" w:space="0"/>
              <w:insideH w:val="single" w:sz="4" w:space="0"/>
            </w:tcBorders>
          </w:tcPr>
          <w:p w14:paraId="587C571C">
            <w:pPr>
              <w:jc w:val="center"/>
              <w:rPr>
                <w:b w:val="0"/>
                <w:bCs w:val="0"/>
                <w:sz w:val="20"/>
                <w:szCs w:val="20"/>
                <w:lang w:val="en-US"/>
              </w:rPr>
            </w:pPr>
            <w:r>
              <w:rPr>
                <w:b w:val="0"/>
                <w:bCs w:val="0"/>
                <w:sz w:val="20"/>
                <w:szCs w:val="20"/>
                <w:lang w:val="en-US"/>
              </w:rPr>
              <w:t>3.</w:t>
            </w:r>
          </w:p>
        </w:tc>
        <w:tc>
          <w:tcPr>
            <w:tcW w:w="1888" w:type="dxa"/>
            <w:tcBorders>
              <w:top w:val="single" w:color="7E7E7E" w:themeColor="text1" w:themeTint="80" w:sz="4" w:space="0"/>
              <w:bottom w:val="single" w:color="7E7E7E" w:themeColor="text1" w:themeTint="80" w:sz="4" w:space="0"/>
              <w:insideH w:val="single" w:sz="4" w:space="0"/>
            </w:tcBorders>
          </w:tcPr>
          <w:p w14:paraId="1C4CA5B3">
            <w:pPr>
              <w:jc w:val="center"/>
              <w:rPr>
                <w:sz w:val="20"/>
                <w:szCs w:val="20"/>
                <w:lang w:val="en-US"/>
              </w:rPr>
            </w:pPr>
            <w:r>
              <w:rPr>
                <w:sz w:val="20"/>
                <w:szCs w:val="20"/>
                <w:lang w:val="en-US"/>
              </w:rPr>
              <w:t xml:space="preserve">Penurunan Tarif Pajak PP No. 23 Tahun 2018 </w:t>
            </w:r>
          </w:p>
          <w:p w14:paraId="7E4AEBF5">
            <w:pPr>
              <w:jc w:val="center"/>
              <w:rPr>
                <w:sz w:val="20"/>
                <w:szCs w:val="20"/>
                <w:lang w:val="en-US"/>
              </w:rPr>
            </w:pPr>
            <w:r>
              <w:rPr>
                <w:sz w:val="20"/>
                <w:szCs w:val="20"/>
                <w:lang w:val="en-US"/>
              </w:rPr>
              <w:t>(X</w:t>
            </w:r>
            <w:r>
              <w:rPr>
                <w:sz w:val="20"/>
                <w:szCs w:val="20"/>
                <w:vertAlign w:val="subscript"/>
                <w:lang w:val="en-US"/>
              </w:rPr>
              <w:t>3</w:t>
            </w:r>
            <w:r>
              <w:rPr>
                <w:sz w:val="20"/>
                <w:szCs w:val="20"/>
                <w:lang w:val="en-US"/>
              </w:rPr>
              <w:t>)</w:t>
            </w:r>
          </w:p>
        </w:tc>
        <w:tc>
          <w:tcPr>
            <w:tcW w:w="2599" w:type="dxa"/>
            <w:tcBorders>
              <w:top w:val="single" w:color="7E7E7E" w:themeColor="text1" w:themeTint="80" w:sz="4" w:space="0"/>
              <w:bottom w:val="single" w:color="7E7E7E" w:themeColor="text1" w:themeTint="80" w:sz="4" w:space="0"/>
              <w:insideH w:val="single" w:sz="4" w:space="0"/>
            </w:tcBorders>
          </w:tcPr>
          <w:p w14:paraId="604164C6">
            <w:pPr>
              <w:jc w:val="both"/>
              <w:rPr>
                <w:sz w:val="20"/>
                <w:szCs w:val="20"/>
                <w:lang w:val="en-US"/>
              </w:rPr>
            </w:pPr>
            <w:r>
              <w:rPr>
                <w:sz w:val="20"/>
                <w:szCs w:val="20"/>
              </w:rPr>
              <w:t>Tarif pajak adalah suatu penetapan atau presentase berdasarkan undang-undang yang dapat digunakan untuk menghitung dan menentukan jumlah pajak yang harus dibayar, disetor dan dipungut oleh Wajib Pajak.</w:t>
            </w:r>
          </w:p>
        </w:tc>
        <w:tc>
          <w:tcPr>
            <w:tcW w:w="2363" w:type="dxa"/>
            <w:tcBorders>
              <w:top w:val="single" w:color="7E7E7E" w:themeColor="text1" w:themeTint="80" w:sz="4" w:space="0"/>
              <w:bottom w:val="single" w:color="7E7E7E" w:themeColor="text1" w:themeTint="80" w:sz="4" w:space="0"/>
              <w:insideH w:val="single" w:sz="4" w:space="0"/>
            </w:tcBorders>
          </w:tcPr>
          <w:p w14:paraId="7EF264E8">
            <w:pPr>
              <w:pStyle w:val="15"/>
              <w:numPr>
                <w:ilvl w:val="0"/>
                <w:numId w:val="4"/>
              </w:numPr>
              <w:ind w:left="397"/>
              <w:jc w:val="both"/>
              <w:rPr>
                <w:sz w:val="20"/>
                <w:szCs w:val="20"/>
                <w:lang w:val="en-US"/>
              </w:rPr>
            </w:pPr>
            <w:r>
              <w:rPr>
                <w:sz w:val="20"/>
                <w:szCs w:val="20"/>
              </w:rPr>
              <w:t>Kemauan dalam membayar pajak akan meningkat</w:t>
            </w:r>
          </w:p>
          <w:p w14:paraId="136873D4">
            <w:pPr>
              <w:pStyle w:val="15"/>
              <w:numPr>
                <w:ilvl w:val="0"/>
                <w:numId w:val="4"/>
              </w:numPr>
              <w:ind w:left="397"/>
              <w:jc w:val="both"/>
              <w:rPr>
                <w:sz w:val="20"/>
                <w:szCs w:val="20"/>
                <w:lang w:val="en-US"/>
              </w:rPr>
            </w:pPr>
            <w:r>
              <w:rPr>
                <w:sz w:val="20"/>
                <w:szCs w:val="20"/>
              </w:rPr>
              <w:t>Tarif pajak tidak akan memberatkan wajib pajak</w:t>
            </w:r>
          </w:p>
          <w:p w14:paraId="0511AF8F">
            <w:pPr>
              <w:pStyle w:val="15"/>
              <w:numPr>
                <w:ilvl w:val="0"/>
                <w:numId w:val="4"/>
              </w:numPr>
              <w:ind w:left="397"/>
              <w:jc w:val="both"/>
              <w:rPr>
                <w:sz w:val="20"/>
                <w:szCs w:val="20"/>
                <w:lang w:val="en-US"/>
              </w:rPr>
            </w:pPr>
            <w:r>
              <w:rPr>
                <w:sz w:val="20"/>
                <w:szCs w:val="20"/>
              </w:rPr>
              <w:t>Wajib pajak tidak ditentukan besarnya tarif pajak</w:t>
            </w:r>
          </w:p>
          <w:p w14:paraId="48FA9494">
            <w:pPr>
              <w:ind w:left="37"/>
              <w:jc w:val="both"/>
              <w:rPr>
                <w:sz w:val="20"/>
                <w:szCs w:val="20"/>
                <w:lang w:val="en-US"/>
              </w:rPr>
            </w:pPr>
            <w:r>
              <w:rPr>
                <w:sz w:val="20"/>
                <w:szCs w:val="20"/>
                <w:lang w:val="en-US"/>
              </w:rPr>
              <w:t>Sumber :</w:t>
            </w:r>
          </w:p>
          <w:p w14:paraId="7B05E8A3">
            <w:pPr>
              <w:jc w:val="both"/>
              <w:rPr>
                <w:sz w:val="20"/>
                <w:szCs w:val="20"/>
                <w:lang w:val="en-US"/>
              </w:rPr>
            </w:pPr>
            <w:r>
              <w:rPr>
                <w:sz w:val="20"/>
                <w:szCs w:val="20"/>
                <w:lang w:val="en-US"/>
              </w:rPr>
              <w:t>Huda (2021)</w:t>
            </w:r>
          </w:p>
        </w:tc>
        <w:tc>
          <w:tcPr>
            <w:tcW w:w="1069" w:type="dxa"/>
            <w:tcBorders>
              <w:top w:val="single" w:color="7E7E7E" w:themeColor="text1" w:themeTint="80" w:sz="4" w:space="0"/>
              <w:bottom w:val="single" w:color="7E7E7E" w:themeColor="text1" w:themeTint="80" w:sz="4" w:space="0"/>
              <w:insideH w:val="single" w:sz="4" w:space="0"/>
            </w:tcBorders>
          </w:tcPr>
          <w:p w14:paraId="4EBC9728">
            <w:pPr>
              <w:rPr>
                <w:i/>
                <w:sz w:val="20"/>
                <w:szCs w:val="20"/>
                <w:lang w:val="en-US"/>
              </w:rPr>
            </w:pPr>
            <w:r>
              <w:rPr>
                <w:i/>
                <w:sz w:val="20"/>
                <w:szCs w:val="20"/>
                <w:lang w:val="en-US"/>
              </w:rPr>
              <w:t>Likert</w:t>
            </w:r>
          </w:p>
        </w:tc>
      </w:tr>
      <w:tr w14:paraId="5CEC7BEE">
        <w:tblPrEx>
          <w:tblBorders>
            <w:top w:val="single" w:color="7E7E7E" w:themeColor="text1" w:themeTint="80" w:sz="4" w:space="0"/>
            <w:left w:val="none" w:color="auto" w:sz="0" w:space="0"/>
            <w:bottom w:val="single" w:color="7E7E7E" w:themeColor="text1" w:themeTint="80"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510" w:type="dxa"/>
          </w:tcPr>
          <w:p w14:paraId="23018632">
            <w:pPr>
              <w:jc w:val="center"/>
              <w:rPr>
                <w:b w:val="0"/>
                <w:bCs w:val="0"/>
                <w:sz w:val="20"/>
                <w:szCs w:val="20"/>
                <w:lang w:val="en-US"/>
              </w:rPr>
            </w:pPr>
            <w:r>
              <w:rPr>
                <w:b w:val="0"/>
                <w:bCs w:val="0"/>
                <w:sz w:val="20"/>
                <w:szCs w:val="20"/>
                <w:lang w:val="en-US"/>
              </w:rPr>
              <w:t>4.</w:t>
            </w:r>
          </w:p>
        </w:tc>
        <w:tc>
          <w:tcPr>
            <w:tcW w:w="1888" w:type="dxa"/>
          </w:tcPr>
          <w:p w14:paraId="210C20D5">
            <w:pPr>
              <w:jc w:val="center"/>
              <w:rPr>
                <w:sz w:val="20"/>
                <w:szCs w:val="20"/>
                <w:lang w:val="en-US"/>
              </w:rPr>
            </w:pPr>
            <w:r>
              <w:rPr>
                <w:sz w:val="20"/>
                <w:szCs w:val="20"/>
                <w:lang w:val="en-US"/>
              </w:rPr>
              <w:t>Kepatuhan Wajib Pajak</w:t>
            </w:r>
          </w:p>
          <w:p w14:paraId="51F5B19B">
            <w:pPr>
              <w:jc w:val="center"/>
              <w:rPr>
                <w:sz w:val="20"/>
                <w:szCs w:val="20"/>
                <w:lang w:val="en-US"/>
              </w:rPr>
            </w:pPr>
            <w:r>
              <w:rPr>
                <w:sz w:val="20"/>
                <w:szCs w:val="20"/>
                <w:lang w:val="en-US"/>
              </w:rPr>
              <w:t>(Y)</w:t>
            </w:r>
          </w:p>
        </w:tc>
        <w:tc>
          <w:tcPr>
            <w:tcW w:w="2599" w:type="dxa"/>
          </w:tcPr>
          <w:p w14:paraId="4BD0BB31">
            <w:pPr>
              <w:jc w:val="both"/>
              <w:rPr>
                <w:sz w:val="20"/>
                <w:szCs w:val="20"/>
                <w:lang w:val="en-US"/>
              </w:rPr>
            </w:pPr>
            <w:r>
              <w:rPr>
                <w:sz w:val="20"/>
                <w:szCs w:val="20"/>
                <w:lang w:val="en-US"/>
              </w:rPr>
              <w:t>kepatuhan wajib pajak merupakan suatu tindakan patuh dan sadar terhadap ketertiban pembayaran dan pelaporan kewajiban perpajakan masa dan tahunan dari wajib pajak yang bersangkutan</w:t>
            </w:r>
          </w:p>
        </w:tc>
        <w:tc>
          <w:tcPr>
            <w:tcW w:w="2363" w:type="dxa"/>
          </w:tcPr>
          <w:p w14:paraId="1AE3E258">
            <w:pPr>
              <w:pStyle w:val="15"/>
              <w:numPr>
                <w:ilvl w:val="0"/>
                <w:numId w:val="5"/>
              </w:numPr>
              <w:ind w:left="397"/>
              <w:jc w:val="both"/>
              <w:rPr>
                <w:sz w:val="20"/>
                <w:szCs w:val="20"/>
                <w:lang w:val="en-US"/>
              </w:rPr>
            </w:pPr>
            <w:r>
              <w:rPr>
                <w:sz w:val="20"/>
                <w:szCs w:val="20"/>
                <w:lang w:val="en-US"/>
              </w:rPr>
              <w:t>Pajak ditetapkan undang-undang dan bersifat memaksa</w:t>
            </w:r>
          </w:p>
          <w:p w14:paraId="1BF66F63">
            <w:pPr>
              <w:pStyle w:val="15"/>
              <w:numPr>
                <w:ilvl w:val="0"/>
                <w:numId w:val="5"/>
              </w:numPr>
              <w:ind w:left="397"/>
              <w:jc w:val="both"/>
              <w:rPr>
                <w:sz w:val="20"/>
                <w:szCs w:val="20"/>
                <w:lang w:val="en-US"/>
              </w:rPr>
            </w:pPr>
            <w:r>
              <w:rPr>
                <w:sz w:val="20"/>
                <w:szCs w:val="20"/>
                <w:lang w:val="en-US"/>
              </w:rPr>
              <w:t>Wajib pajak harus mendaftar pada kantor pajak di wilayah kerjanya untuk mendapatkan nomor pokok wajib pajak (NPWP)</w:t>
            </w:r>
          </w:p>
          <w:p w14:paraId="25E0DDCA">
            <w:pPr>
              <w:pStyle w:val="15"/>
              <w:numPr>
                <w:ilvl w:val="0"/>
                <w:numId w:val="5"/>
              </w:numPr>
              <w:ind w:left="397"/>
              <w:jc w:val="both"/>
              <w:rPr>
                <w:sz w:val="20"/>
                <w:szCs w:val="20"/>
                <w:lang w:val="en-US"/>
              </w:rPr>
            </w:pPr>
            <w:r>
              <w:rPr>
                <w:sz w:val="20"/>
                <w:szCs w:val="20"/>
                <w:lang w:val="en-US"/>
              </w:rPr>
              <w:t>Wajib pajak melaporkan surat pemberitahuan (SPT) sesuai dengan ketentuan perundang-undangan</w:t>
            </w:r>
          </w:p>
          <w:p w14:paraId="1C02A550">
            <w:pPr>
              <w:pStyle w:val="15"/>
              <w:numPr>
                <w:ilvl w:val="0"/>
                <w:numId w:val="5"/>
              </w:numPr>
              <w:ind w:left="397"/>
              <w:jc w:val="both"/>
              <w:rPr>
                <w:sz w:val="20"/>
                <w:szCs w:val="20"/>
                <w:lang w:val="en-US"/>
              </w:rPr>
            </w:pPr>
            <w:r>
              <w:rPr>
                <w:sz w:val="20"/>
                <w:szCs w:val="20"/>
                <w:lang w:val="en-US"/>
              </w:rPr>
              <w:t>Menyetorkan surat pemberitahuan (SPT) dengan tepat waktu</w:t>
            </w:r>
          </w:p>
          <w:p w14:paraId="317E1CAA">
            <w:pPr>
              <w:pStyle w:val="15"/>
              <w:numPr>
                <w:ilvl w:val="0"/>
                <w:numId w:val="5"/>
              </w:numPr>
              <w:ind w:left="397"/>
              <w:jc w:val="both"/>
              <w:rPr>
                <w:sz w:val="20"/>
                <w:szCs w:val="20"/>
                <w:lang w:val="en-US"/>
              </w:rPr>
            </w:pPr>
            <w:r>
              <w:rPr>
                <w:sz w:val="20"/>
                <w:szCs w:val="20"/>
                <w:lang w:val="en-US"/>
              </w:rPr>
              <w:t>Wajib pajak memahami pelaporan SPT yang berlaku</w:t>
            </w:r>
          </w:p>
          <w:p w14:paraId="0A48F26F">
            <w:pPr>
              <w:ind w:left="37"/>
              <w:jc w:val="both"/>
              <w:rPr>
                <w:sz w:val="20"/>
                <w:szCs w:val="20"/>
                <w:lang w:val="en-US"/>
              </w:rPr>
            </w:pPr>
            <w:r>
              <w:rPr>
                <w:sz w:val="20"/>
                <w:szCs w:val="20"/>
                <w:lang w:val="en-US"/>
              </w:rPr>
              <w:t>Sumber :</w:t>
            </w:r>
          </w:p>
          <w:p w14:paraId="0EFB428F">
            <w:pPr>
              <w:ind w:left="37"/>
              <w:jc w:val="both"/>
              <w:rPr>
                <w:sz w:val="20"/>
                <w:szCs w:val="20"/>
                <w:lang w:val="en-US"/>
              </w:rPr>
            </w:pPr>
            <w:r>
              <w:rPr>
                <w:sz w:val="20"/>
                <w:szCs w:val="20"/>
                <w:lang w:val="en-US"/>
              </w:rPr>
              <w:t>Rahayu (2020), Anggraini dan Lenggono (2021)</w:t>
            </w:r>
          </w:p>
        </w:tc>
        <w:tc>
          <w:tcPr>
            <w:tcW w:w="1069" w:type="dxa"/>
          </w:tcPr>
          <w:p w14:paraId="20164B56">
            <w:pPr>
              <w:jc w:val="center"/>
              <w:rPr>
                <w:i/>
                <w:sz w:val="20"/>
                <w:szCs w:val="20"/>
                <w:lang w:val="en-US"/>
              </w:rPr>
            </w:pPr>
            <w:r>
              <w:rPr>
                <w:i/>
                <w:sz w:val="20"/>
                <w:szCs w:val="20"/>
                <w:lang w:val="en-US"/>
              </w:rPr>
              <w:t>Likert</w:t>
            </w:r>
          </w:p>
        </w:tc>
      </w:tr>
      <w:bookmarkEnd w:id="0"/>
    </w:tbl>
    <w:p w14:paraId="3D4F43AA">
      <w:pPr>
        <w:jc w:val="both"/>
        <w:rPr>
          <w:lang w:val="en-US"/>
        </w:rPr>
      </w:pPr>
    </w:p>
    <w:p w14:paraId="56727272">
      <w:pPr>
        <w:jc w:val="both"/>
        <w:rPr>
          <w:lang w:val="en-US"/>
        </w:rPr>
      </w:pPr>
    </w:p>
    <w:p w14:paraId="593597C4">
      <w:pPr>
        <w:pStyle w:val="15"/>
        <w:numPr>
          <w:ilvl w:val="0"/>
          <w:numId w:val="6"/>
        </w:numPr>
        <w:tabs>
          <w:tab w:val="left" w:pos="7245"/>
        </w:tabs>
        <w:spacing w:line="480" w:lineRule="auto"/>
        <w:ind w:left="709" w:hanging="709"/>
        <w:jc w:val="both"/>
        <w:rPr>
          <w:b/>
          <w:lang w:val="en-US"/>
        </w:rPr>
      </w:pPr>
      <w:r>
        <w:rPr>
          <w:b/>
          <w:lang w:val="en-US"/>
        </w:rPr>
        <w:t>Instrumen Penelitian</w:t>
      </w:r>
    </w:p>
    <w:p w14:paraId="2D348A43">
      <w:pPr>
        <w:tabs>
          <w:tab w:val="left" w:pos="7245"/>
        </w:tabs>
        <w:spacing w:line="480" w:lineRule="auto"/>
        <w:ind w:firstLine="709"/>
        <w:jc w:val="both"/>
        <w:rPr>
          <w:b/>
        </w:rPr>
      </w:pPr>
      <w:r>
        <w:rPr>
          <w:lang w:val="en-US"/>
        </w:rPr>
        <w:t>Menurut (Sugiyono, 2020) Instrumen penelitian adalah suatu alat yang digunakan mengukur fenomena alam maupun sosial yang diamati. Secara spesifik semua fenomena ini disebut variabel penelitian.</w:t>
      </w:r>
      <w:r>
        <w:t>Angket atau kuesioner ini digunakan untuk mengetahui</w:t>
      </w:r>
      <w:r>
        <w:rPr>
          <w:lang w:val="en-US"/>
        </w:rPr>
        <w:t xml:space="preserve"> </w:t>
      </w:r>
      <w:r>
        <w:t>faktor</w:t>
      </w:r>
      <w:r>
        <w:rPr>
          <w:lang w:val="en-US"/>
        </w:rPr>
        <w:t>-</w:t>
      </w:r>
      <w:r>
        <w:t xml:space="preserve">faktor yang mempengaruhi </w:t>
      </w:r>
      <w:r>
        <w:rPr>
          <w:lang w:val="en-US"/>
        </w:rPr>
        <w:t>Kepatuhan Wajib Pajak</w:t>
      </w:r>
      <w:r>
        <w:t xml:space="preserve">, seperti </w:t>
      </w:r>
      <w:r>
        <w:rPr>
          <w:lang w:val="en-US"/>
        </w:rPr>
        <w:t>Pemahaman Perpajakan</w:t>
      </w:r>
      <w:r>
        <w:t xml:space="preserve">, </w:t>
      </w:r>
      <w:r>
        <w:rPr>
          <w:lang w:val="en-US"/>
        </w:rPr>
        <w:t>Kesadaran Wajib Pajak</w:t>
      </w:r>
      <w:r>
        <w:t xml:space="preserve"> dan </w:t>
      </w:r>
      <w:r>
        <w:rPr>
          <w:lang w:val="en-US"/>
        </w:rPr>
        <w:t>Penurunan Tarif Pajak PP No 23 Tahun 2018</w:t>
      </w:r>
      <w:r>
        <w:t>. Untuk mengukur variabel Pemahaman Pajak, Kesadaran Wajib Pajak, Penurunan Tarif Pajak PP No 23 Tahun 2018 dan Kepatuhan Wajib Pajak ditentukan dengan skor dari angket yang diisi responden dengan ketentuan sebagai berikut :</w:t>
      </w:r>
    </w:p>
    <w:p w14:paraId="7F88373E">
      <w:pPr>
        <w:tabs>
          <w:tab w:val="left" w:pos="7245"/>
        </w:tabs>
        <w:spacing w:line="480" w:lineRule="auto"/>
        <w:jc w:val="both"/>
        <w:rPr>
          <w:lang w:val="en-US"/>
        </w:rPr>
      </w:pPr>
      <w:r>
        <w:rPr>
          <w:lang w:val="en-US"/>
        </w:rPr>
        <w:t>Skor 1 : Sangat tidak setuju (STS)</w:t>
      </w:r>
    </w:p>
    <w:p w14:paraId="76B51BB6">
      <w:pPr>
        <w:tabs>
          <w:tab w:val="left" w:pos="7245"/>
        </w:tabs>
        <w:spacing w:line="480" w:lineRule="auto"/>
        <w:jc w:val="both"/>
        <w:rPr>
          <w:lang w:val="en-US"/>
        </w:rPr>
      </w:pPr>
      <w:r>
        <w:rPr>
          <w:lang w:val="en-US"/>
        </w:rPr>
        <w:t>Skor 2 : Tidak setuju (TS)</w:t>
      </w:r>
    </w:p>
    <w:p w14:paraId="0BF84B62">
      <w:pPr>
        <w:tabs>
          <w:tab w:val="left" w:pos="7245"/>
        </w:tabs>
        <w:spacing w:line="480" w:lineRule="auto"/>
        <w:jc w:val="both"/>
        <w:rPr>
          <w:lang w:val="en-US"/>
        </w:rPr>
      </w:pPr>
      <w:r>
        <w:rPr>
          <w:lang w:val="en-US"/>
        </w:rPr>
        <w:t>Skor 3 : Netral (N)</w:t>
      </w:r>
    </w:p>
    <w:p w14:paraId="477CF218">
      <w:pPr>
        <w:tabs>
          <w:tab w:val="left" w:pos="7245"/>
        </w:tabs>
        <w:spacing w:line="480" w:lineRule="auto"/>
        <w:jc w:val="both"/>
        <w:rPr>
          <w:lang w:val="en-US"/>
        </w:rPr>
      </w:pPr>
      <w:r>
        <w:rPr>
          <w:lang w:val="en-US"/>
        </w:rPr>
        <w:t>Skor 4 : Setuju (S)</w:t>
      </w:r>
    </w:p>
    <w:p w14:paraId="5EACD148">
      <w:pPr>
        <w:tabs>
          <w:tab w:val="left" w:pos="7245"/>
        </w:tabs>
        <w:spacing w:line="480" w:lineRule="auto"/>
        <w:jc w:val="both"/>
        <w:rPr>
          <w:lang w:val="en-US"/>
        </w:rPr>
      </w:pPr>
      <w:r>
        <w:rPr>
          <w:lang w:val="en-US"/>
        </w:rPr>
        <w:t>Skor 5 : Sangat setuju (SS)</w:t>
      </w:r>
    </w:p>
    <w:p w14:paraId="7AA1F9C8">
      <w:pPr>
        <w:tabs>
          <w:tab w:val="left" w:pos="7245"/>
        </w:tabs>
        <w:spacing w:line="480" w:lineRule="auto"/>
        <w:jc w:val="both"/>
        <w:rPr>
          <w:lang w:val="en-US"/>
        </w:rPr>
      </w:pPr>
    </w:p>
    <w:p w14:paraId="730C2B7E">
      <w:pPr>
        <w:tabs>
          <w:tab w:val="left" w:pos="709"/>
          <w:tab w:val="left" w:pos="7245"/>
        </w:tabs>
        <w:spacing w:line="480" w:lineRule="auto"/>
        <w:jc w:val="both"/>
        <w:rPr>
          <w:b/>
          <w:lang w:val="en-US"/>
        </w:rPr>
      </w:pPr>
      <w:r>
        <w:rPr>
          <w:b/>
          <w:lang w:val="en-US"/>
        </w:rPr>
        <w:t>3.6</w:t>
      </w:r>
      <w:r>
        <w:rPr>
          <w:b/>
          <w:lang w:val="en-US"/>
        </w:rPr>
        <w:tab/>
      </w:r>
      <w:r>
        <w:rPr>
          <w:b/>
          <w:lang w:val="en-US"/>
        </w:rPr>
        <w:t>Teknik Pengumpulan Data</w:t>
      </w:r>
    </w:p>
    <w:p w14:paraId="1E6511F2">
      <w:pPr>
        <w:tabs>
          <w:tab w:val="left" w:pos="709"/>
          <w:tab w:val="left" w:pos="7245"/>
        </w:tabs>
        <w:spacing w:line="480" w:lineRule="auto"/>
        <w:jc w:val="both"/>
        <w:rPr>
          <w:lang w:val="en-US"/>
        </w:rPr>
      </w:pPr>
      <w:r>
        <w:rPr>
          <w:b/>
          <w:lang w:val="en-US"/>
        </w:rPr>
        <w:tab/>
      </w:r>
      <w:r>
        <w:rPr>
          <w:lang w:val="en-US"/>
        </w:rPr>
        <w:t>Menurut (Sugiyono, 2020) Teknik pengumpulan data merupakan langkah yang paling utama dalam penelitian, karena tujuan utama penelitian adalah mendapatkan data. Tanpa mengetahui teknik pengumpulan data, maka peneliti tidak akan mendapatkan data yang memenuhi standar data yang ditetapkan.</w:t>
      </w:r>
    </w:p>
    <w:p w14:paraId="1C29AC50">
      <w:pPr>
        <w:pStyle w:val="15"/>
        <w:numPr>
          <w:ilvl w:val="0"/>
          <w:numId w:val="7"/>
        </w:numPr>
        <w:spacing w:line="480" w:lineRule="auto"/>
        <w:jc w:val="both"/>
      </w:pPr>
      <w:r>
        <w:rPr>
          <w:lang w:val="en-US"/>
        </w:rPr>
        <w:t xml:space="preserve">Observasi, </w:t>
      </w:r>
      <w:r>
        <w:t>Observasi yang dilakukan untuk bahan penelitian, harus dilakukan dengan ketelitian dan kecermatan dalam rangka memperoleh data penelitian. Praktik observasi melibatkan pengerahan beberapa indera peneliti, terutama penglihatan dan pendengaran untuk menangkap fenomena di sekitar yang bisa dijadikan</w:t>
      </w:r>
      <w:r>
        <w:rPr>
          <w:lang w:val="en-US"/>
        </w:rPr>
        <w:t xml:space="preserve"> data.</w:t>
      </w:r>
    </w:p>
    <w:p w14:paraId="69874FDB">
      <w:pPr>
        <w:pStyle w:val="15"/>
        <w:numPr>
          <w:ilvl w:val="0"/>
          <w:numId w:val="7"/>
        </w:numPr>
        <w:tabs>
          <w:tab w:val="left" w:pos="7245"/>
        </w:tabs>
        <w:spacing w:line="480" w:lineRule="auto"/>
        <w:jc w:val="both"/>
      </w:pPr>
      <w:r>
        <w:rPr>
          <w:lang w:val="en-US"/>
        </w:rPr>
        <w:t xml:space="preserve">Wawancara, </w:t>
      </w:r>
      <w:r>
        <w:t>merupakan pembuktian terhadap informasi yang telah diperoleh. Teknik yang dilakukan dalam penelitian kualitatif adalah wawancara mendalam, yang merupakan proses memperoleh keterangan untuk tujuan penelitian. Wawancara dengan cara tanya jawab, sambil bertatap muka dengan mengajukan pertanyaan yang telah disiapkan, dan memberikan pertanyaan lagi, ketika informan memberikan jawaban. Tanya semua kepada informan, untuk memenuhi kebutuhan data yang diperlukan.</w:t>
      </w:r>
    </w:p>
    <w:p w14:paraId="3DBD4853">
      <w:pPr>
        <w:pStyle w:val="15"/>
        <w:numPr>
          <w:ilvl w:val="0"/>
          <w:numId w:val="7"/>
        </w:numPr>
        <w:tabs>
          <w:tab w:val="left" w:pos="709"/>
          <w:tab w:val="left" w:pos="7245"/>
        </w:tabs>
        <w:spacing w:line="480" w:lineRule="auto"/>
        <w:jc w:val="both"/>
        <w:rPr>
          <w:b/>
          <w:lang w:val="en-US"/>
        </w:rPr>
      </w:pPr>
      <w:r>
        <w:t>Kuesioner (</w:t>
      </w:r>
      <w:r>
        <w:rPr>
          <w:i/>
        </w:rPr>
        <w:t>angket</w:t>
      </w:r>
      <w:r>
        <w:t>), yaitu teknik pengumpulan data yang dilakukan dengan cara memberi seperangkat pertanyaan atau pernyataan tertulis kepada responden untuk dijawabnya</w:t>
      </w:r>
      <w:r>
        <w:rPr>
          <w:lang w:val="en-US"/>
        </w:rPr>
        <w:t xml:space="preserve"> dengan melalui penyebaran kuesioner.</w:t>
      </w:r>
    </w:p>
    <w:p w14:paraId="581FB4DA">
      <w:pPr>
        <w:tabs>
          <w:tab w:val="left" w:pos="709"/>
          <w:tab w:val="left" w:pos="7245"/>
        </w:tabs>
        <w:spacing w:line="480" w:lineRule="auto"/>
        <w:jc w:val="both"/>
        <w:rPr>
          <w:b/>
          <w:lang w:val="en-US"/>
        </w:rPr>
      </w:pPr>
      <w:r>
        <w:rPr>
          <w:b/>
          <w:lang w:val="en-US"/>
        </w:rPr>
        <w:t>3.7</w:t>
      </w:r>
      <w:r>
        <w:rPr>
          <w:b/>
          <w:lang w:val="en-US"/>
        </w:rPr>
        <w:tab/>
      </w:r>
      <w:r>
        <w:rPr>
          <w:b/>
          <w:lang w:val="en-US"/>
        </w:rPr>
        <w:t>Teknik Analisis Data</w:t>
      </w:r>
    </w:p>
    <w:p w14:paraId="41BFF3AC">
      <w:pPr>
        <w:tabs>
          <w:tab w:val="left" w:pos="709"/>
          <w:tab w:val="left" w:pos="7245"/>
        </w:tabs>
        <w:spacing w:line="480" w:lineRule="auto"/>
        <w:jc w:val="both"/>
        <w:rPr>
          <w:lang w:val="en-US"/>
        </w:rPr>
      </w:pPr>
      <w:r>
        <w:rPr>
          <w:b/>
          <w:lang w:val="en-US"/>
        </w:rPr>
        <w:tab/>
      </w:r>
      <w:r>
        <w:rPr>
          <w:lang w:val="en-US"/>
        </w:rPr>
        <w:t xml:space="preserve">Menurut (Sugiyono, 2020) Teknik analisis data adalah proses mencari dan menyusun secara sistematis data yang diperoleh dari : </w:t>
      </w:r>
    </w:p>
    <w:p w14:paraId="50B4342E">
      <w:pPr>
        <w:pStyle w:val="15"/>
        <w:numPr>
          <w:ilvl w:val="0"/>
          <w:numId w:val="8"/>
        </w:numPr>
        <w:tabs>
          <w:tab w:val="left" w:pos="709"/>
          <w:tab w:val="left" w:pos="7245"/>
        </w:tabs>
        <w:spacing w:line="480" w:lineRule="auto"/>
        <w:jc w:val="both"/>
        <w:rPr>
          <w:lang w:val="en-US"/>
        </w:rPr>
      </w:pPr>
      <w:r>
        <w:rPr>
          <w:lang w:val="en-US"/>
        </w:rPr>
        <w:t xml:space="preserve">Observasi untuk melakukan </w:t>
      </w:r>
      <w:r>
        <w:t>bahan penelitian, harus dilakukan dengan ketelitian dan kecermatan dalam rangka memperoleh data penelitia</w:t>
      </w:r>
      <w:r>
        <w:rPr>
          <w:lang w:val="en-US"/>
        </w:rPr>
        <w:t>n.</w:t>
      </w:r>
    </w:p>
    <w:p w14:paraId="5F9412CE">
      <w:pPr>
        <w:pStyle w:val="15"/>
        <w:numPr>
          <w:ilvl w:val="0"/>
          <w:numId w:val="8"/>
        </w:numPr>
        <w:tabs>
          <w:tab w:val="left" w:pos="709"/>
          <w:tab w:val="left" w:pos="7245"/>
        </w:tabs>
        <w:spacing w:line="480" w:lineRule="auto"/>
        <w:jc w:val="both"/>
        <w:rPr>
          <w:lang w:val="en-US"/>
        </w:rPr>
      </w:pPr>
      <w:r>
        <w:rPr>
          <w:lang w:val="en-US"/>
        </w:rPr>
        <w:t>hasil wawancara dengan cara mengorganisasikan data ke dalam kategori, menjabarkan ke dalam unit-unit, melakukan sintesa, menyusun ke dalam pola, memiliki mana yang penting dan mana yang akan dipelajari lalu membuat kesimpulan sehingga mudah dipahami oleh diri sendiri maupun orang lain.</w:t>
      </w:r>
    </w:p>
    <w:p w14:paraId="773FECC2">
      <w:pPr>
        <w:pStyle w:val="15"/>
        <w:numPr>
          <w:ilvl w:val="0"/>
          <w:numId w:val="8"/>
        </w:numPr>
        <w:tabs>
          <w:tab w:val="left" w:pos="709"/>
          <w:tab w:val="left" w:pos="7245"/>
        </w:tabs>
        <w:spacing w:line="480" w:lineRule="auto"/>
        <w:jc w:val="both"/>
        <w:rPr>
          <w:lang w:val="en-US"/>
        </w:rPr>
      </w:pPr>
      <w:r>
        <w:rPr>
          <w:lang w:val="en-US"/>
        </w:rPr>
        <w:t>Menyusun data kuesioner berupa pertanyaan atau pernyataan dari responden</w:t>
      </w:r>
    </w:p>
    <w:p w14:paraId="4B3CD49B">
      <w:pPr>
        <w:tabs>
          <w:tab w:val="left" w:pos="709"/>
          <w:tab w:val="left" w:pos="7245"/>
        </w:tabs>
        <w:spacing w:line="480" w:lineRule="auto"/>
        <w:jc w:val="both"/>
        <w:rPr>
          <w:lang w:val="en-US"/>
        </w:rPr>
      </w:pPr>
      <w:r>
        <w:rPr>
          <w:lang w:val="en-US"/>
        </w:rPr>
        <w:tab/>
      </w:r>
      <w:r>
        <w:rPr>
          <w:lang w:val="en-US"/>
        </w:rPr>
        <w:t>Analisis data yang digunakan dalam penelitian ini adalah deskriptif data dimana teknik hanya ingin mendeskripsikan data sampel dan ingin membuat kesimpulan yang berlaku untuk populasi dimana sampel diambil.</w:t>
      </w:r>
    </w:p>
    <w:p w14:paraId="676E31FA">
      <w:pPr>
        <w:pStyle w:val="15"/>
        <w:numPr>
          <w:ilvl w:val="0"/>
          <w:numId w:val="9"/>
        </w:numPr>
        <w:spacing w:line="480" w:lineRule="auto"/>
        <w:ind w:left="426"/>
        <w:jc w:val="both"/>
        <w:rPr>
          <w:b/>
        </w:rPr>
      </w:pPr>
      <w:r>
        <w:rPr>
          <w:b/>
          <w:lang w:val="en-US"/>
        </w:rPr>
        <w:t>Metode Analisis Deskriptif</w:t>
      </w:r>
    </w:p>
    <w:p w14:paraId="4514FE03">
      <w:pPr>
        <w:pStyle w:val="15"/>
        <w:tabs>
          <w:tab w:val="left" w:pos="709"/>
          <w:tab w:val="left" w:pos="7245"/>
        </w:tabs>
        <w:spacing w:line="480" w:lineRule="auto"/>
        <w:ind w:left="0" w:firstLine="450"/>
        <w:jc w:val="both"/>
        <w:rPr>
          <w:lang w:val="en-US"/>
        </w:rPr>
      </w:pPr>
      <w:r>
        <w:tab/>
      </w:r>
      <w:r>
        <w:t xml:space="preserve">Statistik deskriptif merupakan suatu proses transformasi data penelitian dalam bentuk tabulasi sehingga mudah dipahami dan di interprestasikan. Tabulasi menyajikan suatu ringkasan, pengaturan, atau penyusunan data dalam bentuk tabel numerik dan grafik. Metode analisis data yang digunakan adalah dengan analisis kuantitatif yang bersifat deskriptif yang menjabarkan data yang diperoleh dengan menggunakan analisis regresi berganda untuk menggambarkan fenomena atau karakteristik dari data yaitu dengan memberikan gambaran tentang </w:t>
      </w:r>
      <w:r>
        <w:rPr>
          <w:lang w:val="en-US"/>
        </w:rPr>
        <w:t>Analisis</w:t>
      </w:r>
      <w:r>
        <w:t xml:space="preserve"> </w:t>
      </w:r>
      <w:r>
        <w:rPr>
          <w:lang w:val="en-US"/>
        </w:rPr>
        <w:t>Pemahaman Perpajakan</w:t>
      </w:r>
      <w:r>
        <w:rPr>
          <w:i/>
        </w:rPr>
        <w:t>,</w:t>
      </w:r>
      <w:r>
        <w:rPr>
          <w:i/>
          <w:lang w:val="en-US"/>
        </w:rPr>
        <w:t xml:space="preserve"> </w:t>
      </w:r>
      <w:r>
        <w:rPr>
          <w:lang w:val="en-US"/>
        </w:rPr>
        <w:t xml:space="preserve">Kesadaran Wajib Pajak dan Penurunan Tarif Pajak PP No 23 Tahun 2018 yang mempengaruhi </w:t>
      </w:r>
      <w:r>
        <w:t xml:space="preserve">terhadap </w:t>
      </w:r>
      <w:r>
        <w:rPr>
          <w:lang w:val="en-US"/>
        </w:rPr>
        <w:t>Kepatuhan Wajib Pajak</w:t>
      </w:r>
      <w:r>
        <w:t>.</w:t>
      </w:r>
    </w:p>
    <w:p w14:paraId="22B424CB">
      <w:pPr>
        <w:spacing w:line="480" w:lineRule="auto"/>
        <w:ind w:firstLine="720"/>
        <w:jc w:val="both"/>
        <w:rPr>
          <w:lang w:val="en-US"/>
        </w:rPr>
      </w:pPr>
      <w:r>
        <w:rPr>
          <w:lang w:val="en-US"/>
        </w:rPr>
        <w:t xml:space="preserve">Menurut (Ghozali, 2021) </w:t>
      </w:r>
      <w:r>
        <w:t>Statistik deskriptif memberikan gambaran atau deskripsi mengenai suatu data yang dilihat dari nilai rata-rata (</w:t>
      </w:r>
      <w:r>
        <w:rPr>
          <w:i/>
        </w:rPr>
        <w:t>mean</w:t>
      </w:r>
      <w:r>
        <w:t xml:space="preserve">), standar devisi, varian, maksimum, minimum, sum, </w:t>
      </w:r>
      <w:r>
        <w:rPr>
          <w:i/>
        </w:rPr>
        <w:t>range</w:t>
      </w:r>
      <w:r>
        <w:t xml:space="preserve">, kurtoris dan </w:t>
      </w:r>
      <w:r>
        <w:rPr>
          <w:i/>
        </w:rPr>
        <w:t xml:space="preserve">skewness </w:t>
      </w:r>
      <w:r>
        <w:t>(kemencengan distribusi)</w:t>
      </w:r>
      <w:r>
        <w:rPr>
          <w:lang w:val="en-US"/>
        </w:rPr>
        <w:t xml:space="preserve">. </w:t>
      </w:r>
      <w:r>
        <w:rPr>
          <w:i/>
        </w:rPr>
        <w:t>Skewness</w:t>
      </w:r>
      <w:r>
        <w:t xml:space="preserve"> dan kurtoris merupakan ukuran untuk melihat apakah data EARNS terdistribusi secara normal atau tidak.</w:t>
      </w:r>
      <w:r>
        <w:rPr>
          <w:i/>
        </w:rPr>
        <w:t xml:space="preserve"> Skewness</w:t>
      </w:r>
      <w:r>
        <w:t xml:space="preserve"> mengukur kemencengan dari data dan kurtoris mengukur puncak dari distribusi data. Data yang terdistribusi secara normal mempunyai nilai </w:t>
      </w:r>
      <w:r>
        <w:rPr>
          <w:i/>
        </w:rPr>
        <w:t>skewness</w:t>
      </w:r>
      <w:r>
        <w:t xml:space="preserve"> dan kurtoris mendeteksi nol</w:t>
      </w:r>
      <w:r>
        <w:rPr>
          <w:lang w:val="en-US"/>
        </w:rPr>
        <w:t>.</w:t>
      </w:r>
    </w:p>
    <w:p w14:paraId="1F5FA4E6">
      <w:pPr>
        <w:pStyle w:val="15"/>
        <w:numPr>
          <w:ilvl w:val="0"/>
          <w:numId w:val="10"/>
        </w:numPr>
        <w:spacing w:line="480" w:lineRule="auto"/>
        <w:ind w:left="284" w:hanging="284"/>
        <w:jc w:val="both"/>
        <w:rPr>
          <w:b/>
          <w:bCs/>
          <w:lang w:val="en-US"/>
        </w:rPr>
      </w:pPr>
      <w:r>
        <w:rPr>
          <w:b/>
          <w:bCs/>
          <w:lang w:val="en-US"/>
        </w:rPr>
        <w:t xml:space="preserve">Uji Kualitas Data </w:t>
      </w:r>
    </w:p>
    <w:p w14:paraId="2EAE9CCD">
      <w:pPr>
        <w:pStyle w:val="15"/>
        <w:spacing w:line="480" w:lineRule="auto"/>
        <w:ind w:left="284"/>
        <w:jc w:val="both"/>
        <w:rPr>
          <w:lang w:val="en-US"/>
        </w:rPr>
      </w:pPr>
      <w:r>
        <w:rPr>
          <w:lang w:val="en-US"/>
        </w:rPr>
        <w:t>Data yang dikumpulkan dalam penelitian ini merupakan data kuantitatif yaitu persepsi responden yang kemudian dikuantifikasikan agar dapat dilakukan uji statistik. Untuk menguji konsistensi dan keandalan data responden digunakan uji kualitas data meliputi uji validitas dan uji reabilitas data.</w:t>
      </w:r>
    </w:p>
    <w:p w14:paraId="2B842496">
      <w:pPr>
        <w:pStyle w:val="15"/>
        <w:numPr>
          <w:ilvl w:val="0"/>
          <w:numId w:val="10"/>
        </w:numPr>
        <w:spacing w:line="480" w:lineRule="auto"/>
        <w:ind w:left="284" w:hanging="284"/>
        <w:jc w:val="both"/>
        <w:rPr>
          <w:b/>
          <w:bCs/>
          <w:lang w:val="en-US"/>
        </w:rPr>
      </w:pPr>
      <w:r>
        <w:rPr>
          <w:b/>
          <w:bCs/>
          <w:lang w:val="en-US"/>
        </w:rPr>
        <w:t>Uji Validitas</w:t>
      </w:r>
    </w:p>
    <w:p w14:paraId="1ED3469B">
      <w:pPr>
        <w:pStyle w:val="15"/>
        <w:tabs>
          <w:tab w:val="left" w:pos="7245"/>
        </w:tabs>
        <w:spacing w:line="480" w:lineRule="auto"/>
        <w:ind w:left="284" w:hanging="284"/>
        <w:jc w:val="both"/>
        <w:rPr>
          <w:rFonts w:eastAsia="Calibri"/>
          <w:lang w:val="en-US"/>
        </w:rPr>
      </w:pPr>
      <w:r>
        <w:rPr>
          <w:rFonts w:eastAsia="Calibri"/>
          <w:lang w:val="en-US"/>
        </w:rPr>
        <w:tab/>
      </w:r>
      <w:r>
        <w:rPr>
          <w:rFonts w:eastAsia="Calibri"/>
          <w:lang w:val="en-US"/>
        </w:rPr>
        <w:t>Menurut (Ghozali, 2021) Uji validitas digunakan untuk mengukur sah atau tidaknya suatu kuesioner. Suatu kuesioner dinyatakan valid jika pertanyaan pada kuesioner mampu untuk mengungkapkan sesuatu yang akan diukur oleh kuesioner. Kriteria yang ditetapkan untuk mengukur valid atau tidak suatu data adalah r hitungan lebih besar r table pada tariff signifikan 5% atau 0,05. Bila r hitung lebih besar dari r table maka alat ukur tersebut tidak memenuhi kriteria valid.</w:t>
      </w:r>
    </w:p>
    <w:p w14:paraId="42BDF801">
      <w:pPr>
        <w:pStyle w:val="15"/>
        <w:spacing w:line="480" w:lineRule="auto"/>
        <w:ind w:left="284"/>
        <w:jc w:val="both"/>
        <w:rPr>
          <w:rFonts w:eastAsia="Calibri"/>
          <w:lang w:val="en-US"/>
        </w:rPr>
      </w:pPr>
      <w:r>
        <w:rPr>
          <w:rFonts w:eastAsia="Calibri"/>
          <w:lang w:val="en-US"/>
        </w:rPr>
        <w:t xml:space="preserve">Pengujian validitas dalam penelitian ini menggunakan alat ukur berupa program computer yaitu </w:t>
      </w:r>
      <w:r>
        <w:rPr>
          <w:rFonts w:eastAsia="Calibri"/>
          <w:i/>
          <w:lang w:val="en-US"/>
        </w:rPr>
        <w:t>Statistical Product And Service Solutions</w:t>
      </w:r>
      <w:r>
        <w:rPr>
          <w:rFonts w:eastAsia="Calibri"/>
          <w:lang w:val="en-US"/>
        </w:rPr>
        <w:t xml:space="preserve"> (SPSS). Kolerasi setiap item pertanyaan dengan nilai total setiap variabel dilakukan dengan teknik kolerasi </w:t>
      </w:r>
      <w:r>
        <w:rPr>
          <w:rFonts w:eastAsia="Calibri"/>
          <w:i/>
          <w:lang w:val="en-US"/>
        </w:rPr>
        <w:t>pearson’s product moment</w:t>
      </w:r>
      <w:r>
        <w:rPr>
          <w:rFonts w:eastAsia="Calibri"/>
          <w:lang w:val="en-US"/>
        </w:rPr>
        <w:t xml:space="preserve"> untuk mengetahui apakah variabel yang diuji valid atau tidak dengan cara membandingkan hitung dengan tabel.</w:t>
      </w:r>
    </w:p>
    <w:p w14:paraId="0E235EA9">
      <w:pPr>
        <w:pStyle w:val="15"/>
        <w:numPr>
          <w:ilvl w:val="0"/>
          <w:numId w:val="10"/>
        </w:numPr>
        <w:spacing w:line="480" w:lineRule="auto"/>
        <w:ind w:left="284" w:hanging="284"/>
        <w:jc w:val="both"/>
        <w:rPr>
          <w:b/>
          <w:bCs/>
          <w:lang w:val="en-US"/>
        </w:rPr>
      </w:pPr>
      <w:r>
        <w:rPr>
          <w:b/>
          <w:bCs/>
          <w:lang w:val="en-US"/>
        </w:rPr>
        <w:t>Uji Reliabilitas</w:t>
      </w:r>
    </w:p>
    <w:p w14:paraId="74C0E8CE">
      <w:pPr>
        <w:pStyle w:val="15"/>
        <w:spacing w:line="480" w:lineRule="auto"/>
        <w:ind w:left="284"/>
        <w:jc w:val="both"/>
        <w:rPr>
          <w:lang w:val="en-US"/>
        </w:rPr>
      </w:pPr>
      <w:r>
        <w:rPr>
          <w:lang w:val="en-US"/>
        </w:rPr>
        <w:t xml:space="preserve">Menurut (Ghozali, 2021) Uji reliabilitas adalah alat untuk mengukur keandalan suatu kuesioner yang merupakan indikator dari variabel. Suatu kuesioner dapat dikatakan </w:t>
      </w:r>
      <w:r>
        <w:rPr>
          <w:i/>
          <w:lang w:val="en-US"/>
        </w:rPr>
        <w:t>reliable</w:t>
      </w:r>
      <w:r>
        <w:rPr>
          <w:lang w:val="en-US"/>
        </w:rPr>
        <w:t xml:space="preserve"> atau handal, jika jawaban seseorang terhadap pernyataan adalah konsisten atau stabil dari waktu ke waktu. Tingkat reliabelitas suatu variabel dapat dilihat dari hasil statistik </w:t>
      </w:r>
      <w:r>
        <w:rPr>
          <w:i/>
          <w:lang w:val="en-US"/>
        </w:rPr>
        <w:t>Cronbach Alpha</w:t>
      </w:r>
      <w:r>
        <w:rPr>
          <w:lang w:val="en-US"/>
        </w:rPr>
        <w:t xml:space="preserve"> (α), suatu variabel dikatakan</w:t>
      </w:r>
      <w:r>
        <w:rPr>
          <w:i/>
          <w:lang w:val="en-US"/>
        </w:rPr>
        <w:t xml:space="preserve"> reliable</w:t>
      </w:r>
      <w:r>
        <w:rPr>
          <w:lang w:val="en-US"/>
        </w:rPr>
        <w:t xml:space="preserve"> jika memberikan nilai </w:t>
      </w:r>
      <w:r>
        <w:rPr>
          <w:i/>
          <w:lang w:val="en-US"/>
        </w:rPr>
        <w:t>Cronbach Alpha</w:t>
      </w:r>
      <w:r>
        <w:rPr>
          <w:lang w:val="en-US"/>
        </w:rPr>
        <w:t xml:space="preserve"> &gt; 0,60.</w:t>
      </w:r>
    </w:p>
    <w:p w14:paraId="1106E06C">
      <w:pPr>
        <w:pStyle w:val="15"/>
        <w:numPr>
          <w:ilvl w:val="0"/>
          <w:numId w:val="11"/>
        </w:numPr>
        <w:spacing w:line="480" w:lineRule="auto"/>
        <w:ind w:left="426"/>
        <w:jc w:val="both"/>
        <w:rPr>
          <w:b/>
          <w:lang w:val="en-US"/>
        </w:rPr>
      </w:pPr>
      <w:r>
        <w:rPr>
          <w:b/>
          <w:lang w:val="en-US"/>
        </w:rPr>
        <w:t>Uji Asumsi Klasik</w:t>
      </w:r>
    </w:p>
    <w:p w14:paraId="3FEBDBAE">
      <w:pPr>
        <w:pStyle w:val="15"/>
        <w:numPr>
          <w:ilvl w:val="0"/>
          <w:numId w:val="12"/>
        </w:numPr>
        <w:spacing w:line="480" w:lineRule="auto"/>
        <w:ind w:left="426" w:hanging="284"/>
        <w:jc w:val="both"/>
        <w:rPr>
          <w:b/>
          <w:lang w:val="en-US"/>
        </w:rPr>
      </w:pPr>
      <w:r>
        <w:rPr>
          <w:b/>
          <w:lang w:val="en-US"/>
        </w:rPr>
        <w:t>Uji Normalitas</w:t>
      </w:r>
    </w:p>
    <w:p w14:paraId="7EF7841E">
      <w:pPr>
        <w:spacing w:line="480" w:lineRule="auto"/>
        <w:ind w:left="426"/>
        <w:jc w:val="both"/>
        <w:rPr>
          <w:lang w:val="en-US"/>
        </w:rPr>
      </w:pPr>
      <w:r>
        <w:rPr>
          <w:lang w:val="en-US"/>
        </w:rPr>
        <w:t xml:space="preserve">Menurut (Ghozali, 2021) </w:t>
      </w:r>
      <w:r>
        <w:t xml:space="preserve">Uji Normalitas adalah sebuah uji yang dilakukan dengan tujuan untuk menilai sebaran data pada sebuah kelompok data atau variabel, apakah sebaran data tersebut berdistribusi normal atau tidak. Menggunakan bantuan aplikasi analisis </w:t>
      </w:r>
      <w:r>
        <w:rPr>
          <w:i/>
        </w:rPr>
        <w:t>multivariate</w:t>
      </w:r>
      <w:r>
        <w:t xml:space="preserve"> dengan program IBM SPSS 2</w:t>
      </w:r>
      <w:r>
        <w:rPr>
          <w:lang w:val="en-US"/>
        </w:rPr>
        <w:t>5</w:t>
      </w:r>
      <w:r>
        <w:t xml:space="preserve">, hasil analisis akan memberikan gambaran dalam bentuk tabel. Pengujian normalitas dalam penelitian ini menggunakan uji one sample </w:t>
      </w:r>
      <w:r>
        <w:rPr>
          <w:i/>
        </w:rPr>
        <w:t>kolmogorovsmirnov</w:t>
      </w:r>
      <w:r>
        <w:t xml:space="preserve"> dengan taraf signifikan α = 0,05</w:t>
      </w:r>
    </w:p>
    <w:p w14:paraId="76B5632E">
      <w:pPr>
        <w:pStyle w:val="15"/>
        <w:numPr>
          <w:ilvl w:val="0"/>
          <w:numId w:val="12"/>
        </w:numPr>
        <w:tabs>
          <w:tab w:val="left" w:pos="7245"/>
        </w:tabs>
        <w:spacing w:line="480" w:lineRule="auto"/>
        <w:ind w:left="426" w:hanging="284"/>
        <w:jc w:val="both"/>
        <w:rPr>
          <w:lang w:val="en-US"/>
        </w:rPr>
      </w:pPr>
      <w:r>
        <w:rPr>
          <w:b/>
          <w:lang w:val="en-US"/>
        </w:rPr>
        <w:t>Uji Heteroskedastisitas</w:t>
      </w:r>
    </w:p>
    <w:p w14:paraId="4CD7F9E5">
      <w:pPr>
        <w:tabs>
          <w:tab w:val="left" w:pos="7245"/>
        </w:tabs>
        <w:spacing w:line="480" w:lineRule="auto"/>
        <w:ind w:left="426"/>
        <w:jc w:val="both"/>
      </w:pPr>
      <w:r>
        <w:rPr>
          <w:lang w:val="en-US"/>
        </w:rPr>
        <w:t xml:space="preserve">Menurut (Ghozali, 2021) </w:t>
      </w:r>
      <w:r>
        <w:t>Uji Heteroskedastisitas bertujuan menguji apakah dalam model regresi terjadi ketidaksamaan varians dari residual satu pengamatan ke pengamatan lain.</w:t>
      </w:r>
    </w:p>
    <w:p w14:paraId="6A99638E">
      <w:pPr>
        <w:tabs>
          <w:tab w:val="left" w:pos="7245"/>
        </w:tabs>
        <w:spacing w:line="480" w:lineRule="auto"/>
        <w:ind w:left="426"/>
        <w:jc w:val="both"/>
      </w:pPr>
    </w:p>
    <w:p w14:paraId="68343EAC">
      <w:pPr>
        <w:pStyle w:val="15"/>
        <w:numPr>
          <w:ilvl w:val="0"/>
          <w:numId w:val="12"/>
        </w:numPr>
        <w:tabs>
          <w:tab w:val="left" w:pos="7245"/>
        </w:tabs>
        <w:spacing w:line="480" w:lineRule="auto"/>
        <w:ind w:left="426" w:hanging="284"/>
        <w:jc w:val="both"/>
        <w:rPr>
          <w:b/>
          <w:lang w:val="en-US"/>
        </w:rPr>
      </w:pPr>
      <w:r>
        <w:rPr>
          <w:b/>
          <w:lang w:val="en-US"/>
        </w:rPr>
        <w:t>Uji Multikolonieritas</w:t>
      </w:r>
    </w:p>
    <w:p w14:paraId="0CA6B8D9">
      <w:pPr>
        <w:tabs>
          <w:tab w:val="left" w:pos="7245"/>
        </w:tabs>
        <w:spacing w:line="480" w:lineRule="auto"/>
        <w:ind w:left="426" w:hanging="284"/>
        <w:jc w:val="both"/>
      </w:pPr>
      <w:r>
        <w:tab/>
      </w:r>
      <w:r>
        <w:t>Menurut (Ghozali, 20</w:t>
      </w:r>
      <w:r>
        <w:rPr>
          <w:lang w:val="en-US"/>
        </w:rPr>
        <w:t>21</w:t>
      </w:r>
      <w:r>
        <w:t>) Uji Multikolonieritas bertujuan untuk menguji apakah model regresi ditemukan adanya korelasi antar variabel bebas (independen).</w:t>
      </w:r>
      <w:r>
        <w:rPr>
          <w:lang w:val="en-US"/>
        </w:rPr>
        <w:t xml:space="preserve"> </w:t>
      </w:r>
      <w:r>
        <w:t xml:space="preserve">Uji multikolonieritas dengan IBM SPSS 23 dilakukan dengan menganalisis matrik korelasi antar variabel independen dan perhitungan nilai </w:t>
      </w:r>
      <w:r>
        <w:rPr>
          <w:i/>
        </w:rPr>
        <w:t>Tolerance</w:t>
      </w:r>
      <w:r>
        <w:t xml:space="preserve"> dan VIF (</w:t>
      </w:r>
      <w:r>
        <w:rPr>
          <w:i/>
        </w:rPr>
        <w:t>variance inflation factor</w:t>
      </w:r>
      <w:r>
        <w:t xml:space="preserve">). Nilai </w:t>
      </w:r>
      <w:r>
        <w:rPr>
          <w:i/>
        </w:rPr>
        <w:t>Cutoff</w:t>
      </w:r>
      <w:r>
        <w:t xml:space="preserve"> yang umum dipakai untuk menunjukkan adanya multikolonieritas adalah nilai </w:t>
      </w:r>
      <w:r>
        <w:rPr>
          <w:i/>
        </w:rPr>
        <w:t>Tolerance</w:t>
      </w:r>
      <w:r>
        <w:t xml:space="preserve"> ≤ 0,10 atau sama dengan nilai VIF ≥ 10.</w:t>
      </w:r>
    </w:p>
    <w:p w14:paraId="0CEF2AE1">
      <w:pPr>
        <w:pStyle w:val="15"/>
        <w:numPr>
          <w:ilvl w:val="0"/>
          <w:numId w:val="13"/>
        </w:numPr>
        <w:spacing w:line="480" w:lineRule="auto"/>
        <w:ind w:left="426"/>
        <w:jc w:val="both"/>
        <w:rPr>
          <w:b/>
          <w:lang w:val="en-US"/>
        </w:rPr>
      </w:pPr>
      <w:r>
        <w:rPr>
          <w:b/>
          <w:lang w:val="en-US"/>
        </w:rPr>
        <w:t>Metode Kuantitatif</w:t>
      </w:r>
    </w:p>
    <w:p w14:paraId="36273706">
      <w:pPr>
        <w:tabs>
          <w:tab w:val="left" w:pos="709"/>
          <w:tab w:val="left" w:pos="7245"/>
        </w:tabs>
        <w:spacing w:line="480" w:lineRule="auto"/>
        <w:ind w:firstLine="567"/>
        <w:jc w:val="both"/>
        <w:rPr>
          <w:lang w:val="en-US"/>
        </w:rPr>
      </w:pPr>
      <w:r>
        <w:rPr>
          <w:lang w:val="en-US"/>
        </w:rPr>
        <w:t xml:space="preserve">Menurut (Sugiyono, 2021) Metode kuantitatif sebagai metode penelitian yang berlandasan pada filsafat positivisme, digunakan untuk </w:t>
      </w:r>
      <w:r>
        <w:t>mengetahui korelasi antara variabel bebas dan variabel terikat digunakan analisa sebagai berikut:</w:t>
      </w:r>
    </w:p>
    <w:p w14:paraId="3C800076">
      <w:pPr>
        <w:pStyle w:val="15"/>
        <w:numPr>
          <w:ilvl w:val="0"/>
          <w:numId w:val="14"/>
        </w:numPr>
        <w:tabs>
          <w:tab w:val="left" w:pos="7245"/>
        </w:tabs>
        <w:spacing w:line="480" w:lineRule="auto"/>
        <w:ind w:left="426" w:hanging="284"/>
        <w:jc w:val="both"/>
        <w:rPr>
          <w:b/>
          <w:lang w:val="en-US"/>
        </w:rPr>
      </w:pPr>
      <w:r>
        <w:rPr>
          <w:b/>
          <w:lang w:val="en-US"/>
        </w:rPr>
        <w:t>Regresi Linier Berganda</w:t>
      </w:r>
    </w:p>
    <w:p w14:paraId="1C1923D0">
      <w:pPr>
        <w:pStyle w:val="15"/>
        <w:tabs>
          <w:tab w:val="left" w:pos="7245"/>
        </w:tabs>
        <w:spacing w:line="480" w:lineRule="auto"/>
        <w:ind w:left="426"/>
        <w:jc w:val="both"/>
        <w:rPr>
          <w:b/>
          <w:lang w:val="en-US"/>
        </w:rPr>
      </w:pPr>
      <w:r>
        <w:rPr>
          <w:lang w:val="en-US"/>
        </w:rPr>
        <w:t xml:space="preserve">Menurut (Ghozali, 2021) Penelitian ini diuji dengan menggunakan metode regresi linear berganda, dengan alasan penggunaan variabel lebih dari satu dalam penelitian ini. Analisis regresi linear berganda ini diolah dengan menggunakan program </w:t>
      </w:r>
      <w:r>
        <w:rPr>
          <w:i/>
          <w:lang w:val="en-US"/>
        </w:rPr>
        <w:t>SPSS for windows versi 26</w:t>
      </w:r>
      <w:r>
        <w:rPr>
          <w:lang w:val="en-US"/>
        </w:rPr>
        <w:t>. Analisis regresi linear berganda yang ada dalam penelitian ini dilakukan dengan memasukkan tiga variabel independen yang terdiri atas Pemahaman Perpajakan, Kesadaran Wajib Pajak dan Penurunan Tarif Pajak PP No 23 Tahun 2018 dengan satu variabel dependen yaitu Kepatuhan Wajib Pajak.</w:t>
      </w:r>
    </w:p>
    <w:p w14:paraId="672C6B5B">
      <w:pPr>
        <w:tabs>
          <w:tab w:val="left" w:pos="7245"/>
        </w:tabs>
        <w:spacing w:line="480" w:lineRule="auto"/>
        <w:ind w:left="426"/>
        <w:jc w:val="center"/>
        <w:rPr>
          <w:bdr w:val="single" w:color="auto" w:sz="4" w:space="0"/>
          <w:lang w:val="en-US"/>
        </w:rPr>
      </w:pPr>
      <w:r>
        <w:rPr>
          <w:bdr w:val="single" w:color="auto" w:sz="4" w:space="0"/>
          <w:lang w:val="en-US"/>
        </w:rPr>
        <w:t>Y = a + b1X1 + b2X2 + b3X3 + e</w:t>
      </w:r>
    </w:p>
    <w:p w14:paraId="2DAD9252">
      <w:pPr>
        <w:pStyle w:val="15"/>
        <w:spacing w:line="480" w:lineRule="auto"/>
        <w:ind w:left="426"/>
        <w:jc w:val="both"/>
        <w:rPr>
          <w:lang w:val="en-US"/>
        </w:rPr>
      </w:pPr>
    </w:p>
    <w:p w14:paraId="3CF2F1E3">
      <w:pPr>
        <w:pStyle w:val="15"/>
        <w:spacing w:line="480" w:lineRule="auto"/>
        <w:ind w:left="426"/>
        <w:jc w:val="both"/>
        <w:rPr>
          <w:lang w:val="en-US"/>
        </w:rPr>
      </w:pPr>
      <w:r>
        <w:rPr>
          <w:lang w:val="en-US"/>
        </w:rPr>
        <w:t xml:space="preserve">Keterangan : </w:t>
      </w:r>
    </w:p>
    <w:p w14:paraId="2D0F8E84">
      <w:pPr>
        <w:pStyle w:val="15"/>
        <w:spacing w:line="480" w:lineRule="auto"/>
        <w:ind w:left="426"/>
        <w:jc w:val="both"/>
        <w:rPr>
          <w:lang w:val="en-US"/>
        </w:rPr>
      </w:pPr>
      <w:r>
        <w:rPr>
          <w:lang w:val="en-US"/>
        </w:rPr>
        <w:t>Y = Kepatuhan Wajib Pajak</w:t>
      </w:r>
    </w:p>
    <w:p w14:paraId="6D5D95F6">
      <w:pPr>
        <w:pStyle w:val="15"/>
        <w:spacing w:line="480" w:lineRule="auto"/>
        <w:ind w:left="426"/>
        <w:jc w:val="both"/>
        <w:rPr>
          <w:lang w:val="en-US"/>
        </w:rPr>
      </w:pPr>
      <w:r>
        <w:rPr>
          <w:lang w:val="en-US"/>
        </w:rPr>
        <w:t>a = Konstanta</w:t>
      </w:r>
    </w:p>
    <w:p w14:paraId="7BFA8A26">
      <w:pPr>
        <w:pStyle w:val="15"/>
        <w:spacing w:line="480" w:lineRule="auto"/>
        <w:ind w:left="426"/>
        <w:jc w:val="both"/>
        <w:rPr>
          <w:lang w:val="en-US"/>
        </w:rPr>
      </w:pPr>
      <w:r>
        <w:rPr>
          <w:lang w:val="en-US"/>
        </w:rPr>
        <w:t>b1, b2, b3 = Koefisien regresi masing masing variabel</w:t>
      </w:r>
    </w:p>
    <w:p w14:paraId="5A50F32C">
      <w:pPr>
        <w:pStyle w:val="15"/>
        <w:spacing w:line="480" w:lineRule="auto"/>
        <w:ind w:left="426"/>
        <w:jc w:val="both"/>
        <w:rPr>
          <w:lang w:val="en-US"/>
        </w:rPr>
      </w:pPr>
      <w:r>
        <w:rPr>
          <w:lang w:val="en-US"/>
        </w:rPr>
        <w:t>X1 = Pemahaman Perpajakan</w:t>
      </w:r>
    </w:p>
    <w:p w14:paraId="1E4F9816">
      <w:pPr>
        <w:pStyle w:val="15"/>
        <w:spacing w:line="480" w:lineRule="auto"/>
        <w:ind w:left="426"/>
        <w:jc w:val="both"/>
        <w:rPr>
          <w:lang w:val="en-US"/>
        </w:rPr>
      </w:pPr>
      <w:r>
        <w:rPr>
          <w:lang w:val="en-US"/>
        </w:rPr>
        <w:t>X2 = Kesadaran Wajib Pajak</w:t>
      </w:r>
    </w:p>
    <w:p w14:paraId="1EDB4E16">
      <w:pPr>
        <w:pStyle w:val="15"/>
        <w:spacing w:line="480" w:lineRule="auto"/>
        <w:ind w:left="426"/>
        <w:jc w:val="both"/>
        <w:rPr>
          <w:lang w:val="en-US"/>
        </w:rPr>
      </w:pPr>
      <w:r>
        <w:rPr>
          <w:lang w:val="en-US"/>
        </w:rPr>
        <w:t xml:space="preserve">X3 = Penurunan Tarif Pajak PP No 23 Tahun 2018 </w:t>
      </w:r>
    </w:p>
    <w:p w14:paraId="49A6001C">
      <w:pPr>
        <w:pStyle w:val="15"/>
        <w:spacing w:line="480" w:lineRule="auto"/>
        <w:ind w:left="426"/>
        <w:jc w:val="both"/>
        <w:rPr>
          <w:lang w:val="en-US"/>
        </w:rPr>
      </w:pPr>
      <w:r>
        <w:rPr>
          <w:lang w:val="en-US"/>
        </w:rPr>
        <w:t>e = Eror</w:t>
      </w:r>
    </w:p>
    <w:p w14:paraId="51035E72">
      <w:pPr>
        <w:pStyle w:val="15"/>
        <w:numPr>
          <w:ilvl w:val="0"/>
          <w:numId w:val="15"/>
        </w:numPr>
        <w:spacing w:line="480" w:lineRule="auto"/>
        <w:ind w:left="426" w:hanging="426"/>
        <w:jc w:val="both"/>
        <w:rPr>
          <w:b/>
          <w:lang w:val="en-US"/>
        </w:rPr>
      </w:pPr>
      <w:r>
        <w:rPr>
          <w:b/>
          <w:lang w:val="en-US"/>
        </w:rPr>
        <w:t>Uji Hipotesis</w:t>
      </w:r>
    </w:p>
    <w:p w14:paraId="2A3A45B3">
      <w:pPr>
        <w:pStyle w:val="15"/>
        <w:numPr>
          <w:ilvl w:val="0"/>
          <w:numId w:val="16"/>
        </w:numPr>
        <w:spacing w:line="480" w:lineRule="auto"/>
        <w:ind w:left="426" w:hanging="284"/>
        <w:rPr>
          <w:b/>
          <w:lang w:val="en-US"/>
        </w:rPr>
      </w:pPr>
      <w:r>
        <w:rPr>
          <w:b/>
          <w:lang w:val="en-US"/>
        </w:rPr>
        <w:t>Uji parsial (Uji T)</w:t>
      </w:r>
    </w:p>
    <w:p w14:paraId="6F8668B6">
      <w:pPr>
        <w:pStyle w:val="15"/>
        <w:spacing w:line="480" w:lineRule="auto"/>
        <w:ind w:left="426"/>
        <w:jc w:val="both"/>
        <w:rPr>
          <w:b/>
          <w:lang w:val="en-US"/>
        </w:rPr>
      </w:pPr>
      <w:r>
        <w:rPr>
          <w:lang w:val="en-US"/>
        </w:rPr>
        <w:t xml:space="preserve">Menurut (Ghozali, 2021) </w:t>
      </w:r>
      <w:r>
        <w:t>Uji statistik t digunakan untuk menguji apakah variabel independen secara parsial berpengaruh signifikan terhadap variabel dependen</w:t>
      </w:r>
      <w:r>
        <w:rPr>
          <w:lang w:val="en-US"/>
        </w:rPr>
        <w:t xml:space="preserve">. </w:t>
      </w:r>
      <w:r>
        <w:t xml:space="preserve">Pengujian menggunakan signifikansi level 0,05 (α = 5%). </w:t>
      </w:r>
      <w:r>
        <w:rPr>
          <w:lang w:val="en-US"/>
        </w:rPr>
        <w:t>Hipotesis diterima jika taraf signifikan &lt;0,05 dan hipotesis ditolak jika taraf signifikannya &gt; 0,05. Kriteria dari uji hipotesis yaitu jika uji t hitung &gt; t tabel, maka H0 ditolak dan Ha diterima dan jika t hitung &lt; t tabel, maka H0 diterima dan ditolak.</w:t>
      </w:r>
    </w:p>
    <w:p w14:paraId="5FC5C433">
      <w:pPr>
        <w:pStyle w:val="15"/>
        <w:numPr>
          <w:ilvl w:val="0"/>
          <w:numId w:val="16"/>
        </w:numPr>
        <w:tabs>
          <w:tab w:val="left" w:pos="7245"/>
        </w:tabs>
        <w:spacing w:line="480" w:lineRule="auto"/>
        <w:ind w:left="426" w:hanging="284"/>
        <w:jc w:val="both"/>
        <w:rPr>
          <w:lang w:val="en-US"/>
        </w:rPr>
      </w:pPr>
      <w:r>
        <w:rPr>
          <w:b/>
          <w:lang w:val="en-US"/>
        </w:rPr>
        <w:t>Uji Simultan (Uji F)</w:t>
      </w:r>
    </w:p>
    <w:p w14:paraId="581AD38F">
      <w:pPr>
        <w:pStyle w:val="15"/>
        <w:tabs>
          <w:tab w:val="left" w:pos="7245"/>
        </w:tabs>
        <w:spacing w:line="480" w:lineRule="auto"/>
        <w:ind w:left="426"/>
        <w:jc w:val="both"/>
        <w:rPr>
          <w:lang w:val="en-US"/>
        </w:rPr>
      </w:pPr>
      <w:r>
        <w:t>Menurut (Ghozali, 2</w:t>
      </w:r>
      <w:r>
        <w:rPr>
          <w:lang w:val="en-US"/>
        </w:rPr>
        <w:t>021</w:t>
      </w:r>
      <w:r>
        <w:t>) Uji pengaruh simultan digunakan untuk mengetahui apakah variabel independen secara bersama-sama atau simultan mempengaruhi variabel dependen. Uji pengaruh simultan (Uji F) dikenal dengan Uji serentak atau uji Model/Uji Anova. Uji statistik F pada analisis data penelitian ini menggunakan standar kepercayaan 0,05.</w:t>
      </w:r>
    </w:p>
    <w:p w14:paraId="5E654678">
      <w:pPr>
        <w:pStyle w:val="15"/>
        <w:tabs>
          <w:tab w:val="left" w:pos="7245"/>
        </w:tabs>
        <w:spacing w:line="480" w:lineRule="auto"/>
        <w:ind w:left="426"/>
        <w:jc w:val="both"/>
        <w:rPr>
          <w:lang w:val="en-US"/>
        </w:rPr>
      </w:pPr>
      <w:r>
        <w:rPr>
          <w:lang w:val="en-US"/>
        </w:rPr>
        <w:t>Uji F statistik digunakan untuk membuktikan ada pengaruh antara variabel independen terhadap variabel dependen secara simultan. Kriteria dari uji simultan adalah sebagai berikut :</w:t>
      </w:r>
    </w:p>
    <w:p w14:paraId="2495A724">
      <w:pPr>
        <w:pStyle w:val="15"/>
        <w:numPr>
          <w:ilvl w:val="0"/>
          <w:numId w:val="17"/>
        </w:numPr>
        <w:spacing w:line="480" w:lineRule="auto"/>
        <w:ind w:left="709" w:hanging="284"/>
        <w:rPr>
          <w:lang w:val="en-US"/>
        </w:rPr>
      </w:pPr>
      <w:r>
        <w:rPr>
          <w:lang w:val="en-US"/>
        </w:rPr>
        <w:t>Jika F hitung &gt; F tabel, maka H0 ditolak dan Ha diterima.</w:t>
      </w:r>
    </w:p>
    <w:p w14:paraId="27B24DA0">
      <w:pPr>
        <w:pStyle w:val="15"/>
        <w:numPr>
          <w:ilvl w:val="0"/>
          <w:numId w:val="17"/>
        </w:numPr>
        <w:spacing w:line="480" w:lineRule="auto"/>
        <w:ind w:left="709" w:hanging="284"/>
        <w:rPr>
          <w:lang w:val="en-US"/>
        </w:rPr>
      </w:pPr>
      <w:r>
        <w:rPr>
          <w:lang w:val="en-US"/>
        </w:rPr>
        <w:t>Jika F hitung &lt; F tabel, maka H0 dterima dan Ha ditolak.</w:t>
      </w:r>
    </w:p>
    <w:p w14:paraId="02976C78">
      <w:pPr>
        <w:pStyle w:val="15"/>
        <w:numPr>
          <w:ilvl w:val="0"/>
          <w:numId w:val="18"/>
        </w:numPr>
        <w:tabs>
          <w:tab w:val="left" w:pos="7245"/>
        </w:tabs>
        <w:spacing w:line="480" w:lineRule="auto"/>
        <w:ind w:left="426" w:hanging="284"/>
        <w:rPr>
          <w:lang w:val="en-US"/>
        </w:rPr>
      </w:pPr>
      <w:r>
        <w:rPr>
          <w:b/>
          <w:lang w:val="en-US"/>
        </w:rPr>
        <w:t>Uji Koefisien Determinasi (</w:t>
      </w:r>
      <m:oMath>
        <m:sSup>
          <m:sSupPr>
            <m:ctrlPr>
              <w:rPr>
                <w:rFonts w:ascii="Cambria Math" w:hAnsi="Cambria Math"/>
                <w:b/>
                <w:lang w:val="en-US"/>
              </w:rPr>
            </m:ctrlPr>
          </m:sSupPr>
          <m:e>
            <m:r>
              <m:rPr>
                <m:sty m:val="b"/>
              </m:rPr>
              <w:rPr>
                <w:rFonts w:ascii="Cambria Math" w:hAnsi="Cambria Math"/>
                <w:lang w:val="en-US"/>
              </w:rPr>
              <m:t>R</m:t>
            </m:r>
            <m:ctrlPr>
              <w:rPr>
                <w:rFonts w:ascii="Cambria Math" w:hAnsi="Cambria Math"/>
                <w:b/>
                <w:lang w:val="en-US"/>
              </w:rPr>
            </m:ctrlPr>
          </m:e>
          <m:sup>
            <m:r>
              <m:rPr>
                <m:sty m:val="b"/>
              </m:rPr>
              <w:rPr>
                <w:rFonts w:ascii="Cambria Math" w:hAnsi="Cambria Math"/>
                <w:lang w:val="en-US"/>
              </w:rPr>
              <m:t>2</m:t>
            </m:r>
            <m:ctrlPr>
              <w:rPr>
                <w:rFonts w:ascii="Cambria Math" w:hAnsi="Cambria Math"/>
                <w:b/>
                <w:lang w:val="en-US"/>
              </w:rPr>
            </m:ctrlPr>
          </m:sup>
        </m:sSup>
      </m:oMath>
      <w:r>
        <w:rPr>
          <w:b/>
          <w:lang w:val="en-US"/>
        </w:rPr>
        <w:t>)</w:t>
      </w:r>
    </w:p>
    <w:p w14:paraId="6E9172B4">
      <w:pPr>
        <w:pStyle w:val="15"/>
        <w:tabs>
          <w:tab w:val="left" w:pos="7245"/>
        </w:tabs>
        <w:spacing w:line="480" w:lineRule="auto"/>
        <w:ind w:left="426"/>
        <w:jc w:val="both"/>
        <w:rPr>
          <w:lang w:val="en-US"/>
        </w:rPr>
      </w:pPr>
      <w:r>
        <w:rPr>
          <w:lang w:val="en-US"/>
        </w:rPr>
        <w:t xml:space="preserve">Menurut (Ghozali, 2021) </w:t>
      </w:r>
      <w:r>
        <w:t>Koefisien determinasi (R2 ) pada intinya mengukur seberapa jauh kemampuan model dalam menerangkan variasi variabel dependen.</w:t>
      </w:r>
      <w:r>
        <w:rPr>
          <w:lang w:val="en-US"/>
        </w:rPr>
        <w:t xml:space="preserve"> Nilai R² menunjukkan seberapa besar pengaruh variabel bebas (X) yaitu Pemahaman Perpajakan, Kesadaran Wajib Pajak dan Tarif Pajak PP No 23 Tahun 2018 terhadap variabel terikat (Y) yaitu Kepatuhan Wajib Pajak. Semakin tinggi nilai R² maka semakin besar proporsi dari total variasi variabel dependen yang dapat dijelaskan oleh variabel independen.</w:t>
      </w:r>
    </w:p>
    <w:p w14:paraId="46822E09"/>
    <w:sectPr>
      <w:headerReference r:id="rId13" w:type="first"/>
      <w:footerReference r:id="rId16" w:type="first"/>
      <w:headerReference r:id="rId11" w:type="default"/>
      <w:footerReference r:id="rId14" w:type="default"/>
      <w:headerReference r:id="rId12" w:type="even"/>
      <w:footerReference r:id="rId15" w:type="even"/>
      <w:pgSz w:w="11907" w:h="16839"/>
      <w:pgMar w:top="2268" w:right="1701" w:bottom="1701" w:left="2268"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11978538"/>
      <w:docPartObj>
        <w:docPartGallery w:val="AutoText"/>
      </w:docPartObj>
    </w:sdtPr>
    <w:sdtContent>
      <w:p w14:paraId="66693748">
        <w:pPr>
          <w:pStyle w:val="8"/>
          <w:jc w:val="center"/>
        </w:pPr>
        <w:r>
          <w:fldChar w:fldCharType="begin"/>
        </w:r>
        <w:r>
          <w:instrText xml:space="preserve"> PAGE   \* MERGEFORMAT </w:instrText>
        </w:r>
        <w:r>
          <w:fldChar w:fldCharType="separate"/>
        </w:r>
        <w:r>
          <w:t>1</w:t>
        </w:r>
        <w:r>
          <w:fldChar w:fldCharType="end"/>
        </w:r>
      </w:p>
    </w:sdtContent>
  </w:sdt>
  <w:p w14:paraId="28796BD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EE665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4E3A13">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0D53F">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BDAA7">
    <w:pPr>
      <w:pStyle w:val="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2F87F">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DCE69">
    <w:pPr>
      <w:pStyle w:val="9"/>
      <w:jc w:val="right"/>
    </w:pPr>
    <w:r>
      <w:rPr>
        <w:lang w:val="en-US" w:eastAsia="en-US"/>
      </w:rPr>
      <w:pict>
        <v:shape id="WordPictureWatermark4074627" o:spid="_x0000_s2075" o:spt="75" type="#_x0000_t75" style="position:absolute;left:0pt;height:391pt;width:396.8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
          <o:lock v:ext="edit" aspectratio="t"/>
        </v:shape>
      </w:pict>
    </w:r>
  </w:p>
  <w:p w14:paraId="130615D2">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49BB6">
    <w:pPr>
      <w:pStyle w:val="9"/>
    </w:pPr>
    <w:r>
      <w:rPr>
        <w:lang w:val="en-US" w:eastAsia="en-US"/>
      </w:rPr>
      <w:pict>
        <v:shape id="WordPictureWatermark4074626" o:spid="_x0000_s2074" o:spt="75" type="#_x0000_t75" style="position:absolute;left:0pt;height:391pt;width:396.8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8CD88">
    <w:pPr>
      <w:pStyle w:val="9"/>
    </w:pPr>
    <w:r>
      <w:rPr>
        <w:lang w:val="en-US" w:eastAsia="en-US"/>
      </w:rPr>
      <w:pict>
        <v:shape id="WordPictureWatermark4074625" o:spid="_x0000_s2073" o:spt="75" type="#_x0000_t75" style="position:absolute;left:0pt;height:391pt;width:396.8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035EC3">
    <w:pPr>
      <w:pStyle w:val="9"/>
    </w:pPr>
    <w:r>
      <w:rPr>
        <w:lang w:val="en-US" w:eastAsia="en-US"/>
      </w:rPr>
      <w:pict>
        <v:shape id="WordPictureWatermark4074630" o:spid="_x0000_s2078" o:spt="75" type="#_x0000_t75" style="position:absolute;left:0pt;height:391pt;width:396.85pt;mso-position-horizontal:center;mso-position-horizontal-relative:margin;mso-position-vertical:center;mso-position-vertical-relative:margin;z-index:-251652096;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C22E4">
    <w:pPr>
      <w:pStyle w:val="9"/>
    </w:pPr>
    <w:r>
      <w:rPr>
        <w:lang w:val="en-US" w:eastAsia="en-US"/>
      </w:rPr>
      <w:pict>
        <v:shape id="WordPictureWatermark4074629" o:spid="_x0000_s2077" o:spt="75" type="#_x0000_t75" style="position:absolute;left:0pt;height:391pt;width:396.85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876336">
    <w:pPr>
      <w:pStyle w:val="9"/>
    </w:pPr>
    <w:r>
      <w:rPr>
        <w:lang w:val="en-US" w:eastAsia="en-US"/>
      </w:rPr>
      <w:pict>
        <v:shape id="WordPictureWatermark4074628" o:spid="_x0000_s2076" o:spt="75" type="#_x0000_t75" style="position:absolute;left:0pt;height:391pt;width:396.8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 UMN"/>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4D6631"/>
    <w:multiLevelType w:val="multilevel"/>
    <w:tmpl w:val="064D6631"/>
    <w:lvl w:ilvl="0" w:tentative="0">
      <w:start w:val="1"/>
      <w:numFmt w:val="decimal"/>
      <w:lvlText w:val="%1."/>
      <w:lvlJc w:val="left"/>
      <w:pPr>
        <w:ind w:left="720" w:hanging="360"/>
      </w:pPr>
      <w:rPr>
        <w:rFonts w:hint="default"/>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B421981"/>
    <w:multiLevelType w:val="multilevel"/>
    <w:tmpl w:val="0B421981"/>
    <w:lvl w:ilvl="0" w:tentative="0">
      <w:start w:val="3"/>
      <w:numFmt w:val="decimal"/>
      <w:lvlText w:val="%1."/>
      <w:lvlJc w:val="left"/>
      <w:pPr>
        <w:ind w:left="1146"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BAD12AA"/>
    <w:multiLevelType w:val="multilevel"/>
    <w:tmpl w:val="0BAD12AA"/>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5AC1D93"/>
    <w:multiLevelType w:val="multilevel"/>
    <w:tmpl w:val="15AC1D93"/>
    <w:lvl w:ilvl="0" w:tentative="0">
      <w:start w:val="3"/>
      <w:numFmt w:val="decimal"/>
      <w:lvlText w:val="%1.7.2"/>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161021CD"/>
    <w:multiLevelType w:val="multilevel"/>
    <w:tmpl w:val="161021CD"/>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17FC6607"/>
    <w:multiLevelType w:val="multilevel"/>
    <w:tmpl w:val="17FC6607"/>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18FB040D"/>
    <w:multiLevelType w:val="multilevel"/>
    <w:tmpl w:val="18FB040D"/>
    <w:lvl w:ilvl="0" w:tentative="0">
      <w:start w:val="3"/>
      <w:numFmt w:val="decimal"/>
      <w:lvlText w:val="%1.7.4"/>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29F83F0B"/>
    <w:multiLevelType w:val="multilevel"/>
    <w:tmpl w:val="29F83F0B"/>
    <w:lvl w:ilvl="0" w:tentative="0">
      <w:start w:val="3"/>
      <w:numFmt w:val="decimal"/>
      <w:lvlText w:val="%1.7.1"/>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83047DF"/>
    <w:multiLevelType w:val="multilevel"/>
    <w:tmpl w:val="383047DF"/>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7A13F6E"/>
    <w:multiLevelType w:val="multilevel"/>
    <w:tmpl w:val="47A13F6E"/>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7BE13FF"/>
    <w:multiLevelType w:val="multilevel"/>
    <w:tmpl w:val="47BE13FF"/>
    <w:lvl w:ilvl="0" w:tentative="0">
      <w:start w:val="1"/>
      <w:numFmt w:val="decimal"/>
      <w:lvlText w:val="%1."/>
      <w:lvlJc w:val="left"/>
      <w:pPr>
        <w:ind w:left="1146"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AE330E4"/>
    <w:multiLevelType w:val="multilevel"/>
    <w:tmpl w:val="4AE330E4"/>
    <w:lvl w:ilvl="0" w:tentative="0">
      <w:start w:val="1"/>
      <w:numFmt w:val="decimal"/>
      <w:lvlText w:val="%1."/>
      <w:lvlJc w:val="left"/>
      <w:pPr>
        <w:ind w:left="1146"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595F657B"/>
    <w:multiLevelType w:val="multilevel"/>
    <w:tmpl w:val="595F657B"/>
    <w:lvl w:ilvl="0" w:tentative="0">
      <w:start w:val="1"/>
      <w:numFmt w:val="decimal"/>
      <w:lvlText w:val="%1."/>
      <w:lvlJc w:val="left"/>
      <w:pPr>
        <w:ind w:left="720" w:hanging="360"/>
      </w:pPr>
      <w:rPr>
        <w:rFonts w:hint="default"/>
        <w:b w:val="0"/>
        <w:i w:val="0"/>
        <w:sz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3">
    <w:nsid w:val="5BBE4B7F"/>
    <w:multiLevelType w:val="multilevel"/>
    <w:tmpl w:val="5BBE4B7F"/>
    <w:lvl w:ilvl="0" w:tentative="0">
      <w:start w:val="3"/>
      <w:numFmt w:val="decimal"/>
      <w:lvlText w:val="%1.5"/>
      <w:lvlJc w:val="left"/>
      <w:pPr>
        <w:ind w:left="2520" w:hanging="360"/>
      </w:pPr>
      <w:rPr>
        <w:rFonts w:hint="default"/>
      </w:rPr>
    </w:lvl>
    <w:lvl w:ilvl="1" w:tentative="0">
      <w:start w:val="1"/>
      <w:numFmt w:val="lowerLetter"/>
      <w:lvlText w:val="%2."/>
      <w:lvlJc w:val="left"/>
      <w:pPr>
        <w:ind w:left="3240" w:hanging="360"/>
      </w:pPr>
    </w:lvl>
    <w:lvl w:ilvl="2" w:tentative="0">
      <w:start w:val="1"/>
      <w:numFmt w:val="lowerRoman"/>
      <w:lvlText w:val="%3."/>
      <w:lvlJc w:val="right"/>
      <w:pPr>
        <w:ind w:left="3960" w:hanging="180"/>
      </w:pPr>
    </w:lvl>
    <w:lvl w:ilvl="3" w:tentative="0">
      <w:start w:val="1"/>
      <w:numFmt w:val="decimal"/>
      <w:lvlText w:val="%4."/>
      <w:lvlJc w:val="left"/>
      <w:pPr>
        <w:ind w:left="4680" w:hanging="360"/>
      </w:pPr>
    </w:lvl>
    <w:lvl w:ilvl="4" w:tentative="0">
      <w:start w:val="1"/>
      <w:numFmt w:val="lowerLetter"/>
      <w:lvlText w:val="%5."/>
      <w:lvlJc w:val="left"/>
      <w:pPr>
        <w:ind w:left="5400" w:hanging="360"/>
      </w:pPr>
    </w:lvl>
    <w:lvl w:ilvl="5" w:tentative="0">
      <w:start w:val="1"/>
      <w:numFmt w:val="lowerRoman"/>
      <w:lvlText w:val="%6."/>
      <w:lvlJc w:val="right"/>
      <w:pPr>
        <w:ind w:left="6120" w:hanging="180"/>
      </w:pPr>
    </w:lvl>
    <w:lvl w:ilvl="6" w:tentative="0">
      <w:start w:val="1"/>
      <w:numFmt w:val="decimal"/>
      <w:lvlText w:val="%7."/>
      <w:lvlJc w:val="left"/>
      <w:pPr>
        <w:ind w:left="6840" w:hanging="360"/>
      </w:pPr>
    </w:lvl>
    <w:lvl w:ilvl="7" w:tentative="0">
      <w:start w:val="1"/>
      <w:numFmt w:val="lowerLetter"/>
      <w:lvlText w:val="%8."/>
      <w:lvlJc w:val="left"/>
      <w:pPr>
        <w:ind w:left="7560" w:hanging="360"/>
      </w:pPr>
    </w:lvl>
    <w:lvl w:ilvl="8" w:tentative="0">
      <w:start w:val="1"/>
      <w:numFmt w:val="lowerRoman"/>
      <w:lvlText w:val="%9."/>
      <w:lvlJc w:val="right"/>
      <w:pPr>
        <w:ind w:left="8280" w:hanging="180"/>
      </w:pPr>
    </w:lvl>
  </w:abstractNum>
  <w:abstractNum w:abstractNumId="14">
    <w:nsid w:val="69A51C68"/>
    <w:multiLevelType w:val="multilevel"/>
    <w:tmpl w:val="69A51C68"/>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5">
    <w:nsid w:val="6E061916"/>
    <w:multiLevelType w:val="multilevel"/>
    <w:tmpl w:val="6E061916"/>
    <w:lvl w:ilvl="0" w:tentative="0">
      <w:start w:val="3"/>
      <w:numFmt w:val="decimal"/>
      <w:lvlText w:val="%1.7.3"/>
      <w:lvlJc w:val="left"/>
      <w:pPr>
        <w:ind w:left="78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715753C3"/>
    <w:multiLevelType w:val="multilevel"/>
    <w:tmpl w:val="715753C3"/>
    <w:lvl w:ilvl="0" w:tentative="0">
      <w:start w:val="1"/>
      <w:numFmt w:val="decimal"/>
      <w:lvlText w:val="%1."/>
      <w:lvlJc w:val="left"/>
      <w:pPr>
        <w:ind w:left="1146"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
  </w:num>
  <w:num w:numId="4">
    <w:abstractNumId w:val="14"/>
  </w:num>
  <w:num w:numId="5">
    <w:abstractNumId w:val="4"/>
  </w:num>
  <w:num w:numId="6">
    <w:abstractNumId w:val="13"/>
  </w:num>
  <w:num w:numId="7">
    <w:abstractNumId w:val="12"/>
  </w:num>
  <w:num w:numId="8">
    <w:abstractNumId w:val="0"/>
  </w:num>
  <w:num w:numId="9">
    <w:abstractNumId w:val="7"/>
  </w:num>
  <w:num w:numId="10">
    <w:abstractNumId w:val="8"/>
  </w:num>
  <w:num w:numId="11">
    <w:abstractNumId w:val="3"/>
  </w:num>
  <w:num w:numId="12">
    <w:abstractNumId w:val="10"/>
  </w:num>
  <w:num w:numId="13">
    <w:abstractNumId w:val="15"/>
  </w:num>
  <w:num w:numId="14">
    <w:abstractNumId w:val="9"/>
  </w:num>
  <w:num w:numId="15">
    <w:abstractNumId w:val="6"/>
  </w:num>
  <w:num w:numId="16">
    <w:abstractNumId w:val="11"/>
  </w:num>
  <w:num w:numId="17">
    <w:abstractNumId w:val="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dit="forms" w:enforcement="1" w:cryptProviderType="rsaFull" w:cryptAlgorithmClass="hash" w:cryptAlgorithmType="typeAny" w:cryptAlgorithmSid="4" w:cryptSpinCount="0" w:hash="d0rACU9Qw1vH4BnqbmcG390iTmQ=" w:salt="9WHSKX2LiyKsMCtgtIMZtQ=="/>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597"/>
    <w:rsid w:val="000F6151"/>
    <w:rsid w:val="00221D15"/>
    <w:rsid w:val="00512803"/>
    <w:rsid w:val="007C5CBE"/>
    <w:rsid w:val="00B67DFC"/>
    <w:rsid w:val="00FA6597"/>
    <w:rsid w:val="29EA0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MY" w:eastAsia="en-GB" w:bidi="ar-SA"/>
    </w:rPr>
  </w:style>
  <w:style w:type="paragraph" w:styleId="2">
    <w:name w:val="heading 2"/>
    <w:basedOn w:val="1"/>
    <w:link w:val="18"/>
    <w:unhideWhenUsed/>
    <w:qFormat/>
    <w:uiPriority w:val="99"/>
    <w:pPr>
      <w:widowControl w:val="0"/>
      <w:autoSpaceDE w:val="0"/>
      <w:autoSpaceDN w:val="0"/>
      <w:ind w:left="649"/>
      <w:jc w:val="both"/>
      <w:outlineLvl w:val="1"/>
    </w:pPr>
    <w:rPr>
      <w:b/>
      <w:bCs/>
      <w:lang w:val="m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2"/>
    <w:semiHidden/>
    <w:unhideWhenUsed/>
    <w:qFormat/>
    <w:uiPriority w:val="99"/>
    <w:rPr>
      <w:rFonts w:ascii="Tahoma" w:hAnsi="Tahoma" w:cs="Tahoma"/>
      <w:sz w:val="16"/>
      <w:szCs w:val="16"/>
    </w:rPr>
  </w:style>
  <w:style w:type="paragraph" w:styleId="6">
    <w:name w:val="Body Text"/>
    <w:basedOn w:val="1"/>
    <w:link w:val="19"/>
    <w:qFormat/>
    <w:uiPriority w:val="1"/>
    <w:pPr>
      <w:widowControl w:val="0"/>
      <w:autoSpaceDE w:val="0"/>
      <w:autoSpaceDN w:val="0"/>
    </w:pPr>
    <w:rPr>
      <w:lang w:val="ms"/>
    </w:rPr>
  </w:style>
  <w:style w:type="character" w:styleId="7">
    <w:name w:val="Emphasis"/>
    <w:basedOn w:val="3"/>
    <w:qFormat/>
    <w:uiPriority w:val="20"/>
    <w:rPr>
      <w:i/>
      <w:iCs/>
    </w:rPr>
  </w:style>
  <w:style w:type="paragraph" w:styleId="8">
    <w:name w:val="footer"/>
    <w:basedOn w:val="1"/>
    <w:link w:val="14"/>
    <w:unhideWhenUsed/>
    <w:qFormat/>
    <w:uiPriority w:val="99"/>
    <w:pPr>
      <w:tabs>
        <w:tab w:val="center" w:pos="4680"/>
        <w:tab w:val="right" w:pos="9360"/>
      </w:tabs>
    </w:pPr>
  </w:style>
  <w:style w:type="paragraph" w:styleId="9">
    <w:name w:val="header"/>
    <w:basedOn w:val="1"/>
    <w:link w:val="13"/>
    <w:unhideWhenUsed/>
    <w:qFormat/>
    <w:uiPriority w:val="99"/>
    <w:pPr>
      <w:tabs>
        <w:tab w:val="center" w:pos="4680"/>
        <w:tab w:val="right" w:pos="9360"/>
      </w:tabs>
    </w:pPr>
  </w:style>
  <w:style w:type="character" w:styleId="10">
    <w:name w:val="Strong"/>
    <w:basedOn w:val="3"/>
    <w:qFormat/>
    <w:uiPriority w:val="22"/>
    <w:rPr>
      <w:b/>
      <w:bCs/>
    </w:rPr>
  </w:style>
  <w:style w:type="table" w:styleId="11">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Balloon Text Char"/>
    <w:basedOn w:val="3"/>
    <w:link w:val="5"/>
    <w:semiHidden/>
    <w:qFormat/>
    <w:uiPriority w:val="99"/>
    <w:rPr>
      <w:rFonts w:ascii="Tahoma" w:hAnsi="Tahoma" w:eastAsia="Times New Roman" w:cs="Tahoma"/>
      <w:sz w:val="16"/>
      <w:szCs w:val="16"/>
      <w:lang w:val="en-MY" w:eastAsia="en-GB"/>
    </w:rPr>
  </w:style>
  <w:style w:type="character" w:customStyle="1" w:styleId="13">
    <w:name w:val="Header Char"/>
    <w:basedOn w:val="3"/>
    <w:link w:val="9"/>
    <w:qFormat/>
    <w:uiPriority w:val="99"/>
    <w:rPr>
      <w:rFonts w:ascii="Times New Roman" w:hAnsi="Times New Roman" w:eastAsia="Times New Roman" w:cs="Times New Roman"/>
      <w:sz w:val="24"/>
      <w:szCs w:val="24"/>
      <w:lang w:val="en-MY" w:eastAsia="en-GB"/>
    </w:rPr>
  </w:style>
  <w:style w:type="character" w:customStyle="1" w:styleId="14">
    <w:name w:val="Footer Char"/>
    <w:basedOn w:val="3"/>
    <w:link w:val="8"/>
    <w:qFormat/>
    <w:uiPriority w:val="99"/>
    <w:rPr>
      <w:rFonts w:ascii="Times New Roman" w:hAnsi="Times New Roman" w:eastAsia="Times New Roman" w:cs="Times New Roman"/>
      <w:sz w:val="24"/>
      <w:szCs w:val="24"/>
      <w:lang w:val="en-MY" w:eastAsia="en-GB"/>
    </w:rPr>
  </w:style>
  <w:style w:type="paragraph" w:styleId="15">
    <w:name w:val="List Paragraph"/>
    <w:basedOn w:val="1"/>
    <w:link w:val="16"/>
    <w:qFormat/>
    <w:uiPriority w:val="1"/>
    <w:pPr>
      <w:ind w:left="720"/>
      <w:contextualSpacing/>
    </w:pPr>
  </w:style>
  <w:style w:type="character" w:customStyle="1" w:styleId="16">
    <w:name w:val="List Paragraph Char"/>
    <w:basedOn w:val="3"/>
    <w:link w:val="15"/>
    <w:qFormat/>
    <w:locked/>
    <w:uiPriority w:val="1"/>
    <w:rPr>
      <w:rFonts w:ascii="Times New Roman" w:hAnsi="Times New Roman" w:eastAsia="Times New Roman" w:cs="Times New Roman"/>
      <w:sz w:val="24"/>
      <w:szCs w:val="24"/>
      <w:lang w:val="en-MY" w:eastAsia="en-GB"/>
    </w:rPr>
  </w:style>
  <w:style w:type="table" w:customStyle="1" w:styleId="17">
    <w:name w:val="Plain Table 2"/>
    <w:basedOn w:val="4"/>
    <w:qFormat/>
    <w:uiPriority w:val="42"/>
    <w:pPr>
      <w:spacing w:after="0" w:line="240" w:lineRule="auto"/>
    </w:pPr>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18">
    <w:name w:val="Heading 2 Char"/>
    <w:basedOn w:val="3"/>
    <w:link w:val="2"/>
    <w:qFormat/>
    <w:uiPriority w:val="99"/>
    <w:rPr>
      <w:rFonts w:ascii="Times New Roman" w:hAnsi="Times New Roman" w:eastAsia="Times New Roman" w:cs="Times New Roman"/>
      <w:b/>
      <w:bCs/>
      <w:sz w:val="24"/>
      <w:szCs w:val="24"/>
      <w:lang w:val="ms" w:eastAsia="en-GB"/>
    </w:rPr>
  </w:style>
  <w:style w:type="character" w:customStyle="1" w:styleId="19">
    <w:name w:val="Body Text Char"/>
    <w:basedOn w:val="3"/>
    <w:link w:val="6"/>
    <w:qFormat/>
    <w:uiPriority w:val="1"/>
    <w:rPr>
      <w:rFonts w:ascii="Times New Roman" w:hAnsi="Times New Roman" w:eastAsia="Times New Roman" w:cs="Times New Roman"/>
      <w:sz w:val="24"/>
      <w:szCs w:val="24"/>
      <w:lang w:val="ms" w:eastAsia="en-GB"/>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2075"/>
    <customShpInfo spid="_x0000_s2074"/>
    <customShpInfo spid="_x0000_s2073"/>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1C2951D-E2F2-4AA4-9710-9305F2D44E6C}">
  <ds:schemaRefs/>
</ds:datastoreItem>
</file>

<file path=docProps/app.xml><?xml version="1.0" encoding="utf-8"?>
<Properties xmlns="http://schemas.openxmlformats.org/officeDocument/2006/extended-properties" xmlns:vt="http://schemas.openxmlformats.org/officeDocument/2006/docPropsVTypes">
  <Template>Normal</Template>
  <Pages>13</Pages>
  <Words>2279</Words>
  <Characters>14422</Characters>
  <Lines>119</Lines>
  <Paragraphs>33</Paragraphs>
  <TotalTime>0</TotalTime>
  <ScaleCrop>false</ScaleCrop>
  <LinksUpToDate>false</LinksUpToDate>
  <CharactersWithSpaces>16516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2026-09-14T04:11:00Z</dcterms:created>
  <dc:creator>berkah-3</dc:creator>
  <cp:lastModifiedBy>Administrator</cp:lastModifiedBy>
  <dcterms:modified xsi:type="dcterms:W3CDTF">2026-09-21T04:29:27Z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C89EA9B3F0B44A5BBB579FBE4FB6A872_13</vt:lpwstr>
  </property>
</Properties>
</file>