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2894DD">
      <w:pPr>
        <w:pStyle w:val="25"/>
        <w:tabs>
          <w:tab w:val="left" w:pos="7245"/>
        </w:tabs>
        <w:spacing w:line="480" w:lineRule="auto"/>
        <w:ind w:left="0"/>
        <w:jc w:val="center"/>
        <w:rPr>
          <w:b/>
          <w:lang w:val="en-US"/>
        </w:rPr>
      </w:pPr>
      <w:bookmarkStart w:id="0" w:name="_GoBack"/>
      <w:bookmarkEnd w:id="0"/>
      <w:r>
        <w:rPr>
          <w:b/>
          <w:lang w:val="en-US"/>
        </w:rPr>
        <w:t>BAB IV</w:t>
      </w:r>
    </w:p>
    <w:p w14:paraId="3FDAFC7A">
      <w:pPr>
        <w:pStyle w:val="25"/>
        <w:tabs>
          <w:tab w:val="left" w:pos="7245"/>
        </w:tabs>
        <w:spacing w:line="480" w:lineRule="auto"/>
        <w:ind w:left="0"/>
        <w:jc w:val="center"/>
        <w:rPr>
          <w:b/>
          <w:lang w:val="en-US"/>
        </w:rPr>
      </w:pPr>
      <w:r>
        <w:rPr>
          <w:b/>
          <w:lang w:val="en-US"/>
        </w:rPr>
        <w:t>HASIL DAN PEMBAHASAN</w:t>
      </w:r>
    </w:p>
    <w:p w14:paraId="315EBF9A">
      <w:pPr>
        <w:spacing w:line="480" w:lineRule="auto"/>
        <w:jc w:val="both"/>
        <w:rPr>
          <w:b/>
          <w:bCs/>
        </w:rPr>
      </w:pPr>
    </w:p>
    <w:p w14:paraId="6786FC7C">
      <w:pPr>
        <w:spacing w:line="480" w:lineRule="auto"/>
        <w:jc w:val="both"/>
        <w:rPr>
          <w:b/>
          <w:bCs/>
        </w:rPr>
      </w:pPr>
      <w:r>
        <w:rPr>
          <w:b/>
          <w:bCs/>
        </w:rPr>
        <w:t>4.1</w:t>
      </w:r>
      <w:r>
        <w:rPr>
          <w:b/>
          <w:bCs/>
        </w:rPr>
        <w:tab/>
      </w:r>
      <w:r>
        <w:rPr>
          <w:b/>
          <w:bCs/>
        </w:rPr>
        <w:t>Sejarah Lubuk Pakam</w:t>
      </w:r>
    </w:p>
    <w:p w14:paraId="502787C4">
      <w:pPr>
        <w:spacing w:line="480" w:lineRule="auto"/>
        <w:jc w:val="both"/>
      </w:pPr>
      <w:r>
        <w:rPr>
          <w:b/>
          <w:bCs/>
        </w:rPr>
        <w:t>4.1.1</w:t>
      </w:r>
      <w:r>
        <w:tab/>
      </w:r>
      <w:r>
        <w:rPr>
          <w:b/>
          <w:bCs/>
        </w:rPr>
        <w:t>Gambaran Umum Lubuk Pakam</w:t>
      </w:r>
    </w:p>
    <w:p w14:paraId="72CDB92C">
      <w:pPr>
        <w:spacing w:line="480" w:lineRule="auto"/>
        <w:ind w:firstLine="720"/>
        <w:jc w:val="both"/>
      </w:pPr>
      <w:r>
        <w:t>Lubuk Pakam merupakan ibu kota dari Kabupaten Deli Serdang, Provinsi Sumatera Utara. Secara historis, Lubuk Pakam dulunya merupakan bagian dari Kesultanan Deli yang memiliki pengaruh besar dalam perkembangan budaya dan ekonomi di kawasan timur Sumatera. Nama “Lubuk Pakam” sendiri berasal dari kata “lubuk” yang berarti bagian terdalam dari sungai, dan “pakam” yang dalam bahasa lokal bisa merujuk pada tempat yang subur atau dataran rendah, mencerminkan kondisi geografis daerah ini yang dilewati oleh sungai-sungai kecil dan memiliki tanah yang subur.</w:t>
      </w:r>
    </w:p>
    <w:p w14:paraId="140330FE">
      <w:pPr>
        <w:spacing w:line="480" w:lineRule="auto"/>
        <w:ind w:firstLine="720"/>
        <w:jc w:val="both"/>
      </w:pPr>
      <w:r>
        <w:t>Sejak masa penjajahan Belanda, Lubuk Pakam telah berkembang sebagai wilayah perkebunan yang penting, terutama dalam produksi tembakau, karet, dan kelapa sawit. Kehadiran perusahaan-perusahaan perkebunan asing dan lokal turut membentuk struktur sosial dan ekonomi masyarakat setempat. Setelah kemerdekaan Indonesia, Lubuk Pakam terus mengalami pertumbuhan dan dipilih sebagai pusat pemerintahan Kabupaten Deli Serdang karena letaknya yang strategis dan mudah dijangkau dari Kota Medan.</w:t>
      </w:r>
    </w:p>
    <w:p w14:paraId="0F9D2866">
      <w:pPr>
        <w:spacing w:line="480" w:lineRule="auto"/>
        <w:ind w:firstLine="720"/>
        <w:jc w:val="both"/>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680" w:footer="567" w:gutter="0"/>
          <w:pgNumType w:start="47"/>
          <w:cols w:space="720" w:num="1"/>
          <w:docGrid w:linePitch="360" w:charSpace="0"/>
        </w:sectPr>
      </w:pPr>
      <w:r>
        <w:t xml:space="preserve">Secara geografis, Lubuk Pakam terletak tidak jauh dari Kota Medan dan memiliki akses yang baik melalui jalur darat serta kereta api. Hal ini membuatnya menjadi pusat aktivitas ekonomi dan pemerintahan yang cukup sibuk. Berbagai </w:t>
      </w:r>
    </w:p>
    <w:p w14:paraId="796F9A80">
      <w:pPr>
        <w:spacing w:line="480" w:lineRule="auto"/>
        <w:jc w:val="both"/>
      </w:pPr>
      <w:r>
        <w:t>fasilitas umum seperti kantor pemerintahan, pusat pendidikan, fasilitas kesehatan, dan area perdagangan berkembang pesat di wilayah ini. Selain itu, Lubuk Pakam juga dikenal dengan keberagaman penduduknya yang terdiri dari berbagai suku seperti Melayu, Jawa, Batak, dan Tionghoa yang hidup berdampingan secara harmonis.</w:t>
      </w:r>
    </w:p>
    <w:p w14:paraId="1BD4E257">
      <w:pPr>
        <w:spacing w:line="480" w:lineRule="auto"/>
        <w:ind w:firstLine="720"/>
        <w:jc w:val="both"/>
      </w:pPr>
      <w:r>
        <w:t>Dalam perkembangannya saat ini, Lubuk Pakam terus berbenah sebagai kawasan yang mendukung pertumbuhan perkotaan sekaligus tetap menjaga kearifan lokal dan budaya tradisional. Pemerintah daerah mendorong pengembangan infrastruktur, layanan publik, serta pariwisata berbasis budaya dan alam. Dengan peran strategis sebagai pusat administrasi dan pertumbuhan ekonomi, Lubuk Pakam menjadi salah satu wilayah penting dalam peta pembangunan regional di Sumatera Utara.</w:t>
      </w:r>
    </w:p>
    <w:p w14:paraId="27DF4C47">
      <w:pPr>
        <w:spacing w:line="480" w:lineRule="auto"/>
        <w:ind w:firstLine="720"/>
        <w:jc w:val="both"/>
      </w:pPr>
      <w:r>
        <w:t xml:space="preserve">Lubuk Pakam sebagai ibu kota Kabupaten Deli Serdang tidak memiliki visi dan misi tersendiri secara administratif seperti halnya suatu kota otonom. Namun, visi dan misi yang menjadi pedoman pembangunan wilayah Lubuk Pakam merujuk pada </w:t>
      </w:r>
      <w:r>
        <w:rPr>
          <w:b/>
          <w:bCs/>
        </w:rPr>
        <w:t>v</w:t>
      </w:r>
      <w:r>
        <w:t>isi dan misi Pemerintah Kabupaten Deli Serdang, karena Lubuk Pakam berada langsung di bawah koordinasi pemerintahan kabupaten tersebut. Berikut adalah visi dan misi Kabupaten Deli Serdang yang juga menjadi arah pembangunan wilayah Lubuk Pakam.</w:t>
      </w:r>
    </w:p>
    <w:p w14:paraId="3DE7BB6D">
      <w:pPr>
        <w:pStyle w:val="16"/>
        <w:spacing w:line="480" w:lineRule="auto"/>
        <w:jc w:val="both"/>
      </w:pPr>
      <w:r>
        <w:rPr>
          <w:b/>
          <w:bCs/>
        </w:rPr>
        <w:t>4.1.2</w:t>
      </w:r>
      <w:r>
        <w:rPr>
          <w:b/>
          <w:bCs/>
        </w:rPr>
        <w:tab/>
      </w:r>
      <w:r>
        <w:rPr>
          <w:b/>
          <w:bCs/>
        </w:rPr>
        <w:t>Letak Geografis Lubuk Pakam</w:t>
      </w:r>
    </w:p>
    <w:p w14:paraId="1302B26A">
      <w:pPr>
        <w:spacing w:line="480" w:lineRule="auto"/>
        <w:ind w:firstLine="720"/>
        <w:jc w:val="both"/>
      </w:pPr>
      <w:r>
        <w:t>Lubuk Pakam secara geografis terletak di bagian timur Provinsi Sumatera Utara dan berfungsi sebagai ibu kota Kabupaten Deli Serdang. Wilayah ini berada di jalur strategis yang menghubungkan Kota Medan dengan beberapa daerah penting lainnya di Sumatera Utara seperti Tebing Tinggi, Serdang Bedagai, dan Bandar Khalifah. Lubuk Pakam juga dilewati oleh jalur kereta api serta berada dekat dengan Bandara Internasional Kualanamu, yang menambah nilai aksesibilitasnya.</w:t>
      </w:r>
    </w:p>
    <w:p w14:paraId="6AD28A0C">
      <w:pPr>
        <w:spacing w:line="480" w:lineRule="auto"/>
        <w:ind w:firstLine="720"/>
        <w:jc w:val="both"/>
      </w:pPr>
      <w:r>
        <w:t>Secara astronomis, Lubuk Pakam berada pada sekitar 3°32’ Lintang Utara dan 98°52’ Bujur Timur. Wilayah ini memiliki topografi yang relatif datar hingga berombak ringan, dengan ketinggian berkisar antara 20 hingga 40 meter di atas permukaan laut. Kondisi ini membuat Lubuk Pakam cocok untuk kawasan pemukiman, pertanian, dan perkebunan. Adapun batas-batas wilayah Lubuk Pakam secara administratif adalah sebagai berikut:</w:t>
      </w:r>
    </w:p>
    <w:p w14:paraId="14051CCE">
      <w:pPr>
        <w:pStyle w:val="25"/>
        <w:numPr>
          <w:ilvl w:val="0"/>
          <w:numId w:val="1"/>
        </w:numPr>
        <w:spacing w:line="480" w:lineRule="auto"/>
        <w:jc w:val="both"/>
      </w:pPr>
      <w:r>
        <w:t>Sebelah Utara: berbatasan dengan Kecamatan Galang dan Kecamatan Pagar Merbau.</w:t>
      </w:r>
    </w:p>
    <w:p w14:paraId="62D70D60">
      <w:pPr>
        <w:pStyle w:val="25"/>
        <w:numPr>
          <w:ilvl w:val="0"/>
          <w:numId w:val="1"/>
        </w:numPr>
        <w:spacing w:line="480" w:lineRule="auto"/>
        <w:jc w:val="both"/>
      </w:pPr>
      <w:r>
        <w:t>Sebelah Selatan: berbatasan dengan Kecamatan Beringin.</w:t>
      </w:r>
    </w:p>
    <w:p w14:paraId="1E8B81EC">
      <w:pPr>
        <w:pStyle w:val="25"/>
        <w:numPr>
          <w:ilvl w:val="0"/>
          <w:numId w:val="1"/>
        </w:numPr>
        <w:spacing w:line="480" w:lineRule="auto"/>
        <w:jc w:val="both"/>
      </w:pPr>
      <w:r>
        <w:t>Sebelah Timur: berbatasan dengan Kecamatan Pantai Labu.</w:t>
      </w:r>
    </w:p>
    <w:p w14:paraId="0844F71A">
      <w:pPr>
        <w:pStyle w:val="25"/>
        <w:numPr>
          <w:ilvl w:val="0"/>
          <w:numId w:val="1"/>
        </w:numPr>
        <w:spacing w:line="480" w:lineRule="auto"/>
        <w:jc w:val="both"/>
      </w:pPr>
      <w:r>
        <w:t>Sebelah Barat: berbatasan dengan Kecamatan Tanjung Morawa.</w:t>
      </w:r>
    </w:p>
    <w:p w14:paraId="1115DA4C">
      <w:pPr>
        <w:spacing w:line="480" w:lineRule="auto"/>
        <w:ind w:firstLine="720"/>
        <w:jc w:val="both"/>
      </w:pPr>
      <w:r>
        <w:t>Letaknya yang strategis dan kondisi geografis yang mendukung menjadikan Lubuk Pakam sebagai pusat pemerintahan, pendidikan, perdagangan, dan layanan publik di Kabupaten Deli Serdang.</w:t>
      </w:r>
    </w:p>
    <w:p w14:paraId="1FABDAB2">
      <w:pPr>
        <w:spacing w:line="480" w:lineRule="auto"/>
        <w:jc w:val="both"/>
        <w:rPr>
          <w:b/>
          <w:bCs/>
        </w:rPr>
      </w:pPr>
      <w:r>
        <w:rPr>
          <w:b/>
          <w:bCs/>
        </w:rPr>
        <w:t>4.1.3</w:t>
      </w:r>
      <w:r>
        <w:rPr>
          <w:b/>
          <w:bCs/>
        </w:rPr>
        <w:tab/>
      </w:r>
      <w:r>
        <w:rPr>
          <w:b/>
          <w:bCs/>
        </w:rPr>
        <w:t>Visi dan Misi Umum Lubuk Pakam</w:t>
      </w:r>
    </w:p>
    <w:p w14:paraId="0B48DFA7">
      <w:pPr>
        <w:spacing w:line="480" w:lineRule="auto"/>
        <w:ind w:firstLine="720"/>
        <w:jc w:val="both"/>
      </w:pPr>
      <w:r>
        <w:t>Visi dari Kabupaten Deli Serdang yaitu “Deli Serdang yang Maju dan Sejahtera dengan Masyarakat yang Religius dan Rukun dalam Kebhinekaan.”</w:t>
      </w:r>
    </w:p>
    <w:p w14:paraId="5E1912BF">
      <w:pPr>
        <w:spacing w:line="480" w:lineRule="auto"/>
        <w:ind w:firstLine="720"/>
        <w:jc w:val="both"/>
      </w:pPr>
      <w:r>
        <w:t>Misi Kabupaten Deli Serdang:</w:t>
      </w:r>
    </w:p>
    <w:p w14:paraId="0CF660D0">
      <w:pPr>
        <w:numPr>
          <w:ilvl w:val="0"/>
          <w:numId w:val="2"/>
        </w:numPr>
        <w:spacing w:line="480" w:lineRule="auto"/>
        <w:jc w:val="both"/>
      </w:pPr>
      <w:r>
        <w:t>Meningkatkan kualitas sumber daya manusia yang berdaya saing, sehat, dan religius.</w:t>
      </w:r>
    </w:p>
    <w:p w14:paraId="38D07F2B">
      <w:pPr>
        <w:numPr>
          <w:ilvl w:val="0"/>
          <w:numId w:val="2"/>
        </w:numPr>
        <w:spacing w:line="480" w:lineRule="auto"/>
        <w:jc w:val="both"/>
      </w:pPr>
      <w:r>
        <w:t>Meningkatkan pertumbuhan ekonomi yang inklusif dan berkelanjutan.</w:t>
      </w:r>
    </w:p>
    <w:p w14:paraId="5ECA1660">
      <w:pPr>
        <w:numPr>
          <w:ilvl w:val="0"/>
          <w:numId w:val="2"/>
        </w:numPr>
        <w:spacing w:line="480" w:lineRule="auto"/>
        <w:jc w:val="both"/>
      </w:pPr>
      <w:r>
        <w:t>Meningkatkan kualitas dan daya saing infrastruktur daerah yang berwawasan lingkungan.</w:t>
      </w:r>
    </w:p>
    <w:p w14:paraId="0399934E">
      <w:pPr>
        <w:numPr>
          <w:ilvl w:val="0"/>
          <w:numId w:val="2"/>
        </w:numPr>
        <w:spacing w:line="480" w:lineRule="auto"/>
        <w:jc w:val="both"/>
      </w:pPr>
      <w:r>
        <w:t>Meningkatkan tata kelola pemerintahan yang baik, bersih, dan melayani.</w:t>
      </w:r>
    </w:p>
    <w:p w14:paraId="645A2192">
      <w:pPr>
        <w:numPr>
          <w:ilvl w:val="0"/>
          <w:numId w:val="2"/>
        </w:numPr>
        <w:spacing w:line="480" w:lineRule="auto"/>
        <w:jc w:val="both"/>
      </w:pPr>
      <w:r>
        <w:t>Meningkatkan kehidupan masyarakat yang harmonis dalam kebhinekaan dan menjunjung nilai-nilai budaya.</w:t>
      </w:r>
    </w:p>
    <w:p w14:paraId="4BD6CD21">
      <w:pPr>
        <w:spacing w:line="480" w:lineRule="auto"/>
        <w:jc w:val="both"/>
        <w:rPr>
          <w:b/>
          <w:bCs/>
        </w:rPr>
      </w:pPr>
      <w:r>
        <w:rPr>
          <w:b/>
          <w:bCs/>
        </w:rPr>
        <w:t>4.1.4</w:t>
      </w:r>
      <w:r>
        <w:rPr>
          <w:b/>
          <w:bCs/>
        </w:rPr>
        <w:tab/>
      </w:r>
      <w:r>
        <w:rPr>
          <w:b/>
          <w:bCs/>
        </w:rPr>
        <w:t>Struktur Organisasi</w:t>
      </w:r>
    </w:p>
    <w:p w14:paraId="67E01229">
      <w:pPr>
        <w:spacing w:line="480" w:lineRule="auto"/>
        <w:ind w:firstLine="720"/>
        <w:jc w:val="both"/>
        <w:rPr>
          <w:lang w:val="en-US"/>
        </w:rPr>
      </w:pPr>
      <w:r>
        <w:t xml:space="preserve">Struktur organisasi merupakan hal yang sangat penting untuk diperhatikan oleh pimpinan perusahaan. </w:t>
      </w:r>
      <w:r>
        <w:rPr>
          <w:lang w:val="en-US"/>
        </w:rPr>
        <w:t xml:space="preserve">Berikut ini adalah struktur organisasi </w:t>
      </w:r>
      <w:r>
        <w:t>Sekretariat Daerah Kabupaten Deli Serdang</w:t>
      </w:r>
      <w:r>
        <w:rPr>
          <w:lang w:val="en-US"/>
        </w:rPr>
        <w:t xml:space="preserve"> pada gambar 4.1 berikut:</w:t>
      </w:r>
    </w:p>
    <w:p w14:paraId="71FB0155">
      <w:pPr>
        <w:jc w:val="center"/>
        <w:rPr>
          <w:b/>
          <w:bCs/>
          <w:lang w:val="en-US"/>
        </w:rPr>
      </w:pPr>
      <w:r>
        <w:rPr>
          <w:b/>
          <w:bCs/>
          <w:lang w:val="en-US"/>
        </w:rPr>
        <w:t>Gambar 4.1</w:t>
      </w:r>
    </w:p>
    <w:p w14:paraId="021F077F">
      <w:pPr>
        <w:jc w:val="center"/>
        <w:rPr>
          <w:b/>
          <w:bCs/>
        </w:rPr>
      </w:pPr>
      <w:r>
        <w:rPr>
          <w:b/>
          <w:bCs/>
          <w:lang w:val="en-US"/>
        </w:rPr>
        <w:t xml:space="preserve">Struktur Organisasi </w:t>
      </w:r>
      <w:r>
        <w:rPr>
          <w:b/>
          <w:bCs/>
        </w:rPr>
        <w:t>Sekretariat Daerah Kabupaten Deli Serdang</w:t>
      </w:r>
    </w:p>
    <w:p w14:paraId="635433F4">
      <w:pPr>
        <w:spacing w:line="480" w:lineRule="auto"/>
        <w:jc w:val="center"/>
      </w:pPr>
      <w:r>
        <w:rPr>
          <w:lang w:val="en-US" w:eastAsia="en-US"/>
        </w:rPr>
        <w:drawing>
          <wp:inline distT="0" distB="0" distL="0" distR="0">
            <wp:extent cx="5207000" cy="3162300"/>
            <wp:effectExtent l="0" t="0" r="0" b="0"/>
            <wp:docPr id="1389973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97359" name="Picture 9"/>
                    <pic:cNvPicPr>
                      <a:picLocks noChangeAspect="1"/>
                    </pic:cNvPicPr>
                  </pic:nvPicPr>
                  <pic:blipFill>
                    <a:blip r:embed="rId18" cstate="print">
                      <a:extLst>
                        <a:ext uri="{28A0092B-C50C-407E-A947-70E740481C1C}">
                          <a14:useLocalDpi xmlns:a14="http://schemas.microsoft.com/office/drawing/2010/main" val="0"/>
                        </a:ext>
                      </a:extLst>
                    </a:blip>
                    <a:srcRect l="8913" t="30225" r="8861" b="14786"/>
                    <a:stretch>
                      <a:fillRect/>
                    </a:stretch>
                  </pic:blipFill>
                  <pic:spPr>
                    <a:xfrm>
                      <a:off x="0" y="0"/>
                      <a:ext cx="5310644" cy="3225537"/>
                    </a:xfrm>
                    <a:prstGeom prst="rect">
                      <a:avLst/>
                    </a:prstGeom>
                    <a:ln>
                      <a:noFill/>
                    </a:ln>
                  </pic:spPr>
                </pic:pic>
              </a:graphicData>
            </a:graphic>
          </wp:inline>
        </w:drawing>
      </w:r>
    </w:p>
    <w:p w14:paraId="386D2A76">
      <w:pPr>
        <w:pStyle w:val="16"/>
        <w:spacing w:line="480" w:lineRule="auto"/>
        <w:jc w:val="both"/>
        <w:rPr>
          <w:b/>
          <w:bCs/>
          <w:color w:val="000000" w:themeColor="text1"/>
          <w14:textFill>
            <w14:solidFill>
              <w14:schemeClr w14:val="tx1"/>
            </w14:solidFill>
          </w14:textFill>
        </w:rPr>
      </w:pPr>
      <w:r>
        <w:rPr>
          <w:lang w:eastAsia="id-ID"/>
        </w:rPr>
        <w:t>Sumber :</w:t>
      </w:r>
      <w:r>
        <w:t xml:space="preserve"> Sekretariat Daerah Kabupaten Deli Serdang, 2025</w:t>
      </w:r>
    </w:p>
    <w:p w14:paraId="64CC8AA7">
      <w:pPr>
        <w:pStyle w:val="16"/>
        <w:spacing w:line="480"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4.1.5</w:t>
      </w:r>
      <w:r>
        <w:rPr>
          <w:b/>
          <w:bCs/>
          <w:color w:val="000000" w:themeColor="text1"/>
          <w14:textFill>
            <w14:solidFill>
              <w14:schemeClr w14:val="tx1"/>
            </w14:solidFill>
          </w14:textFill>
        </w:rPr>
        <w:tab/>
      </w:r>
      <w:r>
        <w:rPr>
          <w:b/>
          <w:bCs/>
          <w:color w:val="000000" w:themeColor="text1"/>
          <w14:textFill>
            <w14:solidFill>
              <w14:schemeClr w14:val="tx1"/>
            </w14:solidFill>
          </w14:textFill>
        </w:rPr>
        <w:t>Tugas Pokok dan Fungsi dari Struktur Organisasi</w:t>
      </w:r>
    </w:p>
    <w:p w14:paraId="3623D46D">
      <w:pPr>
        <w:pStyle w:val="16"/>
        <w:spacing w:line="480" w:lineRule="auto"/>
        <w:ind w:firstLine="720"/>
        <w:jc w:val="both"/>
        <w:rPr>
          <w:color w:val="000000" w:themeColor="text1"/>
          <w14:textFill>
            <w14:solidFill>
              <w14:schemeClr w14:val="tx1"/>
            </w14:solidFill>
          </w14:textFill>
        </w:rPr>
      </w:pPr>
      <w:r>
        <w:rPr>
          <w:color w:val="000000" w:themeColor="text1"/>
          <w14:textFill>
            <w14:solidFill>
              <w14:schemeClr w14:val="tx1"/>
            </w14:solidFill>
          </w14:textFill>
        </w:rPr>
        <w:t xml:space="preserve">Berikut ini adalah </w:t>
      </w:r>
      <w:r>
        <w:rPr>
          <w:rStyle w:val="18"/>
          <w:rFonts w:eastAsiaTheme="majorEastAsia"/>
          <w:b w:val="0"/>
          <w:bCs w:val="0"/>
          <w:color w:val="000000" w:themeColor="text1"/>
          <w14:textFill>
            <w14:solidFill>
              <w14:schemeClr w14:val="tx1"/>
            </w14:solidFill>
          </w14:textFill>
        </w:rPr>
        <w:t>Tugas Pokok dan Fungsi (Tupoksi)</w:t>
      </w:r>
      <w:r>
        <w:rPr>
          <w:color w:val="000000" w:themeColor="text1"/>
          <w14:textFill>
            <w14:solidFill>
              <w14:schemeClr w14:val="tx1"/>
            </w14:solidFill>
          </w14:textFill>
        </w:rPr>
        <w:t xml:space="preserve"> dari masing-masing unsur dalam </w:t>
      </w:r>
      <w:r>
        <w:rPr>
          <w:rStyle w:val="18"/>
          <w:rFonts w:eastAsiaTheme="majorEastAsia"/>
          <w:b w:val="0"/>
          <w:bCs w:val="0"/>
          <w:color w:val="000000" w:themeColor="text1"/>
          <w14:textFill>
            <w14:solidFill>
              <w14:schemeClr w14:val="tx1"/>
            </w14:solidFill>
          </w14:textFill>
        </w:rPr>
        <w:t>struktur organisasi Sekretariat Daerah Kabupaten Deli Serdang</w:t>
      </w:r>
      <w:r>
        <w:rPr>
          <w:color w:val="000000" w:themeColor="text1"/>
          <w14:textFill>
            <w14:solidFill>
              <w14:schemeClr w14:val="tx1"/>
            </w14:solidFill>
          </w14:textFill>
        </w:rPr>
        <w:t xml:space="preserve"> yatitu: </w:t>
      </w:r>
    </w:p>
    <w:p w14:paraId="10D26DA5">
      <w:pPr>
        <w:spacing w:line="480" w:lineRule="auto"/>
        <w:jc w:val="both"/>
      </w:pPr>
      <w:r>
        <w:t>1. Bupati</w:t>
      </w:r>
    </w:p>
    <w:p w14:paraId="18F9CCFA">
      <w:pPr>
        <w:spacing w:line="480" w:lineRule="auto"/>
        <w:ind w:left="284"/>
        <w:jc w:val="both"/>
      </w:pPr>
      <w:r>
        <w:t>Bupati memiliki tugas pokok menyelenggarakan urusan pemerintahan daerah, pembangunan, dan kemasyarakatan. Fungsi Bupati meliputi penetapan kebijakan strategis daerah serta pengawasan terhadap pelaksanaan kebijakan oleh seluruh perangkat daerah.</w:t>
      </w:r>
    </w:p>
    <w:p w14:paraId="4BC256DC">
      <w:pPr>
        <w:spacing w:line="480" w:lineRule="auto"/>
        <w:jc w:val="both"/>
      </w:pPr>
      <w:r>
        <w:t>2. Wakil Bupati</w:t>
      </w:r>
    </w:p>
    <w:p w14:paraId="72BF941C">
      <w:pPr>
        <w:spacing w:line="480" w:lineRule="auto"/>
        <w:ind w:left="284"/>
        <w:jc w:val="both"/>
      </w:pPr>
      <w:r>
        <w:t>Wakil Bupati bertugas membantu Bupati dalam melaksanakan pemerintahan daerah. Fungsi utamanya adalah mewakili Bupati dalam tugas tertentu dan mengkoordinasikan pelaksanaan kebijakan daerah sesuai arahan Bupati.</w:t>
      </w:r>
    </w:p>
    <w:p w14:paraId="0000D421">
      <w:pPr>
        <w:spacing w:line="480" w:lineRule="auto"/>
        <w:jc w:val="both"/>
      </w:pPr>
      <w:r>
        <w:t>3. Sekretaris Daerah (Sekda)</w:t>
      </w:r>
    </w:p>
    <w:p w14:paraId="4F45B4E9">
      <w:pPr>
        <w:spacing w:line="480" w:lineRule="auto"/>
        <w:ind w:left="284"/>
        <w:jc w:val="both"/>
      </w:pPr>
      <w:r>
        <w:t>Sekretaris Daerah bertugas membantu Bupati dalam menyusun kebijakan serta mengoordinasikan pelaksanaan tugas perangkat daerah. Fungsi Sekda mencakup koordinasi administrasi pemerintahan, pembinaan dan pengawasan perangkat daerah, serta pelaksanaan tugas teknis administratif.</w:t>
      </w:r>
    </w:p>
    <w:p w14:paraId="521ADE6B">
      <w:pPr>
        <w:spacing w:line="480" w:lineRule="auto"/>
        <w:jc w:val="both"/>
      </w:pPr>
      <w:r>
        <w:t>4. Asisten Sekretaris Daerah</w:t>
      </w:r>
    </w:p>
    <w:p w14:paraId="40503BF6">
      <w:pPr>
        <w:pStyle w:val="25"/>
        <w:numPr>
          <w:ilvl w:val="0"/>
          <w:numId w:val="3"/>
        </w:numPr>
        <w:spacing w:line="480" w:lineRule="auto"/>
        <w:jc w:val="both"/>
      </w:pPr>
      <w:r>
        <w:t xml:space="preserve">Asisten Pemerintahan dan Kesejahteraan Rakyat </w:t>
      </w:r>
    </w:p>
    <w:p w14:paraId="212E1FB7">
      <w:pPr>
        <w:pStyle w:val="25"/>
        <w:spacing w:line="480" w:lineRule="auto"/>
        <w:jc w:val="both"/>
      </w:pPr>
      <w:r>
        <w:t>Asisten ini bertugas mengoordinasikan urusan pemerintahan dan kesejahteraan rakyat. Fungsinya mencakup pengendalian bidang hukum, pemerintahan umum, dan urusan sosial.</w:t>
      </w:r>
    </w:p>
    <w:p w14:paraId="43F356AD">
      <w:pPr>
        <w:pStyle w:val="25"/>
        <w:numPr>
          <w:ilvl w:val="0"/>
          <w:numId w:val="3"/>
        </w:numPr>
        <w:spacing w:line="480" w:lineRule="auto"/>
        <w:jc w:val="both"/>
      </w:pPr>
      <w:r>
        <w:t>Asisten Perekonomian dan Pembangunan</w:t>
      </w:r>
    </w:p>
    <w:p w14:paraId="1D6F28B1">
      <w:pPr>
        <w:pStyle w:val="25"/>
        <w:spacing w:line="480" w:lineRule="auto"/>
        <w:jc w:val="both"/>
      </w:pPr>
      <w:r>
        <w:t>Asisten Perekonomian dan Pembangunan bertugas mengoordinasikan perencanaan pembangunan dan ekonomi daerah. Fungsi utamanya adalah memfasilitasi pembangunan, ketenagakerjaan, dan investasi.</w:t>
      </w:r>
    </w:p>
    <w:p w14:paraId="624497C4">
      <w:pPr>
        <w:pStyle w:val="25"/>
        <w:numPr>
          <w:ilvl w:val="0"/>
          <w:numId w:val="3"/>
        </w:numPr>
        <w:spacing w:line="480" w:lineRule="auto"/>
        <w:jc w:val="both"/>
      </w:pPr>
      <w:r>
        <w:t>Asisten Administrasi Umum</w:t>
      </w:r>
    </w:p>
    <w:p w14:paraId="28F9F796">
      <w:pPr>
        <w:pStyle w:val="25"/>
        <w:spacing w:line="480" w:lineRule="auto"/>
        <w:jc w:val="both"/>
      </w:pPr>
      <w:r>
        <w:t>Asisten Administrasi Umum bertugas mengoordinasikan urusan administrasi umum. Fungsinya mencakup pengelolaan tata usaha, kepegawaian, keuangan, perlengkapan, dan organisasi.</w:t>
      </w:r>
    </w:p>
    <w:p w14:paraId="6AD167C7">
      <w:pPr>
        <w:spacing w:line="480" w:lineRule="auto"/>
        <w:jc w:val="both"/>
      </w:pPr>
      <w:r>
        <w:t>5. Bagian-Bagian di Bawah Masing-Masing Asisten</w:t>
      </w:r>
    </w:p>
    <w:p w14:paraId="2A9B47CF">
      <w:pPr>
        <w:pStyle w:val="25"/>
        <w:numPr>
          <w:ilvl w:val="0"/>
          <w:numId w:val="4"/>
        </w:numPr>
        <w:spacing w:line="480" w:lineRule="auto"/>
        <w:jc w:val="both"/>
      </w:pPr>
      <w:r>
        <w:t>Di bawah Asisten Pemerintahan dan Kesejahteraan Rakyat</w:t>
      </w:r>
    </w:p>
    <w:p w14:paraId="4A0ECD4C">
      <w:pPr>
        <w:pStyle w:val="25"/>
        <w:spacing w:line="480" w:lineRule="auto"/>
        <w:jc w:val="both"/>
      </w:pPr>
      <w:r>
        <w:t>Terdapat tiga bagian utama. Bagian Tata Pemerintahan menangani urusan otonomi daerah, tapal batas, dan pemerintahan desa. Bagian Hukum bertugas menyusun peraturan daerah, memberikan pendapat hukum, dan mengelola dokumentasi hukum. Bagian Kesejahteraan Rakyat mengurus bidang sosial, pendidikan, keagamaan, dan kesehatan.</w:t>
      </w:r>
    </w:p>
    <w:p w14:paraId="5AC8C745">
      <w:pPr>
        <w:pStyle w:val="25"/>
        <w:numPr>
          <w:ilvl w:val="0"/>
          <w:numId w:val="4"/>
        </w:numPr>
        <w:spacing w:line="480" w:lineRule="auto"/>
        <w:jc w:val="both"/>
      </w:pPr>
      <w:r>
        <w:t>Di bawah Asisten Perekonomian dan Pembangunan</w:t>
      </w:r>
    </w:p>
    <w:p w14:paraId="122C420F">
      <w:pPr>
        <w:pStyle w:val="25"/>
        <w:spacing w:line="480" w:lineRule="auto"/>
        <w:jc w:val="both"/>
      </w:pPr>
      <w:r>
        <w:t>Terdapat tiga bagian. Bagian Perekonomian dan Sumber Daya Alam mengkoordinasikan kebijakan ekonomi dan pemanfaatan sumber daya alam. Bagian Administrasi Pembangunan melakukan monitoring, evaluasi, dan pelaporan pembangunan. Bagian Pengadaan Barang/Jasa menangani proses pengadaan sesuai peraturan perundang-undangan.</w:t>
      </w:r>
    </w:p>
    <w:p w14:paraId="621199A8">
      <w:pPr>
        <w:pStyle w:val="25"/>
        <w:numPr>
          <w:ilvl w:val="0"/>
          <w:numId w:val="4"/>
        </w:numPr>
        <w:spacing w:line="480" w:lineRule="auto"/>
        <w:jc w:val="both"/>
      </w:pPr>
      <w:r>
        <w:t>Di bawah Asisten Administrasi Umum</w:t>
      </w:r>
    </w:p>
    <w:p w14:paraId="29F14031">
      <w:pPr>
        <w:pStyle w:val="25"/>
        <w:spacing w:line="480" w:lineRule="auto"/>
        <w:jc w:val="both"/>
      </w:pPr>
      <w:r>
        <w:t>Terdapat lima bagian. Bagian Organisasi menata struktur organisasi, menganalisis jabatan, dan mengelola reformasi birokrasi. Bagian Umum mengelola rumah tangga, perlengkapan, dan surat-menyurat. Bagian Protokol dan Komunikasi Pimpinan menangani protokol kegiatan Bupati/Wakil serta publikasi kegiatan pemerintahan. Bagian Keuangan bertanggung jawab atas pengelolaan anggaran, pembukuan, dan pelaporan keuangan. Bagian Kerja Sama mengelola kerja sama antar-daerah maupun dengan pihak ketiga.</w:t>
      </w:r>
    </w:p>
    <w:p w14:paraId="1BE4F0E4">
      <w:pPr>
        <w:spacing w:line="480" w:lineRule="auto"/>
        <w:ind w:left="450" w:right="3" w:hanging="450"/>
        <w:jc w:val="both"/>
        <w:rPr>
          <w:b/>
          <w:bCs/>
        </w:rPr>
      </w:pPr>
      <w:r>
        <w:rPr>
          <w:b/>
          <w:bCs/>
        </w:rPr>
        <w:t>4.</w:t>
      </w:r>
      <w:r>
        <w:rPr>
          <w:b/>
          <w:bCs/>
          <w:lang w:val="en-US"/>
        </w:rPr>
        <w:t>2</w:t>
      </w:r>
      <w:r>
        <w:rPr>
          <w:b/>
          <w:bCs/>
          <w:lang w:val="en-US"/>
        </w:rPr>
        <w:tab/>
      </w:r>
      <w:r>
        <w:rPr>
          <w:b/>
          <w:bCs/>
        </w:rPr>
        <w:tab/>
      </w:r>
      <w:r>
        <w:rPr>
          <w:b/>
          <w:bCs/>
        </w:rPr>
        <w:t>Hasil Dan Penelitian</w:t>
      </w:r>
    </w:p>
    <w:p w14:paraId="4627A249">
      <w:pPr>
        <w:spacing w:line="480" w:lineRule="auto"/>
        <w:ind w:left="630" w:right="3" w:hanging="630"/>
        <w:rPr>
          <w:b/>
          <w:bCs/>
        </w:rPr>
      </w:pPr>
      <w:r>
        <w:rPr>
          <w:b/>
        </w:rPr>
        <w:t>4.</w:t>
      </w:r>
      <w:r>
        <w:rPr>
          <w:b/>
          <w:lang w:val="en-US"/>
        </w:rPr>
        <w:t>2</w:t>
      </w:r>
      <w:r>
        <w:rPr>
          <w:b/>
        </w:rPr>
        <w:t>.1</w:t>
      </w:r>
      <w:r>
        <w:rPr>
          <w:b/>
        </w:rPr>
        <w:tab/>
      </w:r>
      <w:r>
        <w:rPr>
          <w:b/>
        </w:rPr>
        <w:tab/>
      </w:r>
      <w:r>
        <w:rPr>
          <w:b/>
        </w:rPr>
        <w:t>Deskripsi Karakteristik Responden</w:t>
      </w:r>
    </w:p>
    <w:p w14:paraId="5F901B46">
      <w:pPr>
        <w:spacing w:line="480" w:lineRule="auto"/>
        <w:ind w:firstLine="720"/>
        <w:jc w:val="both"/>
      </w:pPr>
      <w:r>
        <w:t xml:space="preserve">Deskripsi karakteristik responden menguraikan identitas responden yang menjadi sampel dalam penelitian ini, dimana penelitian ini membahas mengenai </w:t>
      </w:r>
      <w:r>
        <w:rPr>
          <w:lang w:val="en-US"/>
        </w:rPr>
        <w:t>Analisis Pemahaman Perpajakan, Kesadaran Wajib Pajak Dan Penurunan Tarif Pajak PP No 23 Tahun 2018 Terhadap Kepatuhan Wajib Pajak Pelaku Pada UMKM Makanan Dan Minuman Di Lubuk Pakam</w:t>
      </w:r>
      <w:r>
        <w:t xml:space="preserve">. Responden dalam penelitian ini adalah </w:t>
      </w:r>
      <w:r>
        <w:rPr>
          <w:lang w:val="en-US"/>
        </w:rPr>
        <w:t>UMKM Makanan Dan Minuman Di Lubuk Pakam</w:t>
      </w:r>
      <w:r>
        <w:t>. Berikut ini adalah deskripsi karakteristik responden berdasarkan jenis kelamin, usia, pendidikan, dan pendapatan. Data karakteristik berdasarkan jenis kelamin, usia, pendidikan, dan pendapatan dapat dilihat pada tabel sebagai berikut:</w:t>
      </w:r>
    </w:p>
    <w:p w14:paraId="7FFF56C8">
      <w:pPr>
        <w:jc w:val="center"/>
        <w:rPr>
          <w:b/>
          <w:bCs/>
        </w:rPr>
      </w:pPr>
      <w:r>
        <w:rPr>
          <w:b/>
          <w:bCs/>
        </w:rPr>
        <w:t>Tabel 4.1</w:t>
      </w:r>
    </w:p>
    <w:p w14:paraId="1DF165D0">
      <w:pPr>
        <w:jc w:val="center"/>
        <w:rPr>
          <w:b/>
          <w:bCs/>
        </w:rPr>
      </w:pPr>
      <w:r>
        <w:rPr>
          <w:b/>
          <w:bCs/>
        </w:rPr>
        <w:t>Karakteristik Responden</w:t>
      </w:r>
    </w:p>
    <w:tbl>
      <w:tblPr>
        <w:tblStyle w:val="27"/>
        <w:tblW w:w="7938"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80"/>
        <w:gridCol w:w="2155"/>
        <w:gridCol w:w="2607"/>
        <w:gridCol w:w="1248"/>
        <w:gridCol w:w="1309"/>
      </w:tblGrid>
      <w:tr w14:paraId="522F490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680" w:type="dxa"/>
            <w:tcBorders>
              <w:bottom w:val="single" w:color="7E7E7E" w:themeColor="text1" w:themeTint="80" w:sz="4" w:space="0"/>
              <w:insideH w:val="single" w:sz="4" w:space="0"/>
            </w:tcBorders>
            <w:noWrap/>
          </w:tcPr>
          <w:p w14:paraId="6F1CF3C3">
            <w:pPr>
              <w:jc w:val="center"/>
              <w:rPr>
                <w:b/>
                <w:bCs/>
                <w:color w:val="000000"/>
                <w:szCs w:val="20"/>
              </w:rPr>
            </w:pPr>
            <w:r>
              <w:rPr>
                <w:b/>
                <w:bCs/>
                <w:color w:val="000000"/>
                <w:szCs w:val="20"/>
              </w:rPr>
              <w:t>No</w:t>
            </w:r>
          </w:p>
        </w:tc>
        <w:tc>
          <w:tcPr>
            <w:tcW w:w="2155" w:type="dxa"/>
            <w:tcBorders>
              <w:bottom w:val="single" w:color="7E7E7E" w:themeColor="text1" w:themeTint="80" w:sz="4" w:space="0"/>
              <w:insideH w:val="single" w:sz="4" w:space="0"/>
            </w:tcBorders>
            <w:noWrap/>
          </w:tcPr>
          <w:p w14:paraId="7085160F">
            <w:pPr>
              <w:jc w:val="center"/>
              <w:rPr>
                <w:b/>
                <w:bCs/>
                <w:color w:val="000000"/>
                <w:szCs w:val="20"/>
              </w:rPr>
            </w:pPr>
            <w:r>
              <w:rPr>
                <w:b/>
                <w:bCs/>
                <w:color w:val="000000"/>
                <w:szCs w:val="20"/>
              </w:rPr>
              <w:t>Karakteristik Responden</w:t>
            </w:r>
          </w:p>
        </w:tc>
        <w:tc>
          <w:tcPr>
            <w:tcW w:w="2607" w:type="dxa"/>
            <w:tcBorders>
              <w:bottom w:val="single" w:color="7E7E7E" w:themeColor="text1" w:themeTint="80" w:sz="4" w:space="0"/>
              <w:insideH w:val="single" w:sz="4" w:space="0"/>
            </w:tcBorders>
            <w:noWrap/>
          </w:tcPr>
          <w:p w14:paraId="756F7D2A">
            <w:pPr>
              <w:jc w:val="center"/>
              <w:rPr>
                <w:b/>
                <w:bCs/>
                <w:color w:val="000000"/>
                <w:szCs w:val="20"/>
              </w:rPr>
            </w:pPr>
            <w:r>
              <w:rPr>
                <w:b/>
                <w:bCs/>
                <w:color w:val="000000"/>
                <w:szCs w:val="20"/>
              </w:rPr>
              <w:t>Kategori</w:t>
            </w:r>
          </w:p>
        </w:tc>
        <w:tc>
          <w:tcPr>
            <w:tcW w:w="1248" w:type="dxa"/>
            <w:tcBorders>
              <w:bottom w:val="single" w:color="7E7E7E" w:themeColor="text1" w:themeTint="80" w:sz="4" w:space="0"/>
              <w:insideH w:val="single" w:sz="4" w:space="0"/>
            </w:tcBorders>
            <w:noWrap/>
          </w:tcPr>
          <w:p w14:paraId="0C63A2AF">
            <w:pPr>
              <w:jc w:val="center"/>
              <w:rPr>
                <w:b/>
                <w:bCs/>
                <w:color w:val="000000"/>
                <w:szCs w:val="20"/>
              </w:rPr>
            </w:pPr>
            <w:r>
              <w:rPr>
                <w:b/>
                <w:bCs/>
                <w:color w:val="000000"/>
                <w:szCs w:val="20"/>
              </w:rPr>
              <w:t>Frekuensi (Orang)</w:t>
            </w:r>
          </w:p>
        </w:tc>
        <w:tc>
          <w:tcPr>
            <w:tcW w:w="1248" w:type="dxa"/>
            <w:tcBorders>
              <w:bottom w:val="single" w:color="7E7E7E" w:themeColor="text1" w:themeTint="80" w:sz="4" w:space="0"/>
              <w:insideH w:val="single" w:sz="4" w:space="0"/>
            </w:tcBorders>
            <w:noWrap/>
          </w:tcPr>
          <w:p w14:paraId="772635D9">
            <w:pPr>
              <w:jc w:val="center"/>
              <w:rPr>
                <w:b/>
                <w:bCs/>
                <w:color w:val="000000"/>
                <w:szCs w:val="20"/>
              </w:rPr>
            </w:pPr>
            <w:r>
              <w:rPr>
                <w:b/>
                <w:bCs/>
                <w:color w:val="000000"/>
                <w:szCs w:val="20"/>
              </w:rPr>
              <w:t>Persentase (%)</w:t>
            </w:r>
          </w:p>
        </w:tc>
      </w:tr>
      <w:tr w14:paraId="7FDC835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309E01DA">
            <w:pPr>
              <w:jc w:val="center"/>
              <w:rPr>
                <w:b w:val="0"/>
                <w:bCs w:val="0"/>
                <w:color w:val="000000"/>
                <w:szCs w:val="20"/>
              </w:rPr>
            </w:pPr>
            <w:r>
              <w:rPr>
                <w:b w:val="0"/>
                <w:bCs w:val="0"/>
                <w:color w:val="000000"/>
                <w:szCs w:val="20"/>
              </w:rPr>
              <w:t>1</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51B9A43A">
            <w:pPr>
              <w:rPr>
                <w:color w:val="000000"/>
                <w:szCs w:val="20"/>
              </w:rPr>
            </w:pPr>
            <w:r>
              <w:rPr>
                <w:color w:val="000000"/>
                <w:szCs w:val="20"/>
              </w:rPr>
              <w:t>Jenis Kelamin</w:t>
            </w:r>
          </w:p>
        </w:tc>
        <w:tc>
          <w:tcPr>
            <w:tcW w:w="2607" w:type="dxa"/>
            <w:tcBorders>
              <w:top w:val="single" w:color="7E7E7E" w:themeColor="text1" w:themeTint="80" w:sz="4" w:space="0"/>
              <w:bottom w:val="single" w:color="7E7E7E" w:themeColor="text1" w:themeTint="80" w:sz="4" w:space="0"/>
              <w:insideH w:val="single" w:sz="4" w:space="0"/>
            </w:tcBorders>
            <w:noWrap/>
          </w:tcPr>
          <w:p w14:paraId="17DAB8BF">
            <w:pPr>
              <w:rPr>
                <w:color w:val="000000"/>
                <w:szCs w:val="20"/>
              </w:rPr>
            </w:pPr>
            <w:r>
              <w:rPr>
                <w:color w:val="000000"/>
                <w:szCs w:val="20"/>
              </w:rPr>
              <w:t>Laki-laki</w:t>
            </w:r>
          </w:p>
        </w:tc>
        <w:tc>
          <w:tcPr>
            <w:tcW w:w="1248" w:type="dxa"/>
            <w:tcBorders>
              <w:top w:val="single" w:color="7E7E7E" w:themeColor="text1" w:themeTint="80" w:sz="4" w:space="0"/>
              <w:bottom w:val="single" w:color="7E7E7E" w:themeColor="text1" w:themeTint="80" w:sz="4" w:space="0"/>
              <w:insideH w:val="single" w:sz="4" w:space="0"/>
            </w:tcBorders>
            <w:noWrap/>
          </w:tcPr>
          <w:p w14:paraId="5E635081">
            <w:pPr>
              <w:jc w:val="center"/>
              <w:rPr>
                <w:color w:val="000000"/>
                <w:szCs w:val="20"/>
              </w:rPr>
            </w:pPr>
            <w:r>
              <w:rPr>
                <w:color w:val="000000"/>
                <w:szCs w:val="20"/>
              </w:rPr>
              <w:t>20</w:t>
            </w:r>
          </w:p>
        </w:tc>
        <w:tc>
          <w:tcPr>
            <w:tcW w:w="1248" w:type="dxa"/>
            <w:tcBorders>
              <w:top w:val="single" w:color="7E7E7E" w:themeColor="text1" w:themeTint="80" w:sz="4" w:space="0"/>
              <w:bottom w:val="single" w:color="7E7E7E" w:themeColor="text1" w:themeTint="80" w:sz="4" w:space="0"/>
              <w:insideH w:val="single" w:sz="4" w:space="0"/>
            </w:tcBorders>
            <w:noWrap/>
          </w:tcPr>
          <w:p w14:paraId="33892858">
            <w:pPr>
              <w:jc w:val="center"/>
              <w:rPr>
                <w:color w:val="000000"/>
                <w:szCs w:val="20"/>
              </w:rPr>
            </w:pPr>
            <w:r>
              <w:rPr>
                <w:color w:val="000000"/>
                <w:szCs w:val="20"/>
              </w:rPr>
              <w:t>28,57</w:t>
            </w:r>
          </w:p>
        </w:tc>
      </w:tr>
      <w:tr w14:paraId="2182799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2CDB657F">
            <w:pPr>
              <w:jc w:val="center"/>
              <w:rPr>
                <w:b w:val="0"/>
                <w:bCs w:val="0"/>
                <w:color w:val="000000"/>
                <w:szCs w:val="20"/>
              </w:rPr>
            </w:pPr>
          </w:p>
        </w:tc>
        <w:tc>
          <w:tcPr>
            <w:tcW w:w="2155" w:type="dxa"/>
            <w:vMerge w:val="continue"/>
            <w:noWrap/>
          </w:tcPr>
          <w:p w14:paraId="7FE3FFD9">
            <w:pPr>
              <w:rPr>
                <w:szCs w:val="20"/>
              </w:rPr>
            </w:pPr>
          </w:p>
        </w:tc>
        <w:tc>
          <w:tcPr>
            <w:tcW w:w="2607" w:type="dxa"/>
            <w:noWrap/>
          </w:tcPr>
          <w:p w14:paraId="7A3E7602">
            <w:pPr>
              <w:rPr>
                <w:color w:val="000000"/>
                <w:szCs w:val="20"/>
              </w:rPr>
            </w:pPr>
            <w:r>
              <w:rPr>
                <w:color w:val="000000"/>
                <w:szCs w:val="20"/>
              </w:rPr>
              <w:t>Perempuan</w:t>
            </w:r>
          </w:p>
        </w:tc>
        <w:tc>
          <w:tcPr>
            <w:tcW w:w="1248" w:type="dxa"/>
            <w:noWrap/>
          </w:tcPr>
          <w:p w14:paraId="4B689736">
            <w:pPr>
              <w:jc w:val="center"/>
              <w:rPr>
                <w:color w:val="000000"/>
                <w:szCs w:val="20"/>
              </w:rPr>
            </w:pPr>
            <w:r>
              <w:rPr>
                <w:color w:val="000000"/>
                <w:szCs w:val="20"/>
              </w:rPr>
              <w:t>50</w:t>
            </w:r>
          </w:p>
        </w:tc>
        <w:tc>
          <w:tcPr>
            <w:tcW w:w="1248" w:type="dxa"/>
            <w:noWrap/>
          </w:tcPr>
          <w:p w14:paraId="34B5A1F5">
            <w:pPr>
              <w:jc w:val="center"/>
              <w:rPr>
                <w:color w:val="000000"/>
                <w:szCs w:val="20"/>
              </w:rPr>
            </w:pPr>
            <w:r>
              <w:rPr>
                <w:color w:val="000000"/>
                <w:szCs w:val="20"/>
              </w:rPr>
              <w:t>71,43</w:t>
            </w:r>
          </w:p>
        </w:tc>
      </w:tr>
      <w:tr w14:paraId="74A6BA5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07DD28DB">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1E8AD4EA">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239DA6AF">
            <w:pPr>
              <w:rPr>
                <w:b/>
                <w:bCs/>
                <w:color w:val="000000"/>
                <w:szCs w:val="20"/>
              </w:rPr>
            </w:pPr>
            <w:r>
              <w:rPr>
                <w:b/>
                <w:bCs/>
                <w:color w:val="000000"/>
                <w:szCs w:val="20"/>
              </w:rPr>
              <w:t>Jumlah</w:t>
            </w:r>
          </w:p>
        </w:tc>
        <w:tc>
          <w:tcPr>
            <w:tcW w:w="1248" w:type="dxa"/>
            <w:tcBorders>
              <w:top w:val="single" w:color="7E7E7E" w:themeColor="text1" w:themeTint="80" w:sz="4" w:space="0"/>
              <w:bottom w:val="single" w:color="7E7E7E" w:themeColor="text1" w:themeTint="80" w:sz="4" w:space="0"/>
              <w:insideH w:val="single" w:sz="4" w:space="0"/>
            </w:tcBorders>
            <w:noWrap/>
          </w:tcPr>
          <w:p w14:paraId="1701F54B">
            <w:pPr>
              <w:jc w:val="center"/>
              <w:rPr>
                <w:b/>
                <w:bCs/>
                <w:color w:val="000000"/>
                <w:szCs w:val="20"/>
              </w:rPr>
            </w:pPr>
            <w:r>
              <w:rPr>
                <w:b/>
                <w:bCs/>
                <w:color w:val="000000"/>
                <w:szCs w:val="20"/>
              </w:rPr>
              <w:t>70</w:t>
            </w:r>
          </w:p>
        </w:tc>
        <w:tc>
          <w:tcPr>
            <w:tcW w:w="1248" w:type="dxa"/>
            <w:tcBorders>
              <w:top w:val="single" w:color="7E7E7E" w:themeColor="text1" w:themeTint="80" w:sz="4" w:space="0"/>
              <w:bottom w:val="single" w:color="7E7E7E" w:themeColor="text1" w:themeTint="80" w:sz="4" w:space="0"/>
              <w:insideH w:val="single" w:sz="4" w:space="0"/>
            </w:tcBorders>
            <w:noWrap/>
          </w:tcPr>
          <w:p w14:paraId="1B1496EA">
            <w:pPr>
              <w:jc w:val="center"/>
              <w:rPr>
                <w:b/>
                <w:bCs/>
                <w:color w:val="000000"/>
                <w:szCs w:val="20"/>
              </w:rPr>
            </w:pPr>
            <w:r>
              <w:rPr>
                <w:b/>
                <w:bCs/>
                <w:color w:val="000000"/>
                <w:szCs w:val="20"/>
              </w:rPr>
              <w:t>100,00</w:t>
            </w:r>
          </w:p>
        </w:tc>
      </w:tr>
      <w:tr w14:paraId="1EEE20F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noWrap/>
          </w:tcPr>
          <w:p w14:paraId="49D29AC1">
            <w:pPr>
              <w:jc w:val="center"/>
              <w:rPr>
                <w:b w:val="0"/>
                <w:bCs w:val="0"/>
                <w:color w:val="000000"/>
                <w:szCs w:val="20"/>
              </w:rPr>
            </w:pPr>
            <w:r>
              <w:rPr>
                <w:b w:val="0"/>
                <w:bCs w:val="0"/>
                <w:color w:val="000000"/>
                <w:szCs w:val="20"/>
              </w:rPr>
              <w:t>2</w:t>
            </w:r>
          </w:p>
        </w:tc>
        <w:tc>
          <w:tcPr>
            <w:tcW w:w="2155" w:type="dxa"/>
            <w:vMerge w:val="restart"/>
            <w:noWrap/>
          </w:tcPr>
          <w:p w14:paraId="1A8C26F7">
            <w:pPr>
              <w:rPr>
                <w:color w:val="000000"/>
                <w:szCs w:val="20"/>
              </w:rPr>
            </w:pPr>
            <w:r>
              <w:rPr>
                <w:color w:val="000000"/>
                <w:szCs w:val="20"/>
              </w:rPr>
              <w:t>Usia</w:t>
            </w:r>
          </w:p>
        </w:tc>
        <w:tc>
          <w:tcPr>
            <w:tcW w:w="2607" w:type="dxa"/>
            <w:noWrap/>
          </w:tcPr>
          <w:p w14:paraId="7C8F5D77">
            <w:pPr>
              <w:rPr>
                <w:color w:val="000000"/>
                <w:szCs w:val="20"/>
              </w:rPr>
            </w:pPr>
            <w:r>
              <w:rPr>
                <w:color w:val="000000"/>
                <w:szCs w:val="20"/>
              </w:rPr>
              <w:t>&lt; 25 tahun</w:t>
            </w:r>
          </w:p>
        </w:tc>
        <w:tc>
          <w:tcPr>
            <w:tcW w:w="1248" w:type="dxa"/>
            <w:noWrap/>
          </w:tcPr>
          <w:p w14:paraId="52868FD4">
            <w:pPr>
              <w:jc w:val="center"/>
              <w:rPr>
                <w:color w:val="000000"/>
                <w:szCs w:val="20"/>
              </w:rPr>
            </w:pPr>
            <w:r>
              <w:rPr>
                <w:color w:val="000000"/>
                <w:szCs w:val="20"/>
              </w:rPr>
              <w:t>5</w:t>
            </w:r>
          </w:p>
        </w:tc>
        <w:tc>
          <w:tcPr>
            <w:tcW w:w="1248" w:type="dxa"/>
            <w:noWrap/>
          </w:tcPr>
          <w:p w14:paraId="747B1DC3">
            <w:pPr>
              <w:jc w:val="center"/>
              <w:rPr>
                <w:color w:val="000000"/>
                <w:szCs w:val="20"/>
              </w:rPr>
            </w:pPr>
            <w:r>
              <w:rPr>
                <w:color w:val="000000"/>
                <w:szCs w:val="20"/>
              </w:rPr>
              <w:t>7,14</w:t>
            </w:r>
          </w:p>
        </w:tc>
      </w:tr>
      <w:tr w14:paraId="24070C9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322A149C">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63D4BB5D">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133514FA">
            <w:pPr>
              <w:rPr>
                <w:color w:val="000000"/>
                <w:szCs w:val="20"/>
              </w:rPr>
            </w:pPr>
            <w:r>
              <w:rPr>
                <w:color w:val="000000"/>
                <w:szCs w:val="20"/>
              </w:rPr>
              <w:t>25 – 34 tahun</w:t>
            </w:r>
          </w:p>
        </w:tc>
        <w:tc>
          <w:tcPr>
            <w:tcW w:w="1248" w:type="dxa"/>
            <w:tcBorders>
              <w:top w:val="single" w:color="7E7E7E" w:themeColor="text1" w:themeTint="80" w:sz="4" w:space="0"/>
              <w:bottom w:val="single" w:color="7E7E7E" w:themeColor="text1" w:themeTint="80" w:sz="4" w:space="0"/>
              <w:insideH w:val="single" w:sz="4" w:space="0"/>
            </w:tcBorders>
            <w:noWrap/>
          </w:tcPr>
          <w:p w14:paraId="7ECE26C2">
            <w:pPr>
              <w:jc w:val="center"/>
              <w:rPr>
                <w:color w:val="000000"/>
                <w:szCs w:val="20"/>
              </w:rPr>
            </w:pPr>
            <w:r>
              <w:rPr>
                <w:color w:val="000000"/>
                <w:szCs w:val="20"/>
              </w:rPr>
              <w:t>18</w:t>
            </w:r>
          </w:p>
        </w:tc>
        <w:tc>
          <w:tcPr>
            <w:tcW w:w="1248" w:type="dxa"/>
            <w:tcBorders>
              <w:top w:val="single" w:color="7E7E7E" w:themeColor="text1" w:themeTint="80" w:sz="4" w:space="0"/>
              <w:bottom w:val="single" w:color="7E7E7E" w:themeColor="text1" w:themeTint="80" w:sz="4" w:space="0"/>
              <w:insideH w:val="single" w:sz="4" w:space="0"/>
            </w:tcBorders>
            <w:noWrap/>
          </w:tcPr>
          <w:p w14:paraId="70B0CCDA">
            <w:pPr>
              <w:jc w:val="center"/>
              <w:rPr>
                <w:color w:val="000000"/>
                <w:szCs w:val="20"/>
              </w:rPr>
            </w:pPr>
            <w:r>
              <w:rPr>
                <w:color w:val="000000"/>
                <w:szCs w:val="20"/>
              </w:rPr>
              <w:t>25,71</w:t>
            </w:r>
          </w:p>
        </w:tc>
      </w:tr>
      <w:tr w14:paraId="409A406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5E59D9C2">
            <w:pPr>
              <w:jc w:val="center"/>
              <w:rPr>
                <w:b w:val="0"/>
                <w:bCs w:val="0"/>
                <w:color w:val="000000"/>
                <w:szCs w:val="20"/>
              </w:rPr>
            </w:pPr>
          </w:p>
        </w:tc>
        <w:tc>
          <w:tcPr>
            <w:tcW w:w="2155" w:type="dxa"/>
            <w:vMerge w:val="continue"/>
            <w:noWrap/>
          </w:tcPr>
          <w:p w14:paraId="3F9A2366">
            <w:pPr>
              <w:rPr>
                <w:szCs w:val="20"/>
              </w:rPr>
            </w:pPr>
          </w:p>
        </w:tc>
        <w:tc>
          <w:tcPr>
            <w:tcW w:w="2607" w:type="dxa"/>
            <w:noWrap/>
          </w:tcPr>
          <w:p w14:paraId="361496E5">
            <w:pPr>
              <w:rPr>
                <w:color w:val="000000"/>
                <w:szCs w:val="20"/>
              </w:rPr>
            </w:pPr>
            <w:r>
              <w:rPr>
                <w:color w:val="000000"/>
                <w:szCs w:val="20"/>
              </w:rPr>
              <w:t>35 – 44 tahun</w:t>
            </w:r>
          </w:p>
        </w:tc>
        <w:tc>
          <w:tcPr>
            <w:tcW w:w="1248" w:type="dxa"/>
            <w:noWrap/>
          </w:tcPr>
          <w:p w14:paraId="66C3B3EF">
            <w:pPr>
              <w:jc w:val="center"/>
              <w:rPr>
                <w:color w:val="000000"/>
                <w:szCs w:val="20"/>
              </w:rPr>
            </w:pPr>
            <w:r>
              <w:rPr>
                <w:color w:val="000000"/>
                <w:szCs w:val="20"/>
              </w:rPr>
              <w:t>30</w:t>
            </w:r>
          </w:p>
        </w:tc>
        <w:tc>
          <w:tcPr>
            <w:tcW w:w="1248" w:type="dxa"/>
            <w:noWrap/>
          </w:tcPr>
          <w:p w14:paraId="542655A4">
            <w:pPr>
              <w:jc w:val="center"/>
              <w:rPr>
                <w:color w:val="000000"/>
                <w:szCs w:val="20"/>
              </w:rPr>
            </w:pPr>
            <w:r>
              <w:rPr>
                <w:color w:val="000000"/>
                <w:szCs w:val="20"/>
              </w:rPr>
              <w:t>42,86</w:t>
            </w:r>
          </w:p>
        </w:tc>
      </w:tr>
      <w:tr w14:paraId="192EB59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40B68DAA">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64F4EED9">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24F3DCF0">
            <w:pPr>
              <w:rPr>
                <w:color w:val="000000"/>
                <w:szCs w:val="20"/>
              </w:rPr>
            </w:pPr>
            <w:r>
              <w:rPr>
                <w:color w:val="000000"/>
                <w:szCs w:val="20"/>
              </w:rPr>
              <w:t>≥ 45 tahun</w:t>
            </w:r>
          </w:p>
        </w:tc>
        <w:tc>
          <w:tcPr>
            <w:tcW w:w="1248" w:type="dxa"/>
            <w:tcBorders>
              <w:top w:val="single" w:color="7E7E7E" w:themeColor="text1" w:themeTint="80" w:sz="4" w:space="0"/>
              <w:bottom w:val="single" w:color="7E7E7E" w:themeColor="text1" w:themeTint="80" w:sz="4" w:space="0"/>
              <w:insideH w:val="single" w:sz="4" w:space="0"/>
            </w:tcBorders>
            <w:noWrap/>
          </w:tcPr>
          <w:p w14:paraId="5C32D421">
            <w:pPr>
              <w:jc w:val="center"/>
              <w:rPr>
                <w:color w:val="000000"/>
                <w:szCs w:val="20"/>
              </w:rPr>
            </w:pPr>
            <w:r>
              <w:rPr>
                <w:color w:val="000000"/>
                <w:szCs w:val="20"/>
              </w:rPr>
              <w:t>17</w:t>
            </w:r>
          </w:p>
        </w:tc>
        <w:tc>
          <w:tcPr>
            <w:tcW w:w="1248" w:type="dxa"/>
            <w:tcBorders>
              <w:top w:val="single" w:color="7E7E7E" w:themeColor="text1" w:themeTint="80" w:sz="4" w:space="0"/>
              <w:bottom w:val="single" w:color="7E7E7E" w:themeColor="text1" w:themeTint="80" w:sz="4" w:space="0"/>
              <w:insideH w:val="single" w:sz="4" w:space="0"/>
            </w:tcBorders>
            <w:noWrap/>
          </w:tcPr>
          <w:p w14:paraId="054433BE">
            <w:pPr>
              <w:jc w:val="center"/>
              <w:rPr>
                <w:color w:val="000000"/>
                <w:szCs w:val="20"/>
              </w:rPr>
            </w:pPr>
            <w:r>
              <w:rPr>
                <w:color w:val="000000"/>
                <w:szCs w:val="20"/>
              </w:rPr>
              <w:t>24,29</w:t>
            </w:r>
          </w:p>
        </w:tc>
      </w:tr>
      <w:tr w14:paraId="5094740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204303C6">
            <w:pPr>
              <w:jc w:val="center"/>
              <w:rPr>
                <w:b w:val="0"/>
                <w:bCs w:val="0"/>
                <w:color w:val="000000"/>
                <w:szCs w:val="20"/>
              </w:rPr>
            </w:pPr>
          </w:p>
        </w:tc>
        <w:tc>
          <w:tcPr>
            <w:tcW w:w="2155" w:type="dxa"/>
            <w:vMerge w:val="continue"/>
            <w:noWrap/>
          </w:tcPr>
          <w:p w14:paraId="2F8B3F09">
            <w:pPr>
              <w:rPr>
                <w:szCs w:val="20"/>
              </w:rPr>
            </w:pPr>
          </w:p>
        </w:tc>
        <w:tc>
          <w:tcPr>
            <w:tcW w:w="2607" w:type="dxa"/>
            <w:noWrap/>
          </w:tcPr>
          <w:p w14:paraId="227BACB8">
            <w:pPr>
              <w:rPr>
                <w:b/>
                <w:bCs/>
                <w:color w:val="000000"/>
                <w:szCs w:val="20"/>
              </w:rPr>
            </w:pPr>
            <w:r>
              <w:rPr>
                <w:b/>
                <w:bCs/>
                <w:color w:val="000000"/>
                <w:szCs w:val="20"/>
              </w:rPr>
              <w:t>Jumlah</w:t>
            </w:r>
          </w:p>
        </w:tc>
        <w:tc>
          <w:tcPr>
            <w:tcW w:w="1248" w:type="dxa"/>
            <w:noWrap/>
          </w:tcPr>
          <w:p w14:paraId="096A1909">
            <w:pPr>
              <w:jc w:val="center"/>
              <w:rPr>
                <w:b/>
                <w:bCs/>
                <w:color w:val="000000"/>
                <w:szCs w:val="20"/>
              </w:rPr>
            </w:pPr>
            <w:r>
              <w:rPr>
                <w:b/>
                <w:bCs/>
                <w:color w:val="000000"/>
                <w:szCs w:val="20"/>
              </w:rPr>
              <w:t>70</w:t>
            </w:r>
          </w:p>
        </w:tc>
        <w:tc>
          <w:tcPr>
            <w:tcW w:w="1248" w:type="dxa"/>
            <w:noWrap/>
          </w:tcPr>
          <w:p w14:paraId="39D0DB06">
            <w:pPr>
              <w:jc w:val="center"/>
              <w:rPr>
                <w:b/>
                <w:bCs/>
                <w:color w:val="000000"/>
                <w:szCs w:val="20"/>
              </w:rPr>
            </w:pPr>
            <w:r>
              <w:rPr>
                <w:b/>
                <w:bCs/>
                <w:color w:val="000000"/>
                <w:szCs w:val="20"/>
              </w:rPr>
              <w:t>100,00</w:t>
            </w:r>
          </w:p>
        </w:tc>
      </w:tr>
      <w:tr w14:paraId="6DFDC1E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0ED2CC66">
            <w:pPr>
              <w:jc w:val="center"/>
              <w:rPr>
                <w:b w:val="0"/>
                <w:bCs w:val="0"/>
                <w:color w:val="000000"/>
                <w:szCs w:val="20"/>
              </w:rPr>
            </w:pPr>
            <w:r>
              <w:rPr>
                <w:b w:val="0"/>
                <w:bCs w:val="0"/>
                <w:color w:val="000000"/>
                <w:szCs w:val="20"/>
              </w:rPr>
              <w:t>3</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56267574">
            <w:pPr>
              <w:rPr>
                <w:color w:val="000000"/>
                <w:szCs w:val="20"/>
              </w:rPr>
            </w:pPr>
            <w:r>
              <w:rPr>
                <w:color w:val="000000"/>
                <w:szCs w:val="20"/>
              </w:rPr>
              <w:t>Pendidikan Terakhir</w:t>
            </w:r>
          </w:p>
        </w:tc>
        <w:tc>
          <w:tcPr>
            <w:tcW w:w="2607" w:type="dxa"/>
            <w:tcBorders>
              <w:top w:val="single" w:color="7E7E7E" w:themeColor="text1" w:themeTint="80" w:sz="4" w:space="0"/>
              <w:bottom w:val="single" w:color="7E7E7E" w:themeColor="text1" w:themeTint="80" w:sz="4" w:space="0"/>
              <w:insideH w:val="single" w:sz="4" w:space="0"/>
            </w:tcBorders>
            <w:noWrap/>
          </w:tcPr>
          <w:p w14:paraId="0FD8D44E">
            <w:pPr>
              <w:rPr>
                <w:color w:val="000000"/>
                <w:szCs w:val="20"/>
              </w:rPr>
            </w:pPr>
            <w:r>
              <w:rPr>
                <w:color w:val="000000"/>
                <w:szCs w:val="20"/>
              </w:rPr>
              <w:t>SD</w:t>
            </w:r>
          </w:p>
        </w:tc>
        <w:tc>
          <w:tcPr>
            <w:tcW w:w="1248" w:type="dxa"/>
            <w:tcBorders>
              <w:top w:val="single" w:color="7E7E7E" w:themeColor="text1" w:themeTint="80" w:sz="4" w:space="0"/>
              <w:bottom w:val="single" w:color="7E7E7E" w:themeColor="text1" w:themeTint="80" w:sz="4" w:space="0"/>
              <w:insideH w:val="single" w:sz="4" w:space="0"/>
            </w:tcBorders>
            <w:noWrap/>
          </w:tcPr>
          <w:p w14:paraId="19DFC45A">
            <w:pPr>
              <w:jc w:val="center"/>
              <w:rPr>
                <w:color w:val="000000"/>
                <w:szCs w:val="20"/>
              </w:rPr>
            </w:pPr>
            <w:r>
              <w:rPr>
                <w:color w:val="000000"/>
                <w:szCs w:val="20"/>
              </w:rPr>
              <w:t>4</w:t>
            </w:r>
          </w:p>
        </w:tc>
        <w:tc>
          <w:tcPr>
            <w:tcW w:w="1248" w:type="dxa"/>
            <w:tcBorders>
              <w:top w:val="single" w:color="7E7E7E" w:themeColor="text1" w:themeTint="80" w:sz="4" w:space="0"/>
              <w:bottom w:val="single" w:color="7E7E7E" w:themeColor="text1" w:themeTint="80" w:sz="4" w:space="0"/>
              <w:insideH w:val="single" w:sz="4" w:space="0"/>
            </w:tcBorders>
            <w:noWrap/>
          </w:tcPr>
          <w:p w14:paraId="6186931E">
            <w:pPr>
              <w:jc w:val="center"/>
              <w:rPr>
                <w:color w:val="000000"/>
                <w:szCs w:val="20"/>
              </w:rPr>
            </w:pPr>
            <w:r>
              <w:rPr>
                <w:color w:val="000000"/>
                <w:szCs w:val="20"/>
              </w:rPr>
              <w:t>5,71</w:t>
            </w:r>
          </w:p>
        </w:tc>
      </w:tr>
      <w:tr w14:paraId="02F43D5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558112B9">
            <w:pPr>
              <w:jc w:val="center"/>
              <w:rPr>
                <w:b w:val="0"/>
                <w:bCs w:val="0"/>
                <w:color w:val="000000"/>
                <w:szCs w:val="20"/>
              </w:rPr>
            </w:pPr>
          </w:p>
        </w:tc>
        <w:tc>
          <w:tcPr>
            <w:tcW w:w="2155" w:type="dxa"/>
            <w:vMerge w:val="continue"/>
            <w:noWrap/>
          </w:tcPr>
          <w:p w14:paraId="369E514F">
            <w:pPr>
              <w:rPr>
                <w:szCs w:val="20"/>
              </w:rPr>
            </w:pPr>
          </w:p>
        </w:tc>
        <w:tc>
          <w:tcPr>
            <w:tcW w:w="2607" w:type="dxa"/>
            <w:noWrap/>
          </w:tcPr>
          <w:p w14:paraId="20BDA0AF">
            <w:pPr>
              <w:rPr>
                <w:color w:val="000000"/>
                <w:szCs w:val="20"/>
              </w:rPr>
            </w:pPr>
            <w:r>
              <w:rPr>
                <w:color w:val="000000"/>
                <w:szCs w:val="20"/>
              </w:rPr>
              <w:t>SMP</w:t>
            </w:r>
          </w:p>
        </w:tc>
        <w:tc>
          <w:tcPr>
            <w:tcW w:w="1248" w:type="dxa"/>
            <w:noWrap/>
          </w:tcPr>
          <w:p w14:paraId="5D7FFBD0">
            <w:pPr>
              <w:jc w:val="center"/>
              <w:rPr>
                <w:color w:val="000000"/>
                <w:szCs w:val="20"/>
              </w:rPr>
            </w:pPr>
            <w:r>
              <w:rPr>
                <w:color w:val="000000"/>
                <w:szCs w:val="20"/>
              </w:rPr>
              <w:t>15</w:t>
            </w:r>
          </w:p>
        </w:tc>
        <w:tc>
          <w:tcPr>
            <w:tcW w:w="1248" w:type="dxa"/>
            <w:noWrap/>
          </w:tcPr>
          <w:p w14:paraId="5BDA2948">
            <w:pPr>
              <w:jc w:val="center"/>
              <w:rPr>
                <w:color w:val="000000"/>
                <w:szCs w:val="20"/>
              </w:rPr>
            </w:pPr>
            <w:r>
              <w:rPr>
                <w:color w:val="000000"/>
                <w:szCs w:val="20"/>
              </w:rPr>
              <w:t>21,43</w:t>
            </w:r>
          </w:p>
        </w:tc>
      </w:tr>
      <w:tr w14:paraId="68939C7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7FC52EDE">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05497906">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7662A85E">
            <w:pPr>
              <w:rPr>
                <w:color w:val="000000"/>
                <w:szCs w:val="20"/>
              </w:rPr>
            </w:pPr>
            <w:r>
              <w:rPr>
                <w:color w:val="000000"/>
                <w:szCs w:val="20"/>
              </w:rPr>
              <w:t>SMA/SMK</w:t>
            </w:r>
          </w:p>
        </w:tc>
        <w:tc>
          <w:tcPr>
            <w:tcW w:w="1248" w:type="dxa"/>
            <w:tcBorders>
              <w:top w:val="single" w:color="7E7E7E" w:themeColor="text1" w:themeTint="80" w:sz="4" w:space="0"/>
              <w:bottom w:val="single" w:color="7E7E7E" w:themeColor="text1" w:themeTint="80" w:sz="4" w:space="0"/>
              <w:insideH w:val="single" w:sz="4" w:space="0"/>
            </w:tcBorders>
            <w:noWrap/>
          </w:tcPr>
          <w:p w14:paraId="54F3A615">
            <w:pPr>
              <w:jc w:val="center"/>
              <w:rPr>
                <w:color w:val="000000"/>
                <w:szCs w:val="20"/>
              </w:rPr>
            </w:pPr>
            <w:r>
              <w:rPr>
                <w:color w:val="000000"/>
                <w:szCs w:val="20"/>
              </w:rPr>
              <w:t>40</w:t>
            </w:r>
          </w:p>
        </w:tc>
        <w:tc>
          <w:tcPr>
            <w:tcW w:w="1248" w:type="dxa"/>
            <w:tcBorders>
              <w:top w:val="single" w:color="7E7E7E" w:themeColor="text1" w:themeTint="80" w:sz="4" w:space="0"/>
              <w:bottom w:val="single" w:color="7E7E7E" w:themeColor="text1" w:themeTint="80" w:sz="4" w:space="0"/>
              <w:insideH w:val="single" w:sz="4" w:space="0"/>
            </w:tcBorders>
            <w:noWrap/>
          </w:tcPr>
          <w:p w14:paraId="426E7F12">
            <w:pPr>
              <w:jc w:val="center"/>
              <w:rPr>
                <w:color w:val="000000"/>
                <w:szCs w:val="20"/>
              </w:rPr>
            </w:pPr>
            <w:r>
              <w:rPr>
                <w:color w:val="000000"/>
                <w:szCs w:val="20"/>
              </w:rPr>
              <w:t>57,14</w:t>
            </w:r>
          </w:p>
        </w:tc>
      </w:tr>
      <w:tr w14:paraId="5D482B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182E509B">
            <w:pPr>
              <w:jc w:val="center"/>
              <w:rPr>
                <w:b w:val="0"/>
                <w:bCs w:val="0"/>
                <w:color w:val="000000"/>
                <w:szCs w:val="20"/>
              </w:rPr>
            </w:pPr>
          </w:p>
        </w:tc>
        <w:tc>
          <w:tcPr>
            <w:tcW w:w="2155" w:type="dxa"/>
            <w:vMerge w:val="continue"/>
            <w:noWrap/>
          </w:tcPr>
          <w:p w14:paraId="60AD1D7B">
            <w:pPr>
              <w:rPr>
                <w:szCs w:val="20"/>
              </w:rPr>
            </w:pPr>
          </w:p>
        </w:tc>
        <w:tc>
          <w:tcPr>
            <w:tcW w:w="2607" w:type="dxa"/>
            <w:noWrap/>
          </w:tcPr>
          <w:p w14:paraId="363489AD">
            <w:pPr>
              <w:rPr>
                <w:color w:val="000000"/>
                <w:szCs w:val="20"/>
              </w:rPr>
            </w:pPr>
            <w:r>
              <w:rPr>
                <w:color w:val="000000"/>
                <w:szCs w:val="20"/>
              </w:rPr>
              <w:t>Diploma</w:t>
            </w:r>
          </w:p>
        </w:tc>
        <w:tc>
          <w:tcPr>
            <w:tcW w:w="1248" w:type="dxa"/>
            <w:noWrap/>
          </w:tcPr>
          <w:p w14:paraId="05591FA6">
            <w:pPr>
              <w:jc w:val="center"/>
              <w:rPr>
                <w:color w:val="000000"/>
                <w:szCs w:val="20"/>
              </w:rPr>
            </w:pPr>
            <w:r>
              <w:rPr>
                <w:color w:val="000000"/>
                <w:szCs w:val="20"/>
              </w:rPr>
              <w:t>6</w:t>
            </w:r>
          </w:p>
        </w:tc>
        <w:tc>
          <w:tcPr>
            <w:tcW w:w="1248" w:type="dxa"/>
            <w:noWrap/>
          </w:tcPr>
          <w:p w14:paraId="5E01FABB">
            <w:pPr>
              <w:jc w:val="center"/>
              <w:rPr>
                <w:color w:val="000000"/>
                <w:szCs w:val="20"/>
              </w:rPr>
            </w:pPr>
            <w:r>
              <w:rPr>
                <w:color w:val="000000"/>
                <w:szCs w:val="20"/>
              </w:rPr>
              <w:t>8,57</w:t>
            </w:r>
          </w:p>
        </w:tc>
      </w:tr>
      <w:tr w14:paraId="48C3B26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3BE7E349">
            <w:pPr>
              <w:jc w:val="center"/>
              <w:rPr>
                <w:b w:val="0"/>
                <w:bCs w:val="0"/>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4A434441">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0D58F259">
            <w:pPr>
              <w:rPr>
                <w:color w:val="000000"/>
                <w:szCs w:val="20"/>
              </w:rPr>
            </w:pPr>
            <w:r>
              <w:rPr>
                <w:color w:val="000000"/>
                <w:szCs w:val="20"/>
              </w:rPr>
              <w:t>Sarjana (S1)</w:t>
            </w:r>
          </w:p>
        </w:tc>
        <w:tc>
          <w:tcPr>
            <w:tcW w:w="1248" w:type="dxa"/>
            <w:tcBorders>
              <w:top w:val="single" w:color="7E7E7E" w:themeColor="text1" w:themeTint="80" w:sz="4" w:space="0"/>
              <w:bottom w:val="single" w:color="7E7E7E" w:themeColor="text1" w:themeTint="80" w:sz="4" w:space="0"/>
              <w:insideH w:val="single" w:sz="4" w:space="0"/>
            </w:tcBorders>
            <w:noWrap/>
          </w:tcPr>
          <w:p w14:paraId="756B536B">
            <w:pPr>
              <w:jc w:val="center"/>
              <w:rPr>
                <w:color w:val="000000"/>
                <w:szCs w:val="20"/>
              </w:rPr>
            </w:pPr>
            <w:r>
              <w:rPr>
                <w:color w:val="000000"/>
                <w:szCs w:val="20"/>
              </w:rPr>
              <w:t>5</w:t>
            </w:r>
          </w:p>
        </w:tc>
        <w:tc>
          <w:tcPr>
            <w:tcW w:w="1248" w:type="dxa"/>
            <w:tcBorders>
              <w:top w:val="single" w:color="7E7E7E" w:themeColor="text1" w:themeTint="80" w:sz="4" w:space="0"/>
              <w:bottom w:val="single" w:color="7E7E7E" w:themeColor="text1" w:themeTint="80" w:sz="4" w:space="0"/>
              <w:insideH w:val="single" w:sz="4" w:space="0"/>
            </w:tcBorders>
            <w:noWrap/>
          </w:tcPr>
          <w:p w14:paraId="66DE2EEE">
            <w:pPr>
              <w:jc w:val="center"/>
              <w:rPr>
                <w:color w:val="000000"/>
                <w:szCs w:val="20"/>
              </w:rPr>
            </w:pPr>
            <w:r>
              <w:rPr>
                <w:color w:val="000000"/>
                <w:szCs w:val="20"/>
              </w:rPr>
              <w:t>7,14</w:t>
            </w:r>
          </w:p>
        </w:tc>
      </w:tr>
      <w:tr w14:paraId="597F740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5D2FEEB8">
            <w:pPr>
              <w:jc w:val="center"/>
              <w:rPr>
                <w:b w:val="0"/>
                <w:bCs w:val="0"/>
                <w:color w:val="000000"/>
                <w:szCs w:val="20"/>
              </w:rPr>
            </w:pPr>
          </w:p>
        </w:tc>
        <w:tc>
          <w:tcPr>
            <w:tcW w:w="2155" w:type="dxa"/>
            <w:vMerge w:val="continue"/>
            <w:noWrap/>
          </w:tcPr>
          <w:p w14:paraId="0AD4158F">
            <w:pPr>
              <w:rPr>
                <w:szCs w:val="20"/>
              </w:rPr>
            </w:pPr>
          </w:p>
        </w:tc>
        <w:tc>
          <w:tcPr>
            <w:tcW w:w="2607" w:type="dxa"/>
            <w:noWrap/>
          </w:tcPr>
          <w:p w14:paraId="22EDEE70">
            <w:pPr>
              <w:rPr>
                <w:b/>
                <w:bCs/>
                <w:color w:val="000000"/>
                <w:szCs w:val="20"/>
              </w:rPr>
            </w:pPr>
            <w:r>
              <w:rPr>
                <w:b/>
                <w:bCs/>
                <w:color w:val="000000"/>
                <w:szCs w:val="20"/>
              </w:rPr>
              <w:t>Jumlah</w:t>
            </w:r>
          </w:p>
        </w:tc>
        <w:tc>
          <w:tcPr>
            <w:tcW w:w="1248" w:type="dxa"/>
            <w:noWrap/>
          </w:tcPr>
          <w:p w14:paraId="61136339">
            <w:pPr>
              <w:jc w:val="center"/>
              <w:rPr>
                <w:b/>
                <w:bCs/>
                <w:color w:val="000000"/>
                <w:szCs w:val="20"/>
              </w:rPr>
            </w:pPr>
            <w:r>
              <w:rPr>
                <w:b/>
                <w:bCs/>
                <w:color w:val="000000"/>
                <w:szCs w:val="20"/>
              </w:rPr>
              <w:t>70</w:t>
            </w:r>
          </w:p>
        </w:tc>
        <w:tc>
          <w:tcPr>
            <w:tcW w:w="1248" w:type="dxa"/>
            <w:noWrap/>
          </w:tcPr>
          <w:p w14:paraId="3060AF06">
            <w:pPr>
              <w:jc w:val="center"/>
              <w:rPr>
                <w:b/>
                <w:bCs/>
                <w:color w:val="000000"/>
                <w:szCs w:val="20"/>
              </w:rPr>
            </w:pPr>
            <w:r>
              <w:rPr>
                <w:b/>
                <w:bCs/>
                <w:color w:val="000000"/>
                <w:szCs w:val="20"/>
              </w:rPr>
              <w:t>100,00</w:t>
            </w:r>
          </w:p>
        </w:tc>
      </w:tr>
      <w:tr w14:paraId="68FEDA4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restart"/>
            <w:tcBorders>
              <w:top w:val="single" w:color="7E7E7E" w:themeColor="text1" w:themeTint="80" w:sz="4" w:space="0"/>
              <w:bottom w:val="single" w:color="7E7E7E" w:themeColor="text1" w:themeTint="80" w:sz="4" w:space="0"/>
              <w:insideH w:val="single" w:sz="4" w:space="0"/>
            </w:tcBorders>
            <w:noWrap/>
          </w:tcPr>
          <w:p w14:paraId="28D9E28B">
            <w:pPr>
              <w:jc w:val="center"/>
              <w:rPr>
                <w:b w:val="0"/>
                <w:bCs w:val="0"/>
                <w:color w:val="000000"/>
                <w:szCs w:val="20"/>
              </w:rPr>
            </w:pPr>
            <w:r>
              <w:rPr>
                <w:b w:val="0"/>
                <w:bCs w:val="0"/>
                <w:color w:val="000000"/>
                <w:szCs w:val="20"/>
              </w:rPr>
              <w:t>4</w:t>
            </w:r>
          </w:p>
        </w:tc>
        <w:tc>
          <w:tcPr>
            <w:tcW w:w="2155" w:type="dxa"/>
            <w:vMerge w:val="restart"/>
            <w:tcBorders>
              <w:top w:val="single" w:color="7E7E7E" w:themeColor="text1" w:themeTint="80" w:sz="4" w:space="0"/>
              <w:bottom w:val="single" w:color="7E7E7E" w:themeColor="text1" w:themeTint="80" w:sz="4" w:space="0"/>
              <w:insideH w:val="single" w:sz="4" w:space="0"/>
            </w:tcBorders>
            <w:noWrap/>
          </w:tcPr>
          <w:p w14:paraId="106DC625">
            <w:pPr>
              <w:rPr>
                <w:color w:val="000000"/>
                <w:szCs w:val="20"/>
              </w:rPr>
            </w:pPr>
            <w:r>
              <w:rPr>
                <w:color w:val="000000"/>
                <w:szCs w:val="20"/>
              </w:rPr>
              <w:t>Pendapatan per Bulan</w:t>
            </w:r>
          </w:p>
        </w:tc>
        <w:tc>
          <w:tcPr>
            <w:tcW w:w="2607" w:type="dxa"/>
            <w:tcBorders>
              <w:top w:val="single" w:color="7E7E7E" w:themeColor="text1" w:themeTint="80" w:sz="4" w:space="0"/>
              <w:bottom w:val="single" w:color="7E7E7E" w:themeColor="text1" w:themeTint="80" w:sz="4" w:space="0"/>
              <w:insideH w:val="single" w:sz="4" w:space="0"/>
            </w:tcBorders>
            <w:noWrap/>
          </w:tcPr>
          <w:p w14:paraId="3E0FB89B">
            <w:pPr>
              <w:rPr>
                <w:color w:val="000000"/>
                <w:szCs w:val="20"/>
              </w:rPr>
            </w:pPr>
            <w:r>
              <w:rPr>
                <w:color w:val="000000"/>
                <w:szCs w:val="20"/>
              </w:rPr>
              <w:t>&lt; Rp2.000.000</w:t>
            </w:r>
          </w:p>
        </w:tc>
        <w:tc>
          <w:tcPr>
            <w:tcW w:w="1248" w:type="dxa"/>
            <w:tcBorders>
              <w:top w:val="single" w:color="7E7E7E" w:themeColor="text1" w:themeTint="80" w:sz="4" w:space="0"/>
              <w:bottom w:val="single" w:color="7E7E7E" w:themeColor="text1" w:themeTint="80" w:sz="4" w:space="0"/>
              <w:insideH w:val="single" w:sz="4" w:space="0"/>
            </w:tcBorders>
            <w:noWrap/>
          </w:tcPr>
          <w:p w14:paraId="43769533">
            <w:pPr>
              <w:jc w:val="center"/>
              <w:rPr>
                <w:color w:val="000000"/>
                <w:szCs w:val="20"/>
              </w:rPr>
            </w:pPr>
            <w:r>
              <w:rPr>
                <w:color w:val="000000"/>
                <w:szCs w:val="20"/>
              </w:rPr>
              <w:t>6</w:t>
            </w:r>
          </w:p>
        </w:tc>
        <w:tc>
          <w:tcPr>
            <w:tcW w:w="1248" w:type="dxa"/>
            <w:tcBorders>
              <w:top w:val="single" w:color="7E7E7E" w:themeColor="text1" w:themeTint="80" w:sz="4" w:space="0"/>
              <w:bottom w:val="single" w:color="7E7E7E" w:themeColor="text1" w:themeTint="80" w:sz="4" w:space="0"/>
              <w:insideH w:val="single" w:sz="4" w:space="0"/>
            </w:tcBorders>
            <w:noWrap/>
          </w:tcPr>
          <w:p w14:paraId="623F1054">
            <w:pPr>
              <w:jc w:val="center"/>
              <w:rPr>
                <w:color w:val="000000"/>
                <w:szCs w:val="20"/>
              </w:rPr>
            </w:pPr>
            <w:r>
              <w:rPr>
                <w:color w:val="000000"/>
                <w:szCs w:val="20"/>
              </w:rPr>
              <w:t>8,57</w:t>
            </w:r>
          </w:p>
        </w:tc>
      </w:tr>
      <w:tr w14:paraId="494F2CD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02528492">
            <w:pPr>
              <w:rPr>
                <w:b w:val="0"/>
                <w:bCs w:val="0"/>
                <w:color w:val="000000"/>
                <w:szCs w:val="20"/>
              </w:rPr>
            </w:pPr>
          </w:p>
        </w:tc>
        <w:tc>
          <w:tcPr>
            <w:tcW w:w="2155" w:type="dxa"/>
            <w:vMerge w:val="continue"/>
            <w:noWrap/>
          </w:tcPr>
          <w:p w14:paraId="22D6AF4B">
            <w:pPr>
              <w:rPr>
                <w:szCs w:val="20"/>
              </w:rPr>
            </w:pPr>
          </w:p>
        </w:tc>
        <w:tc>
          <w:tcPr>
            <w:tcW w:w="2607" w:type="dxa"/>
            <w:noWrap/>
          </w:tcPr>
          <w:p w14:paraId="0D962B6A">
            <w:pPr>
              <w:rPr>
                <w:color w:val="000000"/>
                <w:szCs w:val="20"/>
              </w:rPr>
            </w:pPr>
            <w:r>
              <w:rPr>
                <w:color w:val="000000"/>
                <w:szCs w:val="20"/>
              </w:rPr>
              <w:t>Rp2.000.000 – Rp2.999.999</w:t>
            </w:r>
          </w:p>
        </w:tc>
        <w:tc>
          <w:tcPr>
            <w:tcW w:w="1248" w:type="dxa"/>
            <w:noWrap/>
          </w:tcPr>
          <w:p w14:paraId="4F3C9F6F">
            <w:pPr>
              <w:jc w:val="center"/>
              <w:rPr>
                <w:color w:val="000000"/>
                <w:szCs w:val="20"/>
              </w:rPr>
            </w:pPr>
            <w:r>
              <w:rPr>
                <w:color w:val="000000"/>
                <w:szCs w:val="20"/>
              </w:rPr>
              <w:t>22</w:t>
            </w:r>
          </w:p>
        </w:tc>
        <w:tc>
          <w:tcPr>
            <w:tcW w:w="1248" w:type="dxa"/>
            <w:noWrap/>
          </w:tcPr>
          <w:p w14:paraId="18AA47DA">
            <w:pPr>
              <w:jc w:val="center"/>
              <w:rPr>
                <w:color w:val="000000"/>
                <w:szCs w:val="20"/>
              </w:rPr>
            </w:pPr>
            <w:r>
              <w:rPr>
                <w:color w:val="000000"/>
                <w:szCs w:val="20"/>
              </w:rPr>
              <w:t>31,43</w:t>
            </w:r>
          </w:p>
        </w:tc>
      </w:tr>
      <w:tr w14:paraId="796E619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171C2A06">
            <w:pPr>
              <w:rPr>
                <w:b/>
                <w:bCs/>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084CC00F">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38DD0730">
            <w:pPr>
              <w:rPr>
                <w:color w:val="000000"/>
                <w:szCs w:val="20"/>
              </w:rPr>
            </w:pPr>
            <w:r>
              <w:rPr>
                <w:color w:val="000000"/>
                <w:szCs w:val="20"/>
              </w:rPr>
              <w:t>Rp3.000.000 – Rp3.999.999</w:t>
            </w:r>
          </w:p>
        </w:tc>
        <w:tc>
          <w:tcPr>
            <w:tcW w:w="1248" w:type="dxa"/>
            <w:tcBorders>
              <w:top w:val="single" w:color="7E7E7E" w:themeColor="text1" w:themeTint="80" w:sz="4" w:space="0"/>
              <w:bottom w:val="single" w:color="7E7E7E" w:themeColor="text1" w:themeTint="80" w:sz="4" w:space="0"/>
              <w:insideH w:val="single" w:sz="4" w:space="0"/>
            </w:tcBorders>
            <w:noWrap/>
          </w:tcPr>
          <w:p w14:paraId="7265F05B">
            <w:pPr>
              <w:jc w:val="center"/>
              <w:rPr>
                <w:color w:val="000000"/>
                <w:szCs w:val="20"/>
              </w:rPr>
            </w:pPr>
            <w:r>
              <w:rPr>
                <w:color w:val="000000"/>
                <w:szCs w:val="20"/>
              </w:rPr>
              <w:t>28</w:t>
            </w:r>
          </w:p>
        </w:tc>
        <w:tc>
          <w:tcPr>
            <w:tcW w:w="1248" w:type="dxa"/>
            <w:tcBorders>
              <w:top w:val="single" w:color="7E7E7E" w:themeColor="text1" w:themeTint="80" w:sz="4" w:space="0"/>
              <w:bottom w:val="single" w:color="7E7E7E" w:themeColor="text1" w:themeTint="80" w:sz="4" w:space="0"/>
              <w:insideH w:val="single" w:sz="4" w:space="0"/>
            </w:tcBorders>
            <w:noWrap/>
          </w:tcPr>
          <w:p w14:paraId="5DFEEF07">
            <w:pPr>
              <w:jc w:val="center"/>
              <w:rPr>
                <w:color w:val="000000"/>
                <w:szCs w:val="20"/>
              </w:rPr>
            </w:pPr>
            <w:r>
              <w:rPr>
                <w:color w:val="000000"/>
                <w:szCs w:val="20"/>
              </w:rPr>
              <w:t>40,00</w:t>
            </w:r>
          </w:p>
        </w:tc>
      </w:tr>
      <w:tr w14:paraId="020A04F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noWrap/>
          </w:tcPr>
          <w:p w14:paraId="3A02DD7E">
            <w:pPr>
              <w:rPr>
                <w:b/>
                <w:bCs/>
                <w:color w:val="000000"/>
                <w:szCs w:val="20"/>
              </w:rPr>
            </w:pPr>
          </w:p>
        </w:tc>
        <w:tc>
          <w:tcPr>
            <w:tcW w:w="2155" w:type="dxa"/>
            <w:vMerge w:val="continue"/>
            <w:noWrap/>
          </w:tcPr>
          <w:p w14:paraId="7AF43770">
            <w:pPr>
              <w:rPr>
                <w:szCs w:val="20"/>
              </w:rPr>
            </w:pPr>
          </w:p>
        </w:tc>
        <w:tc>
          <w:tcPr>
            <w:tcW w:w="2607" w:type="dxa"/>
            <w:noWrap/>
          </w:tcPr>
          <w:p w14:paraId="186DDB20">
            <w:pPr>
              <w:rPr>
                <w:color w:val="000000"/>
                <w:szCs w:val="20"/>
              </w:rPr>
            </w:pPr>
            <w:r>
              <w:rPr>
                <w:color w:val="000000"/>
                <w:szCs w:val="20"/>
              </w:rPr>
              <w:t>≥ Rp4.000.000</w:t>
            </w:r>
          </w:p>
        </w:tc>
        <w:tc>
          <w:tcPr>
            <w:tcW w:w="1248" w:type="dxa"/>
            <w:noWrap/>
          </w:tcPr>
          <w:p w14:paraId="4E78446E">
            <w:pPr>
              <w:jc w:val="center"/>
              <w:rPr>
                <w:color w:val="000000"/>
                <w:szCs w:val="20"/>
              </w:rPr>
            </w:pPr>
            <w:r>
              <w:rPr>
                <w:color w:val="000000"/>
                <w:szCs w:val="20"/>
              </w:rPr>
              <w:t>14</w:t>
            </w:r>
          </w:p>
        </w:tc>
        <w:tc>
          <w:tcPr>
            <w:tcW w:w="1248" w:type="dxa"/>
            <w:noWrap/>
          </w:tcPr>
          <w:p w14:paraId="14C1AFB7">
            <w:pPr>
              <w:jc w:val="center"/>
              <w:rPr>
                <w:color w:val="000000"/>
                <w:szCs w:val="20"/>
              </w:rPr>
            </w:pPr>
            <w:r>
              <w:rPr>
                <w:color w:val="000000"/>
                <w:szCs w:val="20"/>
              </w:rPr>
              <w:t>20,00</w:t>
            </w:r>
          </w:p>
        </w:tc>
      </w:tr>
      <w:tr w14:paraId="7E6F605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80" w:type="dxa"/>
            <w:vMerge w:val="continue"/>
            <w:tcBorders>
              <w:top w:val="single" w:color="7E7E7E" w:themeColor="text1" w:themeTint="80" w:sz="4" w:space="0"/>
              <w:bottom w:val="single" w:color="7E7E7E" w:themeColor="text1" w:themeTint="80" w:sz="4" w:space="0"/>
              <w:insideH w:val="single" w:sz="4" w:space="0"/>
            </w:tcBorders>
            <w:noWrap/>
          </w:tcPr>
          <w:p w14:paraId="26EEF2AF">
            <w:pPr>
              <w:rPr>
                <w:b/>
                <w:bCs/>
                <w:color w:val="000000"/>
                <w:szCs w:val="20"/>
              </w:rPr>
            </w:pPr>
          </w:p>
        </w:tc>
        <w:tc>
          <w:tcPr>
            <w:tcW w:w="2155" w:type="dxa"/>
            <w:vMerge w:val="continue"/>
            <w:tcBorders>
              <w:top w:val="single" w:color="7E7E7E" w:themeColor="text1" w:themeTint="80" w:sz="4" w:space="0"/>
              <w:bottom w:val="single" w:color="7E7E7E" w:themeColor="text1" w:themeTint="80" w:sz="4" w:space="0"/>
              <w:insideH w:val="single" w:sz="4" w:space="0"/>
            </w:tcBorders>
            <w:noWrap/>
          </w:tcPr>
          <w:p w14:paraId="040C831D">
            <w:pPr>
              <w:rPr>
                <w:szCs w:val="20"/>
              </w:rPr>
            </w:pPr>
          </w:p>
        </w:tc>
        <w:tc>
          <w:tcPr>
            <w:tcW w:w="2607" w:type="dxa"/>
            <w:tcBorders>
              <w:top w:val="single" w:color="7E7E7E" w:themeColor="text1" w:themeTint="80" w:sz="4" w:space="0"/>
              <w:bottom w:val="single" w:color="7E7E7E" w:themeColor="text1" w:themeTint="80" w:sz="4" w:space="0"/>
              <w:insideH w:val="single" w:sz="4" w:space="0"/>
            </w:tcBorders>
            <w:noWrap/>
          </w:tcPr>
          <w:p w14:paraId="16D05586">
            <w:pPr>
              <w:rPr>
                <w:b/>
                <w:bCs/>
                <w:color w:val="000000"/>
                <w:szCs w:val="20"/>
              </w:rPr>
            </w:pPr>
            <w:r>
              <w:rPr>
                <w:b/>
                <w:bCs/>
                <w:color w:val="000000"/>
                <w:szCs w:val="20"/>
              </w:rPr>
              <w:t>Jumlah</w:t>
            </w:r>
          </w:p>
        </w:tc>
        <w:tc>
          <w:tcPr>
            <w:tcW w:w="1248" w:type="dxa"/>
            <w:tcBorders>
              <w:top w:val="single" w:color="7E7E7E" w:themeColor="text1" w:themeTint="80" w:sz="4" w:space="0"/>
              <w:bottom w:val="single" w:color="7E7E7E" w:themeColor="text1" w:themeTint="80" w:sz="4" w:space="0"/>
              <w:insideH w:val="single" w:sz="4" w:space="0"/>
            </w:tcBorders>
            <w:noWrap/>
          </w:tcPr>
          <w:p w14:paraId="1286A313">
            <w:pPr>
              <w:jc w:val="center"/>
              <w:rPr>
                <w:b/>
                <w:bCs/>
                <w:color w:val="000000"/>
                <w:szCs w:val="20"/>
              </w:rPr>
            </w:pPr>
            <w:r>
              <w:rPr>
                <w:b/>
                <w:bCs/>
                <w:color w:val="000000"/>
                <w:szCs w:val="20"/>
              </w:rPr>
              <w:t>70</w:t>
            </w:r>
          </w:p>
        </w:tc>
        <w:tc>
          <w:tcPr>
            <w:tcW w:w="1248" w:type="dxa"/>
            <w:tcBorders>
              <w:top w:val="single" w:color="7E7E7E" w:themeColor="text1" w:themeTint="80" w:sz="4" w:space="0"/>
              <w:bottom w:val="single" w:color="7E7E7E" w:themeColor="text1" w:themeTint="80" w:sz="4" w:space="0"/>
              <w:insideH w:val="single" w:sz="4" w:space="0"/>
            </w:tcBorders>
            <w:noWrap/>
          </w:tcPr>
          <w:p w14:paraId="34E1650C">
            <w:pPr>
              <w:jc w:val="center"/>
              <w:rPr>
                <w:b/>
                <w:bCs/>
                <w:color w:val="000000"/>
                <w:szCs w:val="20"/>
              </w:rPr>
            </w:pPr>
            <w:r>
              <w:rPr>
                <w:b/>
                <w:bCs/>
                <w:color w:val="000000"/>
                <w:szCs w:val="20"/>
              </w:rPr>
              <w:t>100,00</w:t>
            </w:r>
          </w:p>
        </w:tc>
      </w:tr>
    </w:tbl>
    <w:p w14:paraId="5B864C6F">
      <w:pPr>
        <w:spacing w:line="480" w:lineRule="auto"/>
        <w:jc w:val="both"/>
      </w:pPr>
      <w:r>
        <w:t>Sumber : Hasil Penelitian, 2025</w:t>
      </w:r>
    </w:p>
    <w:p w14:paraId="22FDBE89">
      <w:pPr>
        <w:spacing w:line="480" w:lineRule="auto"/>
        <w:ind w:firstLine="720"/>
        <w:jc w:val="both"/>
      </w:pPr>
      <w:r>
        <w:t xml:space="preserve">Berdasarkan Tabel 4.1, diketahui bahwa dari 70 orang responden pelaku UMKM </w:t>
      </w:r>
      <w:r>
        <w:rPr>
          <w:lang w:val="en-US"/>
        </w:rPr>
        <w:t>Makanan Dan Minuman Di Lubuk Pakam</w:t>
      </w:r>
      <w:r>
        <w:t>, mayoritas berjenis kelamin perempuan, yaitu sebanyak 50 orang (71,43%), sedangkan laki-laki berjumlah 20 orang (28,57%). Hal ini menunjukkan bahwa sebagian besar pelaku UMKM di wilayah ini didominasi oleh kaum perempuan.</w:t>
      </w:r>
    </w:p>
    <w:p w14:paraId="33B0C5DE">
      <w:pPr>
        <w:spacing w:line="480" w:lineRule="auto"/>
        <w:ind w:firstLine="720"/>
        <w:jc w:val="both"/>
      </w:pPr>
      <w:r>
        <w:t>Dari segi usia, responden terbanyak berada pada rentang 35 – 44 tahun sebanyak 30 orang (42,86%), kemudian diikuti oleh usia 25 – 34 tahun sebanyak 18 orang (25,71%), usia ≥ 45 tahun sebanyak 17 orang (24,29%), dan usia &lt; 25 tahun sebanyak 5 orang (7,14%). Data ini menunjukkan bahwa pelaku UMKM didominasi oleh kelompok usia produktif.</w:t>
      </w:r>
    </w:p>
    <w:p w14:paraId="3593BB04">
      <w:pPr>
        <w:spacing w:line="480" w:lineRule="auto"/>
        <w:ind w:firstLine="720"/>
        <w:jc w:val="both"/>
      </w:pPr>
      <w:r>
        <w:t>Berdasarkan pendidikan terakhir, mayoritas responden memiliki pendidikan pada jenjang SMA/SMK, yaitu sebanyak 40 orang (57,14%), diikuti oleh pendidikan SMP sebanyak 15 orang (21,43%), Diploma sebanyak 6 orang (8,57%), Sarjana (S1) sebanyak 5 orang (7,14%), dan SD sebanyak 4 orang (5,71%). Ini menggambarkan bahwa sebagian besar pelaku UMKM telah menyelesaikan pendidikan menengah atas.</w:t>
      </w:r>
    </w:p>
    <w:p w14:paraId="07F31FA2">
      <w:pPr>
        <w:spacing w:line="480" w:lineRule="auto"/>
        <w:ind w:firstLine="720"/>
        <w:jc w:val="both"/>
      </w:pPr>
      <w:r>
        <w:t>Dalam hal pendapatan per bulan, sebagian besar responden memiliki pendapatan pada kisaran Rp3.000.000 – Rp3.999.999, yaitu sebanyak 28 orang (40,00%), diikuti oleh pendapatan Rp2.000.000 – Rp2.999.999 sebanyak 22 orang (31,43%), pendapatan ≥ Rp4.000.000 sebanyak 14 orang (20,00%), dan pendapatan &lt; Rp2.000.000 sebanyak 6 orang (8,57%). Hal ini menunjukkan bahwa mayoritas pelaku UMKM memiliki penghasilan menengah ke bawah.</w:t>
      </w:r>
    </w:p>
    <w:p w14:paraId="50D4E923">
      <w:pPr>
        <w:spacing w:line="480" w:lineRule="auto"/>
        <w:ind w:right="3"/>
        <w:jc w:val="both"/>
        <w:rPr>
          <w:b/>
        </w:rPr>
      </w:pPr>
      <w:r>
        <w:rPr>
          <w:b/>
        </w:rPr>
        <w:t>4.2.2</w:t>
      </w:r>
      <w:r>
        <w:rPr>
          <w:b/>
        </w:rPr>
        <w:tab/>
      </w:r>
      <w:r>
        <w:rPr>
          <w:b/>
        </w:rPr>
        <w:t>Deskripsi Jawaban Responden</w:t>
      </w:r>
    </w:p>
    <w:p w14:paraId="1861804D">
      <w:pPr>
        <w:adjustRightInd w:val="0"/>
        <w:spacing w:line="480" w:lineRule="auto"/>
        <w:ind w:firstLine="720"/>
        <w:jc w:val="both"/>
        <w:rPr>
          <w:rStyle w:val="36"/>
        </w:rPr>
      </w:pPr>
      <w:r>
        <w:t xml:space="preserve">Berdasarkan hasil penelitian yang telah dilakukan terhadap 70 responden melalui penyebaran kuisioner kepada </w:t>
      </w:r>
      <w:r>
        <w:rPr>
          <w:lang w:val="en-US"/>
        </w:rPr>
        <w:t>Pelaku UMKM Makanan Dan Minuman Di Lubuk Pakam</w:t>
      </w:r>
      <w:r>
        <w:t xml:space="preserve">, berikut adalah distribusi jawaban responden. Kuisioner tersebut meliputi variabel </w:t>
      </w:r>
      <w:r>
        <w:rPr>
          <w:lang w:val="en-US"/>
        </w:rPr>
        <w:t>Pemahaman Perpajakan</w:t>
      </w:r>
      <w:r>
        <w:t xml:space="preserve"> (X</w:t>
      </w:r>
      <w:r>
        <w:rPr>
          <w:vertAlign w:val="subscript"/>
        </w:rPr>
        <w:t>1</w:t>
      </w:r>
      <w:r>
        <w:t xml:space="preserve">), </w:t>
      </w:r>
      <w:r>
        <w:rPr>
          <w:lang w:val="en-US"/>
        </w:rPr>
        <w:t xml:space="preserve">Kesadaran Wajib Pajak </w:t>
      </w:r>
      <w:r>
        <w:t>(X</w:t>
      </w:r>
      <w:r>
        <w:rPr>
          <w:vertAlign w:val="subscript"/>
        </w:rPr>
        <w:t>2</w:t>
      </w:r>
      <w:r>
        <w:t xml:space="preserve">), </w:t>
      </w:r>
      <w:r>
        <w:rPr>
          <w:lang w:val="en-US"/>
        </w:rPr>
        <w:t>Penurunan Tarif Pajak PP No 23 Tahun 2018</w:t>
      </w:r>
      <w:r>
        <w:t xml:space="preserve"> (X</w:t>
      </w:r>
      <w:r>
        <w:rPr>
          <w:vertAlign w:val="subscript"/>
        </w:rPr>
        <w:t>3</w:t>
      </w:r>
      <w:r>
        <w:t xml:space="preserve">), dan variabel terikat </w:t>
      </w:r>
      <w:r>
        <w:rPr>
          <w:lang w:val="en-US"/>
        </w:rPr>
        <w:t xml:space="preserve">Kepatuhan Wajib Pajak </w:t>
      </w:r>
      <w:r>
        <w:t>(Y).</w:t>
      </w:r>
      <w:r>
        <w:rPr>
          <w:rStyle w:val="36"/>
        </w:rPr>
        <w:t xml:space="preserve"> Dikarenakan terdapat lima alternatif jawaban maka penyusunan tabel dari skor rata-rata setiap item menjadi lima klasifikasi disajikan sebagai berikut :</w:t>
      </w:r>
    </w:p>
    <w:p w14:paraId="29098A75">
      <w:pPr>
        <w:jc w:val="center"/>
        <w:rPr>
          <w:rStyle w:val="36"/>
          <w:b/>
        </w:rPr>
      </w:pPr>
      <w:r>
        <w:rPr>
          <w:rStyle w:val="36"/>
          <w:b/>
        </w:rPr>
        <w:t>Tabel 4.2</w:t>
      </w:r>
    </w:p>
    <w:p w14:paraId="5D989D21">
      <w:pPr>
        <w:spacing w:after="120"/>
        <w:jc w:val="center"/>
        <w:rPr>
          <w:b/>
        </w:rPr>
      </w:pPr>
      <w:r>
        <w:rPr>
          <w:rStyle w:val="36"/>
          <w:b/>
        </w:rPr>
        <w:t>Kriteria Skor Variabel</w:t>
      </w:r>
    </w:p>
    <w:tbl>
      <w:tblPr>
        <w:tblStyle w:val="8"/>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8"/>
        <w:gridCol w:w="3114"/>
      </w:tblGrid>
      <w:tr w14:paraId="7AB3878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Borders>
              <w:top w:val="single" w:color="auto" w:sz="4" w:space="0"/>
              <w:bottom w:val="single" w:color="auto" w:sz="4" w:space="0"/>
            </w:tcBorders>
          </w:tcPr>
          <w:p w14:paraId="3B0EB7A7">
            <w:pPr>
              <w:pStyle w:val="37"/>
              <w:ind w:right="38" w:firstLine="0"/>
              <w:jc w:val="center"/>
              <w:rPr>
                <w:b/>
                <w:i/>
                <w:sz w:val="20"/>
                <w:szCs w:val="20"/>
              </w:rPr>
            </w:pPr>
            <w:r>
              <w:rPr>
                <w:b/>
                <w:i/>
                <w:sz w:val="20"/>
                <w:szCs w:val="20"/>
              </w:rPr>
              <w:t>Interval</w:t>
            </w:r>
            <w:r>
              <w:rPr>
                <w:b/>
                <w:i/>
                <w:spacing w:val="-3"/>
                <w:sz w:val="20"/>
                <w:szCs w:val="20"/>
              </w:rPr>
              <w:t xml:space="preserve"> </w:t>
            </w:r>
            <w:r>
              <w:rPr>
                <w:b/>
                <w:i/>
                <w:sz w:val="20"/>
                <w:szCs w:val="20"/>
              </w:rPr>
              <w:t>Mean</w:t>
            </w:r>
          </w:p>
        </w:tc>
        <w:tc>
          <w:tcPr>
            <w:tcW w:w="3114" w:type="dxa"/>
            <w:tcBorders>
              <w:top w:val="single" w:color="auto" w:sz="4" w:space="0"/>
              <w:bottom w:val="single" w:color="auto" w:sz="4" w:space="0"/>
            </w:tcBorders>
          </w:tcPr>
          <w:p w14:paraId="245FA03F">
            <w:pPr>
              <w:pStyle w:val="37"/>
              <w:ind w:right="-1" w:firstLine="0"/>
              <w:jc w:val="center"/>
              <w:rPr>
                <w:b/>
                <w:sz w:val="20"/>
                <w:szCs w:val="20"/>
              </w:rPr>
            </w:pPr>
            <w:r>
              <w:rPr>
                <w:b/>
                <w:sz w:val="20"/>
                <w:szCs w:val="20"/>
              </w:rPr>
              <w:t>Kategori</w:t>
            </w:r>
          </w:p>
        </w:tc>
      </w:tr>
      <w:tr w14:paraId="0AA7807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Borders>
              <w:top w:val="single" w:color="auto" w:sz="4" w:space="0"/>
            </w:tcBorders>
          </w:tcPr>
          <w:p w14:paraId="4A6AE494">
            <w:pPr>
              <w:pStyle w:val="37"/>
              <w:ind w:right="38" w:firstLine="0"/>
              <w:jc w:val="center"/>
              <w:rPr>
                <w:sz w:val="20"/>
                <w:szCs w:val="20"/>
              </w:rPr>
            </w:pPr>
            <w:r>
              <w:rPr>
                <w:sz w:val="20"/>
                <w:szCs w:val="20"/>
              </w:rPr>
              <w:t>1,00</w:t>
            </w:r>
            <w:r>
              <w:rPr>
                <w:spacing w:val="-1"/>
                <w:sz w:val="20"/>
                <w:szCs w:val="20"/>
              </w:rPr>
              <w:t xml:space="preserve"> </w:t>
            </w:r>
            <w:r>
              <w:rPr>
                <w:sz w:val="20"/>
                <w:szCs w:val="20"/>
              </w:rPr>
              <w:t>–</w:t>
            </w:r>
            <w:r>
              <w:rPr>
                <w:spacing w:val="1"/>
                <w:sz w:val="20"/>
                <w:szCs w:val="20"/>
              </w:rPr>
              <w:t xml:space="preserve"> </w:t>
            </w:r>
            <w:r>
              <w:rPr>
                <w:sz w:val="20"/>
                <w:szCs w:val="20"/>
              </w:rPr>
              <w:t>1,79</w:t>
            </w:r>
          </w:p>
        </w:tc>
        <w:tc>
          <w:tcPr>
            <w:tcW w:w="3114" w:type="dxa"/>
            <w:tcBorders>
              <w:top w:val="single" w:color="auto" w:sz="4" w:space="0"/>
            </w:tcBorders>
          </w:tcPr>
          <w:p w14:paraId="3DFBB936">
            <w:pPr>
              <w:pStyle w:val="37"/>
              <w:ind w:right="-1" w:firstLine="0"/>
              <w:jc w:val="center"/>
              <w:rPr>
                <w:sz w:val="20"/>
                <w:szCs w:val="20"/>
              </w:rPr>
            </w:pPr>
            <w:r>
              <w:rPr>
                <w:sz w:val="20"/>
                <w:szCs w:val="20"/>
              </w:rPr>
              <w:t>Sangat</w:t>
            </w:r>
            <w:r>
              <w:rPr>
                <w:spacing w:val="-2"/>
                <w:sz w:val="20"/>
                <w:szCs w:val="20"/>
              </w:rPr>
              <w:t xml:space="preserve"> </w:t>
            </w:r>
            <w:r>
              <w:rPr>
                <w:sz w:val="20"/>
                <w:szCs w:val="20"/>
              </w:rPr>
              <w:t>Tidak Setuju</w:t>
            </w:r>
            <w:r>
              <w:rPr>
                <w:spacing w:val="-4"/>
                <w:sz w:val="20"/>
                <w:szCs w:val="20"/>
              </w:rPr>
              <w:t xml:space="preserve"> </w:t>
            </w:r>
            <w:r>
              <w:rPr>
                <w:sz w:val="20"/>
                <w:szCs w:val="20"/>
              </w:rPr>
              <w:t>(STS)</w:t>
            </w:r>
          </w:p>
        </w:tc>
      </w:tr>
      <w:tr w14:paraId="0E2E3B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546BFEE0">
            <w:pPr>
              <w:pStyle w:val="37"/>
              <w:ind w:right="38" w:firstLine="0"/>
              <w:jc w:val="center"/>
              <w:rPr>
                <w:sz w:val="20"/>
                <w:szCs w:val="20"/>
              </w:rPr>
            </w:pPr>
            <w:r>
              <w:rPr>
                <w:sz w:val="20"/>
                <w:szCs w:val="20"/>
              </w:rPr>
              <w:t>1,80</w:t>
            </w:r>
            <w:r>
              <w:rPr>
                <w:spacing w:val="-1"/>
                <w:sz w:val="20"/>
                <w:szCs w:val="20"/>
              </w:rPr>
              <w:t xml:space="preserve"> </w:t>
            </w:r>
            <w:r>
              <w:rPr>
                <w:sz w:val="20"/>
                <w:szCs w:val="20"/>
              </w:rPr>
              <w:t>–</w:t>
            </w:r>
            <w:r>
              <w:rPr>
                <w:spacing w:val="1"/>
                <w:sz w:val="20"/>
                <w:szCs w:val="20"/>
              </w:rPr>
              <w:t xml:space="preserve"> </w:t>
            </w:r>
            <w:r>
              <w:rPr>
                <w:sz w:val="20"/>
                <w:szCs w:val="20"/>
              </w:rPr>
              <w:t>2,59</w:t>
            </w:r>
          </w:p>
        </w:tc>
        <w:tc>
          <w:tcPr>
            <w:tcW w:w="3114" w:type="dxa"/>
          </w:tcPr>
          <w:p w14:paraId="4E30A3E5">
            <w:pPr>
              <w:pStyle w:val="37"/>
              <w:ind w:right="-1" w:firstLine="0"/>
              <w:jc w:val="center"/>
              <w:rPr>
                <w:sz w:val="20"/>
                <w:szCs w:val="20"/>
              </w:rPr>
            </w:pPr>
            <w:r>
              <w:rPr>
                <w:sz w:val="20"/>
                <w:szCs w:val="20"/>
              </w:rPr>
              <w:t>Tidak</w:t>
            </w:r>
            <w:r>
              <w:rPr>
                <w:spacing w:val="-1"/>
                <w:sz w:val="20"/>
                <w:szCs w:val="20"/>
              </w:rPr>
              <w:t xml:space="preserve"> </w:t>
            </w:r>
            <w:r>
              <w:rPr>
                <w:sz w:val="20"/>
                <w:szCs w:val="20"/>
              </w:rPr>
              <w:t>Setuju</w:t>
            </w:r>
            <w:r>
              <w:rPr>
                <w:spacing w:val="-1"/>
                <w:sz w:val="20"/>
                <w:szCs w:val="20"/>
              </w:rPr>
              <w:t xml:space="preserve"> </w:t>
            </w:r>
            <w:r>
              <w:rPr>
                <w:sz w:val="20"/>
                <w:szCs w:val="20"/>
              </w:rPr>
              <w:t>(TS)</w:t>
            </w:r>
          </w:p>
        </w:tc>
      </w:tr>
      <w:tr w14:paraId="00083E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16C58CDC">
            <w:pPr>
              <w:pStyle w:val="37"/>
              <w:ind w:right="38" w:firstLine="0"/>
              <w:jc w:val="center"/>
              <w:rPr>
                <w:sz w:val="20"/>
                <w:szCs w:val="20"/>
              </w:rPr>
            </w:pPr>
            <w:r>
              <w:rPr>
                <w:sz w:val="20"/>
                <w:szCs w:val="20"/>
              </w:rPr>
              <w:t>2,60</w:t>
            </w:r>
            <w:r>
              <w:rPr>
                <w:spacing w:val="-1"/>
                <w:sz w:val="20"/>
                <w:szCs w:val="20"/>
              </w:rPr>
              <w:t xml:space="preserve"> </w:t>
            </w:r>
            <w:r>
              <w:rPr>
                <w:sz w:val="20"/>
                <w:szCs w:val="20"/>
              </w:rPr>
              <w:t>–</w:t>
            </w:r>
            <w:r>
              <w:rPr>
                <w:spacing w:val="1"/>
                <w:sz w:val="20"/>
                <w:szCs w:val="20"/>
              </w:rPr>
              <w:t xml:space="preserve"> </w:t>
            </w:r>
            <w:r>
              <w:rPr>
                <w:sz w:val="20"/>
                <w:szCs w:val="20"/>
              </w:rPr>
              <w:t>3,39</w:t>
            </w:r>
          </w:p>
        </w:tc>
        <w:tc>
          <w:tcPr>
            <w:tcW w:w="3114" w:type="dxa"/>
          </w:tcPr>
          <w:p w14:paraId="29422B4A">
            <w:pPr>
              <w:pStyle w:val="37"/>
              <w:ind w:right="-1" w:firstLine="0"/>
              <w:jc w:val="center"/>
              <w:rPr>
                <w:sz w:val="20"/>
                <w:szCs w:val="20"/>
              </w:rPr>
            </w:pPr>
            <w:r>
              <w:rPr>
                <w:sz w:val="20"/>
                <w:szCs w:val="20"/>
              </w:rPr>
              <w:t>Kurang</w:t>
            </w:r>
            <w:r>
              <w:rPr>
                <w:spacing w:val="-1"/>
                <w:sz w:val="20"/>
                <w:szCs w:val="20"/>
              </w:rPr>
              <w:t xml:space="preserve"> </w:t>
            </w:r>
            <w:r>
              <w:rPr>
                <w:sz w:val="20"/>
                <w:szCs w:val="20"/>
              </w:rPr>
              <w:t>Setuju</w:t>
            </w:r>
            <w:r>
              <w:rPr>
                <w:spacing w:val="-3"/>
                <w:sz w:val="20"/>
                <w:szCs w:val="20"/>
              </w:rPr>
              <w:t xml:space="preserve"> </w:t>
            </w:r>
            <w:r>
              <w:rPr>
                <w:sz w:val="20"/>
                <w:szCs w:val="20"/>
              </w:rPr>
              <w:t>(KS)</w:t>
            </w:r>
          </w:p>
        </w:tc>
      </w:tr>
      <w:tr w14:paraId="2C62A8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77DB3865">
            <w:pPr>
              <w:pStyle w:val="37"/>
              <w:ind w:right="38" w:firstLine="0"/>
              <w:jc w:val="center"/>
              <w:rPr>
                <w:sz w:val="20"/>
                <w:szCs w:val="20"/>
              </w:rPr>
            </w:pPr>
            <w:r>
              <w:rPr>
                <w:sz w:val="20"/>
                <w:szCs w:val="20"/>
              </w:rPr>
              <w:t>3,40</w:t>
            </w:r>
            <w:r>
              <w:rPr>
                <w:spacing w:val="-1"/>
                <w:sz w:val="20"/>
                <w:szCs w:val="20"/>
              </w:rPr>
              <w:t xml:space="preserve"> </w:t>
            </w:r>
            <w:r>
              <w:rPr>
                <w:sz w:val="20"/>
                <w:szCs w:val="20"/>
              </w:rPr>
              <w:t>–</w:t>
            </w:r>
            <w:r>
              <w:rPr>
                <w:spacing w:val="1"/>
                <w:sz w:val="20"/>
                <w:szCs w:val="20"/>
              </w:rPr>
              <w:t xml:space="preserve"> </w:t>
            </w:r>
            <w:r>
              <w:rPr>
                <w:sz w:val="20"/>
                <w:szCs w:val="20"/>
              </w:rPr>
              <w:t>4,19</w:t>
            </w:r>
          </w:p>
        </w:tc>
        <w:tc>
          <w:tcPr>
            <w:tcW w:w="3114" w:type="dxa"/>
          </w:tcPr>
          <w:p w14:paraId="0F184544">
            <w:pPr>
              <w:pStyle w:val="37"/>
              <w:ind w:right="-1" w:firstLine="0"/>
              <w:jc w:val="center"/>
              <w:rPr>
                <w:sz w:val="20"/>
                <w:szCs w:val="20"/>
              </w:rPr>
            </w:pPr>
            <w:r>
              <w:rPr>
                <w:sz w:val="20"/>
                <w:szCs w:val="20"/>
              </w:rPr>
              <w:t>Setuju</w:t>
            </w:r>
            <w:r>
              <w:rPr>
                <w:spacing w:val="-1"/>
                <w:sz w:val="20"/>
                <w:szCs w:val="20"/>
              </w:rPr>
              <w:t xml:space="preserve"> </w:t>
            </w:r>
            <w:r>
              <w:rPr>
                <w:sz w:val="20"/>
                <w:szCs w:val="20"/>
              </w:rPr>
              <w:t>(S)</w:t>
            </w:r>
          </w:p>
        </w:tc>
      </w:tr>
      <w:tr w14:paraId="3408B7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698" w:type="dxa"/>
          </w:tcPr>
          <w:p w14:paraId="5BC69B1D">
            <w:pPr>
              <w:pStyle w:val="37"/>
              <w:ind w:right="38" w:firstLine="0"/>
              <w:jc w:val="center"/>
              <w:rPr>
                <w:sz w:val="20"/>
                <w:szCs w:val="20"/>
              </w:rPr>
            </w:pPr>
            <w:r>
              <w:rPr>
                <w:sz w:val="20"/>
                <w:szCs w:val="20"/>
              </w:rPr>
              <w:t>4,20</w:t>
            </w:r>
            <w:r>
              <w:rPr>
                <w:spacing w:val="-1"/>
                <w:sz w:val="20"/>
                <w:szCs w:val="20"/>
              </w:rPr>
              <w:t xml:space="preserve"> </w:t>
            </w:r>
            <w:r>
              <w:rPr>
                <w:sz w:val="20"/>
                <w:szCs w:val="20"/>
              </w:rPr>
              <w:t>–</w:t>
            </w:r>
            <w:r>
              <w:rPr>
                <w:spacing w:val="1"/>
                <w:sz w:val="20"/>
                <w:szCs w:val="20"/>
              </w:rPr>
              <w:t xml:space="preserve"> </w:t>
            </w:r>
            <w:r>
              <w:rPr>
                <w:sz w:val="20"/>
                <w:szCs w:val="20"/>
              </w:rPr>
              <w:t>5,00</w:t>
            </w:r>
          </w:p>
        </w:tc>
        <w:tc>
          <w:tcPr>
            <w:tcW w:w="3114" w:type="dxa"/>
          </w:tcPr>
          <w:p w14:paraId="4A1B5DD7">
            <w:pPr>
              <w:pStyle w:val="37"/>
              <w:ind w:right="-1" w:firstLine="0"/>
              <w:jc w:val="center"/>
              <w:rPr>
                <w:sz w:val="20"/>
                <w:szCs w:val="20"/>
              </w:rPr>
            </w:pPr>
            <w:r>
              <w:rPr>
                <w:sz w:val="20"/>
                <w:szCs w:val="20"/>
              </w:rPr>
              <w:t>Sangat</w:t>
            </w:r>
            <w:r>
              <w:rPr>
                <w:spacing w:val="-2"/>
                <w:sz w:val="20"/>
                <w:szCs w:val="20"/>
              </w:rPr>
              <w:t xml:space="preserve"> </w:t>
            </w:r>
            <w:r>
              <w:rPr>
                <w:sz w:val="20"/>
                <w:szCs w:val="20"/>
              </w:rPr>
              <w:t>Setuju (SS)</w:t>
            </w:r>
          </w:p>
        </w:tc>
      </w:tr>
    </w:tbl>
    <w:p w14:paraId="20048C5F">
      <w:pPr>
        <w:spacing w:line="480" w:lineRule="auto"/>
        <w:ind w:firstLine="720"/>
        <w:jc w:val="both"/>
      </w:pPr>
      <w:r>
        <w:t>Sumber : Hasil Penelitian, 2025</w:t>
      </w:r>
    </w:p>
    <w:p w14:paraId="2BD5BBF1">
      <w:pPr>
        <w:jc w:val="center"/>
        <w:rPr>
          <w:rFonts w:eastAsia="Calibri"/>
          <w:b/>
          <w:lang w:val="id"/>
        </w:rPr>
      </w:pPr>
    </w:p>
    <w:p w14:paraId="50ECD3ED">
      <w:pPr>
        <w:jc w:val="center"/>
        <w:rPr>
          <w:rFonts w:eastAsia="Calibri"/>
          <w:b/>
          <w:lang w:val="id"/>
        </w:rPr>
      </w:pPr>
    </w:p>
    <w:p w14:paraId="2EA9B578">
      <w:pPr>
        <w:jc w:val="center"/>
        <w:rPr>
          <w:rFonts w:eastAsia="Calibri"/>
          <w:b/>
          <w:lang w:val="id"/>
        </w:rPr>
      </w:pPr>
    </w:p>
    <w:p w14:paraId="2BAB14C2">
      <w:pPr>
        <w:jc w:val="center"/>
        <w:rPr>
          <w:rFonts w:eastAsia="Calibri"/>
          <w:b/>
          <w:lang w:val="id"/>
        </w:rPr>
      </w:pPr>
      <w:r>
        <w:rPr>
          <w:rFonts w:eastAsia="Calibri"/>
          <w:b/>
          <w:lang w:val="id"/>
        </w:rPr>
        <w:t>Tabel 4.3</w:t>
      </w:r>
    </w:p>
    <w:p w14:paraId="6529984B">
      <w:pPr>
        <w:autoSpaceDE w:val="0"/>
        <w:autoSpaceDN w:val="0"/>
        <w:adjustRightInd w:val="0"/>
        <w:jc w:val="center"/>
        <w:rPr>
          <w:rFonts w:eastAsia="Calibri"/>
        </w:rPr>
      </w:pPr>
      <w:r>
        <w:rPr>
          <w:rFonts w:eastAsia="Calibri"/>
          <w:b/>
          <w:lang w:val="id"/>
        </w:rPr>
        <w:t>Frekuensi Jawaban Responden Variabel Pemahaman Perpajakan (X</w:t>
      </w:r>
      <w:r>
        <w:rPr>
          <w:rFonts w:eastAsia="Calibri"/>
          <w:b/>
          <w:vertAlign w:val="subscript"/>
          <w:lang w:val="id"/>
        </w:rPr>
        <w:t>1</w:t>
      </w:r>
      <w:r>
        <w:rPr>
          <w:rFonts w:eastAsia="Calibri"/>
          <w:b/>
          <w:lang w:val="id"/>
        </w:rPr>
        <w:t>)</w:t>
      </w:r>
    </w:p>
    <w:tbl>
      <w:tblPr>
        <w:tblStyle w:val="27"/>
        <w:tblW w:w="5268" w:type="pct"/>
        <w:tblInd w:w="-426"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39"/>
        <w:gridCol w:w="878"/>
        <w:gridCol w:w="878"/>
        <w:gridCol w:w="997"/>
        <w:gridCol w:w="997"/>
        <w:gridCol w:w="997"/>
        <w:gridCol w:w="1203"/>
        <w:gridCol w:w="802"/>
      </w:tblGrid>
      <w:tr w14:paraId="08BADCB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trPr>
        <w:tc>
          <w:tcPr>
            <w:tcW w:w="1071" w:type="pct"/>
            <w:vMerge w:val="restart"/>
            <w:tcBorders>
              <w:bottom w:val="single" w:color="7E7E7E" w:themeColor="text1" w:themeTint="80" w:sz="4" w:space="0"/>
              <w:insideH w:val="single" w:sz="4" w:space="0"/>
            </w:tcBorders>
          </w:tcPr>
          <w:p w14:paraId="6DEC1522">
            <w:pPr>
              <w:jc w:val="center"/>
              <w:rPr>
                <w:b/>
                <w:bCs w:val="0"/>
                <w:sz w:val="20"/>
                <w:szCs w:val="20"/>
                <w:lang w:val="id"/>
              </w:rPr>
            </w:pPr>
            <w:r>
              <w:rPr>
                <w:b/>
                <w:bCs w:val="0"/>
                <w:sz w:val="20"/>
                <w:szCs w:val="20"/>
                <w:lang w:val="id"/>
              </w:rPr>
              <w:t>Pernyataan</w:t>
            </w:r>
          </w:p>
        </w:tc>
        <w:tc>
          <w:tcPr>
            <w:tcW w:w="2761" w:type="pct"/>
            <w:gridSpan w:val="5"/>
            <w:tcBorders>
              <w:bottom w:val="single" w:color="7E7E7E" w:themeColor="text1" w:themeTint="80" w:sz="4" w:space="0"/>
              <w:insideH w:val="single" w:sz="4" w:space="0"/>
            </w:tcBorders>
          </w:tcPr>
          <w:p w14:paraId="1E079D31">
            <w:pPr>
              <w:jc w:val="center"/>
              <w:rPr>
                <w:b/>
                <w:bCs w:val="0"/>
                <w:color w:val="000000"/>
                <w:sz w:val="20"/>
                <w:szCs w:val="20"/>
                <w:lang w:eastAsia="id-ID"/>
              </w:rPr>
            </w:pPr>
            <w:r>
              <w:rPr>
                <w:b/>
                <w:bCs w:val="0"/>
                <w:sz w:val="20"/>
                <w:szCs w:val="20"/>
                <w:lang w:val="id"/>
              </w:rPr>
              <w:t>Kategori Jawaban Responden</w:t>
            </w:r>
          </w:p>
        </w:tc>
        <w:tc>
          <w:tcPr>
            <w:tcW w:w="700" w:type="pct"/>
            <w:vMerge w:val="restart"/>
            <w:tcBorders>
              <w:bottom w:val="single" w:color="7E7E7E" w:themeColor="text1" w:themeTint="80" w:sz="4" w:space="0"/>
              <w:insideH w:val="single" w:sz="4" w:space="0"/>
            </w:tcBorders>
          </w:tcPr>
          <w:p w14:paraId="7E52D623">
            <w:pPr>
              <w:jc w:val="center"/>
              <w:rPr>
                <w:b/>
                <w:bCs w:val="0"/>
                <w:sz w:val="20"/>
                <w:szCs w:val="20"/>
              </w:rPr>
            </w:pPr>
            <w:r>
              <w:rPr>
                <w:b/>
                <w:bCs w:val="0"/>
                <w:sz w:val="20"/>
                <w:szCs w:val="20"/>
                <w:lang w:val="id"/>
              </w:rPr>
              <w:t>Deviation</w:t>
            </w:r>
          </w:p>
        </w:tc>
        <w:tc>
          <w:tcPr>
            <w:tcW w:w="469" w:type="pct"/>
            <w:vMerge w:val="restart"/>
            <w:tcBorders>
              <w:bottom w:val="single" w:color="7E7E7E" w:themeColor="text1" w:themeTint="80" w:sz="4" w:space="0"/>
              <w:insideH w:val="single" w:sz="4" w:space="0"/>
            </w:tcBorders>
          </w:tcPr>
          <w:p w14:paraId="0A2A1931">
            <w:pPr>
              <w:jc w:val="center"/>
              <w:rPr>
                <w:b/>
                <w:bCs w:val="0"/>
                <w:sz w:val="20"/>
                <w:szCs w:val="20"/>
              </w:rPr>
            </w:pPr>
            <w:r>
              <w:rPr>
                <w:b/>
                <w:bCs w:val="0"/>
                <w:sz w:val="20"/>
                <w:szCs w:val="20"/>
                <w:lang w:val="id"/>
              </w:rPr>
              <w:t>Mean</w:t>
            </w:r>
          </w:p>
        </w:tc>
      </w:tr>
      <w:tr w14:paraId="4F0A51D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trPr>
        <w:tc>
          <w:tcPr>
            <w:tcW w:w="1071" w:type="pct"/>
            <w:vMerge w:val="continue"/>
            <w:tcBorders>
              <w:bottom w:val="single" w:color="7E7E7E" w:themeColor="text1" w:themeTint="80" w:sz="4" w:space="0"/>
              <w:insideH w:val="single" w:sz="4" w:space="0"/>
            </w:tcBorders>
          </w:tcPr>
          <w:p w14:paraId="0E5F2C62">
            <w:pPr>
              <w:jc w:val="center"/>
              <w:rPr>
                <w:b/>
                <w:bCs/>
                <w:color w:val="000000"/>
                <w:sz w:val="20"/>
                <w:szCs w:val="20"/>
                <w:lang w:eastAsia="id-ID"/>
              </w:rPr>
            </w:pPr>
          </w:p>
        </w:tc>
        <w:tc>
          <w:tcPr>
            <w:tcW w:w="511" w:type="pct"/>
            <w:tcBorders>
              <w:bottom w:val="single" w:color="7E7E7E" w:themeColor="text1" w:themeTint="80" w:sz="4" w:space="0"/>
              <w:insideH w:val="single" w:sz="4" w:space="0"/>
            </w:tcBorders>
          </w:tcPr>
          <w:p w14:paraId="6D56EE74">
            <w:pPr>
              <w:jc w:val="center"/>
              <w:rPr>
                <w:b w:val="0"/>
                <w:bCs/>
                <w:color w:val="000000"/>
                <w:sz w:val="20"/>
                <w:szCs w:val="20"/>
                <w:lang w:eastAsia="id-ID"/>
              </w:rPr>
            </w:pPr>
            <w:r>
              <w:rPr>
                <w:b/>
                <w:bCs/>
                <w:color w:val="000000"/>
                <w:sz w:val="20"/>
                <w:szCs w:val="20"/>
                <w:lang w:eastAsia="id-ID"/>
              </w:rPr>
              <w:t>STS</w:t>
            </w:r>
          </w:p>
          <w:p w14:paraId="432304B7">
            <w:pPr>
              <w:jc w:val="center"/>
              <w:rPr>
                <w:b w:val="0"/>
                <w:bCs/>
                <w:color w:val="000000"/>
                <w:sz w:val="20"/>
                <w:szCs w:val="20"/>
                <w:lang w:eastAsia="id-ID"/>
              </w:rPr>
            </w:pPr>
            <w:r>
              <w:rPr>
                <w:b/>
                <w:bCs/>
                <w:color w:val="000000"/>
                <w:sz w:val="20"/>
                <w:szCs w:val="20"/>
                <w:lang w:eastAsia="id-ID"/>
              </w:rPr>
              <w:t>(%)</w:t>
            </w:r>
          </w:p>
        </w:tc>
        <w:tc>
          <w:tcPr>
            <w:tcW w:w="511" w:type="pct"/>
            <w:tcBorders>
              <w:bottom w:val="single" w:color="7E7E7E" w:themeColor="text1" w:themeTint="80" w:sz="4" w:space="0"/>
              <w:insideH w:val="single" w:sz="4" w:space="0"/>
            </w:tcBorders>
          </w:tcPr>
          <w:p w14:paraId="64C8A4F8">
            <w:pPr>
              <w:jc w:val="center"/>
              <w:rPr>
                <w:b w:val="0"/>
                <w:bCs/>
                <w:color w:val="000000"/>
                <w:sz w:val="20"/>
                <w:szCs w:val="20"/>
                <w:lang w:eastAsia="id-ID"/>
              </w:rPr>
            </w:pPr>
            <w:r>
              <w:rPr>
                <w:b/>
                <w:bCs/>
                <w:color w:val="000000"/>
                <w:sz w:val="20"/>
                <w:szCs w:val="20"/>
                <w:lang w:eastAsia="id-ID"/>
              </w:rPr>
              <w:t>TS</w:t>
            </w:r>
          </w:p>
          <w:p w14:paraId="332B31C7">
            <w:pPr>
              <w:jc w:val="center"/>
              <w:rPr>
                <w:b w:val="0"/>
                <w:bCs/>
                <w:color w:val="000000"/>
                <w:sz w:val="20"/>
                <w:szCs w:val="20"/>
                <w:lang w:eastAsia="id-ID"/>
              </w:rPr>
            </w:pPr>
            <w:r>
              <w:rPr>
                <w:b/>
                <w:bCs/>
                <w:color w:val="000000"/>
                <w:sz w:val="20"/>
                <w:szCs w:val="20"/>
                <w:lang w:eastAsia="id-ID"/>
              </w:rPr>
              <w:t>(F%)</w:t>
            </w:r>
          </w:p>
        </w:tc>
        <w:tc>
          <w:tcPr>
            <w:tcW w:w="580" w:type="pct"/>
            <w:tcBorders>
              <w:bottom w:val="single" w:color="7E7E7E" w:themeColor="text1" w:themeTint="80" w:sz="4" w:space="0"/>
              <w:insideH w:val="single" w:sz="4" w:space="0"/>
            </w:tcBorders>
          </w:tcPr>
          <w:p w14:paraId="6E2BFCB0">
            <w:pPr>
              <w:jc w:val="center"/>
              <w:rPr>
                <w:b w:val="0"/>
                <w:bCs/>
                <w:color w:val="000000"/>
                <w:sz w:val="20"/>
                <w:szCs w:val="20"/>
                <w:lang w:eastAsia="id-ID"/>
              </w:rPr>
            </w:pPr>
            <w:r>
              <w:rPr>
                <w:b/>
                <w:bCs/>
                <w:color w:val="000000"/>
                <w:sz w:val="20"/>
                <w:szCs w:val="20"/>
                <w:lang w:eastAsia="id-ID"/>
              </w:rPr>
              <w:t>KS</w:t>
            </w:r>
          </w:p>
          <w:p w14:paraId="5598E761">
            <w:pPr>
              <w:jc w:val="center"/>
              <w:rPr>
                <w:b w:val="0"/>
                <w:bCs/>
                <w:color w:val="000000"/>
                <w:sz w:val="20"/>
                <w:szCs w:val="20"/>
                <w:lang w:eastAsia="id-ID"/>
              </w:rPr>
            </w:pPr>
            <w:r>
              <w:rPr>
                <w:b/>
                <w:bCs/>
                <w:color w:val="000000"/>
                <w:sz w:val="20"/>
                <w:szCs w:val="20"/>
                <w:lang w:eastAsia="id-ID"/>
              </w:rPr>
              <w:t>(F%)</w:t>
            </w:r>
          </w:p>
        </w:tc>
        <w:tc>
          <w:tcPr>
            <w:tcW w:w="580" w:type="pct"/>
            <w:tcBorders>
              <w:bottom w:val="single" w:color="7E7E7E" w:themeColor="text1" w:themeTint="80" w:sz="4" w:space="0"/>
              <w:insideH w:val="single" w:sz="4" w:space="0"/>
            </w:tcBorders>
          </w:tcPr>
          <w:p w14:paraId="02578A0D">
            <w:pPr>
              <w:jc w:val="center"/>
              <w:rPr>
                <w:b w:val="0"/>
                <w:bCs/>
                <w:color w:val="000000"/>
                <w:sz w:val="20"/>
                <w:szCs w:val="20"/>
                <w:lang w:eastAsia="id-ID"/>
              </w:rPr>
            </w:pPr>
            <w:r>
              <w:rPr>
                <w:b/>
                <w:bCs/>
                <w:color w:val="000000"/>
                <w:sz w:val="20"/>
                <w:szCs w:val="20"/>
                <w:lang w:eastAsia="id-ID"/>
              </w:rPr>
              <w:t>S</w:t>
            </w:r>
          </w:p>
          <w:p w14:paraId="7AD0A59E">
            <w:pPr>
              <w:jc w:val="center"/>
              <w:rPr>
                <w:b w:val="0"/>
                <w:bCs/>
                <w:color w:val="000000"/>
                <w:sz w:val="20"/>
                <w:szCs w:val="20"/>
                <w:lang w:eastAsia="id-ID"/>
              </w:rPr>
            </w:pPr>
            <w:r>
              <w:rPr>
                <w:b/>
                <w:bCs/>
                <w:color w:val="000000"/>
                <w:sz w:val="20"/>
                <w:szCs w:val="20"/>
                <w:lang w:eastAsia="id-ID"/>
              </w:rPr>
              <w:t>(%)</w:t>
            </w:r>
          </w:p>
        </w:tc>
        <w:tc>
          <w:tcPr>
            <w:tcW w:w="580" w:type="pct"/>
            <w:tcBorders>
              <w:bottom w:val="single" w:color="7E7E7E" w:themeColor="text1" w:themeTint="80" w:sz="4" w:space="0"/>
              <w:insideH w:val="single" w:sz="4" w:space="0"/>
            </w:tcBorders>
          </w:tcPr>
          <w:p w14:paraId="4E5837C5">
            <w:pPr>
              <w:jc w:val="center"/>
              <w:rPr>
                <w:b w:val="0"/>
                <w:bCs/>
                <w:color w:val="000000"/>
                <w:sz w:val="20"/>
                <w:szCs w:val="20"/>
                <w:lang w:eastAsia="id-ID"/>
              </w:rPr>
            </w:pPr>
            <w:r>
              <w:rPr>
                <w:b/>
                <w:bCs/>
                <w:color w:val="000000"/>
                <w:sz w:val="20"/>
                <w:szCs w:val="20"/>
                <w:lang w:eastAsia="id-ID"/>
              </w:rPr>
              <w:t>SS</w:t>
            </w:r>
          </w:p>
          <w:p w14:paraId="5348EAD4">
            <w:pPr>
              <w:jc w:val="center"/>
              <w:rPr>
                <w:b w:val="0"/>
                <w:bCs/>
                <w:color w:val="000000"/>
                <w:sz w:val="20"/>
                <w:szCs w:val="20"/>
                <w:lang w:eastAsia="id-ID"/>
              </w:rPr>
            </w:pPr>
            <w:r>
              <w:rPr>
                <w:b/>
                <w:bCs/>
                <w:color w:val="000000"/>
                <w:sz w:val="20"/>
                <w:szCs w:val="20"/>
                <w:lang w:eastAsia="id-ID"/>
              </w:rPr>
              <w:t>(F%)</w:t>
            </w:r>
          </w:p>
        </w:tc>
        <w:tc>
          <w:tcPr>
            <w:tcW w:w="700" w:type="pct"/>
            <w:vMerge w:val="continue"/>
            <w:tcBorders>
              <w:bottom w:val="single" w:color="7E7E7E" w:themeColor="text1" w:themeTint="80" w:sz="4" w:space="0"/>
              <w:insideH w:val="single" w:sz="4" w:space="0"/>
            </w:tcBorders>
          </w:tcPr>
          <w:p w14:paraId="3257C733">
            <w:pPr>
              <w:jc w:val="center"/>
              <w:rPr>
                <w:b/>
                <w:bCs/>
                <w:color w:val="000000"/>
                <w:sz w:val="20"/>
                <w:szCs w:val="20"/>
                <w:lang w:eastAsia="id-ID"/>
              </w:rPr>
            </w:pPr>
          </w:p>
        </w:tc>
        <w:tc>
          <w:tcPr>
            <w:tcW w:w="469" w:type="pct"/>
            <w:vMerge w:val="continue"/>
            <w:tcBorders>
              <w:bottom w:val="single" w:color="7E7E7E" w:themeColor="text1" w:themeTint="80" w:sz="4" w:space="0"/>
              <w:insideH w:val="single" w:sz="4" w:space="0"/>
            </w:tcBorders>
          </w:tcPr>
          <w:p w14:paraId="7205F8D2">
            <w:pPr>
              <w:jc w:val="center"/>
              <w:rPr>
                <w:b/>
                <w:bCs/>
                <w:color w:val="000000"/>
                <w:sz w:val="20"/>
                <w:szCs w:val="20"/>
                <w:lang w:eastAsia="id-ID"/>
              </w:rPr>
            </w:pPr>
          </w:p>
        </w:tc>
      </w:tr>
      <w:tr w14:paraId="1D792C8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14C9D18D">
            <w:pPr>
              <w:rPr>
                <w:b w:val="0"/>
                <w:bCs w:val="0"/>
                <w:sz w:val="20"/>
                <w:szCs w:val="20"/>
              </w:rPr>
            </w:pPr>
            <w:r>
              <w:rPr>
                <w:b w:val="0"/>
                <w:bCs w:val="0"/>
                <w:sz w:val="20"/>
                <w:szCs w:val="20"/>
              </w:rPr>
              <w:t>Saya paham mengenai ketentuan umum dan tata cara perpajakan terutama untuk wajib pajak orang pribadi</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10DDC647">
            <w:pPr>
              <w:jc w:val="center"/>
              <w:rPr>
                <w:color w:val="000000"/>
                <w:sz w:val="20"/>
                <w:szCs w:val="20"/>
                <w:lang w:eastAsia="id-ID"/>
              </w:rPr>
            </w:pPr>
            <w:r>
              <w:rPr>
                <w:color w:val="000000"/>
                <w:sz w:val="20"/>
                <w:szCs w:val="20"/>
                <w:lang w:eastAsia="id-ID"/>
              </w:rPr>
              <w:t>1</w:t>
            </w:r>
          </w:p>
          <w:p w14:paraId="4042E12F">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6EF31C8D">
            <w:pPr>
              <w:jc w:val="center"/>
              <w:rPr>
                <w:color w:val="000000"/>
                <w:sz w:val="20"/>
                <w:szCs w:val="20"/>
                <w:lang w:eastAsia="id-ID"/>
              </w:rPr>
            </w:pPr>
            <w:r>
              <w:rPr>
                <w:color w:val="000000"/>
                <w:sz w:val="20"/>
                <w:szCs w:val="20"/>
                <w:lang w:eastAsia="id-ID"/>
              </w:rPr>
              <w:t>5</w:t>
            </w:r>
          </w:p>
          <w:p w14:paraId="47C3E1B7">
            <w:pPr>
              <w:jc w:val="center"/>
              <w:rPr>
                <w:color w:val="000000"/>
                <w:sz w:val="20"/>
                <w:szCs w:val="20"/>
                <w:lang w:eastAsia="id-ID"/>
              </w:rPr>
            </w:pPr>
            <w:r>
              <w:rPr>
                <w:color w:val="000000"/>
                <w:sz w:val="20"/>
                <w:szCs w:val="20"/>
                <w:lang w:eastAsia="id-ID"/>
              </w:rPr>
              <w:t>(7,1%)</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402CE7B7">
            <w:pPr>
              <w:jc w:val="center"/>
              <w:rPr>
                <w:color w:val="000000"/>
                <w:sz w:val="20"/>
                <w:szCs w:val="20"/>
                <w:lang w:eastAsia="id-ID"/>
              </w:rPr>
            </w:pPr>
            <w:r>
              <w:rPr>
                <w:color w:val="000000"/>
                <w:sz w:val="20"/>
                <w:szCs w:val="20"/>
                <w:lang w:eastAsia="id-ID"/>
              </w:rPr>
              <w:t>11</w:t>
            </w:r>
          </w:p>
          <w:p w14:paraId="7102AC9A">
            <w:pPr>
              <w:jc w:val="center"/>
              <w:rPr>
                <w:color w:val="000000"/>
                <w:sz w:val="20"/>
                <w:szCs w:val="20"/>
                <w:lang w:eastAsia="id-ID"/>
              </w:rPr>
            </w:pPr>
            <w:r>
              <w:rPr>
                <w:color w:val="000000"/>
                <w:sz w:val="20"/>
                <w:szCs w:val="20"/>
                <w:lang w:eastAsia="id-ID"/>
              </w:rPr>
              <w:t>(15,7%)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957024A">
            <w:pPr>
              <w:jc w:val="center"/>
              <w:rPr>
                <w:color w:val="000000"/>
                <w:sz w:val="20"/>
                <w:szCs w:val="20"/>
                <w:lang w:eastAsia="id-ID"/>
              </w:rPr>
            </w:pPr>
            <w:r>
              <w:rPr>
                <w:color w:val="000000"/>
                <w:sz w:val="20"/>
                <w:szCs w:val="20"/>
                <w:lang w:eastAsia="id-ID"/>
              </w:rPr>
              <w:t>30</w:t>
            </w:r>
          </w:p>
          <w:p w14:paraId="06EEF44D">
            <w:pPr>
              <w:jc w:val="center"/>
              <w:rPr>
                <w:color w:val="000000"/>
                <w:sz w:val="20"/>
                <w:szCs w:val="20"/>
                <w:lang w:eastAsia="id-ID"/>
              </w:rPr>
            </w:pPr>
            <w:r>
              <w:rPr>
                <w:color w:val="000000"/>
                <w:sz w:val="20"/>
                <w:szCs w:val="20"/>
                <w:lang w:eastAsia="id-ID"/>
              </w:rPr>
              <w:t>(42,9%)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E0F4D5B">
            <w:pPr>
              <w:jc w:val="center"/>
              <w:rPr>
                <w:color w:val="000000"/>
                <w:sz w:val="20"/>
                <w:szCs w:val="20"/>
                <w:lang w:eastAsia="id-ID"/>
              </w:rPr>
            </w:pPr>
            <w:r>
              <w:rPr>
                <w:color w:val="000000"/>
                <w:sz w:val="20"/>
                <w:szCs w:val="20"/>
                <w:lang w:eastAsia="id-ID"/>
              </w:rPr>
              <w:t>23</w:t>
            </w:r>
          </w:p>
          <w:p w14:paraId="75FB9E86">
            <w:pPr>
              <w:jc w:val="center"/>
              <w:rPr>
                <w:color w:val="000000"/>
                <w:sz w:val="20"/>
                <w:szCs w:val="20"/>
                <w:lang w:eastAsia="id-ID"/>
              </w:rPr>
            </w:pPr>
            <w:r>
              <w:rPr>
                <w:color w:val="000000"/>
                <w:sz w:val="20"/>
                <w:szCs w:val="20"/>
                <w:lang w:eastAsia="id-ID"/>
              </w:rPr>
              <w:t>(32,9%)</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6C288F26">
            <w:pPr>
              <w:jc w:val="center"/>
              <w:rPr>
                <w:color w:val="000000"/>
                <w:sz w:val="20"/>
                <w:szCs w:val="20"/>
                <w:lang w:eastAsia="id-ID"/>
              </w:rPr>
            </w:pPr>
            <w:r>
              <w:rPr>
                <w:color w:val="000000"/>
                <w:sz w:val="20"/>
                <w:szCs w:val="20"/>
                <w:lang w:eastAsia="id-ID"/>
              </w:rPr>
              <w:t>0,955</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60A6B36A">
            <w:pPr>
              <w:jc w:val="center"/>
              <w:rPr>
                <w:color w:val="000000"/>
                <w:sz w:val="20"/>
                <w:szCs w:val="20"/>
                <w:lang w:eastAsia="id-ID"/>
              </w:rPr>
            </w:pPr>
            <w:r>
              <w:rPr>
                <w:color w:val="000000"/>
                <w:sz w:val="20"/>
                <w:szCs w:val="20"/>
                <w:lang w:eastAsia="id-ID"/>
              </w:rPr>
              <w:t>3,99</w:t>
            </w:r>
          </w:p>
        </w:tc>
      </w:tr>
      <w:tr w14:paraId="38D1230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71" w:type="pct"/>
          </w:tcPr>
          <w:p w14:paraId="44B9A8F4">
            <w:pPr>
              <w:rPr>
                <w:b w:val="0"/>
                <w:bCs w:val="0"/>
                <w:sz w:val="20"/>
                <w:szCs w:val="20"/>
              </w:rPr>
            </w:pPr>
            <w:r>
              <w:rPr>
                <w:b w:val="0"/>
                <w:bCs w:val="0"/>
                <w:sz w:val="20"/>
                <w:szCs w:val="20"/>
              </w:rPr>
              <w:t>Saya paham prinsip-prinsip dasar perpajakan yang berlaku dalam suatu negara dan bagaimana wajib pajak harus mematuhi aturan perpajakan</w:t>
            </w:r>
          </w:p>
        </w:tc>
        <w:tc>
          <w:tcPr>
            <w:tcW w:w="511" w:type="pct"/>
            <w:vAlign w:val="center"/>
          </w:tcPr>
          <w:p w14:paraId="78B59249">
            <w:pPr>
              <w:jc w:val="center"/>
              <w:rPr>
                <w:color w:val="000000"/>
                <w:sz w:val="20"/>
                <w:szCs w:val="20"/>
                <w:lang w:eastAsia="id-ID"/>
              </w:rPr>
            </w:pPr>
            <w:r>
              <w:rPr>
                <w:color w:val="000000"/>
                <w:sz w:val="20"/>
                <w:szCs w:val="20"/>
                <w:lang w:eastAsia="id-ID"/>
              </w:rPr>
              <w:t>1</w:t>
            </w:r>
          </w:p>
          <w:p w14:paraId="191CDEB1">
            <w:pPr>
              <w:jc w:val="center"/>
              <w:rPr>
                <w:color w:val="000000"/>
                <w:sz w:val="20"/>
                <w:szCs w:val="20"/>
                <w:lang w:eastAsia="id-ID"/>
              </w:rPr>
            </w:pPr>
            <w:r>
              <w:rPr>
                <w:color w:val="000000"/>
                <w:sz w:val="20"/>
                <w:szCs w:val="20"/>
                <w:lang w:eastAsia="id-ID"/>
              </w:rPr>
              <w:t>(1,4%)</w:t>
            </w:r>
          </w:p>
        </w:tc>
        <w:tc>
          <w:tcPr>
            <w:tcW w:w="511" w:type="pct"/>
            <w:vAlign w:val="center"/>
          </w:tcPr>
          <w:p w14:paraId="12B060DD">
            <w:pPr>
              <w:jc w:val="center"/>
              <w:rPr>
                <w:color w:val="000000"/>
                <w:sz w:val="20"/>
                <w:szCs w:val="20"/>
                <w:lang w:eastAsia="id-ID"/>
              </w:rPr>
            </w:pPr>
            <w:r>
              <w:rPr>
                <w:color w:val="000000"/>
                <w:sz w:val="20"/>
                <w:szCs w:val="20"/>
                <w:lang w:eastAsia="id-ID"/>
              </w:rPr>
              <w:t>2</w:t>
            </w:r>
          </w:p>
          <w:p w14:paraId="47B2A646">
            <w:pPr>
              <w:jc w:val="center"/>
              <w:rPr>
                <w:color w:val="000000"/>
                <w:sz w:val="20"/>
                <w:szCs w:val="20"/>
                <w:lang w:eastAsia="id-ID"/>
              </w:rPr>
            </w:pPr>
            <w:r>
              <w:rPr>
                <w:color w:val="000000"/>
                <w:sz w:val="20"/>
                <w:szCs w:val="20"/>
                <w:lang w:eastAsia="id-ID"/>
              </w:rPr>
              <w:t>(2,9%)</w:t>
            </w:r>
          </w:p>
        </w:tc>
        <w:tc>
          <w:tcPr>
            <w:tcW w:w="580" w:type="pct"/>
            <w:vAlign w:val="center"/>
          </w:tcPr>
          <w:p w14:paraId="5D2E2FDF">
            <w:pPr>
              <w:jc w:val="center"/>
              <w:rPr>
                <w:color w:val="000000"/>
                <w:sz w:val="20"/>
                <w:szCs w:val="20"/>
                <w:lang w:eastAsia="id-ID"/>
              </w:rPr>
            </w:pPr>
            <w:r>
              <w:rPr>
                <w:color w:val="000000"/>
                <w:sz w:val="20"/>
                <w:szCs w:val="20"/>
                <w:lang w:eastAsia="id-ID"/>
              </w:rPr>
              <w:t>8</w:t>
            </w:r>
          </w:p>
          <w:p w14:paraId="1C7BE6FC">
            <w:pPr>
              <w:jc w:val="center"/>
              <w:rPr>
                <w:color w:val="000000"/>
                <w:sz w:val="20"/>
                <w:szCs w:val="20"/>
                <w:lang w:eastAsia="id-ID"/>
              </w:rPr>
            </w:pPr>
            <w:r>
              <w:rPr>
                <w:color w:val="000000"/>
                <w:sz w:val="20"/>
                <w:szCs w:val="20"/>
                <w:lang w:eastAsia="id-ID"/>
              </w:rPr>
              <w:t>(11,4%)</w:t>
            </w:r>
          </w:p>
        </w:tc>
        <w:tc>
          <w:tcPr>
            <w:tcW w:w="580" w:type="pct"/>
            <w:vAlign w:val="center"/>
          </w:tcPr>
          <w:p w14:paraId="64F37F39">
            <w:pPr>
              <w:jc w:val="center"/>
              <w:rPr>
                <w:color w:val="000000"/>
                <w:sz w:val="20"/>
                <w:szCs w:val="20"/>
                <w:lang w:eastAsia="id-ID"/>
              </w:rPr>
            </w:pPr>
            <w:r>
              <w:rPr>
                <w:color w:val="000000"/>
                <w:sz w:val="20"/>
                <w:szCs w:val="20"/>
                <w:lang w:eastAsia="id-ID"/>
              </w:rPr>
              <w:t>35</w:t>
            </w:r>
          </w:p>
          <w:p w14:paraId="32728633">
            <w:pPr>
              <w:jc w:val="center"/>
              <w:rPr>
                <w:color w:val="000000"/>
                <w:sz w:val="20"/>
                <w:szCs w:val="20"/>
                <w:lang w:eastAsia="id-ID"/>
              </w:rPr>
            </w:pPr>
            <w:r>
              <w:rPr>
                <w:color w:val="000000"/>
                <w:sz w:val="20"/>
                <w:szCs w:val="20"/>
                <w:lang w:eastAsia="id-ID"/>
              </w:rPr>
              <w:t>(50,0%)</w:t>
            </w:r>
          </w:p>
        </w:tc>
        <w:tc>
          <w:tcPr>
            <w:tcW w:w="580" w:type="pct"/>
            <w:vAlign w:val="center"/>
          </w:tcPr>
          <w:p w14:paraId="2E43CBA5">
            <w:pPr>
              <w:jc w:val="center"/>
              <w:rPr>
                <w:color w:val="000000"/>
                <w:sz w:val="20"/>
                <w:szCs w:val="20"/>
                <w:lang w:eastAsia="id-ID"/>
              </w:rPr>
            </w:pPr>
            <w:r>
              <w:rPr>
                <w:color w:val="000000"/>
                <w:sz w:val="20"/>
                <w:szCs w:val="20"/>
                <w:lang w:eastAsia="id-ID"/>
              </w:rPr>
              <w:t>24</w:t>
            </w:r>
          </w:p>
          <w:p w14:paraId="304962D9">
            <w:pPr>
              <w:jc w:val="center"/>
              <w:rPr>
                <w:color w:val="000000"/>
                <w:sz w:val="20"/>
                <w:szCs w:val="20"/>
                <w:lang w:eastAsia="id-ID"/>
              </w:rPr>
            </w:pPr>
            <w:r>
              <w:rPr>
                <w:color w:val="000000"/>
                <w:sz w:val="20"/>
                <w:szCs w:val="20"/>
                <w:lang w:eastAsia="id-ID"/>
              </w:rPr>
              <w:t>(34,3%)</w:t>
            </w:r>
          </w:p>
        </w:tc>
        <w:tc>
          <w:tcPr>
            <w:tcW w:w="700" w:type="pct"/>
            <w:vAlign w:val="center"/>
          </w:tcPr>
          <w:p w14:paraId="1CAFBBD8">
            <w:pPr>
              <w:jc w:val="center"/>
              <w:rPr>
                <w:color w:val="000000"/>
                <w:sz w:val="20"/>
                <w:szCs w:val="20"/>
                <w:lang w:eastAsia="id-ID"/>
              </w:rPr>
            </w:pPr>
            <w:r>
              <w:rPr>
                <w:color w:val="000000"/>
                <w:sz w:val="20"/>
                <w:szCs w:val="20"/>
                <w:lang w:eastAsia="id-ID"/>
              </w:rPr>
              <w:t>0,833</w:t>
            </w:r>
          </w:p>
        </w:tc>
        <w:tc>
          <w:tcPr>
            <w:tcW w:w="469" w:type="pct"/>
            <w:vAlign w:val="center"/>
          </w:tcPr>
          <w:p w14:paraId="67A843F7">
            <w:pPr>
              <w:jc w:val="center"/>
              <w:rPr>
                <w:color w:val="000000"/>
                <w:sz w:val="20"/>
                <w:szCs w:val="20"/>
                <w:lang w:eastAsia="id-ID"/>
              </w:rPr>
            </w:pPr>
            <w:r>
              <w:rPr>
                <w:color w:val="000000"/>
                <w:sz w:val="20"/>
                <w:szCs w:val="20"/>
                <w:lang w:eastAsia="id-ID"/>
              </w:rPr>
              <w:t>4,13</w:t>
            </w:r>
          </w:p>
        </w:tc>
      </w:tr>
      <w:tr w14:paraId="7D0D0BF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2FC1D94D">
            <w:pPr>
              <w:jc w:val="both"/>
              <w:rPr>
                <w:b w:val="0"/>
                <w:bCs w:val="0"/>
                <w:sz w:val="20"/>
                <w:szCs w:val="20"/>
                <w:lang w:val="en-US"/>
              </w:rPr>
            </w:pPr>
            <w:r>
              <w:rPr>
                <w:b w:val="0"/>
                <w:bCs w:val="0"/>
                <w:sz w:val="20"/>
                <w:szCs w:val="20"/>
              </w:rPr>
              <w:t xml:space="preserve">Saya mengerti dan paham bahwa sistem perpajakan di Indonesia menganut sistem </w:t>
            </w:r>
            <w:r>
              <w:rPr>
                <w:b w:val="0"/>
                <w:bCs w:val="0"/>
                <w:i/>
                <w:iCs/>
                <w:sz w:val="20"/>
                <w:szCs w:val="20"/>
              </w:rPr>
              <w:t>self assesment</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9EC7A0C">
            <w:pPr>
              <w:jc w:val="center"/>
              <w:rPr>
                <w:color w:val="000000"/>
                <w:sz w:val="20"/>
                <w:szCs w:val="20"/>
                <w:lang w:eastAsia="id-ID"/>
              </w:rPr>
            </w:pPr>
            <w:r>
              <w:rPr>
                <w:color w:val="000000"/>
                <w:sz w:val="20"/>
                <w:szCs w:val="20"/>
                <w:lang w:eastAsia="id-ID"/>
              </w:rPr>
              <w:t>2</w:t>
            </w:r>
          </w:p>
          <w:p w14:paraId="394ED9AD">
            <w:pPr>
              <w:jc w:val="center"/>
              <w:rPr>
                <w:color w:val="000000"/>
                <w:sz w:val="20"/>
                <w:szCs w:val="20"/>
                <w:lang w:eastAsia="id-ID"/>
              </w:rPr>
            </w:pPr>
            <w:r>
              <w:rPr>
                <w:color w:val="000000"/>
                <w:sz w:val="20"/>
                <w:szCs w:val="20"/>
                <w:lang w:eastAsia="id-ID"/>
              </w:rPr>
              <w:t>(2,9%)</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1E40ACB6">
            <w:pPr>
              <w:jc w:val="center"/>
              <w:rPr>
                <w:color w:val="000000"/>
                <w:sz w:val="20"/>
                <w:szCs w:val="20"/>
                <w:lang w:eastAsia="id-ID"/>
              </w:rPr>
            </w:pPr>
            <w:r>
              <w:rPr>
                <w:color w:val="000000"/>
                <w:sz w:val="20"/>
                <w:szCs w:val="20"/>
                <w:lang w:eastAsia="id-ID"/>
              </w:rPr>
              <w:t>2</w:t>
            </w:r>
          </w:p>
          <w:p w14:paraId="23C09E0D">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1698D011">
            <w:pPr>
              <w:jc w:val="center"/>
              <w:rPr>
                <w:color w:val="000000"/>
                <w:sz w:val="20"/>
                <w:szCs w:val="20"/>
                <w:lang w:eastAsia="id-ID"/>
              </w:rPr>
            </w:pPr>
            <w:r>
              <w:rPr>
                <w:color w:val="000000"/>
                <w:sz w:val="20"/>
                <w:szCs w:val="20"/>
                <w:lang w:eastAsia="id-ID"/>
              </w:rPr>
              <w:t>10</w:t>
            </w:r>
          </w:p>
          <w:p w14:paraId="4479D40F">
            <w:pPr>
              <w:jc w:val="center"/>
              <w:rPr>
                <w:color w:val="000000"/>
                <w:sz w:val="20"/>
                <w:szCs w:val="20"/>
                <w:lang w:eastAsia="id-ID"/>
              </w:rPr>
            </w:pPr>
            <w:r>
              <w:rPr>
                <w:color w:val="000000"/>
                <w:sz w:val="20"/>
                <w:szCs w:val="20"/>
                <w:lang w:eastAsia="id-ID"/>
              </w:rPr>
              <w:t>(14,3%)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E89A725">
            <w:pPr>
              <w:jc w:val="center"/>
              <w:rPr>
                <w:color w:val="000000"/>
                <w:sz w:val="20"/>
                <w:szCs w:val="20"/>
                <w:lang w:eastAsia="id-ID"/>
              </w:rPr>
            </w:pPr>
            <w:r>
              <w:rPr>
                <w:color w:val="000000"/>
                <w:sz w:val="20"/>
                <w:szCs w:val="20"/>
                <w:lang w:eastAsia="id-ID"/>
              </w:rPr>
              <w:t>34</w:t>
            </w:r>
          </w:p>
          <w:p w14:paraId="2DF6975E">
            <w:pPr>
              <w:jc w:val="center"/>
              <w:rPr>
                <w:color w:val="000000"/>
                <w:sz w:val="20"/>
                <w:szCs w:val="20"/>
                <w:lang w:eastAsia="id-ID"/>
              </w:rPr>
            </w:pPr>
            <w:r>
              <w:rPr>
                <w:color w:val="000000"/>
                <w:sz w:val="20"/>
                <w:szCs w:val="20"/>
                <w:lang w:eastAsia="id-ID"/>
              </w:rPr>
              <w:t>(48,6%)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FBC1169">
            <w:pPr>
              <w:jc w:val="center"/>
              <w:rPr>
                <w:color w:val="000000"/>
                <w:sz w:val="20"/>
                <w:szCs w:val="20"/>
                <w:lang w:eastAsia="id-ID"/>
              </w:rPr>
            </w:pPr>
            <w:r>
              <w:rPr>
                <w:color w:val="000000"/>
                <w:sz w:val="20"/>
                <w:szCs w:val="20"/>
                <w:lang w:eastAsia="id-ID"/>
              </w:rPr>
              <w:t>22</w:t>
            </w:r>
          </w:p>
          <w:p w14:paraId="5FC4C6F8">
            <w:pPr>
              <w:jc w:val="center"/>
              <w:rPr>
                <w:color w:val="000000"/>
                <w:sz w:val="20"/>
                <w:szCs w:val="20"/>
                <w:lang w:eastAsia="id-ID"/>
              </w:rPr>
            </w:pPr>
            <w:r>
              <w:rPr>
                <w:color w:val="000000"/>
                <w:sz w:val="20"/>
                <w:szCs w:val="20"/>
                <w:lang w:eastAsia="id-ID"/>
              </w:rPr>
              <w:t>(31,4%)</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4C5E772C">
            <w:pPr>
              <w:jc w:val="center"/>
              <w:rPr>
                <w:color w:val="000000"/>
                <w:sz w:val="20"/>
                <w:szCs w:val="20"/>
                <w:lang w:eastAsia="id-ID"/>
              </w:rPr>
            </w:pPr>
            <w:r>
              <w:rPr>
                <w:color w:val="000000"/>
                <w:sz w:val="20"/>
                <w:szCs w:val="20"/>
                <w:lang w:eastAsia="id-ID"/>
              </w:rPr>
              <w:t>0,916</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3613E938">
            <w:pPr>
              <w:jc w:val="center"/>
              <w:rPr>
                <w:color w:val="000000"/>
                <w:sz w:val="20"/>
                <w:szCs w:val="20"/>
                <w:lang w:eastAsia="id-ID"/>
              </w:rPr>
            </w:pPr>
            <w:r>
              <w:rPr>
                <w:color w:val="000000"/>
                <w:sz w:val="20"/>
                <w:szCs w:val="20"/>
                <w:lang w:eastAsia="id-ID"/>
              </w:rPr>
              <w:t>4,03</w:t>
            </w:r>
          </w:p>
        </w:tc>
      </w:tr>
      <w:tr w14:paraId="202877E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0688760A">
            <w:pPr>
              <w:jc w:val="both"/>
              <w:rPr>
                <w:b w:val="0"/>
                <w:bCs w:val="0"/>
                <w:sz w:val="20"/>
                <w:szCs w:val="20"/>
              </w:rPr>
            </w:pPr>
            <w:r>
              <w:rPr>
                <w:b w:val="0"/>
                <w:bCs w:val="0"/>
                <w:sz w:val="20"/>
                <w:szCs w:val="20"/>
              </w:rPr>
              <w:t>Saya paham tentang berbagai aspek, seperti jenis pajak, struktur tarif pajak, proses pemungutan pajak, kewajiban pajak, dan berbagai aturan dan regulasi perpajakan</w:t>
            </w:r>
          </w:p>
        </w:tc>
        <w:tc>
          <w:tcPr>
            <w:tcW w:w="511" w:type="pct"/>
            <w:vAlign w:val="center"/>
          </w:tcPr>
          <w:p w14:paraId="3BE49C1D">
            <w:pPr>
              <w:jc w:val="center"/>
              <w:rPr>
                <w:color w:val="000000"/>
                <w:sz w:val="20"/>
                <w:szCs w:val="20"/>
                <w:lang w:eastAsia="id-ID"/>
              </w:rPr>
            </w:pPr>
            <w:r>
              <w:rPr>
                <w:color w:val="000000"/>
                <w:sz w:val="20"/>
                <w:szCs w:val="20"/>
                <w:lang w:eastAsia="id-ID"/>
              </w:rPr>
              <w:t>1</w:t>
            </w:r>
          </w:p>
          <w:p w14:paraId="328352F8">
            <w:pPr>
              <w:jc w:val="center"/>
              <w:rPr>
                <w:color w:val="000000"/>
                <w:sz w:val="20"/>
                <w:szCs w:val="20"/>
                <w:lang w:eastAsia="id-ID"/>
              </w:rPr>
            </w:pPr>
            <w:r>
              <w:rPr>
                <w:color w:val="000000"/>
                <w:sz w:val="20"/>
                <w:szCs w:val="20"/>
                <w:lang w:eastAsia="id-ID"/>
              </w:rPr>
              <w:t>(1,4%)</w:t>
            </w:r>
          </w:p>
        </w:tc>
        <w:tc>
          <w:tcPr>
            <w:tcW w:w="511" w:type="pct"/>
            <w:vAlign w:val="center"/>
          </w:tcPr>
          <w:p w14:paraId="0C9E07E4">
            <w:pPr>
              <w:jc w:val="center"/>
              <w:rPr>
                <w:color w:val="000000"/>
                <w:sz w:val="20"/>
                <w:szCs w:val="20"/>
                <w:lang w:eastAsia="id-ID"/>
              </w:rPr>
            </w:pPr>
            <w:r>
              <w:rPr>
                <w:color w:val="000000"/>
                <w:sz w:val="20"/>
                <w:szCs w:val="20"/>
                <w:lang w:eastAsia="id-ID"/>
              </w:rPr>
              <w:t>4</w:t>
            </w:r>
          </w:p>
          <w:p w14:paraId="23AEDB8B">
            <w:pPr>
              <w:jc w:val="center"/>
              <w:rPr>
                <w:color w:val="000000"/>
                <w:sz w:val="20"/>
                <w:szCs w:val="20"/>
                <w:lang w:eastAsia="id-ID"/>
              </w:rPr>
            </w:pPr>
            <w:r>
              <w:rPr>
                <w:color w:val="000000"/>
                <w:sz w:val="20"/>
                <w:szCs w:val="20"/>
                <w:lang w:eastAsia="id-ID"/>
              </w:rPr>
              <w:t>(5,7%)</w:t>
            </w:r>
          </w:p>
        </w:tc>
        <w:tc>
          <w:tcPr>
            <w:tcW w:w="580" w:type="pct"/>
            <w:vAlign w:val="center"/>
          </w:tcPr>
          <w:p w14:paraId="77AB6350">
            <w:pPr>
              <w:jc w:val="center"/>
              <w:rPr>
                <w:color w:val="000000"/>
                <w:sz w:val="20"/>
                <w:szCs w:val="20"/>
                <w:lang w:eastAsia="id-ID"/>
              </w:rPr>
            </w:pPr>
            <w:r>
              <w:rPr>
                <w:color w:val="000000"/>
                <w:sz w:val="20"/>
                <w:szCs w:val="20"/>
                <w:lang w:eastAsia="id-ID"/>
              </w:rPr>
              <w:t>13</w:t>
            </w:r>
          </w:p>
          <w:p w14:paraId="1542F0C8">
            <w:pPr>
              <w:jc w:val="center"/>
              <w:rPr>
                <w:color w:val="000000"/>
                <w:sz w:val="20"/>
                <w:szCs w:val="20"/>
                <w:lang w:eastAsia="id-ID"/>
              </w:rPr>
            </w:pPr>
            <w:r>
              <w:rPr>
                <w:color w:val="000000"/>
                <w:sz w:val="20"/>
                <w:szCs w:val="20"/>
                <w:lang w:eastAsia="id-ID"/>
              </w:rPr>
              <w:t>(18,6%)</w:t>
            </w:r>
          </w:p>
        </w:tc>
        <w:tc>
          <w:tcPr>
            <w:tcW w:w="580" w:type="pct"/>
            <w:vAlign w:val="center"/>
          </w:tcPr>
          <w:p w14:paraId="37CD9B33">
            <w:pPr>
              <w:jc w:val="center"/>
              <w:rPr>
                <w:color w:val="000000"/>
                <w:sz w:val="20"/>
                <w:szCs w:val="20"/>
                <w:lang w:eastAsia="id-ID"/>
              </w:rPr>
            </w:pPr>
            <w:r>
              <w:rPr>
                <w:color w:val="000000"/>
                <w:sz w:val="20"/>
                <w:szCs w:val="20"/>
                <w:lang w:eastAsia="id-ID"/>
              </w:rPr>
              <w:t>30</w:t>
            </w:r>
          </w:p>
          <w:p w14:paraId="6980CE91">
            <w:pPr>
              <w:jc w:val="center"/>
              <w:rPr>
                <w:color w:val="000000"/>
                <w:sz w:val="20"/>
                <w:szCs w:val="20"/>
                <w:lang w:eastAsia="id-ID"/>
              </w:rPr>
            </w:pPr>
            <w:r>
              <w:rPr>
                <w:color w:val="000000"/>
                <w:sz w:val="20"/>
                <w:szCs w:val="20"/>
                <w:lang w:eastAsia="id-ID"/>
              </w:rPr>
              <w:t>(42,9%)</w:t>
            </w:r>
          </w:p>
        </w:tc>
        <w:tc>
          <w:tcPr>
            <w:tcW w:w="580" w:type="pct"/>
            <w:vAlign w:val="center"/>
          </w:tcPr>
          <w:p w14:paraId="2CD58058">
            <w:pPr>
              <w:jc w:val="center"/>
              <w:rPr>
                <w:color w:val="000000"/>
                <w:sz w:val="20"/>
                <w:szCs w:val="20"/>
                <w:lang w:eastAsia="id-ID"/>
              </w:rPr>
            </w:pPr>
            <w:r>
              <w:rPr>
                <w:color w:val="000000"/>
                <w:sz w:val="20"/>
                <w:szCs w:val="20"/>
                <w:lang w:eastAsia="id-ID"/>
              </w:rPr>
              <w:t>22</w:t>
            </w:r>
          </w:p>
          <w:p w14:paraId="53DAC9C1">
            <w:pPr>
              <w:jc w:val="center"/>
              <w:rPr>
                <w:color w:val="000000"/>
                <w:sz w:val="20"/>
                <w:szCs w:val="20"/>
                <w:lang w:eastAsia="id-ID"/>
              </w:rPr>
            </w:pPr>
            <w:r>
              <w:rPr>
                <w:color w:val="000000"/>
                <w:sz w:val="20"/>
                <w:szCs w:val="20"/>
                <w:lang w:eastAsia="id-ID"/>
              </w:rPr>
              <w:t>(31,4%)</w:t>
            </w:r>
          </w:p>
        </w:tc>
        <w:tc>
          <w:tcPr>
            <w:tcW w:w="700" w:type="pct"/>
            <w:vAlign w:val="center"/>
          </w:tcPr>
          <w:p w14:paraId="2316B401">
            <w:pPr>
              <w:jc w:val="center"/>
              <w:rPr>
                <w:color w:val="000000"/>
                <w:sz w:val="20"/>
                <w:szCs w:val="20"/>
                <w:lang w:eastAsia="id-ID"/>
              </w:rPr>
            </w:pPr>
            <w:r>
              <w:rPr>
                <w:color w:val="000000"/>
                <w:sz w:val="20"/>
                <w:szCs w:val="20"/>
                <w:lang w:eastAsia="id-ID"/>
              </w:rPr>
              <w:t>0,932</w:t>
            </w:r>
          </w:p>
        </w:tc>
        <w:tc>
          <w:tcPr>
            <w:tcW w:w="469" w:type="pct"/>
            <w:vAlign w:val="center"/>
          </w:tcPr>
          <w:p w14:paraId="304BA06C">
            <w:pPr>
              <w:jc w:val="center"/>
              <w:rPr>
                <w:color w:val="000000"/>
                <w:sz w:val="20"/>
                <w:szCs w:val="20"/>
                <w:lang w:eastAsia="id-ID"/>
              </w:rPr>
            </w:pPr>
            <w:r>
              <w:rPr>
                <w:color w:val="000000"/>
                <w:sz w:val="20"/>
                <w:szCs w:val="20"/>
                <w:lang w:eastAsia="id-ID"/>
              </w:rPr>
              <w:t>3,97</w:t>
            </w:r>
          </w:p>
        </w:tc>
      </w:tr>
      <w:tr w14:paraId="41CB598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14DA1FF0">
            <w:pPr>
              <w:jc w:val="both"/>
              <w:rPr>
                <w:b w:val="0"/>
                <w:bCs w:val="0"/>
                <w:sz w:val="20"/>
                <w:szCs w:val="20"/>
              </w:rPr>
            </w:pPr>
            <w:r>
              <w:rPr>
                <w:b w:val="0"/>
                <w:bCs w:val="0"/>
                <w:sz w:val="20"/>
                <w:szCs w:val="20"/>
              </w:rPr>
              <w:t>Saya sebagai wajib pajak harus mengetahui konsekuensi hukuman yang mungkin mereka hadapi jika mereka melanggar peraturan pajak kendaraan, seperti denda atau penahanan kendaraan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323231E">
            <w:pPr>
              <w:jc w:val="center"/>
              <w:rPr>
                <w:color w:val="000000"/>
                <w:sz w:val="20"/>
                <w:szCs w:val="20"/>
                <w:lang w:eastAsia="id-ID"/>
              </w:rPr>
            </w:pPr>
            <w:r>
              <w:rPr>
                <w:color w:val="000000"/>
                <w:sz w:val="20"/>
                <w:szCs w:val="20"/>
                <w:lang w:eastAsia="id-ID"/>
              </w:rPr>
              <w:t>0</w:t>
            </w:r>
          </w:p>
          <w:p w14:paraId="0AFF3B3D">
            <w:pPr>
              <w:jc w:val="center"/>
              <w:rPr>
                <w:color w:val="000000"/>
                <w:sz w:val="20"/>
                <w:szCs w:val="20"/>
                <w:lang w:eastAsia="id-ID"/>
              </w:rPr>
            </w:pPr>
            <w:r>
              <w:rPr>
                <w:color w:val="000000"/>
                <w:sz w:val="20"/>
                <w:szCs w:val="20"/>
                <w:lang w:eastAsia="id-ID"/>
              </w:rPr>
              <w:t>(0,0%)</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BCC515B">
            <w:pPr>
              <w:jc w:val="center"/>
              <w:rPr>
                <w:color w:val="000000"/>
                <w:sz w:val="20"/>
                <w:szCs w:val="20"/>
                <w:lang w:eastAsia="id-ID"/>
              </w:rPr>
            </w:pPr>
            <w:r>
              <w:rPr>
                <w:color w:val="000000"/>
                <w:sz w:val="20"/>
                <w:szCs w:val="20"/>
                <w:lang w:eastAsia="id-ID"/>
              </w:rPr>
              <w:t>2</w:t>
            </w:r>
          </w:p>
          <w:p w14:paraId="17D37F0B">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B8C4852">
            <w:pPr>
              <w:jc w:val="center"/>
              <w:rPr>
                <w:color w:val="000000"/>
                <w:sz w:val="20"/>
                <w:szCs w:val="20"/>
                <w:lang w:eastAsia="id-ID"/>
              </w:rPr>
            </w:pPr>
            <w:r>
              <w:rPr>
                <w:color w:val="000000"/>
                <w:sz w:val="20"/>
                <w:szCs w:val="20"/>
                <w:lang w:eastAsia="id-ID"/>
              </w:rPr>
              <w:t>12</w:t>
            </w:r>
          </w:p>
          <w:p w14:paraId="6E5D7176">
            <w:pPr>
              <w:jc w:val="center"/>
              <w:rPr>
                <w:color w:val="000000"/>
                <w:sz w:val="20"/>
                <w:szCs w:val="20"/>
                <w:lang w:eastAsia="id-ID"/>
              </w:rPr>
            </w:pPr>
            <w:r>
              <w:rPr>
                <w:color w:val="000000"/>
                <w:sz w:val="20"/>
                <w:szCs w:val="20"/>
                <w:lang w:eastAsia="id-ID"/>
              </w:rPr>
              <w:t>(17,1%)</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7653558">
            <w:pPr>
              <w:jc w:val="center"/>
              <w:rPr>
                <w:color w:val="000000"/>
                <w:sz w:val="20"/>
                <w:szCs w:val="20"/>
                <w:lang w:eastAsia="id-ID"/>
              </w:rPr>
            </w:pPr>
            <w:r>
              <w:rPr>
                <w:color w:val="000000"/>
                <w:sz w:val="20"/>
                <w:szCs w:val="20"/>
                <w:lang w:eastAsia="id-ID"/>
              </w:rPr>
              <w:t>31</w:t>
            </w:r>
          </w:p>
          <w:p w14:paraId="6A829185">
            <w:pPr>
              <w:jc w:val="center"/>
              <w:rPr>
                <w:color w:val="000000"/>
                <w:sz w:val="20"/>
                <w:szCs w:val="20"/>
                <w:lang w:eastAsia="id-ID"/>
              </w:rPr>
            </w:pPr>
            <w:r>
              <w:rPr>
                <w:color w:val="000000"/>
                <w:sz w:val="20"/>
                <w:szCs w:val="20"/>
                <w:lang w:eastAsia="id-ID"/>
              </w:rPr>
              <w:t>(44,3%)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2532841">
            <w:pPr>
              <w:jc w:val="center"/>
              <w:rPr>
                <w:color w:val="000000"/>
                <w:sz w:val="20"/>
                <w:szCs w:val="20"/>
                <w:lang w:eastAsia="id-ID"/>
              </w:rPr>
            </w:pPr>
            <w:r>
              <w:rPr>
                <w:color w:val="000000"/>
                <w:sz w:val="20"/>
                <w:szCs w:val="20"/>
                <w:lang w:eastAsia="id-ID"/>
              </w:rPr>
              <w:t>25</w:t>
            </w:r>
          </w:p>
          <w:p w14:paraId="38F1A1BD">
            <w:pPr>
              <w:jc w:val="center"/>
              <w:rPr>
                <w:color w:val="000000"/>
                <w:sz w:val="20"/>
                <w:szCs w:val="20"/>
                <w:lang w:eastAsia="id-ID"/>
              </w:rPr>
            </w:pPr>
            <w:r>
              <w:rPr>
                <w:color w:val="000000"/>
                <w:sz w:val="20"/>
                <w:szCs w:val="20"/>
                <w:lang w:eastAsia="id-ID"/>
              </w:rPr>
              <w:t>(35,7%)</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57396FC2">
            <w:pPr>
              <w:jc w:val="center"/>
              <w:rPr>
                <w:color w:val="000000"/>
                <w:sz w:val="20"/>
                <w:szCs w:val="20"/>
                <w:lang w:eastAsia="id-ID"/>
              </w:rPr>
            </w:pPr>
            <w:r>
              <w:rPr>
                <w:color w:val="000000"/>
                <w:sz w:val="20"/>
                <w:szCs w:val="20"/>
                <w:lang w:eastAsia="id-ID"/>
              </w:rPr>
              <w:t>0,797</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09A911F1">
            <w:pPr>
              <w:jc w:val="center"/>
              <w:rPr>
                <w:color w:val="000000"/>
                <w:sz w:val="20"/>
                <w:szCs w:val="20"/>
                <w:lang w:eastAsia="id-ID"/>
              </w:rPr>
            </w:pPr>
            <w:r>
              <w:rPr>
                <w:color w:val="000000"/>
                <w:sz w:val="20"/>
                <w:szCs w:val="20"/>
                <w:lang w:eastAsia="id-ID"/>
              </w:rPr>
              <w:t>4,13</w:t>
            </w:r>
          </w:p>
        </w:tc>
      </w:tr>
      <w:tr w14:paraId="1D84774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6B070DE2">
            <w:pPr>
              <w:jc w:val="both"/>
              <w:rPr>
                <w:b w:val="0"/>
                <w:bCs w:val="0"/>
                <w:sz w:val="20"/>
                <w:szCs w:val="20"/>
              </w:rPr>
            </w:pPr>
            <w:r>
              <w:rPr>
                <w:b w:val="0"/>
                <w:bCs w:val="0"/>
                <w:sz w:val="20"/>
                <w:szCs w:val="20"/>
              </w:rPr>
              <w:t>Saya paham bahwa sanksi pajak harus dikenakan kepada pelanggarnya tanpa toleransi</w:t>
            </w:r>
          </w:p>
        </w:tc>
        <w:tc>
          <w:tcPr>
            <w:tcW w:w="511" w:type="pct"/>
            <w:vAlign w:val="center"/>
          </w:tcPr>
          <w:p w14:paraId="212A3F87">
            <w:pPr>
              <w:jc w:val="center"/>
              <w:rPr>
                <w:color w:val="000000"/>
                <w:sz w:val="20"/>
                <w:szCs w:val="20"/>
                <w:lang w:eastAsia="id-ID"/>
              </w:rPr>
            </w:pPr>
            <w:r>
              <w:rPr>
                <w:color w:val="000000"/>
                <w:sz w:val="20"/>
                <w:szCs w:val="20"/>
                <w:lang w:eastAsia="id-ID"/>
              </w:rPr>
              <w:t>1</w:t>
            </w:r>
          </w:p>
          <w:p w14:paraId="4C5BF68D">
            <w:pPr>
              <w:jc w:val="center"/>
              <w:rPr>
                <w:color w:val="000000"/>
                <w:sz w:val="20"/>
                <w:szCs w:val="20"/>
                <w:lang w:eastAsia="id-ID"/>
              </w:rPr>
            </w:pPr>
            <w:r>
              <w:rPr>
                <w:color w:val="000000"/>
                <w:sz w:val="20"/>
                <w:szCs w:val="20"/>
                <w:lang w:eastAsia="id-ID"/>
              </w:rPr>
              <w:t>(1,4%)</w:t>
            </w:r>
          </w:p>
        </w:tc>
        <w:tc>
          <w:tcPr>
            <w:tcW w:w="511" w:type="pct"/>
            <w:vAlign w:val="center"/>
          </w:tcPr>
          <w:p w14:paraId="2F837FF2">
            <w:pPr>
              <w:jc w:val="center"/>
              <w:rPr>
                <w:color w:val="000000"/>
                <w:sz w:val="20"/>
                <w:szCs w:val="20"/>
                <w:lang w:eastAsia="id-ID"/>
              </w:rPr>
            </w:pPr>
            <w:r>
              <w:rPr>
                <w:color w:val="000000"/>
                <w:sz w:val="20"/>
                <w:szCs w:val="20"/>
                <w:lang w:eastAsia="id-ID"/>
              </w:rPr>
              <w:t>4</w:t>
            </w:r>
          </w:p>
          <w:p w14:paraId="4A4FA47F">
            <w:pPr>
              <w:jc w:val="center"/>
              <w:rPr>
                <w:color w:val="000000"/>
                <w:sz w:val="20"/>
                <w:szCs w:val="20"/>
                <w:lang w:eastAsia="id-ID"/>
              </w:rPr>
            </w:pPr>
            <w:r>
              <w:rPr>
                <w:color w:val="000000"/>
                <w:sz w:val="20"/>
                <w:szCs w:val="20"/>
                <w:lang w:eastAsia="id-ID"/>
              </w:rPr>
              <w:t>(5,7%)</w:t>
            </w:r>
          </w:p>
        </w:tc>
        <w:tc>
          <w:tcPr>
            <w:tcW w:w="580" w:type="pct"/>
            <w:vAlign w:val="center"/>
          </w:tcPr>
          <w:p w14:paraId="027361EE">
            <w:pPr>
              <w:jc w:val="center"/>
              <w:rPr>
                <w:color w:val="000000"/>
                <w:sz w:val="20"/>
                <w:szCs w:val="20"/>
                <w:lang w:eastAsia="id-ID"/>
              </w:rPr>
            </w:pPr>
            <w:r>
              <w:rPr>
                <w:color w:val="000000"/>
                <w:sz w:val="20"/>
                <w:szCs w:val="20"/>
                <w:lang w:eastAsia="id-ID"/>
              </w:rPr>
              <w:t>13</w:t>
            </w:r>
          </w:p>
          <w:p w14:paraId="73CC1277">
            <w:pPr>
              <w:jc w:val="center"/>
              <w:rPr>
                <w:color w:val="000000"/>
                <w:sz w:val="20"/>
                <w:szCs w:val="20"/>
                <w:lang w:eastAsia="id-ID"/>
              </w:rPr>
            </w:pPr>
            <w:r>
              <w:rPr>
                <w:color w:val="000000"/>
                <w:sz w:val="20"/>
                <w:szCs w:val="20"/>
                <w:lang w:eastAsia="id-ID"/>
              </w:rPr>
              <w:t>(18,6%)</w:t>
            </w:r>
          </w:p>
        </w:tc>
        <w:tc>
          <w:tcPr>
            <w:tcW w:w="580" w:type="pct"/>
            <w:vAlign w:val="center"/>
          </w:tcPr>
          <w:p w14:paraId="214F277D">
            <w:pPr>
              <w:jc w:val="center"/>
              <w:rPr>
                <w:color w:val="000000"/>
                <w:sz w:val="20"/>
                <w:szCs w:val="20"/>
                <w:lang w:eastAsia="id-ID"/>
              </w:rPr>
            </w:pPr>
            <w:r>
              <w:rPr>
                <w:color w:val="000000"/>
                <w:sz w:val="20"/>
                <w:szCs w:val="20"/>
                <w:lang w:eastAsia="id-ID"/>
              </w:rPr>
              <w:t>26</w:t>
            </w:r>
          </w:p>
          <w:p w14:paraId="0BD42D05">
            <w:pPr>
              <w:jc w:val="center"/>
              <w:rPr>
                <w:color w:val="000000"/>
                <w:sz w:val="20"/>
                <w:szCs w:val="20"/>
                <w:lang w:eastAsia="id-ID"/>
              </w:rPr>
            </w:pPr>
            <w:r>
              <w:rPr>
                <w:color w:val="000000"/>
                <w:sz w:val="20"/>
                <w:szCs w:val="20"/>
                <w:lang w:eastAsia="id-ID"/>
              </w:rPr>
              <w:t>(37,1%)</w:t>
            </w:r>
          </w:p>
        </w:tc>
        <w:tc>
          <w:tcPr>
            <w:tcW w:w="580" w:type="pct"/>
            <w:vAlign w:val="center"/>
          </w:tcPr>
          <w:p w14:paraId="7C3729B6">
            <w:pPr>
              <w:jc w:val="center"/>
              <w:rPr>
                <w:color w:val="000000"/>
                <w:sz w:val="20"/>
                <w:szCs w:val="20"/>
                <w:lang w:eastAsia="id-ID"/>
              </w:rPr>
            </w:pPr>
            <w:r>
              <w:rPr>
                <w:color w:val="000000"/>
                <w:sz w:val="20"/>
                <w:szCs w:val="20"/>
                <w:lang w:eastAsia="id-ID"/>
              </w:rPr>
              <w:t>26</w:t>
            </w:r>
          </w:p>
          <w:p w14:paraId="4FCF0061">
            <w:pPr>
              <w:jc w:val="center"/>
              <w:rPr>
                <w:color w:val="000000"/>
                <w:sz w:val="20"/>
                <w:szCs w:val="20"/>
                <w:lang w:eastAsia="id-ID"/>
              </w:rPr>
            </w:pPr>
            <w:r>
              <w:rPr>
                <w:color w:val="000000"/>
                <w:sz w:val="20"/>
                <w:szCs w:val="20"/>
                <w:lang w:eastAsia="id-ID"/>
              </w:rPr>
              <w:t>(37,1%)</w:t>
            </w:r>
          </w:p>
        </w:tc>
        <w:tc>
          <w:tcPr>
            <w:tcW w:w="700" w:type="pct"/>
            <w:vAlign w:val="center"/>
          </w:tcPr>
          <w:p w14:paraId="666A0B2C">
            <w:pPr>
              <w:jc w:val="center"/>
              <w:rPr>
                <w:color w:val="000000"/>
                <w:sz w:val="20"/>
                <w:szCs w:val="20"/>
                <w:lang w:eastAsia="id-ID"/>
              </w:rPr>
            </w:pPr>
            <w:r>
              <w:rPr>
                <w:color w:val="000000"/>
                <w:sz w:val="20"/>
                <w:szCs w:val="20"/>
                <w:lang w:eastAsia="id-ID"/>
              </w:rPr>
              <w:t>0,963</w:t>
            </w:r>
          </w:p>
        </w:tc>
        <w:tc>
          <w:tcPr>
            <w:tcW w:w="469" w:type="pct"/>
            <w:vAlign w:val="center"/>
          </w:tcPr>
          <w:p w14:paraId="7E1B3A1B">
            <w:pPr>
              <w:jc w:val="center"/>
              <w:rPr>
                <w:color w:val="000000"/>
                <w:sz w:val="20"/>
                <w:szCs w:val="20"/>
                <w:lang w:eastAsia="id-ID"/>
              </w:rPr>
            </w:pPr>
            <w:r>
              <w:rPr>
                <w:color w:val="000000"/>
                <w:sz w:val="20"/>
                <w:szCs w:val="20"/>
                <w:lang w:eastAsia="id-ID"/>
              </w:rPr>
              <w:t>4,03</w:t>
            </w:r>
          </w:p>
        </w:tc>
      </w:tr>
      <w:tr w14:paraId="6E17885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2B01CFE5">
            <w:pPr>
              <w:jc w:val="both"/>
              <w:rPr>
                <w:b w:val="0"/>
                <w:bCs w:val="0"/>
                <w:sz w:val="20"/>
                <w:szCs w:val="20"/>
              </w:rPr>
            </w:pPr>
            <w:r>
              <w:rPr>
                <w:b w:val="0"/>
                <w:bCs w:val="0"/>
                <w:sz w:val="20"/>
                <w:szCs w:val="20"/>
              </w:rPr>
              <w:t>Memahami hak-hak dan kewajiban mereka dalam hubungan dengan otoritas pajak yang mengatur pajak kendaraan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D4078CC">
            <w:pPr>
              <w:jc w:val="center"/>
              <w:rPr>
                <w:color w:val="000000"/>
                <w:sz w:val="20"/>
                <w:szCs w:val="20"/>
                <w:lang w:eastAsia="id-ID"/>
              </w:rPr>
            </w:pPr>
            <w:r>
              <w:rPr>
                <w:color w:val="000000"/>
                <w:sz w:val="20"/>
                <w:szCs w:val="20"/>
                <w:lang w:eastAsia="id-ID"/>
              </w:rPr>
              <w:t>1</w:t>
            </w:r>
          </w:p>
          <w:p w14:paraId="0ECCFB96">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3261D280">
            <w:pPr>
              <w:jc w:val="center"/>
              <w:rPr>
                <w:color w:val="000000"/>
                <w:sz w:val="20"/>
                <w:szCs w:val="20"/>
                <w:lang w:eastAsia="id-ID"/>
              </w:rPr>
            </w:pPr>
            <w:r>
              <w:rPr>
                <w:color w:val="000000"/>
                <w:sz w:val="20"/>
                <w:szCs w:val="20"/>
                <w:lang w:eastAsia="id-ID"/>
              </w:rPr>
              <w:t>4</w:t>
            </w:r>
          </w:p>
          <w:p w14:paraId="7361B6D5">
            <w:pPr>
              <w:jc w:val="center"/>
              <w:rPr>
                <w:color w:val="000000"/>
                <w:sz w:val="20"/>
                <w:szCs w:val="20"/>
                <w:lang w:eastAsia="id-ID"/>
              </w:rPr>
            </w:pPr>
            <w:r>
              <w:rPr>
                <w:color w:val="000000"/>
                <w:sz w:val="20"/>
                <w:szCs w:val="20"/>
                <w:lang w:eastAsia="id-ID"/>
              </w:rPr>
              <w:t>(5,7%)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1D98D76A">
            <w:pPr>
              <w:jc w:val="center"/>
              <w:rPr>
                <w:color w:val="000000"/>
                <w:sz w:val="20"/>
                <w:szCs w:val="20"/>
                <w:lang w:eastAsia="id-ID"/>
              </w:rPr>
            </w:pPr>
            <w:r>
              <w:rPr>
                <w:color w:val="000000"/>
                <w:sz w:val="20"/>
                <w:szCs w:val="20"/>
                <w:lang w:eastAsia="id-ID"/>
              </w:rPr>
              <w:t>11</w:t>
            </w:r>
          </w:p>
          <w:p w14:paraId="33A8D0F0">
            <w:pPr>
              <w:jc w:val="center"/>
              <w:rPr>
                <w:color w:val="000000"/>
                <w:sz w:val="20"/>
                <w:szCs w:val="20"/>
                <w:lang w:eastAsia="id-ID"/>
              </w:rPr>
            </w:pPr>
            <w:r>
              <w:rPr>
                <w:color w:val="000000"/>
                <w:sz w:val="20"/>
                <w:szCs w:val="20"/>
                <w:lang w:eastAsia="id-ID"/>
              </w:rPr>
              <w:t>(15,7%)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E7EA0CA">
            <w:pPr>
              <w:jc w:val="center"/>
              <w:rPr>
                <w:color w:val="000000"/>
                <w:sz w:val="20"/>
                <w:szCs w:val="20"/>
                <w:lang w:eastAsia="id-ID"/>
              </w:rPr>
            </w:pPr>
            <w:r>
              <w:rPr>
                <w:color w:val="000000"/>
                <w:sz w:val="20"/>
                <w:szCs w:val="20"/>
                <w:lang w:eastAsia="id-ID"/>
              </w:rPr>
              <w:t>34</w:t>
            </w:r>
          </w:p>
          <w:p w14:paraId="4560D018">
            <w:pPr>
              <w:jc w:val="center"/>
              <w:rPr>
                <w:color w:val="000000"/>
                <w:sz w:val="20"/>
                <w:szCs w:val="20"/>
                <w:lang w:eastAsia="id-ID"/>
              </w:rPr>
            </w:pPr>
            <w:r>
              <w:rPr>
                <w:color w:val="000000"/>
                <w:sz w:val="20"/>
                <w:szCs w:val="20"/>
                <w:lang w:eastAsia="id-ID"/>
              </w:rPr>
              <w:t>(48,6%)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1883F4FB">
            <w:pPr>
              <w:jc w:val="center"/>
              <w:rPr>
                <w:color w:val="000000"/>
                <w:sz w:val="20"/>
                <w:szCs w:val="20"/>
                <w:lang w:eastAsia="id-ID"/>
              </w:rPr>
            </w:pPr>
            <w:r>
              <w:rPr>
                <w:color w:val="000000"/>
                <w:sz w:val="20"/>
                <w:szCs w:val="20"/>
                <w:lang w:eastAsia="id-ID"/>
              </w:rPr>
              <w:t>20</w:t>
            </w:r>
          </w:p>
          <w:p w14:paraId="7BB7744D">
            <w:pPr>
              <w:jc w:val="center"/>
              <w:rPr>
                <w:color w:val="000000"/>
                <w:sz w:val="20"/>
                <w:szCs w:val="20"/>
                <w:lang w:eastAsia="id-ID"/>
              </w:rPr>
            </w:pPr>
            <w:r>
              <w:rPr>
                <w:color w:val="000000"/>
                <w:sz w:val="20"/>
                <w:szCs w:val="20"/>
                <w:lang w:eastAsia="id-ID"/>
              </w:rPr>
              <w:t>(28,6%)</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2B1F3765">
            <w:pPr>
              <w:jc w:val="center"/>
              <w:rPr>
                <w:color w:val="000000"/>
                <w:sz w:val="20"/>
                <w:szCs w:val="20"/>
                <w:lang w:eastAsia="id-ID"/>
              </w:rPr>
            </w:pPr>
            <w:r>
              <w:rPr>
                <w:color w:val="000000"/>
                <w:sz w:val="20"/>
                <w:szCs w:val="20"/>
                <w:lang w:eastAsia="id-ID"/>
              </w:rPr>
              <w:t>0,900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183D7E16">
            <w:pPr>
              <w:jc w:val="center"/>
              <w:rPr>
                <w:color w:val="000000"/>
                <w:sz w:val="20"/>
                <w:szCs w:val="20"/>
                <w:lang w:eastAsia="id-ID"/>
              </w:rPr>
            </w:pPr>
            <w:r>
              <w:rPr>
                <w:color w:val="000000"/>
                <w:sz w:val="20"/>
                <w:szCs w:val="20"/>
                <w:lang w:eastAsia="id-ID"/>
              </w:rPr>
              <w:t>3,97</w:t>
            </w:r>
          </w:p>
        </w:tc>
      </w:tr>
      <w:tr w14:paraId="38272D7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2BFA23D3">
            <w:pPr>
              <w:jc w:val="both"/>
              <w:rPr>
                <w:b w:val="0"/>
                <w:bCs w:val="0"/>
                <w:sz w:val="20"/>
                <w:szCs w:val="20"/>
              </w:rPr>
            </w:pPr>
            <w:r>
              <w:rPr>
                <w:b w:val="0"/>
                <w:bCs w:val="0"/>
                <w:sz w:val="20"/>
                <w:szCs w:val="20"/>
              </w:rPr>
              <w:t>Saya memahami adanya hak untuk mengajukan banding atau klaim pengurangan serta kewajiban untuk mengisi dan mengajukan laporan pajak kendaraan secara benar</w:t>
            </w:r>
          </w:p>
        </w:tc>
        <w:tc>
          <w:tcPr>
            <w:tcW w:w="511" w:type="pct"/>
            <w:vAlign w:val="center"/>
          </w:tcPr>
          <w:p w14:paraId="29625754">
            <w:pPr>
              <w:jc w:val="center"/>
              <w:rPr>
                <w:color w:val="000000"/>
                <w:sz w:val="20"/>
                <w:szCs w:val="20"/>
                <w:lang w:eastAsia="id-ID"/>
              </w:rPr>
            </w:pPr>
            <w:r>
              <w:rPr>
                <w:color w:val="000000"/>
                <w:sz w:val="20"/>
                <w:szCs w:val="20"/>
                <w:lang w:eastAsia="id-ID"/>
              </w:rPr>
              <w:t>1</w:t>
            </w:r>
          </w:p>
          <w:p w14:paraId="5D22E797">
            <w:pPr>
              <w:jc w:val="center"/>
              <w:rPr>
                <w:color w:val="000000"/>
                <w:sz w:val="20"/>
                <w:szCs w:val="20"/>
                <w:lang w:eastAsia="id-ID"/>
              </w:rPr>
            </w:pPr>
            <w:r>
              <w:rPr>
                <w:color w:val="000000"/>
                <w:sz w:val="20"/>
                <w:szCs w:val="20"/>
                <w:lang w:eastAsia="id-ID"/>
              </w:rPr>
              <w:t>(1,4%)</w:t>
            </w:r>
          </w:p>
        </w:tc>
        <w:tc>
          <w:tcPr>
            <w:tcW w:w="511" w:type="pct"/>
            <w:vAlign w:val="center"/>
          </w:tcPr>
          <w:p w14:paraId="1C7EA041">
            <w:pPr>
              <w:jc w:val="center"/>
              <w:rPr>
                <w:color w:val="000000"/>
                <w:sz w:val="20"/>
                <w:szCs w:val="20"/>
                <w:lang w:eastAsia="id-ID"/>
              </w:rPr>
            </w:pPr>
            <w:r>
              <w:rPr>
                <w:color w:val="000000"/>
                <w:sz w:val="20"/>
                <w:szCs w:val="20"/>
                <w:lang w:eastAsia="id-ID"/>
              </w:rPr>
              <w:t>4</w:t>
            </w:r>
          </w:p>
          <w:p w14:paraId="0F967CE9">
            <w:pPr>
              <w:jc w:val="center"/>
              <w:rPr>
                <w:color w:val="000000"/>
                <w:sz w:val="20"/>
                <w:szCs w:val="20"/>
                <w:lang w:eastAsia="id-ID"/>
              </w:rPr>
            </w:pPr>
            <w:r>
              <w:rPr>
                <w:color w:val="000000"/>
                <w:sz w:val="20"/>
                <w:szCs w:val="20"/>
                <w:lang w:eastAsia="id-ID"/>
              </w:rPr>
              <w:t>(5,7%)</w:t>
            </w:r>
          </w:p>
        </w:tc>
        <w:tc>
          <w:tcPr>
            <w:tcW w:w="580" w:type="pct"/>
            <w:vAlign w:val="center"/>
          </w:tcPr>
          <w:p w14:paraId="7430ECEE">
            <w:pPr>
              <w:jc w:val="center"/>
              <w:rPr>
                <w:color w:val="000000"/>
                <w:sz w:val="20"/>
                <w:szCs w:val="20"/>
                <w:lang w:eastAsia="id-ID"/>
              </w:rPr>
            </w:pPr>
            <w:r>
              <w:rPr>
                <w:color w:val="000000"/>
                <w:sz w:val="20"/>
                <w:szCs w:val="20"/>
                <w:lang w:eastAsia="id-ID"/>
              </w:rPr>
              <w:t>22</w:t>
            </w:r>
          </w:p>
          <w:p w14:paraId="491A6BD3">
            <w:pPr>
              <w:jc w:val="center"/>
              <w:rPr>
                <w:color w:val="000000"/>
                <w:sz w:val="20"/>
                <w:szCs w:val="20"/>
                <w:lang w:eastAsia="id-ID"/>
              </w:rPr>
            </w:pPr>
            <w:r>
              <w:rPr>
                <w:color w:val="000000"/>
                <w:sz w:val="20"/>
                <w:szCs w:val="20"/>
                <w:lang w:eastAsia="id-ID"/>
              </w:rPr>
              <w:t>(31,4%)</w:t>
            </w:r>
          </w:p>
        </w:tc>
        <w:tc>
          <w:tcPr>
            <w:tcW w:w="580" w:type="pct"/>
            <w:vAlign w:val="center"/>
          </w:tcPr>
          <w:p w14:paraId="65914257">
            <w:pPr>
              <w:jc w:val="center"/>
              <w:rPr>
                <w:color w:val="000000"/>
                <w:sz w:val="20"/>
                <w:szCs w:val="20"/>
                <w:lang w:eastAsia="id-ID"/>
              </w:rPr>
            </w:pPr>
            <w:r>
              <w:rPr>
                <w:color w:val="000000"/>
                <w:sz w:val="20"/>
                <w:szCs w:val="20"/>
                <w:lang w:eastAsia="id-ID"/>
              </w:rPr>
              <w:t>21</w:t>
            </w:r>
          </w:p>
          <w:p w14:paraId="62D93374">
            <w:pPr>
              <w:jc w:val="center"/>
              <w:rPr>
                <w:color w:val="000000"/>
                <w:sz w:val="20"/>
                <w:szCs w:val="20"/>
                <w:lang w:eastAsia="id-ID"/>
              </w:rPr>
            </w:pPr>
            <w:r>
              <w:rPr>
                <w:color w:val="000000"/>
                <w:sz w:val="20"/>
                <w:szCs w:val="20"/>
                <w:lang w:eastAsia="id-ID"/>
              </w:rPr>
              <w:t>(30,0%)</w:t>
            </w:r>
          </w:p>
        </w:tc>
        <w:tc>
          <w:tcPr>
            <w:tcW w:w="580" w:type="pct"/>
            <w:vAlign w:val="center"/>
          </w:tcPr>
          <w:p w14:paraId="3C74C1AD">
            <w:pPr>
              <w:jc w:val="center"/>
              <w:rPr>
                <w:color w:val="000000"/>
                <w:sz w:val="20"/>
                <w:szCs w:val="20"/>
                <w:lang w:eastAsia="id-ID"/>
              </w:rPr>
            </w:pPr>
            <w:r>
              <w:rPr>
                <w:color w:val="000000"/>
                <w:sz w:val="20"/>
                <w:szCs w:val="20"/>
                <w:lang w:eastAsia="id-ID"/>
              </w:rPr>
              <w:t>22</w:t>
            </w:r>
          </w:p>
          <w:p w14:paraId="49ED218A">
            <w:pPr>
              <w:jc w:val="center"/>
              <w:rPr>
                <w:color w:val="000000"/>
                <w:sz w:val="20"/>
                <w:szCs w:val="20"/>
                <w:lang w:eastAsia="id-ID"/>
              </w:rPr>
            </w:pPr>
            <w:r>
              <w:rPr>
                <w:color w:val="000000"/>
                <w:sz w:val="20"/>
                <w:szCs w:val="20"/>
                <w:lang w:eastAsia="id-ID"/>
              </w:rPr>
              <w:t>(31,4%)</w:t>
            </w:r>
          </w:p>
        </w:tc>
        <w:tc>
          <w:tcPr>
            <w:tcW w:w="700" w:type="pct"/>
            <w:vAlign w:val="center"/>
          </w:tcPr>
          <w:p w14:paraId="1ACD7CD7">
            <w:pPr>
              <w:jc w:val="center"/>
              <w:rPr>
                <w:color w:val="000000"/>
                <w:sz w:val="20"/>
                <w:szCs w:val="20"/>
                <w:lang w:eastAsia="id-ID"/>
              </w:rPr>
            </w:pPr>
            <w:r>
              <w:rPr>
                <w:color w:val="000000"/>
                <w:sz w:val="20"/>
                <w:szCs w:val="20"/>
                <w:lang w:eastAsia="id-ID"/>
              </w:rPr>
              <w:t>0,987</w:t>
            </w:r>
          </w:p>
        </w:tc>
        <w:tc>
          <w:tcPr>
            <w:tcW w:w="469" w:type="pct"/>
            <w:vAlign w:val="center"/>
          </w:tcPr>
          <w:p w14:paraId="490C3618">
            <w:pPr>
              <w:jc w:val="center"/>
              <w:rPr>
                <w:color w:val="000000"/>
                <w:sz w:val="20"/>
                <w:szCs w:val="20"/>
                <w:lang w:eastAsia="id-ID"/>
              </w:rPr>
            </w:pPr>
            <w:r>
              <w:rPr>
                <w:color w:val="000000"/>
                <w:sz w:val="20"/>
                <w:szCs w:val="20"/>
                <w:lang w:eastAsia="id-ID"/>
              </w:rPr>
              <w:t>3,84</w:t>
            </w:r>
          </w:p>
        </w:tc>
      </w:tr>
      <w:tr w14:paraId="694D0E8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2E9EA5B5">
            <w:pPr>
              <w:jc w:val="both"/>
              <w:rPr>
                <w:b w:val="0"/>
                <w:bCs w:val="0"/>
                <w:sz w:val="20"/>
                <w:szCs w:val="20"/>
              </w:rPr>
            </w:pPr>
            <w:r>
              <w:rPr>
                <w:b w:val="0"/>
                <w:bCs w:val="0"/>
                <w:sz w:val="20"/>
                <w:szCs w:val="20"/>
              </w:rPr>
              <w:t>Saya paham bahwa wajib pajak harus melaporkan dan membayar pajak tepat waktu</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5364B5E">
            <w:pPr>
              <w:jc w:val="center"/>
              <w:rPr>
                <w:color w:val="000000"/>
                <w:sz w:val="20"/>
                <w:szCs w:val="20"/>
                <w:lang w:eastAsia="id-ID"/>
              </w:rPr>
            </w:pPr>
            <w:r>
              <w:rPr>
                <w:color w:val="000000"/>
                <w:sz w:val="20"/>
                <w:szCs w:val="20"/>
                <w:lang w:eastAsia="id-ID"/>
              </w:rPr>
              <w:t>1</w:t>
            </w:r>
          </w:p>
          <w:p w14:paraId="7D895842">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3035178">
            <w:pPr>
              <w:jc w:val="center"/>
              <w:rPr>
                <w:color w:val="000000"/>
                <w:sz w:val="20"/>
                <w:szCs w:val="20"/>
                <w:lang w:eastAsia="id-ID"/>
              </w:rPr>
            </w:pPr>
            <w:r>
              <w:rPr>
                <w:color w:val="000000"/>
                <w:sz w:val="20"/>
                <w:szCs w:val="20"/>
                <w:lang w:eastAsia="id-ID"/>
              </w:rPr>
              <w:t>1</w:t>
            </w:r>
          </w:p>
          <w:p w14:paraId="05598116">
            <w:pPr>
              <w:jc w:val="center"/>
              <w:rPr>
                <w:color w:val="000000"/>
                <w:sz w:val="20"/>
                <w:szCs w:val="20"/>
                <w:lang w:eastAsia="id-ID"/>
              </w:rPr>
            </w:pPr>
            <w:r>
              <w:rPr>
                <w:color w:val="000000"/>
                <w:sz w:val="20"/>
                <w:szCs w:val="20"/>
                <w:lang w:eastAsia="id-ID"/>
              </w:rPr>
              <w:t>(1,4%)</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BD550D8">
            <w:pPr>
              <w:jc w:val="center"/>
              <w:rPr>
                <w:color w:val="000000"/>
                <w:sz w:val="20"/>
                <w:szCs w:val="20"/>
                <w:lang w:eastAsia="id-ID"/>
              </w:rPr>
            </w:pPr>
            <w:r>
              <w:rPr>
                <w:color w:val="000000"/>
                <w:sz w:val="20"/>
                <w:szCs w:val="20"/>
                <w:lang w:eastAsia="id-ID"/>
              </w:rPr>
              <w:t>13</w:t>
            </w:r>
          </w:p>
          <w:p w14:paraId="4590D625">
            <w:pPr>
              <w:jc w:val="center"/>
              <w:rPr>
                <w:color w:val="000000"/>
                <w:sz w:val="20"/>
                <w:szCs w:val="20"/>
                <w:lang w:eastAsia="id-ID"/>
              </w:rPr>
            </w:pPr>
            <w:r>
              <w:rPr>
                <w:color w:val="000000"/>
                <w:sz w:val="20"/>
                <w:szCs w:val="20"/>
                <w:lang w:eastAsia="id-ID"/>
              </w:rPr>
              <w:t>(18,6%)</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00325697">
            <w:pPr>
              <w:jc w:val="center"/>
              <w:rPr>
                <w:color w:val="000000"/>
                <w:sz w:val="20"/>
                <w:szCs w:val="20"/>
                <w:lang w:eastAsia="id-ID"/>
              </w:rPr>
            </w:pPr>
            <w:r>
              <w:rPr>
                <w:color w:val="000000"/>
                <w:sz w:val="20"/>
                <w:szCs w:val="20"/>
                <w:lang w:eastAsia="id-ID"/>
              </w:rPr>
              <w:t>32</w:t>
            </w:r>
          </w:p>
          <w:p w14:paraId="0DCC78F6">
            <w:pPr>
              <w:jc w:val="center"/>
              <w:rPr>
                <w:color w:val="000000"/>
                <w:sz w:val="20"/>
                <w:szCs w:val="20"/>
                <w:lang w:eastAsia="id-ID"/>
              </w:rPr>
            </w:pPr>
            <w:r>
              <w:rPr>
                <w:color w:val="000000"/>
                <w:sz w:val="20"/>
                <w:szCs w:val="20"/>
                <w:lang w:eastAsia="id-ID"/>
              </w:rPr>
              <w:t>(45,7%)</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28FE128D">
            <w:pPr>
              <w:jc w:val="center"/>
              <w:rPr>
                <w:color w:val="000000"/>
                <w:sz w:val="20"/>
                <w:szCs w:val="20"/>
                <w:lang w:eastAsia="id-ID"/>
              </w:rPr>
            </w:pPr>
            <w:r>
              <w:rPr>
                <w:color w:val="000000"/>
                <w:sz w:val="20"/>
                <w:szCs w:val="20"/>
                <w:lang w:eastAsia="id-ID"/>
              </w:rPr>
              <w:t>23</w:t>
            </w:r>
          </w:p>
          <w:p w14:paraId="42C65D9C">
            <w:pPr>
              <w:jc w:val="center"/>
              <w:rPr>
                <w:color w:val="000000"/>
                <w:sz w:val="20"/>
                <w:szCs w:val="20"/>
                <w:lang w:eastAsia="id-ID"/>
              </w:rPr>
            </w:pPr>
            <w:r>
              <w:rPr>
                <w:color w:val="000000"/>
                <w:sz w:val="20"/>
                <w:szCs w:val="20"/>
                <w:lang w:eastAsia="id-ID"/>
              </w:rPr>
              <w:t>(32,9%)</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447C281A">
            <w:pPr>
              <w:jc w:val="center"/>
              <w:rPr>
                <w:color w:val="000000"/>
                <w:sz w:val="20"/>
                <w:szCs w:val="20"/>
                <w:lang w:eastAsia="id-ID"/>
              </w:rPr>
            </w:pPr>
            <w:r>
              <w:rPr>
                <w:color w:val="000000"/>
                <w:sz w:val="20"/>
                <w:szCs w:val="20"/>
                <w:lang w:eastAsia="id-ID"/>
              </w:rPr>
              <w:t>0,840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226F32D1">
            <w:pPr>
              <w:jc w:val="center"/>
              <w:rPr>
                <w:color w:val="000000"/>
                <w:sz w:val="20"/>
                <w:szCs w:val="20"/>
                <w:lang w:eastAsia="id-ID"/>
              </w:rPr>
            </w:pPr>
            <w:r>
              <w:rPr>
                <w:color w:val="000000"/>
                <w:sz w:val="20"/>
                <w:szCs w:val="20"/>
                <w:lang w:eastAsia="id-ID"/>
              </w:rPr>
              <w:t>4,07</w:t>
            </w:r>
          </w:p>
        </w:tc>
      </w:tr>
      <w:tr w14:paraId="40A1CD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0671E412">
            <w:pPr>
              <w:jc w:val="both"/>
              <w:rPr>
                <w:b w:val="0"/>
                <w:bCs w:val="0"/>
                <w:sz w:val="20"/>
                <w:szCs w:val="20"/>
              </w:rPr>
            </w:pPr>
            <w:r>
              <w:rPr>
                <w:b w:val="0"/>
                <w:bCs w:val="0"/>
                <w:sz w:val="20"/>
                <w:szCs w:val="20"/>
              </w:rPr>
              <w:t xml:space="preserve">Saya paham bahwa pada saat melakukan pelaporan harus mengisi formulir pajak </w:t>
            </w:r>
          </w:p>
        </w:tc>
        <w:tc>
          <w:tcPr>
            <w:tcW w:w="511" w:type="pct"/>
            <w:vAlign w:val="center"/>
          </w:tcPr>
          <w:p w14:paraId="55992AC9">
            <w:pPr>
              <w:jc w:val="center"/>
              <w:rPr>
                <w:color w:val="000000"/>
                <w:sz w:val="20"/>
                <w:szCs w:val="20"/>
                <w:lang w:eastAsia="id-ID"/>
              </w:rPr>
            </w:pPr>
            <w:r>
              <w:rPr>
                <w:color w:val="000000"/>
                <w:sz w:val="20"/>
                <w:szCs w:val="20"/>
                <w:lang w:eastAsia="id-ID"/>
              </w:rPr>
              <w:t>1</w:t>
            </w:r>
          </w:p>
          <w:p w14:paraId="4EC274EB">
            <w:pPr>
              <w:jc w:val="center"/>
              <w:rPr>
                <w:color w:val="000000"/>
                <w:sz w:val="20"/>
                <w:szCs w:val="20"/>
                <w:lang w:eastAsia="id-ID"/>
              </w:rPr>
            </w:pPr>
            <w:r>
              <w:rPr>
                <w:color w:val="000000"/>
                <w:sz w:val="20"/>
                <w:szCs w:val="20"/>
                <w:lang w:eastAsia="id-ID"/>
              </w:rPr>
              <w:t>(1,4%)</w:t>
            </w:r>
          </w:p>
        </w:tc>
        <w:tc>
          <w:tcPr>
            <w:tcW w:w="511" w:type="pct"/>
            <w:vAlign w:val="center"/>
          </w:tcPr>
          <w:p w14:paraId="609E4830">
            <w:pPr>
              <w:jc w:val="center"/>
              <w:rPr>
                <w:color w:val="000000"/>
                <w:sz w:val="20"/>
                <w:szCs w:val="20"/>
                <w:lang w:eastAsia="id-ID"/>
              </w:rPr>
            </w:pPr>
            <w:r>
              <w:rPr>
                <w:color w:val="000000"/>
                <w:sz w:val="20"/>
                <w:szCs w:val="20"/>
                <w:lang w:eastAsia="id-ID"/>
              </w:rPr>
              <w:t>4</w:t>
            </w:r>
          </w:p>
          <w:p w14:paraId="3008EAFF">
            <w:pPr>
              <w:jc w:val="center"/>
              <w:rPr>
                <w:color w:val="000000"/>
                <w:sz w:val="20"/>
                <w:szCs w:val="20"/>
                <w:lang w:eastAsia="id-ID"/>
              </w:rPr>
            </w:pPr>
            <w:r>
              <w:rPr>
                <w:color w:val="000000"/>
                <w:sz w:val="20"/>
                <w:szCs w:val="20"/>
                <w:lang w:eastAsia="id-ID"/>
              </w:rPr>
              <w:t>(5,7%)</w:t>
            </w:r>
          </w:p>
        </w:tc>
        <w:tc>
          <w:tcPr>
            <w:tcW w:w="580" w:type="pct"/>
            <w:vAlign w:val="center"/>
          </w:tcPr>
          <w:p w14:paraId="46171B39">
            <w:pPr>
              <w:jc w:val="center"/>
              <w:rPr>
                <w:color w:val="000000"/>
                <w:sz w:val="20"/>
                <w:szCs w:val="20"/>
                <w:lang w:eastAsia="id-ID"/>
              </w:rPr>
            </w:pPr>
            <w:r>
              <w:rPr>
                <w:color w:val="000000"/>
                <w:sz w:val="20"/>
                <w:szCs w:val="20"/>
                <w:lang w:eastAsia="id-ID"/>
              </w:rPr>
              <w:t>11</w:t>
            </w:r>
          </w:p>
          <w:p w14:paraId="0CA37065">
            <w:pPr>
              <w:jc w:val="center"/>
              <w:rPr>
                <w:color w:val="000000"/>
                <w:sz w:val="20"/>
                <w:szCs w:val="20"/>
                <w:lang w:eastAsia="id-ID"/>
              </w:rPr>
            </w:pPr>
            <w:r>
              <w:rPr>
                <w:color w:val="000000"/>
                <w:sz w:val="20"/>
                <w:szCs w:val="20"/>
                <w:lang w:eastAsia="id-ID"/>
              </w:rPr>
              <w:t>(15,7%)</w:t>
            </w:r>
          </w:p>
        </w:tc>
        <w:tc>
          <w:tcPr>
            <w:tcW w:w="580" w:type="pct"/>
            <w:vAlign w:val="center"/>
          </w:tcPr>
          <w:p w14:paraId="0683DA17">
            <w:pPr>
              <w:jc w:val="center"/>
              <w:rPr>
                <w:color w:val="000000"/>
                <w:sz w:val="20"/>
                <w:szCs w:val="20"/>
                <w:lang w:eastAsia="id-ID"/>
              </w:rPr>
            </w:pPr>
            <w:r>
              <w:rPr>
                <w:color w:val="000000"/>
                <w:sz w:val="20"/>
                <w:szCs w:val="20"/>
                <w:lang w:eastAsia="id-ID"/>
              </w:rPr>
              <w:t>32</w:t>
            </w:r>
          </w:p>
          <w:p w14:paraId="308B33AC">
            <w:pPr>
              <w:jc w:val="center"/>
              <w:rPr>
                <w:color w:val="000000"/>
                <w:sz w:val="20"/>
                <w:szCs w:val="20"/>
                <w:lang w:eastAsia="id-ID"/>
              </w:rPr>
            </w:pPr>
            <w:r>
              <w:rPr>
                <w:color w:val="000000"/>
                <w:sz w:val="20"/>
                <w:szCs w:val="20"/>
                <w:lang w:eastAsia="id-ID"/>
              </w:rPr>
              <w:t>(45,7%)</w:t>
            </w:r>
          </w:p>
        </w:tc>
        <w:tc>
          <w:tcPr>
            <w:tcW w:w="580" w:type="pct"/>
            <w:vAlign w:val="center"/>
          </w:tcPr>
          <w:p w14:paraId="12E60CAB">
            <w:pPr>
              <w:jc w:val="center"/>
              <w:rPr>
                <w:color w:val="000000"/>
                <w:sz w:val="20"/>
                <w:szCs w:val="20"/>
                <w:lang w:eastAsia="id-ID"/>
              </w:rPr>
            </w:pPr>
            <w:r>
              <w:rPr>
                <w:color w:val="000000"/>
                <w:sz w:val="20"/>
                <w:szCs w:val="20"/>
                <w:lang w:eastAsia="id-ID"/>
              </w:rPr>
              <w:t>22</w:t>
            </w:r>
          </w:p>
          <w:p w14:paraId="7335F25B">
            <w:pPr>
              <w:jc w:val="center"/>
              <w:rPr>
                <w:color w:val="000000"/>
                <w:sz w:val="20"/>
                <w:szCs w:val="20"/>
                <w:lang w:eastAsia="id-ID"/>
              </w:rPr>
            </w:pPr>
            <w:r>
              <w:rPr>
                <w:color w:val="000000"/>
                <w:sz w:val="20"/>
                <w:szCs w:val="20"/>
                <w:lang w:eastAsia="id-ID"/>
              </w:rPr>
              <w:t>(31,4%)</w:t>
            </w:r>
          </w:p>
        </w:tc>
        <w:tc>
          <w:tcPr>
            <w:tcW w:w="700" w:type="pct"/>
            <w:vAlign w:val="center"/>
          </w:tcPr>
          <w:p w14:paraId="5FEEC9E1">
            <w:pPr>
              <w:jc w:val="center"/>
              <w:rPr>
                <w:color w:val="000000"/>
                <w:sz w:val="20"/>
                <w:szCs w:val="20"/>
                <w:lang w:eastAsia="id-ID"/>
              </w:rPr>
            </w:pPr>
            <w:r>
              <w:rPr>
                <w:color w:val="000000"/>
                <w:sz w:val="20"/>
                <w:szCs w:val="20"/>
                <w:lang w:eastAsia="id-ID"/>
              </w:rPr>
              <w:t>0,917</w:t>
            </w:r>
          </w:p>
        </w:tc>
        <w:tc>
          <w:tcPr>
            <w:tcW w:w="469" w:type="pct"/>
            <w:vAlign w:val="center"/>
          </w:tcPr>
          <w:p w14:paraId="02CDC1A4">
            <w:pPr>
              <w:jc w:val="center"/>
              <w:rPr>
                <w:color w:val="000000"/>
                <w:sz w:val="20"/>
                <w:szCs w:val="20"/>
                <w:lang w:eastAsia="id-ID"/>
              </w:rPr>
            </w:pPr>
            <w:r>
              <w:rPr>
                <w:color w:val="000000"/>
                <w:sz w:val="20"/>
                <w:szCs w:val="20"/>
                <w:lang w:eastAsia="id-ID"/>
              </w:rPr>
              <w:t>4,00</w:t>
            </w:r>
          </w:p>
        </w:tc>
      </w:tr>
      <w:tr w14:paraId="2A61CF1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Borders>
              <w:top w:val="single" w:color="7E7E7E" w:themeColor="text1" w:themeTint="80" w:sz="4" w:space="0"/>
              <w:bottom w:val="single" w:color="7E7E7E" w:themeColor="text1" w:themeTint="80" w:sz="4" w:space="0"/>
              <w:insideH w:val="single" w:sz="4" w:space="0"/>
            </w:tcBorders>
          </w:tcPr>
          <w:p w14:paraId="62DD9FE2">
            <w:pPr>
              <w:jc w:val="both"/>
              <w:rPr>
                <w:b w:val="0"/>
                <w:bCs w:val="0"/>
                <w:sz w:val="20"/>
                <w:szCs w:val="20"/>
              </w:rPr>
            </w:pPr>
            <w:r>
              <w:rPr>
                <w:b w:val="0"/>
                <w:bCs w:val="0"/>
                <w:sz w:val="20"/>
                <w:szCs w:val="20"/>
              </w:rPr>
              <w:t>Perlu memahami bagaimana nilai kendaraan mereka ditentukan untuk tujuan perpajakan</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03DCCABE">
            <w:pPr>
              <w:jc w:val="center"/>
              <w:rPr>
                <w:color w:val="000000"/>
                <w:sz w:val="20"/>
                <w:szCs w:val="20"/>
                <w:lang w:eastAsia="id-ID"/>
              </w:rPr>
            </w:pPr>
            <w:r>
              <w:rPr>
                <w:color w:val="000000"/>
                <w:sz w:val="20"/>
                <w:szCs w:val="20"/>
                <w:lang w:eastAsia="id-ID"/>
              </w:rPr>
              <w:t>1</w:t>
            </w:r>
          </w:p>
          <w:p w14:paraId="75D36654">
            <w:pPr>
              <w:jc w:val="center"/>
              <w:rPr>
                <w:color w:val="000000"/>
                <w:sz w:val="20"/>
                <w:szCs w:val="20"/>
                <w:lang w:eastAsia="id-ID"/>
              </w:rPr>
            </w:pPr>
            <w:r>
              <w:rPr>
                <w:color w:val="000000"/>
                <w:sz w:val="20"/>
                <w:szCs w:val="20"/>
                <w:lang w:eastAsia="id-ID"/>
              </w:rPr>
              <w:t>(1,4%)</w:t>
            </w:r>
          </w:p>
        </w:tc>
        <w:tc>
          <w:tcPr>
            <w:tcW w:w="511" w:type="pct"/>
            <w:tcBorders>
              <w:top w:val="single" w:color="7E7E7E" w:themeColor="text1" w:themeTint="80" w:sz="4" w:space="0"/>
              <w:bottom w:val="single" w:color="7E7E7E" w:themeColor="text1" w:themeTint="80" w:sz="4" w:space="0"/>
              <w:insideH w:val="single" w:sz="4" w:space="0"/>
            </w:tcBorders>
            <w:vAlign w:val="center"/>
          </w:tcPr>
          <w:p w14:paraId="58BC775B">
            <w:pPr>
              <w:jc w:val="center"/>
              <w:rPr>
                <w:color w:val="000000"/>
                <w:sz w:val="20"/>
                <w:szCs w:val="20"/>
                <w:lang w:eastAsia="id-ID"/>
              </w:rPr>
            </w:pPr>
            <w:r>
              <w:rPr>
                <w:color w:val="000000"/>
                <w:sz w:val="20"/>
                <w:szCs w:val="20"/>
                <w:lang w:eastAsia="id-ID"/>
              </w:rPr>
              <w:t>2</w:t>
            </w:r>
          </w:p>
          <w:p w14:paraId="0344F2F4">
            <w:pPr>
              <w:jc w:val="center"/>
              <w:rPr>
                <w:color w:val="000000"/>
                <w:sz w:val="20"/>
                <w:szCs w:val="20"/>
                <w:lang w:eastAsia="id-ID"/>
              </w:rPr>
            </w:pPr>
            <w:r>
              <w:rPr>
                <w:color w:val="000000"/>
                <w:sz w:val="20"/>
                <w:szCs w:val="20"/>
                <w:lang w:eastAsia="id-ID"/>
              </w:rPr>
              <w:t>(2,9%)</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6A0C6CC0">
            <w:pPr>
              <w:jc w:val="center"/>
              <w:rPr>
                <w:color w:val="000000"/>
                <w:sz w:val="20"/>
                <w:szCs w:val="20"/>
                <w:lang w:eastAsia="id-ID"/>
              </w:rPr>
            </w:pPr>
            <w:r>
              <w:rPr>
                <w:color w:val="000000"/>
                <w:sz w:val="20"/>
                <w:szCs w:val="20"/>
                <w:lang w:eastAsia="id-ID"/>
              </w:rPr>
              <w:t>10</w:t>
            </w:r>
          </w:p>
          <w:p w14:paraId="02D0333C">
            <w:pPr>
              <w:jc w:val="center"/>
              <w:rPr>
                <w:color w:val="000000"/>
                <w:sz w:val="20"/>
                <w:szCs w:val="20"/>
                <w:lang w:eastAsia="id-ID"/>
              </w:rPr>
            </w:pPr>
            <w:r>
              <w:rPr>
                <w:color w:val="000000"/>
                <w:sz w:val="20"/>
                <w:szCs w:val="20"/>
                <w:lang w:eastAsia="id-ID"/>
              </w:rPr>
              <w:t>(14,3%)</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5C805293">
            <w:pPr>
              <w:jc w:val="center"/>
              <w:rPr>
                <w:color w:val="000000"/>
                <w:sz w:val="20"/>
                <w:szCs w:val="20"/>
                <w:lang w:eastAsia="id-ID"/>
              </w:rPr>
            </w:pPr>
            <w:r>
              <w:rPr>
                <w:color w:val="000000"/>
                <w:sz w:val="20"/>
                <w:szCs w:val="20"/>
                <w:lang w:eastAsia="id-ID"/>
              </w:rPr>
              <w:t>35</w:t>
            </w:r>
          </w:p>
          <w:p w14:paraId="33C1847C">
            <w:pPr>
              <w:jc w:val="center"/>
              <w:rPr>
                <w:color w:val="000000"/>
                <w:sz w:val="20"/>
                <w:szCs w:val="20"/>
                <w:lang w:eastAsia="id-ID"/>
              </w:rPr>
            </w:pPr>
            <w:r>
              <w:rPr>
                <w:color w:val="000000"/>
                <w:sz w:val="20"/>
                <w:szCs w:val="20"/>
                <w:lang w:eastAsia="id-ID"/>
              </w:rPr>
              <w:t>(50,0%)</w:t>
            </w:r>
          </w:p>
        </w:tc>
        <w:tc>
          <w:tcPr>
            <w:tcW w:w="580" w:type="pct"/>
            <w:tcBorders>
              <w:top w:val="single" w:color="7E7E7E" w:themeColor="text1" w:themeTint="80" w:sz="4" w:space="0"/>
              <w:bottom w:val="single" w:color="7E7E7E" w:themeColor="text1" w:themeTint="80" w:sz="4" w:space="0"/>
              <w:insideH w:val="single" w:sz="4" w:space="0"/>
            </w:tcBorders>
            <w:vAlign w:val="center"/>
          </w:tcPr>
          <w:p w14:paraId="392B3FEA">
            <w:pPr>
              <w:jc w:val="center"/>
              <w:rPr>
                <w:color w:val="000000"/>
                <w:sz w:val="20"/>
                <w:szCs w:val="20"/>
                <w:lang w:eastAsia="id-ID"/>
              </w:rPr>
            </w:pPr>
            <w:r>
              <w:rPr>
                <w:color w:val="000000"/>
                <w:sz w:val="20"/>
                <w:szCs w:val="20"/>
                <w:lang w:eastAsia="id-ID"/>
              </w:rPr>
              <w:t>22</w:t>
            </w:r>
          </w:p>
          <w:p w14:paraId="20D74F3A">
            <w:pPr>
              <w:jc w:val="center"/>
              <w:rPr>
                <w:color w:val="000000"/>
                <w:sz w:val="20"/>
                <w:szCs w:val="20"/>
                <w:lang w:eastAsia="id-ID"/>
              </w:rPr>
            </w:pPr>
            <w:r>
              <w:rPr>
                <w:color w:val="000000"/>
                <w:sz w:val="20"/>
                <w:szCs w:val="20"/>
                <w:lang w:eastAsia="id-ID"/>
              </w:rPr>
              <w:t>(31,4%)</w:t>
            </w:r>
          </w:p>
        </w:tc>
        <w:tc>
          <w:tcPr>
            <w:tcW w:w="700" w:type="pct"/>
            <w:tcBorders>
              <w:top w:val="single" w:color="7E7E7E" w:themeColor="text1" w:themeTint="80" w:sz="4" w:space="0"/>
              <w:bottom w:val="single" w:color="7E7E7E" w:themeColor="text1" w:themeTint="80" w:sz="4" w:space="0"/>
              <w:insideH w:val="single" w:sz="4" w:space="0"/>
            </w:tcBorders>
            <w:vAlign w:val="center"/>
          </w:tcPr>
          <w:p w14:paraId="7BCD192B">
            <w:pPr>
              <w:jc w:val="center"/>
              <w:rPr>
                <w:color w:val="000000"/>
                <w:sz w:val="20"/>
                <w:szCs w:val="20"/>
                <w:lang w:eastAsia="id-ID"/>
              </w:rPr>
            </w:pPr>
            <w:r>
              <w:rPr>
                <w:color w:val="000000"/>
                <w:sz w:val="20"/>
                <w:szCs w:val="20"/>
                <w:lang w:eastAsia="id-ID"/>
              </w:rPr>
              <w:t>0,840</w:t>
            </w:r>
          </w:p>
        </w:tc>
        <w:tc>
          <w:tcPr>
            <w:tcW w:w="469" w:type="pct"/>
            <w:tcBorders>
              <w:top w:val="single" w:color="7E7E7E" w:themeColor="text1" w:themeTint="80" w:sz="4" w:space="0"/>
              <w:bottom w:val="single" w:color="7E7E7E" w:themeColor="text1" w:themeTint="80" w:sz="4" w:space="0"/>
              <w:insideH w:val="single" w:sz="4" w:space="0"/>
            </w:tcBorders>
            <w:vAlign w:val="center"/>
          </w:tcPr>
          <w:p w14:paraId="0E3C45E3">
            <w:pPr>
              <w:jc w:val="center"/>
              <w:rPr>
                <w:color w:val="000000"/>
                <w:sz w:val="20"/>
                <w:szCs w:val="20"/>
                <w:lang w:eastAsia="id-ID"/>
              </w:rPr>
            </w:pPr>
            <w:r>
              <w:rPr>
                <w:color w:val="000000"/>
                <w:sz w:val="20"/>
                <w:szCs w:val="20"/>
                <w:lang w:eastAsia="id-ID"/>
              </w:rPr>
              <w:t>4,07</w:t>
            </w:r>
          </w:p>
        </w:tc>
      </w:tr>
      <w:tr w14:paraId="2D84F73B">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trPr>
        <w:tc>
          <w:tcPr>
            <w:tcW w:w="1071" w:type="pct"/>
          </w:tcPr>
          <w:p w14:paraId="2270EF23">
            <w:pPr>
              <w:jc w:val="both"/>
              <w:rPr>
                <w:b w:val="0"/>
                <w:bCs w:val="0"/>
                <w:sz w:val="20"/>
                <w:szCs w:val="20"/>
              </w:rPr>
            </w:pPr>
            <w:r>
              <w:rPr>
                <w:b w:val="0"/>
                <w:bCs w:val="0"/>
                <w:sz w:val="20"/>
                <w:szCs w:val="20"/>
              </w:rPr>
              <w:t>Saya paham bahwa otoritas pajak telah menetapkan harga beli, usi ataupun nilai taksiran</w:t>
            </w:r>
          </w:p>
        </w:tc>
        <w:tc>
          <w:tcPr>
            <w:tcW w:w="511" w:type="pct"/>
            <w:vAlign w:val="center"/>
          </w:tcPr>
          <w:p w14:paraId="30A06EC7">
            <w:pPr>
              <w:jc w:val="center"/>
              <w:rPr>
                <w:color w:val="000000"/>
                <w:sz w:val="20"/>
                <w:szCs w:val="20"/>
                <w:lang w:eastAsia="id-ID"/>
              </w:rPr>
            </w:pPr>
            <w:r>
              <w:rPr>
                <w:color w:val="000000"/>
                <w:sz w:val="20"/>
                <w:szCs w:val="20"/>
                <w:lang w:eastAsia="id-ID"/>
              </w:rPr>
              <w:t>1</w:t>
            </w:r>
          </w:p>
          <w:p w14:paraId="0680D722">
            <w:pPr>
              <w:jc w:val="center"/>
              <w:rPr>
                <w:color w:val="000000"/>
                <w:sz w:val="20"/>
                <w:szCs w:val="20"/>
                <w:lang w:eastAsia="id-ID"/>
              </w:rPr>
            </w:pPr>
            <w:r>
              <w:rPr>
                <w:color w:val="000000"/>
                <w:sz w:val="20"/>
                <w:szCs w:val="20"/>
                <w:lang w:eastAsia="id-ID"/>
              </w:rPr>
              <w:t>(1,4%)</w:t>
            </w:r>
          </w:p>
        </w:tc>
        <w:tc>
          <w:tcPr>
            <w:tcW w:w="511" w:type="pct"/>
            <w:vAlign w:val="center"/>
          </w:tcPr>
          <w:p w14:paraId="3A1349A7">
            <w:pPr>
              <w:jc w:val="center"/>
              <w:rPr>
                <w:color w:val="000000"/>
                <w:sz w:val="20"/>
                <w:szCs w:val="20"/>
                <w:lang w:eastAsia="id-ID"/>
              </w:rPr>
            </w:pPr>
            <w:r>
              <w:rPr>
                <w:color w:val="000000"/>
                <w:sz w:val="20"/>
                <w:szCs w:val="20"/>
                <w:lang w:eastAsia="id-ID"/>
              </w:rPr>
              <w:t>2</w:t>
            </w:r>
          </w:p>
          <w:p w14:paraId="1E2388D8">
            <w:pPr>
              <w:jc w:val="center"/>
              <w:rPr>
                <w:color w:val="000000"/>
                <w:sz w:val="20"/>
                <w:szCs w:val="20"/>
                <w:lang w:eastAsia="id-ID"/>
              </w:rPr>
            </w:pPr>
            <w:r>
              <w:rPr>
                <w:color w:val="000000"/>
                <w:sz w:val="20"/>
                <w:szCs w:val="20"/>
                <w:lang w:eastAsia="id-ID"/>
              </w:rPr>
              <w:t>(2,9%)</w:t>
            </w:r>
          </w:p>
        </w:tc>
        <w:tc>
          <w:tcPr>
            <w:tcW w:w="580" w:type="pct"/>
            <w:vAlign w:val="center"/>
          </w:tcPr>
          <w:p w14:paraId="48C49EE4">
            <w:pPr>
              <w:jc w:val="center"/>
              <w:rPr>
                <w:color w:val="000000"/>
                <w:sz w:val="20"/>
                <w:szCs w:val="20"/>
                <w:lang w:eastAsia="id-ID"/>
              </w:rPr>
            </w:pPr>
            <w:r>
              <w:rPr>
                <w:color w:val="000000"/>
                <w:sz w:val="20"/>
                <w:szCs w:val="20"/>
                <w:lang w:eastAsia="id-ID"/>
              </w:rPr>
              <w:t>11</w:t>
            </w:r>
          </w:p>
          <w:p w14:paraId="73BFCDBD">
            <w:pPr>
              <w:jc w:val="center"/>
              <w:rPr>
                <w:color w:val="000000"/>
                <w:sz w:val="20"/>
                <w:szCs w:val="20"/>
                <w:lang w:eastAsia="id-ID"/>
              </w:rPr>
            </w:pPr>
            <w:r>
              <w:rPr>
                <w:color w:val="000000"/>
                <w:sz w:val="20"/>
                <w:szCs w:val="20"/>
                <w:lang w:eastAsia="id-ID"/>
              </w:rPr>
              <w:t>(15,7%)</w:t>
            </w:r>
          </w:p>
        </w:tc>
        <w:tc>
          <w:tcPr>
            <w:tcW w:w="580" w:type="pct"/>
            <w:vAlign w:val="center"/>
          </w:tcPr>
          <w:p w14:paraId="50B5ECDC">
            <w:pPr>
              <w:jc w:val="center"/>
              <w:rPr>
                <w:color w:val="000000"/>
                <w:sz w:val="20"/>
                <w:szCs w:val="20"/>
                <w:lang w:eastAsia="id-ID"/>
              </w:rPr>
            </w:pPr>
            <w:r>
              <w:rPr>
                <w:color w:val="000000"/>
                <w:sz w:val="20"/>
                <w:szCs w:val="20"/>
                <w:lang w:eastAsia="id-ID"/>
              </w:rPr>
              <w:t>38</w:t>
            </w:r>
          </w:p>
          <w:p w14:paraId="2C58F77B">
            <w:pPr>
              <w:jc w:val="center"/>
              <w:rPr>
                <w:color w:val="000000"/>
                <w:sz w:val="20"/>
                <w:szCs w:val="20"/>
                <w:lang w:eastAsia="id-ID"/>
              </w:rPr>
            </w:pPr>
            <w:r>
              <w:rPr>
                <w:color w:val="000000"/>
                <w:sz w:val="20"/>
                <w:szCs w:val="20"/>
                <w:lang w:eastAsia="id-ID"/>
              </w:rPr>
              <w:t>(54,3%)</w:t>
            </w:r>
          </w:p>
        </w:tc>
        <w:tc>
          <w:tcPr>
            <w:tcW w:w="580" w:type="pct"/>
            <w:vAlign w:val="center"/>
          </w:tcPr>
          <w:p w14:paraId="588E5515">
            <w:pPr>
              <w:jc w:val="center"/>
              <w:rPr>
                <w:color w:val="000000"/>
                <w:sz w:val="20"/>
                <w:szCs w:val="20"/>
                <w:lang w:eastAsia="id-ID"/>
              </w:rPr>
            </w:pPr>
            <w:r>
              <w:rPr>
                <w:color w:val="000000"/>
                <w:sz w:val="20"/>
                <w:szCs w:val="20"/>
                <w:lang w:eastAsia="id-ID"/>
              </w:rPr>
              <w:t>18</w:t>
            </w:r>
          </w:p>
          <w:p w14:paraId="26CE29B0">
            <w:pPr>
              <w:jc w:val="center"/>
              <w:rPr>
                <w:color w:val="000000"/>
                <w:sz w:val="20"/>
                <w:szCs w:val="20"/>
                <w:lang w:eastAsia="id-ID"/>
              </w:rPr>
            </w:pPr>
            <w:r>
              <w:rPr>
                <w:color w:val="000000"/>
                <w:sz w:val="20"/>
                <w:szCs w:val="20"/>
                <w:lang w:eastAsia="id-ID"/>
              </w:rPr>
              <w:t>(25,7%)</w:t>
            </w:r>
          </w:p>
        </w:tc>
        <w:tc>
          <w:tcPr>
            <w:tcW w:w="700" w:type="pct"/>
            <w:vAlign w:val="center"/>
          </w:tcPr>
          <w:p w14:paraId="4AF3BACC">
            <w:pPr>
              <w:jc w:val="center"/>
              <w:rPr>
                <w:color w:val="000000"/>
                <w:sz w:val="20"/>
                <w:szCs w:val="20"/>
                <w:lang w:eastAsia="id-ID"/>
              </w:rPr>
            </w:pPr>
            <w:r>
              <w:rPr>
                <w:color w:val="000000"/>
                <w:sz w:val="20"/>
                <w:szCs w:val="20"/>
                <w:lang w:eastAsia="id-ID"/>
              </w:rPr>
              <w:t>0,816</w:t>
            </w:r>
          </w:p>
        </w:tc>
        <w:tc>
          <w:tcPr>
            <w:tcW w:w="469" w:type="pct"/>
            <w:vAlign w:val="center"/>
          </w:tcPr>
          <w:p w14:paraId="2FCE2CA2">
            <w:pPr>
              <w:jc w:val="center"/>
              <w:rPr>
                <w:color w:val="000000"/>
                <w:sz w:val="20"/>
                <w:szCs w:val="20"/>
                <w:lang w:eastAsia="id-ID"/>
              </w:rPr>
            </w:pPr>
            <w:r>
              <w:rPr>
                <w:color w:val="000000"/>
                <w:sz w:val="20"/>
                <w:szCs w:val="20"/>
                <w:lang w:eastAsia="id-ID"/>
              </w:rPr>
              <w:t>4,00</w:t>
            </w:r>
          </w:p>
        </w:tc>
      </w:tr>
    </w:tbl>
    <w:p w14:paraId="5990BADD">
      <w:pPr>
        <w:pStyle w:val="16"/>
        <w:spacing w:line="480" w:lineRule="auto"/>
        <w:jc w:val="both"/>
        <w:rPr>
          <w:b/>
          <w:bCs/>
        </w:rPr>
      </w:pPr>
      <w:r>
        <w:t>Sumber : Hasil Penelitian, 2025</w:t>
      </w:r>
    </w:p>
    <w:p w14:paraId="39D00B52">
      <w:pPr>
        <w:spacing w:line="480" w:lineRule="auto"/>
        <w:ind w:firstLine="720"/>
        <w:jc w:val="both"/>
      </w:pPr>
      <w:r>
        <w:t>Berdasarkan Tabel 4.3 terkait penjelasan hasil jawaban responden pada variabel Pemahaman Perpajakan:</w:t>
      </w:r>
    </w:p>
    <w:p w14:paraId="1EAFC8F8">
      <w:pPr>
        <w:numPr>
          <w:ilvl w:val="0"/>
          <w:numId w:val="5"/>
        </w:numPr>
        <w:spacing w:line="480" w:lineRule="auto"/>
        <w:jc w:val="both"/>
      </w:pPr>
      <w:r>
        <w:t>Pernyataan: Saya paham mengenai ketentuan umum dan tata cara perpajakan terutama untuk wajib pajak orang pribadi. Sebagian besar responden menunjukkan pemahaman yang baik terhadap ketentuan umum dan tata cara perpajakan, dengan 42,9% menyatakan setuju dan 32,9% sangat setuju. Hal ini tercermin dari nilai mean sebesar 3,99, yang termasuk dalam kategori tinggi, meskipun masih ada sebagian kecil responden (8,5%) yang kurang memahami hal ini.</w:t>
      </w:r>
    </w:p>
    <w:p w14:paraId="62DDDA43">
      <w:pPr>
        <w:numPr>
          <w:ilvl w:val="0"/>
          <w:numId w:val="5"/>
        </w:numPr>
        <w:spacing w:line="480" w:lineRule="auto"/>
        <w:jc w:val="both"/>
      </w:pPr>
      <w:r>
        <w:t>Pernyataan: Saya paham prinsip-prinsip dasar perpajakan yang berlaku dalam suatu negara dan bagaimana wajib pajak harus mematuhi aturan perpajakan</w:t>
      </w:r>
      <w:r>
        <w:br w:type="textWrapping"/>
      </w:r>
      <w:r>
        <w:t>dengan mean 4,13 dan hanya 4,3% yang menyatakan tidak setuju atau sangat tidak setuju, pernyataan ini menunjukkan bahwa sebagian besar responden sudah memahami prinsip dasar perpajakan dan pentingnya kepatuhan terhadap peraturan perpajakan.</w:t>
      </w:r>
    </w:p>
    <w:p w14:paraId="2EBFB9A9">
      <w:pPr>
        <w:numPr>
          <w:ilvl w:val="0"/>
          <w:numId w:val="5"/>
        </w:numPr>
        <w:spacing w:line="480" w:lineRule="auto"/>
        <w:jc w:val="both"/>
      </w:pPr>
      <w:r>
        <w:t>Pernyataan: Saya mengerti dan paham bahwa sistem perpajakan di Indonesia menganut sistem self-assessment. Rata-rata jawaban adalah 4,03, dengan mayoritas responden setuju (48,6%) dan sangat setuju (31,4%), yang menandakan pemahaman cukup kuat tentang sistem self-assessment yang diterapkan di Indonesia.</w:t>
      </w:r>
    </w:p>
    <w:p w14:paraId="5D223BF1">
      <w:pPr>
        <w:numPr>
          <w:ilvl w:val="0"/>
          <w:numId w:val="5"/>
        </w:numPr>
        <w:spacing w:line="480" w:lineRule="auto"/>
        <w:jc w:val="both"/>
      </w:pPr>
      <w:r>
        <w:t>Pernyataan: Saya paham tentang berbagai aspek seperti jenis pajak, struktur tarif pajak, proses pemungutan pajak, kewajiban pajak, dan berbagai aturan serta regulasi perpajakan. Responden menunjukkan pemahaman yang baik dengan mean 3,97, walaupun masih terdapat 7,1% responden yang belum sepenuhnya memahami aspek-aspek teknis perpajakan secara menyeluruh.</w:t>
      </w:r>
    </w:p>
    <w:p w14:paraId="212E2A71">
      <w:pPr>
        <w:numPr>
          <w:ilvl w:val="0"/>
          <w:numId w:val="5"/>
        </w:numPr>
        <w:spacing w:line="480" w:lineRule="auto"/>
        <w:jc w:val="both"/>
      </w:pPr>
      <w:r>
        <w:t>Pernyataan: Saya sebagai wajib pajak harus mengetahui konsekuensi hukuman yang mungkin dihadapi jika melanggar peraturan pajak kendaraan, seperti denda atau penahanan kendaraan dengan mean 4,13, pernyataan ini memperoleh tingkat persetujuan yang sangat tinggi (44,3% setuju dan 35,7% sangat setuju), yang menunjukkan bahwa responden sadar akan konsekuensi hukum dari pelanggaran pajak.</w:t>
      </w:r>
    </w:p>
    <w:p w14:paraId="57D1D201">
      <w:pPr>
        <w:numPr>
          <w:ilvl w:val="0"/>
          <w:numId w:val="5"/>
        </w:numPr>
        <w:spacing w:line="480" w:lineRule="auto"/>
        <w:jc w:val="both"/>
      </w:pPr>
      <w:r>
        <w:t>Pernyataan: Saya paham bahwa sanksi pajak harus dikenakan kepada pelanggarnya tanpa toleransi. Tingkat pemahaman terhadap pentingnya penegakan sanksi terlihat cukup tinggi dengan nilai mean 4,03, dan sekitar 74,2% responden menunjukkan tingkat persetujuan yang tinggi.</w:t>
      </w:r>
    </w:p>
    <w:p w14:paraId="338667B3">
      <w:pPr>
        <w:numPr>
          <w:ilvl w:val="0"/>
          <w:numId w:val="5"/>
        </w:numPr>
        <w:spacing w:line="480" w:lineRule="auto"/>
        <w:jc w:val="both"/>
      </w:pPr>
      <w:r>
        <w:t>Pernyataan: Memahami hak-hak dan kewajiban dalam hubungan dengan otoritas pajak yang mengatur pajak kendaraan. Dengan mean 3,97, mayoritas responden memahami hak dan kewajiban mereka sebagai wajib pajak, yang ditunjukkan oleh 48,6% setuju dan 28,6% sangat setuju.</w:t>
      </w:r>
    </w:p>
    <w:p w14:paraId="54F6C18D">
      <w:pPr>
        <w:numPr>
          <w:ilvl w:val="0"/>
          <w:numId w:val="5"/>
        </w:numPr>
        <w:spacing w:line="480" w:lineRule="auto"/>
        <w:jc w:val="both"/>
      </w:pPr>
      <w:r>
        <w:t>Pernyataan: Saya memahami adanya hak untuk mengajukan banding atau klaim pengurangan serta kewajiban untuk mengisi dan mengajukan laporan pajak kendaraan secara benar. Nilai mean 3,84 menandakan bahwa meskipun mayoritas memahami hak dan kewajiban ini, masih terdapat 31,4% responden yang hanya menyatakan cukup setuju, menandakan perlunya edukasi lanjutan tentang prosedur formal pelaporan dan banding.</w:t>
      </w:r>
    </w:p>
    <w:p w14:paraId="69A741AD">
      <w:pPr>
        <w:numPr>
          <w:ilvl w:val="0"/>
          <w:numId w:val="5"/>
        </w:numPr>
        <w:spacing w:line="480" w:lineRule="auto"/>
        <w:jc w:val="both"/>
      </w:pPr>
      <w:r>
        <w:t>Pernyataan: Saya paham bahwa wajib pajak harus melaporkan dan membayar pajak tepat waktu. Pernyataan ini memperoleh nilai mean sebesar 4,07, yang menunjukkan bahwa kesadaran untuk membayar pajak tepat waktu sudah cukup tinggi di kalangan pelaku UMKM.</w:t>
      </w:r>
    </w:p>
    <w:p w14:paraId="68FB5C74">
      <w:pPr>
        <w:numPr>
          <w:ilvl w:val="0"/>
          <w:numId w:val="5"/>
        </w:numPr>
        <w:spacing w:line="480" w:lineRule="auto"/>
        <w:jc w:val="both"/>
      </w:pPr>
      <w:r>
        <w:t>Pernyataan: Saya paham bahwa pada saat melakukan pelaporan harus mengisi formulir pajak. Nilai mean sebesar 4,00 menunjukkan bahwa mayoritas responden memahami kewajiban dalam mengisi formulir saat melaporkan pajak, meskipun 5,7% masih belum memahami secara menyeluruh.</w:t>
      </w:r>
    </w:p>
    <w:p w14:paraId="23D754D3">
      <w:pPr>
        <w:numPr>
          <w:ilvl w:val="0"/>
          <w:numId w:val="5"/>
        </w:numPr>
        <w:spacing w:line="480" w:lineRule="auto"/>
        <w:jc w:val="both"/>
      </w:pPr>
      <w:r>
        <w:t>Pernyataan: Perlu memahami bagaimana nilai kendaraan ditentukan untuk tujuan perpajakan. Pernyataan ini memiliki mean 4,07, yang menunjukkan bahwa sebagian besar responden menyadari pentingnya memahami dasar penilaian objek pajak (kendaraan dalam konteks ini).</w:t>
      </w:r>
    </w:p>
    <w:p w14:paraId="52B52347">
      <w:pPr>
        <w:numPr>
          <w:ilvl w:val="0"/>
          <w:numId w:val="5"/>
        </w:numPr>
        <w:spacing w:line="480" w:lineRule="auto"/>
        <w:jc w:val="both"/>
      </w:pPr>
      <w:r>
        <w:t>Pernyataan: Saya paham bahwa otoritas pajak telah menetapkan harga beli, usia, ataupun nilai taksiran kendaraan dengan mean 4,00 dan tingkat persetujuan tinggi (54,3% setuju dan 25,7% sangat setuju), menunjukkan bahwa responden sudah cukup paham mengenai dasar penetapan nilai objek pajak oleh otoritas pajak.</w:t>
      </w:r>
    </w:p>
    <w:p w14:paraId="3A63014B">
      <w:pPr>
        <w:spacing w:line="480" w:lineRule="auto"/>
        <w:ind w:firstLine="720"/>
        <w:jc w:val="both"/>
      </w:pPr>
      <w:r>
        <w:t>Berdasarkan semua pernyataan di atas, dapat disimpulkan bahwa pelaku UMKM makanan dan minuman di Lubuk Pakam memiliki tingkat pemahaman perpajakan yang tinggi, terutama mengenai prinsip-prinsip perpajakan, sistem self-assessment, kewajiban pelaporan, dan konsekuensi hukum atas ketidakpatuhan. Namun, masih ada ruang untuk peningkatan edukasi perpajakan, terutama dalam aspek teknis pelaporan dan hak-hak formal seperti banding dan klaim pengurangan pajak.</w:t>
      </w:r>
    </w:p>
    <w:p w14:paraId="0E42E7AF">
      <w:pPr>
        <w:jc w:val="center"/>
        <w:rPr>
          <w:rFonts w:eastAsia="Calibri"/>
          <w:b/>
          <w:lang w:val="id"/>
        </w:rPr>
      </w:pPr>
      <w:r>
        <w:rPr>
          <w:rFonts w:eastAsia="Calibri"/>
          <w:b/>
          <w:lang w:val="id"/>
        </w:rPr>
        <w:t>Tabel 4.4</w:t>
      </w:r>
    </w:p>
    <w:p w14:paraId="1FC68DD0">
      <w:pPr>
        <w:autoSpaceDE w:val="0"/>
        <w:autoSpaceDN w:val="0"/>
        <w:adjustRightInd w:val="0"/>
        <w:jc w:val="center"/>
        <w:rPr>
          <w:rFonts w:eastAsia="Calibri"/>
        </w:rPr>
      </w:pPr>
      <w:r>
        <w:rPr>
          <w:rFonts w:eastAsia="Calibri"/>
          <w:b/>
          <w:lang w:val="id"/>
        </w:rPr>
        <w:t>Frekuensi Jawaban Responden Variabel Kesadaran Wajib Pajak (X</w:t>
      </w:r>
      <w:r>
        <w:rPr>
          <w:rFonts w:eastAsia="Calibri"/>
          <w:b/>
          <w:vertAlign w:val="subscript"/>
          <w:lang w:val="id"/>
        </w:rPr>
        <w:t>2</w:t>
      </w:r>
      <w:r>
        <w:rPr>
          <w:rFonts w:eastAsia="Calibri"/>
          <w:b/>
          <w:lang w:val="id"/>
        </w:rPr>
        <w:t>)</w:t>
      </w:r>
    </w:p>
    <w:tbl>
      <w:tblPr>
        <w:tblStyle w:val="27"/>
        <w:tblW w:w="4668" w:type="pct"/>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1"/>
        <w:gridCol w:w="769"/>
        <w:gridCol w:w="769"/>
        <w:gridCol w:w="874"/>
        <w:gridCol w:w="874"/>
        <w:gridCol w:w="877"/>
        <w:gridCol w:w="1051"/>
        <w:gridCol w:w="708"/>
      </w:tblGrid>
      <w:tr w14:paraId="730F7E8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111" w:type="pct"/>
            <w:vMerge w:val="restart"/>
            <w:tcBorders>
              <w:bottom w:val="single" w:color="7E7E7E" w:themeColor="text1" w:themeTint="80" w:sz="4" w:space="0"/>
              <w:insideH w:val="single" w:sz="4" w:space="0"/>
            </w:tcBorders>
          </w:tcPr>
          <w:p w14:paraId="4306FD1D">
            <w:pPr>
              <w:jc w:val="center"/>
              <w:rPr>
                <w:b/>
                <w:bCs w:val="0"/>
                <w:sz w:val="20"/>
                <w:szCs w:val="20"/>
                <w:lang w:val="id"/>
              </w:rPr>
            </w:pPr>
            <w:r>
              <w:rPr>
                <w:b/>
                <w:bCs w:val="0"/>
                <w:sz w:val="20"/>
                <w:szCs w:val="20"/>
                <w:lang w:val="id"/>
              </w:rPr>
              <w:t>Pernyataan</w:t>
            </w:r>
          </w:p>
        </w:tc>
        <w:tc>
          <w:tcPr>
            <w:tcW w:w="2734" w:type="pct"/>
            <w:gridSpan w:val="5"/>
            <w:tcBorders>
              <w:bottom w:val="single" w:color="7E7E7E" w:themeColor="text1" w:themeTint="80" w:sz="4" w:space="0"/>
              <w:insideH w:val="single" w:sz="4" w:space="0"/>
            </w:tcBorders>
          </w:tcPr>
          <w:p w14:paraId="02438794">
            <w:pPr>
              <w:jc w:val="center"/>
              <w:rPr>
                <w:b/>
                <w:bCs w:val="0"/>
                <w:color w:val="000000"/>
                <w:sz w:val="20"/>
                <w:szCs w:val="20"/>
                <w:lang w:eastAsia="id-ID"/>
              </w:rPr>
            </w:pPr>
            <w:r>
              <w:rPr>
                <w:b/>
                <w:bCs w:val="0"/>
                <w:sz w:val="20"/>
                <w:szCs w:val="20"/>
                <w:lang w:val="id"/>
              </w:rPr>
              <w:t>Kategori Jawaban Responden</w:t>
            </w:r>
          </w:p>
        </w:tc>
        <w:tc>
          <w:tcPr>
            <w:tcW w:w="690" w:type="pct"/>
            <w:vMerge w:val="restart"/>
            <w:tcBorders>
              <w:bottom w:val="single" w:color="7E7E7E" w:themeColor="text1" w:themeTint="80" w:sz="4" w:space="0"/>
              <w:insideH w:val="single" w:sz="4" w:space="0"/>
            </w:tcBorders>
          </w:tcPr>
          <w:p w14:paraId="3D287A8B">
            <w:pPr>
              <w:jc w:val="center"/>
              <w:rPr>
                <w:b w:val="0"/>
                <w:bCs/>
                <w:sz w:val="20"/>
                <w:szCs w:val="20"/>
              </w:rPr>
            </w:pPr>
            <w:r>
              <w:rPr>
                <w:b/>
                <w:bCs/>
                <w:sz w:val="20"/>
                <w:szCs w:val="20"/>
                <w:lang w:val="id"/>
              </w:rPr>
              <w:t>Deviation</w:t>
            </w:r>
          </w:p>
        </w:tc>
        <w:tc>
          <w:tcPr>
            <w:tcW w:w="465" w:type="pct"/>
            <w:vMerge w:val="restart"/>
            <w:tcBorders>
              <w:bottom w:val="single" w:color="7E7E7E" w:themeColor="text1" w:themeTint="80" w:sz="4" w:space="0"/>
              <w:insideH w:val="single" w:sz="4" w:space="0"/>
            </w:tcBorders>
          </w:tcPr>
          <w:p w14:paraId="1278B7E5">
            <w:pPr>
              <w:jc w:val="center"/>
              <w:rPr>
                <w:b w:val="0"/>
                <w:bCs/>
                <w:sz w:val="20"/>
                <w:szCs w:val="20"/>
              </w:rPr>
            </w:pPr>
            <w:r>
              <w:rPr>
                <w:b/>
                <w:bCs/>
                <w:sz w:val="20"/>
                <w:szCs w:val="20"/>
                <w:lang w:val="id"/>
              </w:rPr>
              <w:t>Mean</w:t>
            </w:r>
          </w:p>
        </w:tc>
      </w:tr>
      <w:tr w14:paraId="4250A11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jc w:val="center"/>
        </w:trPr>
        <w:tc>
          <w:tcPr>
            <w:tcW w:w="1111" w:type="pct"/>
            <w:vMerge w:val="continue"/>
            <w:tcBorders>
              <w:top w:val="single" w:color="7E7E7E" w:themeColor="text1" w:themeTint="80" w:sz="4" w:space="0"/>
              <w:bottom w:val="single" w:color="7E7E7E" w:themeColor="text1" w:themeTint="80" w:sz="4" w:space="0"/>
              <w:insideH w:val="single" w:sz="4" w:space="0"/>
            </w:tcBorders>
          </w:tcPr>
          <w:p w14:paraId="0AA35C03">
            <w:pPr>
              <w:jc w:val="center"/>
              <w:rPr>
                <w:b/>
                <w:bCs/>
                <w:color w:val="000000"/>
                <w:sz w:val="20"/>
                <w:szCs w:val="20"/>
                <w:lang w:eastAsia="id-ID"/>
              </w:rPr>
            </w:pPr>
          </w:p>
        </w:tc>
        <w:tc>
          <w:tcPr>
            <w:tcW w:w="505" w:type="pct"/>
            <w:tcBorders>
              <w:top w:val="single" w:color="7E7E7E" w:themeColor="text1" w:themeTint="80" w:sz="4" w:space="0"/>
              <w:bottom w:val="single" w:color="7E7E7E" w:themeColor="text1" w:themeTint="80" w:sz="4" w:space="0"/>
              <w:insideH w:val="single" w:sz="4" w:space="0"/>
            </w:tcBorders>
          </w:tcPr>
          <w:p w14:paraId="358FCB35">
            <w:pPr>
              <w:jc w:val="center"/>
              <w:rPr>
                <w:b/>
                <w:color w:val="000000"/>
                <w:sz w:val="20"/>
                <w:szCs w:val="20"/>
                <w:lang w:eastAsia="id-ID"/>
              </w:rPr>
            </w:pPr>
            <w:r>
              <w:rPr>
                <w:b/>
                <w:color w:val="000000"/>
                <w:sz w:val="20"/>
                <w:szCs w:val="20"/>
                <w:lang w:eastAsia="id-ID"/>
              </w:rPr>
              <w:t>STS</w:t>
            </w:r>
          </w:p>
          <w:p w14:paraId="2A7B0D97">
            <w:pPr>
              <w:jc w:val="center"/>
              <w:rPr>
                <w:b/>
                <w:color w:val="000000"/>
                <w:sz w:val="20"/>
                <w:szCs w:val="20"/>
                <w:lang w:eastAsia="id-ID"/>
              </w:rPr>
            </w:pPr>
            <w:r>
              <w:rPr>
                <w:b/>
                <w:color w:val="000000"/>
                <w:sz w:val="20"/>
                <w:szCs w:val="20"/>
                <w:lang w:eastAsia="id-ID"/>
              </w:rPr>
              <w:t>(%)</w:t>
            </w:r>
          </w:p>
        </w:tc>
        <w:tc>
          <w:tcPr>
            <w:tcW w:w="505" w:type="pct"/>
            <w:tcBorders>
              <w:top w:val="single" w:color="7E7E7E" w:themeColor="text1" w:themeTint="80" w:sz="4" w:space="0"/>
              <w:bottom w:val="single" w:color="7E7E7E" w:themeColor="text1" w:themeTint="80" w:sz="4" w:space="0"/>
              <w:insideH w:val="single" w:sz="4" w:space="0"/>
            </w:tcBorders>
          </w:tcPr>
          <w:p w14:paraId="1133A4FB">
            <w:pPr>
              <w:jc w:val="center"/>
              <w:rPr>
                <w:b/>
                <w:color w:val="000000"/>
                <w:sz w:val="20"/>
                <w:szCs w:val="20"/>
                <w:lang w:eastAsia="id-ID"/>
              </w:rPr>
            </w:pPr>
            <w:r>
              <w:rPr>
                <w:b/>
                <w:color w:val="000000"/>
                <w:sz w:val="20"/>
                <w:szCs w:val="20"/>
                <w:lang w:eastAsia="id-ID"/>
              </w:rPr>
              <w:t>TS</w:t>
            </w:r>
          </w:p>
          <w:p w14:paraId="16511CDB">
            <w:pPr>
              <w:jc w:val="center"/>
              <w:rPr>
                <w:b/>
                <w:color w:val="000000"/>
                <w:sz w:val="20"/>
                <w:szCs w:val="20"/>
                <w:lang w:eastAsia="id-ID"/>
              </w:rPr>
            </w:pPr>
            <w:r>
              <w:rPr>
                <w:b/>
                <w:color w:val="000000"/>
                <w:sz w:val="20"/>
                <w:szCs w:val="20"/>
                <w:lang w:eastAsia="id-ID"/>
              </w:rPr>
              <w:t>(F%)</w:t>
            </w:r>
          </w:p>
        </w:tc>
        <w:tc>
          <w:tcPr>
            <w:tcW w:w="574" w:type="pct"/>
            <w:tcBorders>
              <w:top w:val="single" w:color="7E7E7E" w:themeColor="text1" w:themeTint="80" w:sz="4" w:space="0"/>
              <w:bottom w:val="single" w:color="7E7E7E" w:themeColor="text1" w:themeTint="80" w:sz="4" w:space="0"/>
              <w:insideH w:val="single" w:sz="4" w:space="0"/>
            </w:tcBorders>
          </w:tcPr>
          <w:p w14:paraId="135B45AF">
            <w:pPr>
              <w:jc w:val="center"/>
              <w:rPr>
                <w:b/>
                <w:color w:val="000000"/>
                <w:sz w:val="20"/>
                <w:szCs w:val="20"/>
                <w:lang w:eastAsia="id-ID"/>
              </w:rPr>
            </w:pPr>
            <w:r>
              <w:rPr>
                <w:b/>
                <w:color w:val="000000"/>
                <w:sz w:val="20"/>
                <w:szCs w:val="20"/>
                <w:lang w:eastAsia="id-ID"/>
              </w:rPr>
              <w:t>KS</w:t>
            </w:r>
          </w:p>
          <w:p w14:paraId="34386CD3">
            <w:pPr>
              <w:jc w:val="center"/>
              <w:rPr>
                <w:b/>
                <w:color w:val="000000"/>
                <w:sz w:val="20"/>
                <w:szCs w:val="20"/>
                <w:lang w:eastAsia="id-ID"/>
              </w:rPr>
            </w:pPr>
            <w:r>
              <w:rPr>
                <w:b/>
                <w:color w:val="000000"/>
                <w:sz w:val="20"/>
                <w:szCs w:val="20"/>
                <w:lang w:eastAsia="id-ID"/>
              </w:rPr>
              <w:t>(F%)</w:t>
            </w:r>
          </w:p>
        </w:tc>
        <w:tc>
          <w:tcPr>
            <w:tcW w:w="574" w:type="pct"/>
            <w:tcBorders>
              <w:top w:val="single" w:color="7E7E7E" w:themeColor="text1" w:themeTint="80" w:sz="4" w:space="0"/>
              <w:bottom w:val="single" w:color="7E7E7E" w:themeColor="text1" w:themeTint="80" w:sz="4" w:space="0"/>
              <w:insideH w:val="single" w:sz="4" w:space="0"/>
            </w:tcBorders>
          </w:tcPr>
          <w:p w14:paraId="18EB564D">
            <w:pPr>
              <w:jc w:val="center"/>
              <w:rPr>
                <w:b/>
                <w:color w:val="000000"/>
                <w:sz w:val="20"/>
                <w:szCs w:val="20"/>
                <w:lang w:eastAsia="id-ID"/>
              </w:rPr>
            </w:pPr>
            <w:r>
              <w:rPr>
                <w:b/>
                <w:color w:val="000000"/>
                <w:sz w:val="20"/>
                <w:szCs w:val="20"/>
                <w:lang w:eastAsia="id-ID"/>
              </w:rPr>
              <w:t>S</w:t>
            </w:r>
          </w:p>
          <w:p w14:paraId="7B26C0EB">
            <w:pPr>
              <w:jc w:val="center"/>
              <w:rPr>
                <w:b/>
                <w:color w:val="000000"/>
                <w:sz w:val="20"/>
                <w:szCs w:val="20"/>
                <w:lang w:eastAsia="id-ID"/>
              </w:rPr>
            </w:pPr>
            <w:r>
              <w:rPr>
                <w:b/>
                <w:color w:val="000000"/>
                <w:sz w:val="20"/>
                <w:szCs w:val="20"/>
                <w:lang w:eastAsia="id-ID"/>
              </w:rPr>
              <w:t>(%)</w:t>
            </w:r>
          </w:p>
        </w:tc>
        <w:tc>
          <w:tcPr>
            <w:tcW w:w="575" w:type="pct"/>
            <w:tcBorders>
              <w:top w:val="single" w:color="7E7E7E" w:themeColor="text1" w:themeTint="80" w:sz="4" w:space="0"/>
              <w:bottom w:val="single" w:color="7E7E7E" w:themeColor="text1" w:themeTint="80" w:sz="4" w:space="0"/>
              <w:insideH w:val="single" w:sz="4" w:space="0"/>
            </w:tcBorders>
          </w:tcPr>
          <w:p w14:paraId="3DC734F4">
            <w:pPr>
              <w:jc w:val="center"/>
              <w:rPr>
                <w:b/>
                <w:color w:val="000000"/>
                <w:sz w:val="20"/>
                <w:szCs w:val="20"/>
                <w:lang w:eastAsia="id-ID"/>
              </w:rPr>
            </w:pPr>
            <w:r>
              <w:rPr>
                <w:b/>
                <w:color w:val="000000"/>
                <w:sz w:val="20"/>
                <w:szCs w:val="20"/>
                <w:lang w:eastAsia="id-ID"/>
              </w:rPr>
              <w:t>SS</w:t>
            </w:r>
          </w:p>
          <w:p w14:paraId="633ECE3D">
            <w:pPr>
              <w:jc w:val="center"/>
              <w:rPr>
                <w:b/>
                <w:color w:val="000000"/>
                <w:sz w:val="20"/>
                <w:szCs w:val="20"/>
                <w:lang w:eastAsia="id-ID"/>
              </w:rPr>
            </w:pPr>
            <w:r>
              <w:rPr>
                <w:b/>
                <w:color w:val="000000"/>
                <w:sz w:val="20"/>
                <w:szCs w:val="20"/>
                <w:lang w:eastAsia="id-ID"/>
              </w:rPr>
              <w:t>(F%)</w:t>
            </w:r>
          </w:p>
        </w:tc>
        <w:tc>
          <w:tcPr>
            <w:tcW w:w="690" w:type="pct"/>
            <w:vMerge w:val="continue"/>
            <w:tcBorders>
              <w:top w:val="single" w:color="7E7E7E" w:themeColor="text1" w:themeTint="80" w:sz="4" w:space="0"/>
              <w:bottom w:val="single" w:color="7E7E7E" w:themeColor="text1" w:themeTint="80" w:sz="4" w:space="0"/>
              <w:insideH w:val="single" w:sz="4" w:space="0"/>
            </w:tcBorders>
          </w:tcPr>
          <w:p w14:paraId="59B55FD6">
            <w:pPr>
              <w:jc w:val="center"/>
              <w:rPr>
                <w:color w:val="000000"/>
                <w:sz w:val="20"/>
                <w:szCs w:val="20"/>
                <w:lang w:eastAsia="id-ID"/>
              </w:rPr>
            </w:pPr>
          </w:p>
        </w:tc>
        <w:tc>
          <w:tcPr>
            <w:tcW w:w="465" w:type="pct"/>
            <w:vMerge w:val="continue"/>
            <w:tcBorders>
              <w:top w:val="single" w:color="7E7E7E" w:themeColor="text1" w:themeTint="80" w:sz="4" w:space="0"/>
              <w:bottom w:val="single" w:color="7E7E7E" w:themeColor="text1" w:themeTint="80" w:sz="4" w:space="0"/>
              <w:insideH w:val="single" w:sz="4" w:space="0"/>
            </w:tcBorders>
          </w:tcPr>
          <w:p w14:paraId="53E14FEC">
            <w:pPr>
              <w:jc w:val="center"/>
              <w:rPr>
                <w:color w:val="000000"/>
                <w:sz w:val="20"/>
                <w:szCs w:val="20"/>
                <w:lang w:eastAsia="id-ID"/>
              </w:rPr>
            </w:pPr>
          </w:p>
        </w:tc>
      </w:tr>
      <w:tr w14:paraId="4FBB46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489188B5">
            <w:pPr>
              <w:jc w:val="both"/>
              <w:rPr>
                <w:b w:val="0"/>
                <w:bCs w:val="0"/>
                <w:sz w:val="20"/>
                <w:szCs w:val="20"/>
                <w:lang w:val="en-US"/>
              </w:rPr>
            </w:pPr>
            <w:r>
              <w:rPr>
                <w:b w:val="0"/>
                <w:bCs w:val="0"/>
                <w:sz w:val="20"/>
                <w:szCs w:val="20"/>
              </w:rPr>
              <w:t>Saya sadar adanya hak dan kewajiban pajak memenuhi kewajiban dalam membayar</w:t>
            </w:r>
          </w:p>
        </w:tc>
        <w:tc>
          <w:tcPr>
            <w:tcW w:w="505" w:type="pct"/>
            <w:vAlign w:val="center"/>
          </w:tcPr>
          <w:p w14:paraId="2F817BE6">
            <w:pPr>
              <w:jc w:val="center"/>
              <w:rPr>
                <w:color w:val="000000"/>
                <w:sz w:val="20"/>
                <w:szCs w:val="20"/>
                <w:lang w:eastAsia="id-ID"/>
              </w:rPr>
            </w:pPr>
            <w:r>
              <w:rPr>
                <w:color w:val="000000"/>
                <w:sz w:val="20"/>
                <w:szCs w:val="20"/>
                <w:lang w:eastAsia="id-ID"/>
              </w:rPr>
              <w:t>1</w:t>
            </w:r>
          </w:p>
          <w:p w14:paraId="5C527F96">
            <w:pPr>
              <w:jc w:val="center"/>
              <w:rPr>
                <w:color w:val="000000"/>
                <w:sz w:val="20"/>
                <w:szCs w:val="20"/>
                <w:lang w:eastAsia="id-ID"/>
              </w:rPr>
            </w:pPr>
            <w:r>
              <w:rPr>
                <w:color w:val="000000"/>
                <w:sz w:val="20"/>
                <w:szCs w:val="20"/>
                <w:lang w:eastAsia="id-ID"/>
              </w:rPr>
              <w:t>(1,4%)</w:t>
            </w:r>
          </w:p>
        </w:tc>
        <w:tc>
          <w:tcPr>
            <w:tcW w:w="505" w:type="pct"/>
            <w:vAlign w:val="center"/>
          </w:tcPr>
          <w:p w14:paraId="15612D20">
            <w:pPr>
              <w:jc w:val="center"/>
              <w:rPr>
                <w:color w:val="000000"/>
                <w:sz w:val="20"/>
                <w:szCs w:val="20"/>
                <w:lang w:eastAsia="id-ID"/>
              </w:rPr>
            </w:pPr>
            <w:r>
              <w:rPr>
                <w:color w:val="000000"/>
                <w:sz w:val="20"/>
                <w:szCs w:val="20"/>
                <w:lang w:eastAsia="id-ID"/>
              </w:rPr>
              <w:t>5</w:t>
            </w:r>
          </w:p>
          <w:p w14:paraId="46E05A7F">
            <w:pPr>
              <w:jc w:val="center"/>
              <w:rPr>
                <w:color w:val="000000"/>
                <w:sz w:val="20"/>
                <w:szCs w:val="20"/>
                <w:lang w:eastAsia="id-ID"/>
              </w:rPr>
            </w:pPr>
            <w:r>
              <w:rPr>
                <w:color w:val="000000"/>
                <w:sz w:val="20"/>
                <w:szCs w:val="20"/>
                <w:lang w:eastAsia="id-ID"/>
              </w:rPr>
              <w:t>(7,1%)</w:t>
            </w:r>
          </w:p>
        </w:tc>
        <w:tc>
          <w:tcPr>
            <w:tcW w:w="574" w:type="pct"/>
            <w:vAlign w:val="center"/>
          </w:tcPr>
          <w:p w14:paraId="0C95E7FA">
            <w:pPr>
              <w:jc w:val="center"/>
              <w:rPr>
                <w:color w:val="000000"/>
                <w:sz w:val="20"/>
                <w:szCs w:val="20"/>
                <w:lang w:eastAsia="id-ID"/>
              </w:rPr>
            </w:pPr>
            <w:r>
              <w:rPr>
                <w:color w:val="000000"/>
                <w:sz w:val="20"/>
                <w:szCs w:val="20"/>
                <w:lang w:eastAsia="id-ID"/>
              </w:rPr>
              <w:t>9</w:t>
            </w:r>
          </w:p>
          <w:p w14:paraId="6F0E83F3">
            <w:pPr>
              <w:jc w:val="center"/>
              <w:rPr>
                <w:color w:val="000000"/>
                <w:sz w:val="20"/>
                <w:szCs w:val="20"/>
                <w:lang w:eastAsia="id-ID"/>
              </w:rPr>
            </w:pPr>
            <w:r>
              <w:rPr>
                <w:color w:val="000000"/>
                <w:sz w:val="20"/>
                <w:szCs w:val="20"/>
                <w:lang w:eastAsia="id-ID"/>
              </w:rPr>
              <w:t>(12,9%)</w:t>
            </w:r>
          </w:p>
        </w:tc>
        <w:tc>
          <w:tcPr>
            <w:tcW w:w="574" w:type="pct"/>
            <w:vAlign w:val="center"/>
          </w:tcPr>
          <w:p w14:paraId="3018D651">
            <w:pPr>
              <w:jc w:val="center"/>
              <w:rPr>
                <w:color w:val="000000"/>
                <w:sz w:val="20"/>
                <w:szCs w:val="20"/>
                <w:lang w:eastAsia="id-ID"/>
              </w:rPr>
            </w:pPr>
            <w:r>
              <w:rPr>
                <w:color w:val="000000"/>
                <w:sz w:val="20"/>
                <w:szCs w:val="20"/>
                <w:lang w:eastAsia="id-ID"/>
              </w:rPr>
              <w:t>33</w:t>
            </w:r>
          </w:p>
          <w:p w14:paraId="5B4FC6A1">
            <w:pPr>
              <w:jc w:val="center"/>
              <w:rPr>
                <w:color w:val="000000"/>
                <w:sz w:val="20"/>
                <w:szCs w:val="20"/>
                <w:lang w:eastAsia="id-ID"/>
              </w:rPr>
            </w:pPr>
            <w:r>
              <w:rPr>
                <w:color w:val="000000"/>
                <w:sz w:val="20"/>
                <w:szCs w:val="20"/>
                <w:lang w:eastAsia="id-ID"/>
              </w:rPr>
              <w:t>(47,1%)</w:t>
            </w:r>
          </w:p>
        </w:tc>
        <w:tc>
          <w:tcPr>
            <w:tcW w:w="575" w:type="pct"/>
            <w:vAlign w:val="center"/>
          </w:tcPr>
          <w:p w14:paraId="2AD860F2">
            <w:pPr>
              <w:jc w:val="center"/>
              <w:rPr>
                <w:color w:val="000000"/>
                <w:sz w:val="20"/>
                <w:szCs w:val="20"/>
                <w:lang w:eastAsia="id-ID"/>
              </w:rPr>
            </w:pPr>
            <w:r>
              <w:rPr>
                <w:color w:val="000000"/>
                <w:sz w:val="20"/>
                <w:szCs w:val="20"/>
                <w:lang w:eastAsia="id-ID"/>
              </w:rPr>
              <w:t>22</w:t>
            </w:r>
          </w:p>
          <w:p w14:paraId="0FFD6C59">
            <w:pPr>
              <w:jc w:val="center"/>
              <w:rPr>
                <w:color w:val="000000"/>
                <w:sz w:val="20"/>
                <w:szCs w:val="20"/>
                <w:lang w:eastAsia="id-ID"/>
              </w:rPr>
            </w:pPr>
            <w:r>
              <w:rPr>
                <w:color w:val="000000"/>
                <w:sz w:val="20"/>
                <w:szCs w:val="20"/>
                <w:lang w:eastAsia="id-ID"/>
              </w:rPr>
              <w:t>(31,4%)</w:t>
            </w:r>
          </w:p>
        </w:tc>
        <w:tc>
          <w:tcPr>
            <w:tcW w:w="690" w:type="pct"/>
            <w:vAlign w:val="center"/>
          </w:tcPr>
          <w:p w14:paraId="18933B6E">
            <w:pPr>
              <w:jc w:val="center"/>
              <w:rPr>
                <w:color w:val="000000"/>
                <w:sz w:val="20"/>
                <w:szCs w:val="20"/>
                <w:lang w:eastAsia="id-ID"/>
              </w:rPr>
            </w:pPr>
            <w:r>
              <w:rPr>
                <w:color w:val="000000"/>
                <w:sz w:val="20"/>
                <w:szCs w:val="20"/>
                <w:lang w:eastAsia="id-ID"/>
              </w:rPr>
              <w:t>0,933</w:t>
            </w:r>
          </w:p>
        </w:tc>
        <w:tc>
          <w:tcPr>
            <w:tcW w:w="465" w:type="pct"/>
            <w:vAlign w:val="center"/>
          </w:tcPr>
          <w:p w14:paraId="7A72468C">
            <w:pPr>
              <w:jc w:val="center"/>
              <w:rPr>
                <w:color w:val="000000"/>
                <w:sz w:val="20"/>
                <w:szCs w:val="20"/>
                <w:lang w:eastAsia="id-ID"/>
              </w:rPr>
            </w:pPr>
            <w:r>
              <w:rPr>
                <w:color w:val="000000"/>
                <w:sz w:val="20"/>
                <w:szCs w:val="20"/>
                <w:lang w:eastAsia="id-ID"/>
              </w:rPr>
              <w:t>4,00</w:t>
            </w:r>
          </w:p>
        </w:tc>
      </w:tr>
      <w:tr w14:paraId="1691F00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7D78AA06">
            <w:pPr>
              <w:jc w:val="both"/>
              <w:rPr>
                <w:b w:val="0"/>
                <w:bCs w:val="0"/>
                <w:sz w:val="20"/>
                <w:szCs w:val="20"/>
                <w:lang w:val="en-US"/>
              </w:rPr>
            </w:pPr>
            <w:r>
              <w:rPr>
                <w:b w:val="0"/>
                <w:bCs w:val="0"/>
                <w:sz w:val="20"/>
                <w:szCs w:val="20"/>
                <w:lang w:val="en-US"/>
              </w:rPr>
              <w:t>Saya sadar adanya perhitungan, membayar, dan melaporkan pajak</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6DDA284E">
            <w:pPr>
              <w:jc w:val="center"/>
              <w:rPr>
                <w:color w:val="000000"/>
                <w:sz w:val="20"/>
                <w:szCs w:val="20"/>
                <w:lang w:eastAsia="id-ID"/>
              </w:rPr>
            </w:pPr>
            <w:r>
              <w:rPr>
                <w:color w:val="000000"/>
                <w:sz w:val="20"/>
                <w:szCs w:val="20"/>
                <w:lang w:eastAsia="id-ID"/>
              </w:rPr>
              <w:t>1</w:t>
            </w:r>
          </w:p>
          <w:p w14:paraId="179B7F99">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78001086">
            <w:pPr>
              <w:jc w:val="center"/>
              <w:rPr>
                <w:color w:val="000000"/>
                <w:sz w:val="20"/>
                <w:szCs w:val="20"/>
                <w:lang w:eastAsia="id-ID"/>
              </w:rPr>
            </w:pPr>
            <w:r>
              <w:rPr>
                <w:color w:val="000000"/>
                <w:sz w:val="20"/>
                <w:szCs w:val="20"/>
                <w:lang w:eastAsia="id-ID"/>
              </w:rPr>
              <w:t>2</w:t>
            </w:r>
          </w:p>
          <w:p w14:paraId="65014DF7">
            <w:pPr>
              <w:jc w:val="center"/>
              <w:rPr>
                <w:color w:val="000000"/>
                <w:sz w:val="20"/>
                <w:szCs w:val="20"/>
                <w:lang w:eastAsia="id-ID"/>
              </w:rPr>
            </w:pPr>
            <w:r>
              <w:rPr>
                <w:color w:val="000000"/>
                <w:sz w:val="20"/>
                <w:szCs w:val="20"/>
                <w:lang w:eastAsia="id-ID"/>
              </w:rPr>
              <w:t>(2,9%)</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28866AC0">
            <w:pPr>
              <w:jc w:val="center"/>
              <w:rPr>
                <w:color w:val="000000"/>
                <w:sz w:val="20"/>
                <w:szCs w:val="20"/>
                <w:lang w:eastAsia="id-ID"/>
              </w:rPr>
            </w:pPr>
            <w:r>
              <w:rPr>
                <w:color w:val="000000"/>
                <w:sz w:val="20"/>
                <w:szCs w:val="20"/>
                <w:lang w:eastAsia="id-ID"/>
              </w:rPr>
              <w:t>7</w:t>
            </w:r>
          </w:p>
          <w:p w14:paraId="7248CFCA">
            <w:pPr>
              <w:jc w:val="center"/>
              <w:rPr>
                <w:color w:val="000000"/>
                <w:sz w:val="20"/>
                <w:szCs w:val="20"/>
                <w:lang w:eastAsia="id-ID"/>
              </w:rPr>
            </w:pPr>
            <w:r>
              <w:rPr>
                <w:color w:val="000000"/>
                <w:sz w:val="20"/>
                <w:szCs w:val="20"/>
                <w:lang w:eastAsia="id-ID"/>
              </w:rPr>
              <w:t>(10,0%)</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7059298F">
            <w:pPr>
              <w:jc w:val="center"/>
              <w:rPr>
                <w:color w:val="000000"/>
                <w:sz w:val="20"/>
                <w:szCs w:val="20"/>
                <w:lang w:eastAsia="id-ID"/>
              </w:rPr>
            </w:pPr>
            <w:r>
              <w:rPr>
                <w:color w:val="000000"/>
                <w:sz w:val="20"/>
                <w:szCs w:val="20"/>
                <w:lang w:eastAsia="id-ID"/>
              </w:rPr>
              <w:t>40</w:t>
            </w:r>
          </w:p>
          <w:p w14:paraId="37194268">
            <w:pPr>
              <w:jc w:val="center"/>
              <w:rPr>
                <w:color w:val="000000"/>
                <w:sz w:val="20"/>
                <w:szCs w:val="20"/>
                <w:lang w:eastAsia="id-ID"/>
              </w:rPr>
            </w:pPr>
            <w:r>
              <w:rPr>
                <w:color w:val="000000"/>
                <w:sz w:val="20"/>
                <w:szCs w:val="20"/>
                <w:lang w:eastAsia="id-ID"/>
              </w:rPr>
              <w:t>(57,1%)</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7FDF991D">
            <w:pPr>
              <w:jc w:val="center"/>
              <w:rPr>
                <w:color w:val="000000"/>
                <w:sz w:val="20"/>
                <w:szCs w:val="20"/>
                <w:lang w:eastAsia="id-ID"/>
              </w:rPr>
            </w:pPr>
            <w:r>
              <w:rPr>
                <w:color w:val="000000"/>
                <w:sz w:val="20"/>
                <w:szCs w:val="20"/>
                <w:lang w:eastAsia="id-ID"/>
              </w:rPr>
              <w:t>20</w:t>
            </w:r>
          </w:p>
          <w:p w14:paraId="09298715">
            <w:pPr>
              <w:jc w:val="center"/>
              <w:rPr>
                <w:color w:val="000000"/>
                <w:sz w:val="20"/>
                <w:szCs w:val="20"/>
                <w:lang w:eastAsia="id-ID"/>
              </w:rPr>
            </w:pPr>
            <w:r>
              <w:rPr>
                <w:color w:val="000000"/>
                <w:sz w:val="20"/>
                <w:szCs w:val="20"/>
                <w:lang w:eastAsia="id-ID"/>
              </w:rPr>
              <w:t>(28,6%)</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338C401C">
            <w:pPr>
              <w:jc w:val="center"/>
              <w:rPr>
                <w:color w:val="000000"/>
                <w:sz w:val="20"/>
                <w:szCs w:val="20"/>
                <w:lang w:eastAsia="id-ID"/>
              </w:rPr>
            </w:pPr>
            <w:r>
              <w:rPr>
                <w:color w:val="000000"/>
                <w:sz w:val="20"/>
                <w:szCs w:val="20"/>
                <w:lang w:eastAsia="id-ID"/>
              </w:rPr>
              <w:t>0,794</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59A3957C">
            <w:pPr>
              <w:jc w:val="center"/>
              <w:rPr>
                <w:color w:val="000000"/>
                <w:sz w:val="20"/>
                <w:szCs w:val="20"/>
                <w:lang w:eastAsia="id-ID"/>
              </w:rPr>
            </w:pPr>
            <w:r>
              <w:rPr>
                <w:color w:val="000000"/>
                <w:sz w:val="20"/>
                <w:szCs w:val="20"/>
                <w:lang w:eastAsia="id-ID"/>
              </w:rPr>
              <w:t>4,09</w:t>
            </w:r>
          </w:p>
        </w:tc>
      </w:tr>
      <w:tr w14:paraId="18C45C7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1898DE2F">
            <w:pPr>
              <w:jc w:val="both"/>
              <w:rPr>
                <w:b w:val="0"/>
                <w:bCs w:val="0"/>
                <w:sz w:val="20"/>
                <w:szCs w:val="20"/>
                <w:lang w:val="en-US"/>
              </w:rPr>
            </w:pPr>
            <w:r>
              <w:rPr>
                <w:b w:val="0"/>
                <w:bCs w:val="0"/>
                <w:sz w:val="20"/>
                <w:szCs w:val="20"/>
              </w:rPr>
              <w:t>Saya mengetahui bahwa Pajak sebagai sumber pendapatan negara untuk sarana pembangunan dan kepentingan umum</w:t>
            </w:r>
          </w:p>
        </w:tc>
        <w:tc>
          <w:tcPr>
            <w:tcW w:w="505" w:type="pct"/>
            <w:vAlign w:val="center"/>
          </w:tcPr>
          <w:p w14:paraId="789F6637">
            <w:pPr>
              <w:jc w:val="center"/>
              <w:rPr>
                <w:color w:val="000000"/>
                <w:sz w:val="20"/>
                <w:szCs w:val="20"/>
                <w:lang w:eastAsia="id-ID"/>
              </w:rPr>
            </w:pPr>
            <w:r>
              <w:rPr>
                <w:color w:val="000000"/>
                <w:sz w:val="20"/>
                <w:szCs w:val="20"/>
                <w:lang w:eastAsia="id-ID"/>
              </w:rPr>
              <w:t>1</w:t>
            </w:r>
          </w:p>
          <w:p w14:paraId="0C8892CA">
            <w:pPr>
              <w:jc w:val="center"/>
              <w:rPr>
                <w:color w:val="000000"/>
                <w:sz w:val="20"/>
                <w:szCs w:val="20"/>
                <w:lang w:eastAsia="id-ID"/>
              </w:rPr>
            </w:pPr>
            <w:r>
              <w:rPr>
                <w:color w:val="000000"/>
                <w:sz w:val="20"/>
                <w:szCs w:val="20"/>
                <w:lang w:eastAsia="id-ID"/>
              </w:rPr>
              <w:t>(1,4%)</w:t>
            </w:r>
          </w:p>
        </w:tc>
        <w:tc>
          <w:tcPr>
            <w:tcW w:w="505" w:type="pct"/>
            <w:vAlign w:val="center"/>
          </w:tcPr>
          <w:p w14:paraId="2EF58C60">
            <w:pPr>
              <w:jc w:val="center"/>
              <w:rPr>
                <w:color w:val="000000"/>
                <w:sz w:val="20"/>
                <w:szCs w:val="20"/>
                <w:lang w:eastAsia="id-ID"/>
              </w:rPr>
            </w:pPr>
            <w:r>
              <w:rPr>
                <w:color w:val="000000"/>
                <w:sz w:val="20"/>
                <w:szCs w:val="20"/>
                <w:lang w:eastAsia="id-ID"/>
              </w:rPr>
              <w:t>2</w:t>
            </w:r>
          </w:p>
          <w:p w14:paraId="5D328E65">
            <w:pPr>
              <w:jc w:val="center"/>
              <w:rPr>
                <w:color w:val="000000"/>
                <w:sz w:val="20"/>
                <w:szCs w:val="20"/>
                <w:lang w:eastAsia="id-ID"/>
              </w:rPr>
            </w:pPr>
            <w:r>
              <w:rPr>
                <w:color w:val="000000"/>
                <w:sz w:val="20"/>
                <w:szCs w:val="20"/>
                <w:lang w:eastAsia="id-ID"/>
              </w:rPr>
              <w:t>(2,9%)</w:t>
            </w:r>
          </w:p>
        </w:tc>
        <w:tc>
          <w:tcPr>
            <w:tcW w:w="574" w:type="pct"/>
            <w:vAlign w:val="center"/>
          </w:tcPr>
          <w:p w14:paraId="2BD43067">
            <w:pPr>
              <w:jc w:val="center"/>
              <w:rPr>
                <w:color w:val="000000"/>
                <w:sz w:val="20"/>
                <w:szCs w:val="20"/>
                <w:lang w:eastAsia="id-ID"/>
              </w:rPr>
            </w:pPr>
            <w:r>
              <w:rPr>
                <w:color w:val="000000"/>
                <w:sz w:val="20"/>
                <w:szCs w:val="20"/>
                <w:lang w:eastAsia="id-ID"/>
              </w:rPr>
              <w:t>8</w:t>
            </w:r>
          </w:p>
          <w:p w14:paraId="779C2E2E">
            <w:pPr>
              <w:jc w:val="center"/>
              <w:rPr>
                <w:color w:val="000000"/>
                <w:sz w:val="20"/>
                <w:szCs w:val="20"/>
                <w:lang w:eastAsia="id-ID"/>
              </w:rPr>
            </w:pPr>
            <w:r>
              <w:rPr>
                <w:color w:val="000000"/>
                <w:sz w:val="20"/>
                <w:szCs w:val="20"/>
                <w:lang w:eastAsia="id-ID"/>
              </w:rPr>
              <w:t>(11,4%)</w:t>
            </w:r>
          </w:p>
        </w:tc>
        <w:tc>
          <w:tcPr>
            <w:tcW w:w="574" w:type="pct"/>
            <w:vAlign w:val="center"/>
          </w:tcPr>
          <w:p w14:paraId="59155C2A">
            <w:pPr>
              <w:jc w:val="center"/>
              <w:rPr>
                <w:color w:val="000000"/>
                <w:sz w:val="20"/>
                <w:szCs w:val="20"/>
                <w:lang w:eastAsia="id-ID"/>
              </w:rPr>
            </w:pPr>
            <w:r>
              <w:rPr>
                <w:color w:val="000000"/>
                <w:sz w:val="20"/>
                <w:szCs w:val="20"/>
                <w:lang w:eastAsia="id-ID"/>
              </w:rPr>
              <w:t>43</w:t>
            </w:r>
          </w:p>
          <w:p w14:paraId="0D683B92">
            <w:pPr>
              <w:jc w:val="center"/>
              <w:rPr>
                <w:color w:val="000000"/>
                <w:sz w:val="20"/>
                <w:szCs w:val="20"/>
                <w:lang w:eastAsia="id-ID"/>
              </w:rPr>
            </w:pPr>
            <w:r>
              <w:rPr>
                <w:color w:val="000000"/>
                <w:sz w:val="20"/>
                <w:szCs w:val="20"/>
                <w:lang w:eastAsia="id-ID"/>
              </w:rPr>
              <w:t>(61,4%)</w:t>
            </w:r>
          </w:p>
        </w:tc>
        <w:tc>
          <w:tcPr>
            <w:tcW w:w="575" w:type="pct"/>
            <w:vAlign w:val="center"/>
          </w:tcPr>
          <w:p w14:paraId="08F27FF0">
            <w:pPr>
              <w:jc w:val="center"/>
              <w:rPr>
                <w:color w:val="000000"/>
                <w:sz w:val="20"/>
                <w:szCs w:val="20"/>
                <w:lang w:eastAsia="id-ID"/>
              </w:rPr>
            </w:pPr>
            <w:r>
              <w:rPr>
                <w:color w:val="000000"/>
                <w:sz w:val="20"/>
                <w:szCs w:val="20"/>
                <w:lang w:eastAsia="id-ID"/>
              </w:rPr>
              <w:t>16</w:t>
            </w:r>
          </w:p>
          <w:p w14:paraId="22940B21">
            <w:pPr>
              <w:jc w:val="center"/>
              <w:rPr>
                <w:color w:val="000000"/>
                <w:sz w:val="20"/>
                <w:szCs w:val="20"/>
                <w:lang w:eastAsia="id-ID"/>
              </w:rPr>
            </w:pPr>
            <w:r>
              <w:rPr>
                <w:color w:val="000000"/>
                <w:sz w:val="20"/>
                <w:szCs w:val="20"/>
                <w:lang w:eastAsia="id-ID"/>
              </w:rPr>
              <w:t>(22,9%)</w:t>
            </w:r>
          </w:p>
        </w:tc>
        <w:tc>
          <w:tcPr>
            <w:tcW w:w="690" w:type="pct"/>
            <w:vAlign w:val="center"/>
          </w:tcPr>
          <w:p w14:paraId="249CC8FA">
            <w:pPr>
              <w:jc w:val="center"/>
              <w:rPr>
                <w:color w:val="000000"/>
                <w:sz w:val="20"/>
                <w:szCs w:val="20"/>
                <w:lang w:eastAsia="id-ID"/>
              </w:rPr>
            </w:pPr>
            <w:r>
              <w:rPr>
                <w:color w:val="000000"/>
                <w:sz w:val="20"/>
                <w:szCs w:val="20"/>
                <w:lang w:eastAsia="id-ID"/>
              </w:rPr>
              <w:t>0,771</w:t>
            </w:r>
          </w:p>
        </w:tc>
        <w:tc>
          <w:tcPr>
            <w:tcW w:w="465" w:type="pct"/>
            <w:vAlign w:val="center"/>
          </w:tcPr>
          <w:p w14:paraId="42EFAEEB">
            <w:pPr>
              <w:jc w:val="center"/>
              <w:rPr>
                <w:color w:val="000000"/>
                <w:sz w:val="20"/>
                <w:szCs w:val="20"/>
                <w:lang w:eastAsia="id-ID"/>
              </w:rPr>
            </w:pPr>
            <w:r>
              <w:rPr>
                <w:color w:val="000000"/>
                <w:sz w:val="20"/>
                <w:szCs w:val="20"/>
                <w:lang w:eastAsia="id-ID"/>
              </w:rPr>
              <w:t>4,01</w:t>
            </w:r>
          </w:p>
        </w:tc>
      </w:tr>
      <w:tr w14:paraId="0BC6F68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4BC193F4">
            <w:pPr>
              <w:jc w:val="both"/>
              <w:rPr>
                <w:b w:val="0"/>
                <w:bCs w:val="0"/>
                <w:sz w:val="20"/>
                <w:szCs w:val="20"/>
                <w:lang w:val="en-US"/>
              </w:rPr>
            </w:pPr>
            <w:r>
              <w:rPr>
                <w:b w:val="0"/>
                <w:bCs w:val="0"/>
                <w:sz w:val="20"/>
                <w:szCs w:val="20"/>
                <w:lang w:val="en-US"/>
              </w:rPr>
              <w:t>Saya sadar bahwa pajak merupakan sumber penerimaan negara yang terbesar</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7D4FD31F">
            <w:pPr>
              <w:jc w:val="center"/>
              <w:rPr>
                <w:color w:val="000000"/>
                <w:sz w:val="20"/>
                <w:szCs w:val="20"/>
                <w:lang w:eastAsia="id-ID"/>
              </w:rPr>
            </w:pPr>
            <w:r>
              <w:rPr>
                <w:color w:val="000000"/>
                <w:sz w:val="20"/>
                <w:szCs w:val="20"/>
                <w:lang w:eastAsia="id-ID"/>
              </w:rPr>
              <w:t>1</w:t>
            </w:r>
          </w:p>
          <w:p w14:paraId="7DA43267">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661789B9">
            <w:pPr>
              <w:jc w:val="center"/>
              <w:rPr>
                <w:color w:val="000000"/>
                <w:sz w:val="20"/>
                <w:szCs w:val="20"/>
                <w:lang w:eastAsia="id-ID"/>
              </w:rPr>
            </w:pPr>
            <w:r>
              <w:rPr>
                <w:color w:val="000000"/>
                <w:sz w:val="20"/>
                <w:szCs w:val="20"/>
                <w:lang w:eastAsia="id-ID"/>
              </w:rPr>
              <w:t>4</w:t>
            </w:r>
          </w:p>
          <w:p w14:paraId="573ACBF3">
            <w:pPr>
              <w:jc w:val="center"/>
              <w:rPr>
                <w:color w:val="000000"/>
                <w:sz w:val="20"/>
                <w:szCs w:val="20"/>
                <w:lang w:eastAsia="id-ID"/>
              </w:rPr>
            </w:pPr>
            <w:r>
              <w:rPr>
                <w:color w:val="000000"/>
                <w:sz w:val="20"/>
                <w:szCs w:val="20"/>
                <w:lang w:eastAsia="id-ID"/>
              </w:rPr>
              <w:t>(5,7%)</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7B53B3C9">
            <w:pPr>
              <w:jc w:val="center"/>
              <w:rPr>
                <w:color w:val="000000"/>
                <w:sz w:val="20"/>
                <w:szCs w:val="20"/>
                <w:lang w:eastAsia="id-ID"/>
              </w:rPr>
            </w:pPr>
            <w:r>
              <w:rPr>
                <w:color w:val="000000"/>
                <w:sz w:val="20"/>
                <w:szCs w:val="20"/>
                <w:lang w:eastAsia="id-ID"/>
              </w:rPr>
              <w:t>8</w:t>
            </w:r>
          </w:p>
          <w:p w14:paraId="534B052D">
            <w:pPr>
              <w:jc w:val="center"/>
              <w:rPr>
                <w:color w:val="000000"/>
                <w:sz w:val="20"/>
                <w:szCs w:val="20"/>
                <w:lang w:eastAsia="id-ID"/>
              </w:rPr>
            </w:pPr>
            <w:r>
              <w:rPr>
                <w:color w:val="000000"/>
                <w:sz w:val="20"/>
                <w:szCs w:val="20"/>
                <w:lang w:eastAsia="id-ID"/>
              </w:rPr>
              <w:t>(11,4%)</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3A6F503A">
            <w:pPr>
              <w:jc w:val="center"/>
              <w:rPr>
                <w:color w:val="000000"/>
                <w:sz w:val="20"/>
                <w:szCs w:val="20"/>
                <w:lang w:eastAsia="id-ID"/>
              </w:rPr>
            </w:pPr>
            <w:r>
              <w:rPr>
                <w:color w:val="000000"/>
                <w:sz w:val="20"/>
                <w:szCs w:val="20"/>
                <w:lang w:eastAsia="id-ID"/>
              </w:rPr>
              <w:t>38</w:t>
            </w:r>
          </w:p>
          <w:p w14:paraId="5C196A7E">
            <w:pPr>
              <w:jc w:val="center"/>
              <w:rPr>
                <w:color w:val="000000"/>
                <w:sz w:val="20"/>
                <w:szCs w:val="20"/>
                <w:lang w:eastAsia="id-ID"/>
              </w:rPr>
            </w:pPr>
            <w:r>
              <w:rPr>
                <w:color w:val="000000"/>
                <w:sz w:val="20"/>
                <w:szCs w:val="20"/>
                <w:lang w:eastAsia="id-ID"/>
              </w:rPr>
              <w:t>(54,3%)</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11483D8B">
            <w:pPr>
              <w:jc w:val="center"/>
              <w:rPr>
                <w:color w:val="000000"/>
                <w:sz w:val="20"/>
                <w:szCs w:val="20"/>
                <w:lang w:eastAsia="id-ID"/>
              </w:rPr>
            </w:pPr>
            <w:r>
              <w:rPr>
                <w:color w:val="000000"/>
                <w:sz w:val="20"/>
                <w:szCs w:val="20"/>
                <w:lang w:eastAsia="id-ID"/>
              </w:rPr>
              <w:t>19</w:t>
            </w:r>
          </w:p>
          <w:p w14:paraId="2BCC16E7">
            <w:pPr>
              <w:jc w:val="center"/>
              <w:rPr>
                <w:color w:val="000000"/>
                <w:sz w:val="20"/>
                <w:szCs w:val="20"/>
                <w:lang w:eastAsia="id-ID"/>
              </w:rPr>
            </w:pPr>
            <w:r>
              <w:rPr>
                <w:color w:val="000000"/>
                <w:sz w:val="20"/>
                <w:szCs w:val="20"/>
                <w:lang w:eastAsia="id-ID"/>
              </w:rPr>
              <w:t>(27,1%)</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2155F5F8">
            <w:pPr>
              <w:jc w:val="center"/>
              <w:rPr>
                <w:color w:val="000000"/>
                <w:sz w:val="20"/>
                <w:szCs w:val="20"/>
                <w:lang w:eastAsia="id-ID"/>
              </w:rPr>
            </w:pPr>
            <w:r>
              <w:rPr>
                <w:color w:val="000000"/>
                <w:sz w:val="20"/>
                <w:szCs w:val="20"/>
                <w:lang w:eastAsia="id-ID"/>
              </w:rPr>
              <w:t>0,868</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0E8F2708">
            <w:pPr>
              <w:jc w:val="center"/>
              <w:rPr>
                <w:color w:val="000000"/>
                <w:sz w:val="20"/>
                <w:szCs w:val="20"/>
                <w:lang w:eastAsia="id-ID"/>
              </w:rPr>
            </w:pPr>
            <w:r>
              <w:rPr>
                <w:color w:val="000000"/>
                <w:sz w:val="20"/>
                <w:szCs w:val="20"/>
                <w:lang w:eastAsia="id-ID"/>
              </w:rPr>
              <w:t>4,00</w:t>
            </w:r>
          </w:p>
        </w:tc>
      </w:tr>
      <w:tr w14:paraId="2E95471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Pr>
          <w:p w14:paraId="45E00795">
            <w:pPr>
              <w:jc w:val="both"/>
              <w:rPr>
                <w:b w:val="0"/>
                <w:bCs w:val="0"/>
                <w:sz w:val="20"/>
                <w:szCs w:val="20"/>
                <w:lang w:val="en-US"/>
              </w:rPr>
            </w:pPr>
            <w:r>
              <w:rPr>
                <w:b w:val="0"/>
                <w:bCs w:val="0"/>
                <w:sz w:val="20"/>
                <w:szCs w:val="20"/>
                <w:lang w:val="en-US"/>
              </w:rPr>
              <w:t>Memahami bahwa kewajiban perpajakan harus dilaksanakan sesuai dengan ketentuan yang berlaku</w:t>
            </w:r>
          </w:p>
        </w:tc>
        <w:tc>
          <w:tcPr>
            <w:tcW w:w="505" w:type="pct"/>
            <w:vAlign w:val="center"/>
          </w:tcPr>
          <w:p w14:paraId="0B2C986E">
            <w:pPr>
              <w:jc w:val="center"/>
              <w:rPr>
                <w:color w:val="000000"/>
                <w:sz w:val="20"/>
                <w:szCs w:val="20"/>
                <w:lang w:eastAsia="id-ID"/>
              </w:rPr>
            </w:pPr>
            <w:r>
              <w:rPr>
                <w:color w:val="000000"/>
                <w:sz w:val="20"/>
                <w:szCs w:val="20"/>
                <w:lang w:eastAsia="id-ID"/>
              </w:rPr>
              <w:t>2</w:t>
            </w:r>
          </w:p>
          <w:p w14:paraId="57DAA37C">
            <w:pPr>
              <w:jc w:val="center"/>
              <w:rPr>
                <w:color w:val="000000"/>
                <w:sz w:val="20"/>
                <w:szCs w:val="20"/>
                <w:lang w:eastAsia="id-ID"/>
              </w:rPr>
            </w:pPr>
            <w:r>
              <w:rPr>
                <w:color w:val="000000"/>
                <w:sz w:val="20"/>
                <w:szCs w:val="20"/>
                <w:lang w:eastAsia="id-ID"/>
              </w:rPr>
              <w:t>(2,9%)</w:t>
            </w:r>
          </w:p>
        </w:tc>
        <w:tc>
          <w:tcPr>
            <w:tcW w:w="505" w:type="pct"/>
            <w:vAlign w:val="center"/>
          </w:tcPr>
          <w:p w14:paraId="5CABDD5C">
            <w:pPr>
              <w:jc w:val="center"/>
              <w:rPr>
                <w:color w:val="000000"/>
                <w:sz w:val="20"/>
                <w:szCs w:val="20"/>
                <w:lang w:eastAsia="id-ID"/>
              </w:rPr>
            </w:pPr>
            <w:r>
              <w:rPr>
                <w:color w:val="000000"/>
                <w:sz w:val="20"/>
                <w:szCs w:val="20"/>
                <w:lang w:eastAsia="id-ID"/>
              </w:rPr>
              <w:t>2</w:t>
            </w:r>
          </w:p>
          <w:p w14:paraId="6BE52ECC">
            <w:pPr>
              <w:jc w:val="center"/>
              <w:rPr>
                <w:color w:val="000000"/>
                <w:sz w:val="20"/>
                <w:szCs w:val="20"/>
                <w:lang w:eastAsia="id-ID"/>
              </w:rPr>
            </w:pPr>
            <w:r>
              <w:rPr>
                <w:color w:val="000000"/>
                <w:sz w:val="20"/>
                <w:szCs w:val="20"/>
                <w:lang w:eastAsia="id-ID"/>
              </w:rPr>
              <w:t>(2,9%)</w:t>
            </w:r>
          </w:p>
        </w:tc>
        <w:tc>
          <w:tcPr>
            <w:tcW w:w="574" w:type="pct"/>
            <w:vAlign w:val="center"/>
          </w:tcPr>
          <w:p w14:paraId="69A55BE5">
            <w:pPr>
              <w:jc w:val="center"/>
              <w:rPr>
                <w:color w:val="000000"/>
                <w:sz w:val="20"/>
                <w:szCs w:val="20"/>
                <w:lang w:eastAsia="id-ID"/>
              </w:rPr>
            </w:pPr>
            <w:r>
              <w:rPr>
                <w:color w:val="000000"/>
                <w:sz w:val="20"/>
                <w:szCs w:val="20"/>
                <w:lang w:eastAsia="id-ID"/>
              </w:rPr>
              <w:t>9</w:t>
            </w:r>
          </w:p>
          <w:p w14:paraId="7AAD774E">
            <w:pPr>
              <w:jc w:val="center"/>
              <w:rPr>
                <w:color w:val="000000"/>
                <w:sz w:val="20"/>
                <w:szCs w:val="20"/>
                <w:lang w:eastAsia="id-ID"/>
              </w:rPr>
            </w:pPr>
            <w:r>
              <w:rPr>
                <w:color w:val="000000"/>
                <w:sz w:val="20"/>
                <w:szCs w:val="20"/>
                <w:lang w:eastAsia="id-ID"/>
              </w:rPr>
              <w:t>(12,9%)</w:t>
            </w:r>
          </w:p>
        </w:tc>
        <w:tc>
          <w:tcPr>
            <w:tcW w:w="574" w:type="pct"/>
            <w:vAlign w:val="center"/>
          </w:tcPr>
          <w:p w14:paraId="3E6C88CA">
            <w:pPr>
              <w:jc w:val="center"/>
              <w:rPr>
                <w:color w:val="000000"/>
                <w:sz w:val="20"/>
                <w:szCs w:val="20"/>
                <w:lang w:eastAsia="id-ID"/>
              </w:rPr>
            </w:pPr>
            <w:r>
              <w:rPr>
                <w:color w:val="000000"/>
                <w:sz w:val="20"/>
                <w:szCs w:val="20"/>
                <w:lang w:eastAsia="id-ID"/>
              </w:rPr>
              <w:t>46</w:t>
            </w:r>
          </w:p>
          <w:p w14:paraId="4FCEE931">
            <w:pPr>
              <w:jc w:val="center"/>
              <w:rPr>
                <w:color w:val="000000"/>
                <w:sz w:val="20"/>
                <w:szCs w:val="20"/>
                <w:lang w:eastAsia="id-ID"/>
              </w:rPr>
            </w:pPr>
            <w:r>
              <w:rPr>
                <w:color w:val="000000"/>
                <w:sz w:val="20"/>
                <w:szCs w:val="20"/>
                <w:lang w:eastAsia="id-ID"/>
              </w:rPr>
              <w:t>(65,7%)</w:t>
            </w:r>
          </w:p>
        </w:tc>
        <w:tc>
          <w:tcPr>
            <w:tcW w:w="575" w:type="pct"/>
            <w:vAlign w:val="center"/>
          </w:tcPr>
          <w:p w14:paraId="58F8B662">
            <w:pPr>
              <w:jc w:val="center"/>
              <w:rPr>
                <w:color w:val="000000"/>
                <w:sz w:val="20"/>
                <w:szCs w:val="20"/>
                <w:lang w:eastAsia="id-ID"/>
              </w:rPr>
            </w:pPr>
            <w:r>
              <w:rPr>
                <w:color w:val="000000"/>
                <w:sz w:val="20"/>
                <w:szCs w:val="20"/>
                <w:lang w:eastAsia="id-ID"/>
              </w:rPr>
              <w:t>11</w:t>
            </w:r>
          </w:p>
          <w:p w14:paraId="79A5A27B">
            <w:pPr>
              <w:jc w:val="center"/>
              <w:rPr>
                <w:color w:val="000000"/>
                <w:sz w:val="20"/>
                <w:szCs w:val="20"/>
                <w:lang w:eastAsia="id-ID"/>
              </w:rPr>
            </w:pPr>
            <w:r>
              <w:rPr>
                <w:color w:val="000000"/>
                <w:sz w:val="20"/>
                <w:szCs w:val="20"/>
                <w:lang w:eastAsia="id-ID"/>
              </w:rPr>
              <w:t>(15,7%)</w:t>
            </w:r>
          </w:p>
        </w:tc>
        <w:tc>
          <w:tcPr>
            <w:tcW w:w="690" w:type="pct"/>
            <w:vAlign w:val="center"/>
          </w:tcPr>
          <w:p w14:paraId="5DEF962C">
            <w:pPr>
              <w:jc w:val="center"/>
              <w:rPr>
                <w:color w:val="000000"/>
                <w:sz w:val="20"/>
                <w:szCs w:val="20"/>
                <w:lang w:eastAsia="id-ID"/>
              </w:rPr>
            </w:pPr>
            <w:r>
              <w:rPr>
                <w:color w:val="000000"/>
                <w:sz w:val="20"/>
                <w:szCs w:val="20"/>
                <w:lang w:eastAsia="id-ID"/>
              </w:rPr>
              <w:t>0,808</w:t>
            </w:r>
          </w:p>
        </w:tc>
        <w:tc>
          <w:tcPr>
            <w:tcW w:w="465" w:type="pct"/>
            <w:vAlign w:val="center"/>
          </w:tcPr>
          <w:p w14:paraId="0B8D0BC0">
            <w:pPr>
              <w:jc w:val="center"/>
              <w:rPr>
                <w:color w:val="000000"/>
                <w:sz w:val="20"/>
                <w:szCs w:val="20"/>
                <w:lang w:eastAsia="id-ID"/>
              </w:rPr>
            </w:pPr>
            <w:r>
              <w:rPr>
                <w:color w:val="000000"/>
                <w:sz w:val="20"/>
                <w:szCs w:val="20"/>
                <w:lang w:eastAsia="id-ID"/>
              </w:rPr>
              <w:t>3,89</w:t>
            </w:r>
          </w:p>
        </w:tc>
      </w:tr>
      <w:tr w14:paraId="12D1BFC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111" w:type="pct"/>
            <w:tcBorders>
              <w:top w:val="single" w:color="7E7E7E" w:themeColor="text1" w:themeTint="80" w:sz="4" w:space="0"/>
              <w:bottom w:val="single" w:color="7E7E7E" w:themeColor="text1" w:themeTint="80" w:sz="4" w:space="0"/>
              <w:insideH w:val="single" w:sz="4" w:space="0"/>
            </w:tcBorders>
          </w:tcPr>
          <w:p w14:paraId="065A35BF">
            <w:pPr>
              <w:jc w:val="both"/>
              <w:rPr>
                <w:b w:val="0"/>
                <w:bCs w:val="0"/>
                <w:sz w:val="20"/>
                <w:szCs w:val="20"/>
                <w:lang w:val="en-US"/>
              </w:rPr>
            </w:pPr>
            <w:r>
              <w:rPr>
                <w:b w:val="0"/>
                <w:bCs w:val="0"/>
                <w:sz w:val="20"/>
                <w:szCs w:val="20"/>
              </w:rPr>
              <w:t>Sebagai seorang wajib pajak mempunyai kepercayaan terhadap pengalokasian pajak untuk kepentingan umum</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6EB2272C">
            <w:pPr>
              <w:jc w:val="center"/>
              <w:rPr>
                <w:color w:val="000000"/>
                <w:sz w:val="20"/>
                <w:szCs w:val="20"/>
                <w:lang w:eastAsia="id-ID"/>
              </w:rPr>
            </w:pPr>
            <w:r>
              <w:rPr>
                <w:color w:val="000000"/>
                <w:sz w:val="20"/>
                <w:szCs w:val="20"/>
                <w:lang w:eastAsia="id-ID"/>
              </w:rPr>
              <w:t>1</w:t>
            </w:r>
          </w:p>
          <w:p w14:paraId="18B8C85D">
            <w:pPr>
              <w:jc w:val="center"/>
              <w:rPr>
                <w:color w:val="000000"/>
                <w:sz w:val="20"/>
                <w:szCs w:val="20"/>
                <w:lang w:eastAsia="id-ID"/>
              </w:rPr>
            </w:pPr>
            <w:r>
              <w:rPr>
                <w:color w:val="000000"/>
                <w:sz w:val="20"/>
                <w:szCs w:val="20"/>
                <w:lang w:eastAsia="id-ID"/>
              </w:rPr>
              <w:t>(1,4%)</w:t>
            </w:r>
          </w:p>
        </w:tc>
        <w:tc>
          <w:tcPr>
            <w:tcW w:w="505" w:type="pct"/>
            <w:tcBorders>
              <w:top w:val="single" w:color="7E7E7E" w:themeColor="text1" w:themeTint="80" w:sz="4" w:space="0"/>
              <w:bottom w:val="single" w:color="7E7E7E" w:themeColor="text1" w:themeTint="80" w:sz="4" w:space="0"/>
              <w:insideH w:val="single" w:sz="4" w:space="0"/>
            </w:tcBorders>
            <w:vAlign w:val="center"/>
          </w:tcPr>
          <w:p w14:paraId="20DD68A5">
            <w:pPr>
              <w:jc w:val="center"/>
              <w:rPr>
                <w:color w:val="000000"/>
                <w:sz w:val="20"/>
                <w:szCs w:val="20"/>
                <w:lang w:eastAsia="id-ID"/>
              </w:rPr>
            </w:pPr>
            <w:r>
              <w:rPr>
                <w:color w:val="000000"/>
                <w:sz w:val="20"/>
                <w:szCs w:val="20"/>
                <w:lang w:eastAsia="id-ID"/>
              </w:rPr>
              <w:t>4</w:t>
            </w:r>
          </w:p>
          <w:p w14:paraId="73B7EF89">
            <w:pPr>
              <w:jc w:val="center"/>
              <w:rPr>
                <w:color w:val="000000"/>
                <w:sz w:val="20"/>
                <w:szCs w:val="20"/>
                <w:lang w:eastAsia="id-ID"/>
              </w:rPr>
            </w:pPr>
            <w:r>
              <w:rPr>
                <w:color w:val="000000"/>
                <w:sz w:val="20"/>
                <w:szCs w:val="20"/>
                <w:lang w:eastAsia="id-ID"/>
              </w:rPr>
              <w:t>(5,7%)</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6AD1E3D0">
            <w:pPr>
              <w:jc w:val="center"/>
              <w:rPr>
                <w:color w:val="000000"/>
                <w:sz w:val="20"/>
                <w:szCs w:val="20"/>
                <w:lang w:eastAsia="id-ID"/>
              </w:rPr>
            </w:pPr>
            <w:r>
              <w:rPr>
                <w:color w:val="000000"/>
                <w:sz w:val="20"/>
                <w:szCs w:val="20"/>
                <w:lang w:eastAsia="id-ID"/>
              </w:rPr>
              <w:t>8</w:t>
            </w:r>
          </w:p>
          <w:p w14:paraId="35F9900C">
            <w:pPr>
              <w:jc w:val="center"/>
              <w:rPr>
                <w:color w:val="000000"/>
                <w:sz w:val="20"/>
                <w:szCs w:val="20"/>
                <w:lang w:eastAsia="id-ID"/>
              </w:rPr>
            </w:pPr>
            <w:r>
              <w:rPr>
                <w:color w:val="000000"/>
                <w:sz w:val="20"/>
                <w:szCs w:val="20"/>
                <w:lang w:eastAsia="id-ID"/>
              </w:rPr>
              <w:t>(11,4%)</w:t>
            </w:r>
          </w:p>
        </w:tc>
        <w:tc>
          <w:tcPr>
            <w:tcW w:w="574" w:type="pct"/>
            <w:tcBorders>
              <w:top w:val="single" w:color="7E7E7E" w:themeColor="text1" w:themeTint="80" w:sz="4" w:space="0"/>
              <w:bottom w:val="single" w:color="7E7E7E" w:themeColor="text1" w:themeTint="80" w:sz="4" w:space="0"/>
              <w:insideH w:val="single" w:sz="4" w:space="0"/>
            </w:tcBorders>
            <w:vAlign w:val="center"/>
          </w:tcPr>
          <w:p w14:paraId="4066F248">
            <w:pPr>
              <w:jc w:val="center"/>
              <w:rPr>
                <w:color w:val="000000"/>
                <w:sz w:val="20"/>
                <w:szCs w:val="20"/>
                <w:lang w:eastAsia="id-ID"/>
              </w:rPr>
            </w:pPr>
            <w:r>
              <w:rPr>
                <w:color w:val="000000"/>
                <w:sz w:val="20"/>
                <w:szCs w:val="20"/>
                <w:lang w:eastAsia="id-ID"/>
              </w:rPr>
              <w:t>35</w:t>
            </w:r>
          </w:p>
          <w:p w14:paraId="5CC6EEFB">
            <w:pPr>
              <w:jc w:val="center"/>
              <w:rPr>
                <w:color w:val="000000"/>
                <w:sz w:val="20"/>
                <w:szCs w:val="20"/>
                <w:lang w:eastAsia="id-ID"/>
              </w:rPr>
            </w:pPr>
            <w:r>
              <w:rPr>
                <w:color w:val="000000"/>
                <w:sz w:val="20"/>
                <w:szCs w:val="20"/>
                <w:lang w:eastAsia="id-ID"/>
              </w:rPr>
              <w:t>(50,0%)</w:t>
            </w:r>
          </w:p>
        </w:tc>
        <w:tc>
          <w:tcPr>
            <w:tcW w:w="575" w:type="pct"/>
            <w:tcBorders>
              <w:top w:val="single" w:color="7E7E7E" w:themeColor="text1" w:themeTint="80" w:sz="4" w:space="0"/>
              <w:bottom w:val="single" w:color="7E7E7E" w:themeColor="text1" w:themeTint="80" w:sz="4" w:space="0"/>
              <w:insideH w:val="single" w:sz="4" w:space="0"/>
            </w:tcBorders>
            <w:vAlign w:val="center"/>
          </w:tcPr>
          <w:p w14:paraId="4CF37F35">
            <w:pPr>
              <w:jc w:val="center"/>
              <w:rPr>
                <w:color w:val="000000"/>
                <w:sz w:val="20"/>
                <w:szCs w:val="20"/>
                <w:lang w:eastAsia="id-ID"/>
              </w:rPr>
            </w:pPr>
            <w:r>
              <w:rPr>
                <w:color w:val="000000"/>
                <w:sz w:val="20"/>
                <w:szCs w:val="20"/>
                <w:lang w:eastAsia="id-ID"/>
              </w:rPr>
              <w:t>22</w:t>
            </w:r>
          </w:p>
          <w:p w14:paraId="42118291">
            <w:pPr>
              <w:jc w:val="center"/>
              <w:rPr>
                <w:color w:val="000000"/>
                <w:sz w:val="20"/>
                <w:szCs w:val="20"/>
                <w:lang w:eastAsia="id-ID"/>
              </w:rPr>
            </w:pPr>
            <w:r>
              <w:rPr>
                <w:color w:val="000000"/>
                <w:sz w:val="20"/>
                <w:szCs w:val="20"/>
                <w:lang w:eastAsia="id-ID"/>
              </w:rPr>
              <w:t>(31,4%)</w:t>
            </w:r>
          </w:p>
        </w:tc>
        <w:tc>
          <w:tcPr>
            <w:tcW w:w="690" w:type="pct"/>
            <w:tcBorders>
              <w:top w:val="single" w:color="7E7E7E" w:themeColor="text1" w:themeTint="80" w:sz="4" w:space="0"/>
              <w:bottom w:val="single" w:color="7E7E7E" w:themeColor="text1" w:themeTint="80" w:sz="4" w:space="0"/>
              <w:insideH w:val="single" w:sz="4" w:space="0"/>
            </w:tcBorders>
            <w:vAlign w:val="center"/>
          </w:tcPr>
          <w:p w14:paraId="0B025934">
            <w:pPr>
              <w:jc w:val="center"/>
              <w:rPr>
                <w:color w:val="000000"/>
                <w:sz w:val="20"/>
                <w:szCs w:val="20"/>
                <w:lang w:eastAsia="id-ID"/>
              </w:rPr>
            </w:pPr>
            <w:r>
              <w:rPr>
                <w:color w:val="000000"/>
                <w:sz w:val="20"/>
                <w:szCs w:val="20"/>
                <w:lang w:eastAsia="id-ID"/>
              </w:rPr>
              <w:t>0,892</w:t>
            </w:r>
          </w:p>
        </w:tc>
        <w:tc>
          <w:tcPr>
            <w:tcW w:w="465" w:type="pct"/>
            <w:tcBorders>
              <w:top w:val="single" w:color="7E7E7E" w:themeColor="text1" w:themeTint="80" w:sz="4" w:space="0"/>
              <w:bottom w:val="single" w:color="7E7E7E" w:themeColor="text1" w:themeTint="80" w:sz="4" w:space="0"/>
              <w:insideH w:val="single" w:sz="4" w:space="0"/>
            </w:tcBorders>
            <w:vAlign w:val="center"/>
          </w:tcPr>
          <w:p w14:paraId="7F0542F4">
            <w:pPr>
              <w:jc w:val="center"/>
              <w:rPr>
                <w:color w:val="000000"/>
                <w:sz w:val="20"/>
                <w:szCs w:val="20"/>
                <w:lang w:eastAsia="id-ID"/>
              </w:rPr>
            </w:pPr>
            <w:r>
              <w:rPr>
                <w:color w:val="000000"/>
                <w:sz w:val="20"/>
                <w:szCs w:val="20"/>
                <w:lang w:eastAsia="id-ID"/>
              </w:rPr>
              <w:t>4,04</w:t>
            </w:r>
          </w:p>
        </w:tc>
      </w:tr>
    </w:tbl>
    <w:p w14:paraId="27E07BE2">
      <w:pPr>
        <w:pStyle w:val="16"/>
        <w:spacing w:line="480" w:lineRule="auto"/>
        <w:jc w:val="both"/>
        <w:rPr>
          <w:b/>
          <w:bCs/>
        </w:rPr>
      </w:pPr>
      <w:r>
        <w:t>Sumber : Hasil Penelitian, 2025</w:t>
      </w:r>
    </w:p>
    <w:p w14:paraId="2C0D02AE">
      <w:pPr>
        <w:pStyle w:val="16"/>
        <w:spacing w:line="480" w:lineRule="auto"/>
        <w:ind w:firstLine="720"/>
        <w:jc w:val="both"/>
      </w:pPr>
      <w:r>
        <w:t xml:space="preserve">Pada Tabel 4.4 terkait hasil jawaban responden </w:t>
      </w:r>
      <w:r>
        <w:rPr>
          <w:rStyle w:val="18"/>
          <w:rFonts w:eastAsiaTheme="majorEastAsia"/>
          <w:b w:val="0"/>
          <w:bCs w:val="0"/>
        </w:rPr>
        <w:t>variabel Kesadaran Wajib Pajak</w:t>
      </w:r>
      <w:r>
        <w:t xml:space="preserve"> berikut ini adalah penjelasannya</w:t>
      </w:r>
    </w:p>
    <w:p w14:paraId="045F8ED6">
      <w:pPr>
        <w:pStyle w:val="16"/>
        <w:numPr>
          <w:ilvl w:val="0"/>
          <w:numId w:val="6"/>
        </w:numPr>
        <w:spacing w:line="480" w:lineRule="auto"/>
        <w:jc w:val="both"/>
      </w:pPr>
      <w:r>
        <w:rPr>
          <w:rStyle w:val="18"/>
          <w:rFonts w:eastAsiaTheme="majorEastAsia"/>
          <w:b w:val="0"/>
          <w:bCs w:val="0"/>
        </w:rPr>
        <w:t>Pernyataan: Saya sadar adanya hak dan kewajiban pajak memenuhi kewajiban dalam membayar</w:t>
      </w:r>
      <w:r>
        <w:t>. Mayoritas responden memiliki kesadaran yang tinggi terhadap hak dan kewajiban membayar pajak, dengan 47,1% menyatakan setuju dan 31,4% sangat setuju. Nilai rata-rata (mean) sebesar 4,00 menunjukkan tingkat kesadaran yang tinggi, meskipun masih terdapat 8,5% yang belum sepenuhnya sadar akan hal ini.</w:t>
      </w:r>
    </w:p>
    <w:p w14:paraId="2D62EFF9">
      <w:pPr>
        <w:pStyle w:val="16"/>
        <w:numPr>
          <w:ilvl w:val="0"/>
          <w:numId w:val="6"/>
        </w:numPr>
        <w:spacing w:before="100" w:beforeAutospacing="1" w:after="100" w:afterAutospacing="1" w:line="480" w:lineRule="auto"/>
        <w:jc w:val="both"/>
      </w:pPr>
      <w:r>
        <w:rPr>
          <w:rStyle w:val="18"/>
          <w:rFonts w:eastAsiaTheme="majorEastAsia"/>
          <w:b w:val="0"/>
          <w:bCs w:val="0"/>
        </w:rPr>
        <w:t>Pernyataan: Saya sadar adanya perhitungan, membayar, dan melaporkan pajak</w:t>
      </w:r>
      <w:r>
        <w:t>. Kesadaran terhadap kewajiban menghitung, membayar, dan melaporkan pajak juga cukup tinggi, dengan mean 4,09. Sebanyak 57,1% responden setuju dan 28,6% sangat setuju terhadap pernyataan ini. Hanya sedikit sekali (4,3%) yang belum menyadarinya.</w:t>
      </w:r>
    </w:p>
    <w:p w14:paraId="3A1C8666">
      <w:pPr>
        <w:pStyle w:val="16"/>
        <w:numPr>
          <w:ilvl w:val="0"/>
          <w:numId w:val="6"/>
        </w:numPr>
        <w:spacing w:before="100" w:beforeAutospacing="1" w:after="100" w:afterAutospacing="1" w:line="480" w:lineRule="auto"/>
        <w:jc w:val="both"/>
      </w:pPr>
      <w:r>
        <w:rPr>
          <w:rStyle w:val="18"/>
          <w:rFonts w:eastAsiaTheme="majorEastAsia"/>
          <w:b w:val="0"/>
          <w:bCs w:val="0"/>
        </w:rPr>
        <w:t>Pernyataan: Saya mengetahui bahwa pajak sebagai sumber pendapatan negara untuk sarana pembangunan dan kepentingan umum</w:t>
      </w:r>
      <w:r>
        <w:t>. Sebagian besar responden memahami pentingnya pajak sebagai sumber dana pembangunan, ditunjukkan oleh 61,4% responden yang setuju dan 22,9% sangat setuju. Nilai mean sebesar 4,01 mengindikasikan tingkat kesadaran yang sangat baik terhadap fungsi pajak dalam pembangunan nasional.</w:t>
      </w:r>
    </w:p>
    <w:p w14:paraId="0B7A541C">
      <w:pPr>
        <w:pStyle w:val="16"/>
        <w:numPr>
          <w:ilvl w:val="0"/>
          <w:numId w:val="6"/>
        </w:numPr>
        <w:spacing w:before="100" w:beforeAutospacing="1" w:after="100" w:afterAutospacing="1" w:line="480" w:lineRule="auto"/>
        <w:jc w:val="both"/>
      </w:pPr>
      <w:r>
        <w:rPr>
          <w:rStyle w:val="18"/>
          <w:rFonts w:eastAsiaTheme="majorEastAsia"/>
          <w:b w:val="0"/>
          <w:bCs w:val="0"/>
        </w:rPr>
        <w:t>Pernyataan: Saya sadar bahwa pajak merupakan sumber penerimaan negara yang terbesar</w:t>
      </w:r>
      <w:r>
        <w:t>. Kesadaran bahwa pajak merupakan sumber penerimaan negara utama cukup tinggi, dengan mean 4,00. Sebanyak 54,3% setuju dan 27,1% sangat setuju, sementara hanya sebagian kecil (7,1%) kurang menyadari hal ini.</w:t>
      </w:r>
    </w:p>
    <w:p w14:paraId="4BCC7A5C">
      <w:pPr>
        <w:pStyle w:val="16"/>
        <w:numPr>
          <w:ilvl w:val="0"/>
          <w:numId w:val="6"/>
        </w:numPr>
        <w:spacing w:before="100" w:beforeAutospacing="1" w:after="100" w:afterAutospacing="1" w:line="480" w:lineRule="auto"/>
        <w:jc w:val="both"/>
      </w:pPr>
      <w:r>
        <w:rPr>
          <w:rStyle w:val="18"/>
          <w:rFonts w:eastAsiaTheme="majorEastAsia"/>
          <w:b w:val="0"/>
          <w:bCs w:val="0"/>
        </w:rPr>
        <w:t>Pernyataan: Memahami bahwa kewajiban perpajakan harus dilaksanakan sesuai dengan ketentuan yang berlaku</w:t>
      </w:r>
      <w:r>
        <w:t>. Meskipun kesadaran masih tergolong tinggi (mean 3,89), persentase responden yang sangat setuju (15,7%) relatif lebih rendah dibandingkan pernyataan lain. Hal ini menunjukkan bahwa sebagian responden mungkin belum sepenuhnya memahami pentingnya mematuhi ketentuan hukum perpajakan secara menyeluruh.</w:t>
      </w:r>
    </w:p>
    <w:p w14:paraId="3F548EF7">
      <w:pPr>
        <w:pStyle w:val="16"/>
        <w:numPr>
          <w:ilvl w:val="0"/>
          <w:numId w:val="6"/>
        </w:numPr>
        <w:spacing w:line="480" w:lineRule="auto"/>
        <w:jc w:val="both"/>
      </w:pPr>
      <w:r>
        <w:rPr>
          <w:rStyle w:val="18"/>
          <w:rFonts w:eastAsiaTheme="majorEastAsia"/>
          <w:b w:val="0"/>
          <w:bCs w:val="0"/>
        </w:rPr>
        <w:t>Pernyataan: Sebagai seorang wajib pajak mempunyai kepercayaan terhadap pengalokasian pajak untuk kepentingan umum</w:t>
      </w:r>
      <w:r>
        <w:t>. Tingkat kepercayaan terhadap penggunaan dana pajak untuk kepentingan umum juga tinggi, dengan 50,0% setuju dan 31,4% sangat setuju. Nilai mean sebesar 4,04 menunjukkan bahwa mayoritas responden percaya bahwa pajak digunakan untuk membiayai kepentingan masyarakat luas.</w:t>
      </w:r>
    </w:p>
    <w:p w14:paraId="549F5609">
      <w:pPr>
        <w:pStyle w:val="16"/>
        <w:spacing w:line="480" w:lineRule="auto"/>
        <w:ind w:firstLine="720"/>
        <w:jc w:val="both"/>
      </w:pPr>
      <w:r>
        <w:t xml:space="preserve">Secara keseluruhan, data menunjukkan bahwa pelaku UMKM makanan dan minuman di Lubuk Pakam memiliki </w:t>
      </w:r>
      <w:r>
        <w:rPr>
          <w:rStyle w:val="18"/>
          <w:rFonts w:eastAsiaTheme="majorEastAsia"/>
          <w:b w:val="0"/>
          <w:bCs w:val="0"/>
        </w:rPr>
        <w:t>tingkat kesadaran pajak yang tinggi</w:t>
      </w:r>
      <w:r>
        <w:t>. Mereka menyadari kewajiban perpajakan serta memahami peran penting pajak dalam pembangunan negara. Namun, pemahaman terkait kepatuhan terhadap ketentuan formal masih bisa ditingkatkan, termasuk edukasi tentang pelaksanaan yang sesuai aturan.</w:t>
      </w:r>
    </w:p>
    <w:p w14:paraId="2A0DFBDC">
      <w:pPr>
        <w:jc w:val="center"/>
        <w:rPr>
          <w:rFonts w:eastAsia="Calibri"/>
          <w:b/>
          <w:lang w:val="id"/>
        </w:rPr>
      </w:pPr>
    </w:p>
    <w:p w14:paraId="3871AEC1">
      <w:pPr>
        <w:jc w:val="center"/>
        <w:rPr>
          <w:rFonts w:eastAsia="Calibri"/>
          <w:b/>
          <w:lang w:val="id"/>
        </w:rPr>
      </w:pPr>
    </w:p>
    <w:p w14:paraId="489822C9">
      <w:pPr>
        <w:jc w:val="center"/>
        <w:rPr>
          <w:rFonts w:eastAsia="Calibri"/>
          <w:b/>
          <w:lang w:val="id"/>
        </w:rPr>
      </w:pPr>
      <w:r>
        <w:rPr>
          <w:rFonts w:eastAsia="Calibri"/>
          <w:b/>
          <w:lang w:val="id"/>
        </w:rPr>
        <w:t>Tabel 4.5</w:t>
      </w:r>
    </w:p>
    <w:p w14:paraId="21D91BD2">
      <w:pPr>
        <w:autoSpaceDE w:val="0"/>
        <w:autoSpaceDN w:val="0"/>
        <w:adjustRightInd w:val="0"/>
        <w:jc w:val="center"/>
        <w:rPr>
          <w:rFonts w:eastAsia="Calibri"/>
        </w:rPr>
      </w:pPr>
      <w:r>
        <w:rPr>
          <w:rFonts w:eastAsia="Calibri"/>
          <w:b/>
          <w:lang w:val="id"/>
        </w:rPr>
        <w:t>Frekuensi Jawaban Responden Variabel Penurunan Tarif Pajak PP No 23 Tahun 2018 (X</w:t>
      </w:r>
      <w:r>
        <w:rPr>
          <w:rFonts w:eastAsia="Calibri"/>
          <w:b/>
          <w:vertAlign w:val="subscript"/>
          <w:lang w:val="id"/>
        </w:rPr>
        <w:t>3</w:t>
      </w:r>
      <w:r>
        <w:rPr>
          <w:rFonts w:eastAsia="Calibri"/>
          <w:b/>
          <w:lang w:val="id"/>
        </w:rPr>
        <w:t>)</w:t>
      </w:r>
    </w:p>
    <w:tbl>
      <w:tblPr>
        <w:tblStyle w:val="27"/>
        <w:tblW w:w="8149"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57"/>
        <w:gridCol w:w="876"/>
        <w:gridCol w:w="876"/>
        <w:gridCol w:w="866"/>
        <w:gridCol w:w="866"/>
        <w:gridCol w:w="866"/>
        <w:gridCol w:w="1039"/>
        <w:gridCol w:w="803"/>
      </w:tblGrid>
      <w:tr w14:paraId="6B54C7D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jc w:val="center"/>
        </w:trPr>
        <w:tc>
          <w:tcPr>
            <w:tcW w:w="0" w:type="auto"/>
            <w:vMerge w:val="restart"/>
            <w:tcBorders>
              <w:bottom w:val="single" w:color="7E7E7E" w:themeColor="text1" w:themeTint="80" w:sz="4" w:space="0"/>
              <w:insideH w:val="single" w:sz="4" w:space="0"/>
            </w:tcBorders>
          </w:tcPr>
          <w:p w14:paraId="435FF96D">
            <w:pPr>
              <w:jc w:val="center"/>
              <w:rPr>
                <w:b/>
                <w:bCs w:val="0"/>
                <w:sz w:val="20"/>
                <w:szCs w:val="20"/>
                <w:lang w:val="id"/>
              </w:rPr>
            </w:pPr>
            <w:r>
              <w:rPr>
                <w:b/>
                <w:bCs w:val="0"/>
                <w:sz w:val="20"/>
                <w:szCs w:val="20"/>
                <w:lang w:val="id"/>
              </w:rPr>
              <w:t>Pernyataan</w:t>
            </w:r>
          </w:p>
        </w:tc>
        <w:tc>
          <w:tcPr>
            <w:tcW w:w="0" w:type="auto"/>
            <w:gridSpan w:val="5"/>
            <w:tcBorders>
              <w:bottom w:val="single" w:color="7E7E7E" w:themeColor="text1" w:themeTint="80" w:sz="4" w:space="0"/>
              <w:insideH w:val="single" w:sz="4" w:space="0"/>
            </w:tcBorders>
          </w:tcPr>
          <w:p w14:paraId="67C0B190">
            <w:pPr>
              <w:jc w:val="center"/>
              <w:rPr>
                <w:b/>
                <w:bCs w:val="0"/>
                <w:color w:val="000000"/>
                <w:sz w:val="20"/>
                <w:szCs w:val="20"/>
                <w:lang w:eastAsia="id-ID"/>
              </w:rPr>
            </w:pPr>
            <w:r>
              <w:rPr>
                <w:b/>
                <w:bCs w:val="0"/>
                <w:sz w:val="20"/>
                <w:szCs w:val="20"/>
                <w:lang w:val="id"/>
              </w:rPr>
              <w:t>Kategori Jawaban Responden</w:t>
            </w:r>
          </w:p>
        </w:tc>
        <w:tc>
          <w:tcPr>
            <w:tcW w:w="0" w:type="auto"/>
            <w:vMerge w:val="restart"/>
            <w:tcBorders>
              <w:bottom w:val="single" w:color="7E7E7E" w:themeColor="text1" w:themeTint="80" w:sz="4" w:space="0"/>
              <w:insideH w:val="single" w:sz="4" w:space="0"/>
            </w:tcBorders>
          </w:tcPr>
          <w:p w14:paraId="1D5A1817">
            <w:pPr>
              <w:jc w:val="center"/>
              <w:rPr>
                <w:b w:val="0"/>
                <w:bCs/>
                <w:sz w:val="20"/>
                <w:szCs w:val="20"/>
              </w:rPr>
            </w:pPr>
            <w:r>
              <w:rPr>
                <w:b/>
                <w:bCs/>
                <w:sz w:val="20"/>
                <w:szCs w:val="20"/>
                <w:lang w:val="id"/>
              </w:rPr>
              <w:t>Deviation</w:t>
            </w:r>
          </w:p>
        </w:tc>
        <w:tc>
          <w:tcPr>
            <w:tcW w:w="803" w:type="dxa"/>
            <w:vMerge w:val="restart"/>
            <w:tcBorders>
              <w:bottom w:val="single" w:color="7E7E7E" w:themeColor="text1" w:themeTint="80" w:sz="4" w:space="0"/>
              <w:insideH w:val="single" w:sz="4" w:space="0"/>
            </w:tcBorders>
          </w:tcPr>
          <w:p w14:paraId="233D4C21">
            <w:pPr>
              <w:jc w:val="center"/>
              <w:rPr>
                <w:b w:val="0"/>
                <w:bCs/>
                <w:sz w:val="20"/>
                <w:szCs w:val="20"/>
              </w:rPr>
            </w:pPr>
            <w:r>
              <w:rPr>
                <w:b/>
                <w:bCs/>
                <w:sz w:val="20"/>
                <w:szCs w:val="20"/>
                <w:lang w:val="id"/>
              </w:rPr>
              <w:t>Mean</w:t>
            </w:r>
          </w:p>
        </w:tc>
      </w:tr>
      <w:tr w14:paraId="432B085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jc w:val="center"/>
        </w:trPr>
        <w:tc>
          <w:tcPr>
            <w:tcW w:w="0" w:type="auto"/>
            <w:vMerge w:val="continue"/>
            <w:tcBorders>
              <w:bottom w:val="single" w:color="7E7E7E" w:themeColor="text1" w:themeTint="80" w:sz="4" w:space="0"/>
              <w:insideH w:val="single" w:sz="4" w:space="0"/>
            </w:tcBorders>
          </w:tcPr>
          <w:p w14:paraId="3DBF5D0D">
            <w:pPr>
              <w:jc w:val="center"/>
              <w:rPr>
                <w:b/>
                <w:bCs/>
                <w:color w:val="000000"/>
                <w:sz w:val="20"/>
                <w:szCs w:val="20"/>
                <w:lang w:eastAsia="id-ID"/>
              </w:rPr>
            </w:pPr>
          </w:p>
        </w:tc>
        <w:tc>
          <w:tcPr>
            <w:tcW w:w="876" w:type="dxa"/>
            <w:tcBorders>
              <w:bottom w:val="single" w:color="7E7E7E" w:themeColor="text1" w:themeTint="80" w:sz="4" w:space="0"/>
              <w:insideH w:val="single" w:sz="4" w:space="0"/>
            </w:tcBorders>
          </w:tcPr>
          <w:p w14:paraId="3AB1051C">
            <w:pPr>
              <w:jc w:val="center"/>
              <w:rPr>
                <w:b w:val="0"/>
                <w:bCs/>
                <w:color w:val="000000"/>
                <w:sz w:val="20"/>
                <w:szCs w:val="20"/>
                <w:lang w:eastAsia="id-ID"/>
              </w:rPr>
            </w:pPr>
            <w:r>
              <w:rPr>
                <w:b/>
                <w:bCs/>
                <w:color w:val="000000"/>
                <w:sz w:val="20"/>
                <w:szCs w:val="20"/>
                <w:lang w:eastAsia="id-ID"/>
              </w:rPr>
              <w:t>STS</w:t>
            </w:r>
          </w:p>
          <w:p w14:paraId="408E842C">
            <w:pPr>
              <w:jc w:val="center"/>
              <w:rPr>
                <w:b w:val="0"/>
                <w:bCs/>
                <w:color w:val="000000"/>
                <w:sz w:val="20"/>
                <w:szCs w:val="20"/>
                <w:lang w:eastAsia="id-ID"/>
              </w:rPr>
            </w:pPr>
            <w:r>
              <w:rPr>
                <w:b/>
                <w:bCs/>
                <w:color w:val="000000"/>
                <w:sz w:val="20"/>
                <w:szCs w:val="20"/>
                <w:lang w:eastAsia="id-ID"/>
              </w:rPr>
              <w:t>(%)</w:t>
            </w:r>
          </w:p>
        </w:tc>
        <w:tc>
          <w:tcPr>
            <w:tcW w:w="876" w:type="dxa"/>
            <w:tcBorders>
              <w:bottom w:val="single" w:color="7E7E7E" w:themeColor="text1" w:themeTint="80" w:sz="4" w:space="0"/>
              <w:insideH w:val="single" w:sz="4" w:space="0"/>
            </w:tcBorders>
          </w:tcPr>
          <w:p w14:paraId="38CFCD9B">
            <w:pPr>
              <w:jc w:val="center"/>
              <w:rPr>
                <w:b w:val="0"/>
                <w:bCs/>
                <w:color w:val="000000"/>
                <w:sz w:val="20"/>
                <w:szCs w:val="20"/>
                <w:lang w:eastAsia="id-ID"/>
              </w:rPr>
            </w:pPr>
            <w:r>
              <w:rPr>
                <w:b/>
                <w:bCs/>
                <w:color w:val="000000"/>
                <w:sz w:val="20"/>
                <w:szCs w:val="20"/>
                <w:lang w:eastAsia="id-ID"/>
              </w:rPr>
              <w:t>TS</w:t>
            </w:r>
          </w:p>
          <w:p w14:paraId="6D52CB87">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0B1C46BD">
            <w:pPr>
              <w:jc w:val="center"/>
              <w:rPr>
                <w:b w:val="0"/>
                <w:bCs/>
                <w:color w:val="000000"/>
                <w:sz w:val="20"/>
                <w:szCs w:val="20"/>
                <w:lang w:eastAsia="id-ID"/>
              </w:rPr>
            </w:pPr>
            <w:r>
              <w:rPr>
                <w:b/>
                <w:bCs/>
                <w:color w:val="000000"/>
                <w:sz w:val="20"/>
                <w:szCs w:val="20"/>
                <w:lang w:eastAsia="id-ID"/>
              </w:rPr>
              <w:t>KS</w:t>
            </w:r>
          </w:p>
          <w:p w14:paraId="350F0573">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3E73AA03">
            <w:pPr>
              <w:jc w:val="center"/>
              <w:rPr>
                <w:b w:val="0"/>
                <w:bCs/>
                <w:color w:val="000000"/>
                <w:sz w:val="20"/>
                <w:szCs w:val="20"/>
                <w:lang w:eastAsia="id-ID"/>
              </w:rPr>
            </w:pPr>
            <w:r>
              <w:rPr>
                <w:b/>
                <w:bCs/>
                <w:color w:val="000000"/>
                <w:sz w:val="20"/>
                <w:szCs w:val="20"/>
                <w:lang w:eastAsia="id-ID"/>
              </w:rPr>
              <w:t>S</w:t>
            </w:r>
          </w:p>
          <w:p w14:paraId="16063BA3">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4C328E28">
            <w:pPr>
              <w:jc w:val="center"/>
              <w:rPr>
                <w:b w:val="0"/>
                <w:bCs/>
                <w:color w:val="000000"/>
                <w:sz w:val="20"/>
                <w:szCs w:val="20"/>
                <w:lang w:eastAsia="id-ID"/>
              </w:rPr>
            </w:pPr>
            <w:r>
              <w:rPr>
                <w:b/>
                <w:bCs/>
                <w:color w:val="000000"/>
                <w:sz w:val="20"/>
                <w:szCs w:val="20"/>
                <w:lang w:eastAsia="id-ID"/>
              </w:rPr>
              <w:t>SS</w:t>
            </w:r>
          </w:p>
          <w:p w14:paraId="36201506">
            <w:pPr>
              <w:jc w:val="center"/>
              <w:rPr>
                <w:b w:val="0"/>
                <w:bCs/>
                <w:color w:val="000000"/>
                <w:sz w:val="20"/>
                <w:szCs w:val="20"/>
                <w:lang w:eastAsia="id-ID"/>
              </w:rPr>
            </w:pPr>
            <w:r>
              <w:rPr>
                <w:b/>
                <w:bCs/>
                <w:color w:val="000000"/>
                <w:sz w:val="20"/>
                <w:szCs w:val="20"/>
                <w:lang w:eastAsia="id-ID"/>
              </w:rPr>
              <w:t>(F%)</w:t>
            </w:r>
          </w:p>
        </w:tc>
        <w:tc>
          <w:tcPr>
            <w:tcW w:w="0" w:type="auto"/>
            <w:vMerge w:val="continue"/>
            <w:tcBorders>
              <w:bottom w:val="single" w:color="7E7E7E" w:themeColor="text1" w:themeTint="80" w:sz="4" w:space="0"/>
              <w:insideH w:val="single" w:sz="4" w:space="0"/>
            </w:tcBorders>
          </w:tcPr>
          <w:p w14:paraId="3E1BD4FC">
            <w:pPr>
              <w:jc w:val="center"/>
              <w:rPr>
                <w:b/>
                <w:bCs/>
                <w:color w:val="000000"/>
                <w:sz w:val="20"/>
                <w:szCs w:val="20"/>
                <w:lang w:eastAsia="id-ID"/>
              </w:rPr>
            </w:pPr>
          </w:p>
        </w:tc>
        <w:tc>
          <w:tcPr>
            <w:tcW w:w="803" w:type="dxa"/>
            <w:vMerge w:val="continue"/>
            <w:tcBorders>
              <w:bottom w:val="single" w:color="7E7E7E" w:themeColor="text1" w:themeTint="80" w:sz="4" w:space="0"/>
              <w:insideH w:val="single" w:sz="4" w:space="0"/>
            </w:tcBorders>
          </w:tcPr>
          <w:p w14:paraId="770C238B">
            <w:pPr>
              <w:jc w:val="center"/>
              <w:rPr>
                <w:b/>
                <w:bCs/>
                <w:color w:val="000000"/>
                <w:sz w:val="20"/>
                <w:szCs w:val="20"/>
                <w:lang w:eastAsia="id-ID"/>
              </w:rPr>
            </w:pPr>
          </w:p>
        </w:tc>
      </w:tr>
      <w:tr w14:paraId="0F70124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02F9C8F0">
            <w:pPr>
              <w:jc w:val="both"/>
              <w:rPr>
                <w:b w:val="0"/>
                <w:bCs w:val="0"/>
                <w:sz w:val="20"/>
                <w:szCs w:val="20"/>
                <w:lang w:val="en-US"/>
              </w:rPr>
            </w:pPr>
            <w:r>
              <w:rPr>
                <w:b w:val="0"/>
                <w:bCs w:val="0"/>
                <w:sz w:val="20"/>
                <w:szCs w:val="20"/>
                <w:lang w:val="en-US"/>
              </w:rPr>
              <w:t>Penurunan tarif pajak akan meningkatkan kemauan membayar pajak</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093E5597">
            <w:pPr>
              <w:jc w:val="center"/>
              <w:rPr>
                <w:color w:val="000000"/>
                <w:sz w:val="20"/>
                <w:szCs w:val="20"/>
                <w:lang w:eastAsia="id-ID"/>
              </w:rPr>
            </w:pPr>
            <w:r>
              <w:rPr>
                <w:color w:val="000000"/>
                <w:sz w:val="20"/>
                <w:szCs w:val="20"/>
                <w:lang w:eastAsia="id-ID"/>
              </w:rPr>
              <w:t>2</w:t>
            </w:r>
          </w:p>
          <w:p w14:paraId="28AE6937">
            <w:pPr>
              <w:jc w:val="center"/>
              <w:rPr>
                <w:color w:val="000000"/>
                <w:sz w:val="20"/>
                <w:szCs w:val="20"/>
                <w:lang w:eastAsia="id-ID"/>
              </w:rPr>
            </w:pPr>
            <w:r>
              <w:rPr>
                <w:color w:val="000000"/>
                <w:sz w:val="20"/>
                <w:szCs w:val="20"/>
                <w:lang w:eastAsia="id-ID"/>
              </w:rPr>
              <w:t>(2,9%)</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599336D0">
            <w:pPr>
              <w:jc w:val="center"/>
              <w:rPr>
                <w:color w:val="000000"/>
                <w:sz w:val="20"/>
                <w:szCs w:val="20"/>
                <w:lang w:eastAsia="id-ID"/>
              </w:rPr>
            </w:pPr>
            <w:r>
              <w:rPr>
                <w:color w:val="000000"/>
                <w:sz w:val="20"/>
                <w:szCs w:val="20"/>
                <w:lang w:eastAsia="id-ID"/>
              </w:rPr>
              <w:t>2</w:t>
            </w:r>
          </w:p>
          <w:p w14:paraId="44B32000">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10819874">
            <w:pPr>
              <w:jc w:val="center"/>
              <w:rPr>
                <w:color w:val="000000"/>
                <w:sz w:val="20"/>
                <w:szCs w:val="20"/>
                <w:lang w:eastAsia="id-ID"/>
              </w:rPr>
            </w:pPr>
            <w:r>
              <w:rPr>
                <w:color w:val="000000"/>
                <w:sz w:val="20"/>
                <w:szCs w:val="20"/>
                <w:lang w:eastAsia="id-ID"/>
              </w:rPr>
              <w:t>10</w:t>
            </w:r>
          </w:p>
          <w:p w14:paraId="3CCEA287">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3CEC88F">
            <w:pPr>
              <w:jc w:val="center"/>
              <w:rPr>
                <w:color w:val="000000"/>
                <w:sz w:val="20"/>
                <w:szCs w:val="20"/>
                <w:lang w:eastAsia="id-ID"/>
              </w:rPr>
            </w:pPr>
            <w:r>
              <w:rPr>
                <w:color w:val="000000"/>
                <w:sz w:val="20"/>
                <w:szCs w:val="20"/>
                <w:lang w:eastAsia="id-ID"/>
              </w:rPr>
              <w:t>45</w:t>
            </w:r>
          </w:p>
          <w:p w14:paraId="30277CAD">
            <w:pPr>
              <w:jc w:val="center"/>
              <w:rPr>
                <w:color w:val="000000"/>
                <w:sz w:val="20"/>
                <w:szCs w:val="20"/>
                <w:lang w:eastAsia="id-ID"/>
              </w:rPr>
            </w:pPr>
            <w:r>
              <w:rPr>
                <w:color w:val="000000"/>
                <w:sz w:val="20"/>
                <w:szCs w:val="20"/>
                <w:lang w:eastAsia="id-ID"/>
              </w:rPr>
              <w:t>(64,3%)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0740CFF0">
            <w:pPr>
              <w:jc w:val="center"/>
              <w:rPr>
                <w:color w:val="000000"/>
                <w:sz w:val="20"/>
                <w:szCs w:val="20"/>
                <w:lang w:eastAsia="id-ID"/>
              </w:rPr>
            </w:pPr>
            <w:r>
              <w:rPr>
                <w:color w:val="000000"/>
                <w:sz w:val="20"/>
                <w:szCs w:val="20"/>
                <w:lang w:eastAsia="id-ID"/>
              </w:rPr>
              <w:t>11</w:t>
            </w:r>
          </w:p>
          <w:p w14:paraId="395A60F6">
            <w:pPr>
              <w:jc w:val="center"/>
              <w:rPr>
                <w:color w:val="000000"/>
                <w:sz w:val="20"/>
                <w:szCs w:val="20"/>
                <w:lang w:eastAsia="id-ID"/>
              </w:rPr>
            </w:pPr>
            <w:r>
              <w:rPr>
                <w:color w:val="000000"/>
                <w:sz w:val="20"/>
                <w:szCs w:val="20"/>
                <w:lang w:eastAsia="id-ID"/>
              </w:rPr>
              <w:t>(15,7%)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04707BC9">
            <w:pPr>
              <w:jc w:val="center"/>
              <w:rPr>
                <w:color w:val="000000"/>
                <w:sz w:val="20"/>
                <w:szCs w:val="20"/>
                <w:lang w:eastAsia="id-ID"/>
              </w:rPr>
            </w:pPr>
            <w:r>
              <w:rPr>
                <w:color w:val="000000"/>
                <w:sz w:val="20"/>
                <w:szCs w:val="20"/>
                <w:lang w:eastAsia="id-ID"/>
              </w:rPr>
              <w:t>0,815</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109FBD3C">
            <w:pPr>
              <w:jc w:val="center"/>
              <w:rPr>
                <w:color w:val="000000"/>
                <w:sz w:val="20"/>
                <w:szCs w:val="20"/>
                <w:lang w:eastAsia="id-ID"/>
              </w:rPr>
            </w:pPr>
            <w:r>
              <w:rPr>
                <w:color w:val="000000"/>
                <w:sz w:val="20"/>
                <w:szCs w:val="20"/>
                <w:lang w:eastAsia="id-ID"/>
              </w:rPr>
              <w:t>3,87</w:t>
            </w:r>
          </w:p>
        </w:tc>
      </w:tr>
      <w:tr w14:paraId="47E7A1B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0" w:type="auto"/>
          </w:tcPr>
          <w:p w14:paraId="79C081EA">
            <w:pPr>
              <w:jc w:val="both"/>
              <w:rPr>
                <w:b w:val="0"/>
                <w:bCs w:val="0"/>
                <w:sz w:val="20"/>
                <w:szCs w:val="20"/>
                <w:lang w:val="en-US"/>
              </w:rPr>
            </w:pPr>
            <w:r>
              <w:rPr>
                <w:b w:val="0"/>
                <w:bCs w:val="0"/>
                <w:sz w:val="20"/>
                <w:szCs w:val="20"/>
                <w:lang w:val="en-US"/>
              </w:rPr>
              <w:t>PP No. 23 Tahun 2018 diharapkan</w:t>
            </w:r>
          </w:p>
          <w:p w14:paraId="0A1DA547">
            <w:pPr>
              <w:jc w:val="both"/>
              <w:rPr>
                <w:b w:val="0"/>
                <w:bCs w:val="0"/>
                <w:sz w:val="20"/>
                <w:szCs w:val="20"/>
                <w:lang w:val="en-US"/>
              </w:rPr>
            </w:pPr>
            <w:r>
              <w:rPr>
                <w:b w:val="0"/>
                <w:bCs w:val="0"/>
                <w:sz w:val="20"/>
                <w:szCs w:val="20"/>
                <w:lang w:val="en-US"/>
              </w:rPr>
              <w:t>menjadi pendorong bagi UMKM berperan aktif dalam kegiatan ekonomi</w:t>
            </w:r>
          </w:p>
        </w:tc>
        <w:tc>
          <w:tcPr>
            <w:tcW w:w="876" w:type="dxa"/>
            <w:vAlign w:val="center"/>
          </w:tcPr>
          <w:p w14:paraId="5AA7C200">
            <w:pPr>
              <w:jc w:val="center"/>
              <w:rPr>
                <w:color w:val="000000"/>
                <w:sz w:val="20"/>
                <w:szCs w:val="20"/>
                <w:lang w:eastAsia="id-ID"/>
              </w:rPr>
            </w:pPr>
            <w:r>
              <w:rPr>
                <w:color w:val="000000"/>
                <w:sz w:val="20"/>
                <w:szCs w:val="20"/>
                <w:lang w:eastAsia="id-ID"/>
              </w:rPr>
              <w:t>0</w:t>
            </w:r>
          </w:p>
          <w:p w14:paraId="06F3DF4A">
            <w:pPr>
              <w:jc w:val="center"/>
              <w:rPr>
                <w:color w:val="000000"/>
                <w:sz w:val="20"/>
                <w:szCs w:val="20"/>
                <w:lang w:eastAsia="id-ID"/>
              </w:rPr>
            </w:pPr>
            <w:r>
              <w:rPr>
                <w:color w:val="000000"/>
                <w:sz w:val="20"/>
                <w:szCs w:val="20"/>
                <w:lang w:eastAsia="id-ID"/>
              </w:rPr>
              <w:t>(0,0%)</w:t>
            </w:r>
          </w:p>
        </w:tc>
        <w:tc>
          <w:tcPr>
            <w:tcW w:w="876" w:type="dxa"/>
            <w:vAlign w:val="center"/>
          </w:tcPr>
          <w:p w14:paraId="48B34770">
            <w:pPr>
              <w:jc w:val="center"/>
              <w:rPr>
                <w:color w:val="000000"/>
                <w:sz w:val="20"/>
                <w:szCs w:val="20"/>
                <w:lang w:eastAsia="id-ID"/>
              </w:rPr>
            </w:pPr>
            <w:r>
              <w:rPr>
                <w:color w:val="000000"/>
                <w:sz w:val="20"/>
                <w:szCs w:val="20"/>
                <w:lang w:eastAsia="id-ID"/>
              </w:rPr>
              <w:t>4</w:t>
            </w:r>
          </w:p>
          <w:p w14:paraId="21B0AFCD">
            <w:pPr>
              <w:jc w:val="center"/>
              <w:rPr>
                <w:color w:val="000000"/>
                <w:sz w:val="20"/>
                <w:szCs w:val="20"/>
                <w:lang w:eastAsia="id-ID"/>
              </w:rPr>
            </w:pPr>
            <w:r>
              <w:rPr>
                <w:color w:val="000000"/>
                <w:sz w:val="20"/>
                <w:szCs w:val="20"/>
                <w:lang w:eastAsia="id-ID"/>
              </w:rPr>
              <w:t>(5,7%)</w:t>
            </w:r>
          </w:p>
        </w:tc>
        <w:tc>
          <w:tcPr>
            <w:tcW w:w="0" w:type="auto"/>
            <w:vAlign w:val="center"/>
          </w:tcPr>
          <w:p w14:paraId="3C8F924A">
            <w:pPr>
              <w:jc w:val="center"/>
              <w:rPr>
                <w:color w:val="000000"/>
                <w:sz w:val="20"/>
                <w:szCs w:val="20"/>
                <w:lang w:eastAsia="id-ID"/>
              </w:rPr>
            </w:pPr>
            <w:r>
              <w:rPr>
                <w:color w:val="000000"/>
                <w:sz w:val="20"/>
                <w:szCs w:val="20"/>
                <w:lang w:eastAsia="id-ID"/>
              </w:rPr>
              <w:t>7</w:t>
            </w:r>
          </w:p>
          <w:p w14:paraId="73D77A67">
            <w:pPr>
              <w:jc w:val="center"/>
              <w:rPr>
                <w:color w:val="000000"/>
                <w:sz w:val="20"/>
                <w:szCs w:val="20"/>
                <w:lang w:eastAsia="id-ID"/>
              </w:rPr>
            </w:pPr>
            <w:r>
              <w:rPr>
                <w:color w:val="000000"/>
                <w:sz w:val="20"/>
                <w:szCs w:val="20"/>
                <w:lang w:eastAsia="id-ID"/>
              </w:rPr>
              <w:t>(10,0%)</w:t>
            </w:r>
          </w:p>
        </w:tc>
        <w:tc>
          <w:tcPr>
            <w:tcW w:w="0" w:type="auto"/>
            <w:vAlign w:val="center"/>
          </w:tcPr>
          <w:p w14:paraId="79BF36EA">
            <w:pPr>
              <w:jc w:val="center"/>
              <w:rPr>
                <w:color w:val="000000"/>
                <w:sz w:val="20"/>
                <w:szCs w:val="20"/>
                <w:lang w:eastAsia="id-ID"/>
              </w:rPr>
            </w:pPr>
            <w:r>
              <w:rPr>
                <w:color w:val="000000"/>
                <w:sz w:val="20"/>
                <w:szCs w:val="20"/>
                <w:lang w:eastAsia="id-ID"/>
              </w:rPr>
              <w:t>35</w:t>
            </w:r>
          </w:p>
          <w:p w14:paraId="4CD6A321">
            <w:pPr>
              <w:jc w:val="center"/>
              <w:rPr>
                <w:color w:val="000000"/>
                <w:sz w:val="20"/>
                <w:szCs w:val="20"/>
                <w:lang w:eastAsia="id-ID"/>
              </w:rPr>
            </w:pPr>
            <w:r>
              <w:rPr>
                <w:color w:val="000000"/>
                <w:sz w:val="20"/>
                <w:szCs w:val="20"/>
                <w:lang w:eastAsia="id-ID"/>
              </w:rPr>
              <w:t>(50,0%)</w:t>
            </w:r>
          </w:p>
        </w:tc>
        <w:tc>
          <w:tcPr>
            <w:tcW w:w="0" w:type="auto"/>
            <w:vAlign w:val="center"/>
          </w:tcPr>
          <w:p w14:paraId="35735523">
            <w:pPr>
              <w:jc w:val="center"/>
              <w:rPr>
                <w:color w:val="000000"/>
                <w:sz w:val="20"/>
                <w:szCs w:val="20"/>
                <w:lang w:eastAsia="id-ID"/>
              </w:rPr>
            </w:pPr>
            <w:r>
              <w:rPr>
                <w:color w:val="000000"/>
                <w:sz w:val="20"/>
                <w:szCs w:val="20"/>
                <w:lang w:eastAsia="id-ID"/>
              </w:rPr>
              <w:t>24</w:t>
            </w:r>
          </w:p>
          <w:p w14:paraId="3D32F11B">
            <w:pPr>
              <w:jc w:val="center"/>
              <w:rPr>
                <w:color w:val="000000"/>
                <w:sz w:val="20"/>
                <w:szCs w:val="20"/>
                <w:lang w:eastAsia="id-ID"/>
              </w:rPr>
            </w:pPr>
            <w:r>
              <w:rPr>
                <w:color w:val="000000"/>
                <w:sz w:val="20"/>
                <w:szCs w:val="20"/>
                <w:lang w:eastAsia="id-ID"/>
              </w:rPr>
              <w:t>(34,3%)</w:t>
            </w:r>
          </w:p>
        </w:tc>
        <w:tc>
          <w:tcPr>
            <w:tcW w:w="0" w:type="auto"/>
            <w:vAlign w:val="center"/>
          </w:tcPr>
          <w:p w14:paraId="3D7E0031">
            <w:pPr>
              <w:jc w:val="center"/>
              <w:rPr>
                <w:color w:val="000000"/>
                <w:sz w:val="20"/>
                <w:szCs w:val="20"/>
                <w:lang w:eastAsia="id-ID"/>
              </w:rPr>
            </w:pPr>
            <w:r>
              <w:rPr>
                <w:color w:val="000000"/>
                <w:sz w:val="20"/>
                <w:szCs w:val="20"/>
                <w:lang w:eastAsia="id-ID"/>
              </w:rPr>
              <w:t>0,815</w:t>
            </w:r>
          </w:p>
        </w:tc>
        <w:tc>
          <w:tcPr>
            <w:tcW w:w="803" w:type="dxa"/>
            <w:vAlign w:val="center"/>
          </w:tcPr>
          <w:p w14:paraId="26A48376">
            <w:pPr>
              <w:jc w:val="center"/>
              <w:rPr>
                <w:color w:val="000000"/>
                <w:sz w:val="20"/>
                <w:szCs w:val="20"/>
                <w:lang w:eastAsia="id-ID"/>
              </w:rPr>
            </w:pPr>
            <w:r>
              <w:rPr>
                <w:color w:val="000000"/>
                <w:sz w:val="20"/>
                <w:szCs w:val="20"/>
                <w:lang w:eastAsia="id-ID"/>
              </w:rPr>
              <w:t>4,13</w:t>
            </w:r>
          </w:p>
        </w:tc>
      </w:tr>
      <w:tr w14:paraId="1D295FB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1B53D5B5">
            <w:pPr>
              <w:jc w:val="both"/>
              <w:rPr>
                <w:b w:val="0"/>
                <w:bCs w:val="0"/>
                <w:sz w:val="20"/>
                <w:szCs w:val="20"/>
                <w:lang w:val="en-US"/>
              </w:rPr>
            </w:pPr>
            <w:r>
              <w:rPr>
                <w:b w:val="0"/>
                <w:bCs w:val="0"/>
                <w:sz w:val="20"/>
                <w:szCs w:val="20"/>
                <w:lang w:val="en-US"/>
              </w:rPr>
              <w:t>Kebijakan PP No.23 Tahun 2018</w:t>
            </w:r>
          </w:p>
          <w:p w14:paraId="186E27A0">
            <w:pPr>
              <w:jc w:val="both"/>
              <w:rPr>
                <w:b w:val="0"/>
                <w:bCs w:val="0"/>
                <w:sz w:val="20"/>
                <w:szCs w:val="20"/>
                <w:lang w:val="en-US"/>
              </w:rPr>
            </w:pPr>
            <w:r>
              <w:rPr>
                <w:b w:val="0"/>
                <w:bCs w:val="0"/>
                <w:sz w:val="20"/>
                <w:szCs w:val="20"/>
                <w:lang w:val="en-US"/>
              </w:rPr>
              <w:t>memudahkan UMKM dalam menghitung besarnya pajak terutang</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63F61359">
            <w:pPr>
              <w:jc w:val="center"/>
              <w:rPr>
                <w:color w:val="000000"/>
                <w:sz w:val="20"/>
                <w:szCs w:val="20"/>
                <w:lang w:eastAsia="id-ID"/>
              </w:rPr>
            </w:pPr>
            <w:r>
              <w:rPr>
                <w:color w:val="000000"/>
                <w:sz w:val="20"/>
                <w:szCs w:val="20"/>
                <w:lang w:eastAsia="id-ID"/>
              </w:rPr>
              <w:t>1</w:t>
            </w:r>
          </w:p>
          <w:p w14:paraId="66D751FD">
            <w:pPr>
              <w:jc w:val="center"/>
              <w:rPr>
                <w:color w:val="000000"/>
                <w:sz w:val="20"/>
                <w:szCs w:val="20"/>
                <w:lang w:eastAsia="id-ID"/>
              </w:rPr>
            </w:pPr>
            <w:r>
              <w:rPr>
                <w:color w:val="000000"/>
                <w:sz w:val="20"/>
                <w:szCs w:val="20"/>
                <w:lang w:eastAsia="id-ID"/>
              </w:rPr>
              <w:t>(1,4%)</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340AF8B9">
            <w:pPr>
              <w:jc w:val="center"/>
              <w:rPr>
                <w:color w:val="000000"/>
                <w:sz w:val="20"/>
                <w:szCs w:val="20"/>
                <w:lang w:eastAsia="id-ID"/>
              </w:rPr>
            </w:pPr>
            <w:r>
              <w:rPr>
                <w:color w:val="000000"/>
                <w:sz w:val="20"/>
                <w:szCs w:val="20"/>
                <w:lang w:eastAsia="id-ID"/>
              </w:rPr>
              <w:t>2</w:t>
            </w:r>
          </w:p>
          <w:p w14:paraId="72246A03">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08D3AB2C">
            <w:pPr>
              <w:jc w:val="center"/>
              <w:rPr>
                <w:color w:val="000000"/>
                <w:sz w:val="20"/>
                <w:szCs w:val="20"/>
                <w:lang w:eastAsia="id-ID"/>
              </w:rPr>
            </w:pPr>
            <w:r>
              <w:rPr>
                <w:color w:val="000000"/>
                <w:sz w:val="20"/>
                <w:szCs w:val="20"/>
                <w:lang w:eastAsia="id-ID"/>
              </w:rPr>
              <w:t>9</w:t>
            </w:r>
          </w:p>
          <w:p w14:paraId="178E6E72">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A0BF819">
            <w:pPr>
              <w:jc w:val="center"/>
              <w:rPr>
                <w:color w:val="000000"/>
                <w:sz w:val="20"/>
                <w:szCs w:val="20"/>
                <w:lang w:eastAsia="id-ID"/>
              </w:rPr>
            </w:pPr>
            <w:r>
              <w:rPr>
                <w:color w:val="000000"/>
                <w:sz w:val="20"/>
                <w:szCs w:val="20"/>
                <w:lang w:eastAsia="id-ID"/>
              </w:rPr>
              <w:t>32</w:t>
            </w:r>
          </w:p>
          <w:p w14:paraId="386D6A15">
            <w:pPr>
              <w:jc w:val="center"/>
              <w:rPr>
                <w:color w:val="000000"/>
                <w:sz w:val="20"/>
                <w:szCs w:val="20"/>
                <w:lang w:eastAsia="id-ID"/>
              </w:rPr>
            </w:pPr>
            <w:r>
              <w:rPr>
                <w:color w:val="000000"/>
                <w:sz w:val="20"/>
                <w:szCs w:val="20"/>
                <w:lang w:eastAsia="id-ID"/>
              </w:rPr>
              <w:t>(45,7%)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0EE9FDB">
            <w:pPr>
              <w:jc w:val="center"/>
              <w:rPr>
                <w:color w:val="000000"/>
                <w:sz w:val="20"/>
                <w:szCs w:val="20"/>
                <w:lang w:eastAsia="id-ID"/>
              </w:rPr>
            </w:pPr>
            <w:r>
              <w:rPr>
                <w:color w:val="000000"/>
                <w:sz w:val="20"/>
                <w:szCs w:val="20"/>
                <w:lang w:eastAsia="id-ID"/>
              </w:rPr>
              <w:t>26</w:t>
            </w:r>
          </w:p>
          <w:p w14:paraId="26DEE3EB">
            <w:pPr>
              <w:jc w:val="center"/>
              <w:rPr>
                <w:color w:val="000000"/>
                <w:sz w:val="20"/>
                <w:szCs w:val="20"/>
                <w:lang w:eastAsia="id-ID"/>
              </w:rPr>
            </w:pPr>
            <w:r>
              <w:rPr>
                <w:color w:val="000000"/>
                <w:sz w:val="20"/>
                <w:szCs w:val="20"/>
                <w:lang w:eastAsia="id-ID"/>
              </w:rPr>
              <w:t>(37,1%)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1B6A6169">
            <w:pPr>
              <w:jc w:val="center"/>
              <w:rPr>
                <w:color w:val="000000"/>
                <w:sz w:val="20"/>
                <w:szCs w:val="20"/>
                <w:lang w:eastAsia="id-ID"/>
              </w:rPr>
            </w:pPr>
            <w:r>
              <w:rPr>
                <w:color w:val="000000"/>
                <w:sz w:val="20"/>
                <w:szCs w:val="20"/>
                <w:lang w:eastAsia="id-ID"/>
              </w:rPr>
              <w:t>0,856</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7C0609DB">
            <w:pPr>
              <w:jc w:val="center"/>
              <w:rPr>
                <w:color w:val="000000"/>
                <w:sz w:val="20"/>
                <w:szCs w:val="20"/>
                <w:lang w:eastAsia="id-ID"/>
              </w:rPr>
            </w:pPr>
            <w:r>
              <w:rPr>
                <w:color w:val="000000"/>
                <w:sz w:val="20"/>
                <w:szCs w:val="20"/>
                <w:lang w:eastAsia="id-ID"/>
              </w:rPr>
              <w:t>4,14</w:t>
            </w:r>
          </w:p>
        </w:tc>
      </w:tr>
      <w:tr w14:paraId="0ADD50B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6148A03C">
            <w:pPr>
              <w:jc w:val="both"/>
              <w:rPr>
                <w:b w:val="0"/>
                <w:bCs w:val="0"/>
                <w:sz w:val="20"/>
                <w:szCs w:val="20"/>
                <w:lang w:val="en-US"/>
              </w:rPr>
            </w:pPr>
            <w:r>
              <w:rPr>
                <w:b w:val="0"/>
                <w:bCs w:val="0"/>
                <w:sz w:val="20"/>
                <w:szCs w:val="20"/>
                <w:lang w:val="en-US"/>
              </w:rPr>
              <w:t>Tarif Pajak 0,5% atas UMKM lebih</w:t>
            </w:r>
          </w:p>
          <w:p w14:paraId="4BE37D88">
            <w:pPr>
              <w:jc w:val="both"/>
              <w:rPr>
                <w:b w:val="0"/>
                <w:bCs w:val="0"/>
                <w:sz w:val="20"/>
                <w:szCs w:val="20"/>
                <w:lang w:val="en-US"/>
              </w:rPr>
            </w:pPr>
            <w:r>
              <w:rPr>
                <w:b w:val="0"/>
                <w:bCs w:val="0"/>
                <w:sz w:val="20"/>
                <w:szCs w:val="20"/>
                <w:lang w:val="en-US"/>
              </w:rPr>
              <w:t>sederhana secara administrasinya.</w:t>
            </w:r>
          </w:p>
        </w:tc>
        <w:tc>
          <w:tcPr>
            <w:tcW w:w="876" w:type="dxa"/>
            <w:vAlign w:val="center"/>
          </w:tcPr>
          <w:p w14:paraId="298979F6">
            <w:pPr>
              <w:jc w:val="center"/>
              <w:rPr>
                <w:color w:val="000000"/>
                <w:sz w:val="20"/>
                <w:szCs w:val="20"/>
                <w:lang w:eastAsia="id-ID"/>
              </w:rPr>
            </w:pPr>
            <w:r>
              <w:rPr>
                <w:color w:val="000000"/>
                <w:sz w:val="20"/>
                <w:szCs w:val="20"/>
                <w:lang w:eastAsia="id-ID"/>
              </w:rPr>
              <w:t>1</w:t>
            </w:r>
          </w:p>
          <w:p w14:paraId="3BD4DC85">
            <w:pPr>
              <w:jc w:val="center"/>
              <w:rPr>
                <w:color w:val="000000"/>
                <w:sz w:val="20"/>
                <w:szCs w:val="20"/>
                <w:lang w:eastAsia="id-ID"/>
              </w:rPr>
            </w:pPr>
            <w:r>
              <w:rPr>
                <w:color w:val="000000"/>
                <w:sz w:val="20"/>
                <w:szCs w:val="20"/>
                <w:lang w:eastAsia="id-ID"/>
              </w:rPr>
              <w:t>(1,4%)</w:t>
            </w:r>
          </w:p>
        </w:tc>
        <w:tc>
          <w:tcPr>
            <w:tcW w:w="876" w:type="dxa"/>
            <w:vAlign w:val="center"/>
          </w:tcPr>
          <w:p w14:paraId="4BF4384B">
            <w:pPr>
              <w:jc w:val="center"/>
              <w:rPr>
                <w:color w:val="000000"/>
                <w:sz w:val="20"/>
                <w:szCs w:val="20"/>
                <w:lang w:eastAsia="id-ID"/>
              </w:rPr>
            </w:pPr>
            <w:r>
              <w:rPr>
                <w:color w:val="000000"/>
                <w:sz w:val="20"/>
                <w:szCs w:val="20"/>
                <w:lang w:eastAsia="id-ID"/>
              </w:rPr>
              <w:t>4</w:t>
            </w:r>
          </w:p>
          <w:p w14:paraId="7EE23E2F">
            <w:pPr>
              <w:jc w:val="center"/>
              <w:rPr>
                <w:color w:val="000000"/>
                <w:sz w:val="20"/>
                <w:szCs w:val="20"/>
                <w:lang w:eastAsia="id-ID"/>
              </w:rPr>
            </w:pPr>
            <w:r>
              <w:rPr>
                <w:color w:val="000000"/>
                <w:sz w:val="20"/>
                <w:szCs w:val="20"/>
                <w:lang w:eastAsia="id-ID"/>
              </w:rPr>
              <w:t>(5,7%)</w:t>
            </w:r>
          </w:p>
        </w:tc>
        <w:tc>
          <w:tcPr>
            <w:tcW w:w="0" w:type="auto"/>
            <w:vAlign w:val="center"/>
          </w:tcPr>
          <w:p w14:paraId="5277234C">
            <w:pPr>
              <w:jc w:val="center"/>
              <w:rPr>
                <w:color w:val="000000"/>
                <w:sz w:val="20"/>
                <w:szCs w:val="20"/>
                <w:lang w:eastAsia="id-ID"/>
              </w:rPr>
            </w:pPr>
            <w:r>
              <w:rPr>
                <w:color w:val="000000"/>
                <w:sz w:val="20"/>
                <w:szCs w:val="20"/>
                <w:lang w:eastAsia="id-ID"/>
              </w:rPr>
              <w:t>23</w:t>
            </w:r>
          </w:p>
          <w:p w14:paraId="3E670554">
            <w:pPr>
              <w:jc w:val="center"/>
              <w:rPr>
                <w:color w:val="000000"/>
                <w:sz w:val="20"/>
                <w:szCs w:val="20"/>
                <w:lang w:eastAsia="id-ID"/>
              </w:rPr>
            </w:pPr>
            <w:r>
              <w:rPr>
                <w:color w:val="000000"/>
                <w:sz w:val="20"/>
                <w:szCs w:val="20"/>
                <w:lang w:eastAsia="id-ID"/>
              </w:rPr>
              <w:t>(32,9%)</w:t>
            </w:r>
          </w:p>
        </w:tc>
        <w:tc>
          <w:tcPr>
            <w:tcW w:w="0" w:type="auto"/>
            <w:vAlign w:val="center"/>
          </w:tcPr>
          <w:p w14:paraId="3E2D1D70">
            <w:pPr>
              <w:jc w:val="center"/>
              <w:rPr>
                <w:color w:val="000000"/>
                <w:sz w:val="20"/>
                <w:szCs w:val="20"/>
                <w:lang w:eastAsia="id-ID"/>
              </w:rPr>
            </w:pPr>
            <w:r>
              <w:rPr>
                <w:color w:val="000000"/>
                <w:sz w:val="20"/>
                <w:szCs w:val="20"/>
                <w:lang w:eastAsia="id-ID"/>
              </w:rPr>
              <w:t>27</w:t>
            </w:r>
          </w:p>
          <w:p w14:paraId="58776122">
            <w:pPr>
              <w:jc w:val="center"/>
              <w:rPr>
                <w:color w:val="000000"/>
                <w:sz w:val="20"/>
                <w:szCs w:val="20"/>
                <w:lang w:eastAsia="id-ID"/>
              </w:rPr>
            </w:pPr>
            <w:r>
              <w:rPr>
                <w:color w:val="000000"/>
                <w:sz w:val="20"/>
                <w:szCs w:val="20"/>
                <w:lang w:eastAsia="id-ID"/>
              </w:rPr>
              <w:t>(38,6%)</w:t>
            </w:r>
          </w:p>
        </w:tc>
        <w:tc>
          <w:tcPr>
            <w:tcW w:w="0" w:type="auto"/>
            <w:vAlign w:val="center"/>
          </w:tcPr>
          <w:p w14:paraId="701B329F">
            <w:pPr>
              <w:jc w:val="center"/>
              <w:rPr>
                <w:color w:val="000000"/>
                <w:sz w:val="20"/>
                <w:szCs w:val="20"/>
                <w:lang w:eastAsia="id-ID"/>
              </w:rPr>
            </w:pPr>
            <w:r>
              <w:rPr>
                <w:color w:val="000000"/>
                <w:sz w:val="20"/>
                <w:szCs w:val="20"/>
                <w:lang w:eastAsia="id-ID"/>
              </w:rPr>
              <w:t>15</w:t>
            </w:r>
          </w:p>
          <w:p w14:paraId="47B07C27">
            <w:pPr>
              <w:jc w:val="center"/>
              <w:rPr>
                <w:color w:val="000000"/>
                <w:sz w:val="20"/>
                <w:szCs w:val="20"/>
                <w:lang w:eastAsia="id-ID"/>
              </w:rPr>
            </w:pPr>
            <w:r>
              <w:rPr>
                <w:color w:val="000000"/>
                <w:sz w:val="20"/>
                <w:szCs w:val="20"/>
                <w:lang w:eastAsia="id-ID"/>
              </w:rPr>
              <w:t>(21,4%)</w:t>
            </w:r>
          </w:p>
        </w:tc>
        <w:tc>
          <w:tcPr>
            <w:tcW w:w="0" w:type="auto"/>
            <w:vAlign w:val="center"/>
          </w:tcPr>
          <w:p w14:paraId="0FA75738">
            <w:pPr>
              <w:jc w:val="center"/>
              <w:rPr>
                <w:color w:val="000000"/>
                <w:sz w:val="20"/>
                <w:szCs w:val="20"/>
                <w:lang w:eastAsia="id-ID"/>
              </w:rPr>
            </w:pPr>
            <w:r>
              <w:rPr>
                <w:color w:val="000000"/>
                <w:sz w:val="20"/>
                <w:szCs w:val="20"/>
                <w:lang w:eastAsia="id-ID"/>
              </w:rPr>
              <w:t>0,916</w:t>
            </w:r>
          </w:p>
        </w:tc>
        <w:tc>
          <w:tcPr>
            <w:tcW w:w="803" w:type="dxa"/>
            <w:vAlign w:val="center"/>
          </w:tcPr>
          <w:p w14:paraId="27DA8A50">
            <w:pPr>
              <w:jc w:val="center"/>
              <w:rPr>
                <w:color w:val="000000"/>
                <w:sz w:val="20"/>
                <w:szCs w:val="20"/>
                <w:lang w:eastAsia="id-ID"/>
              </w:rPr>
            </w:pPr>
            <w:r>
              <w:rPr>
                <w:color w:val="000000"/>
                <w:sz w:val="20"/>
                <w:szCs w:val="20"/>
                <w:lang w:eastAsia="id-ID"/>
              </w:rPr>
              <w:t>3,73</w:t>
            </w:r>
          </w:p>
        </w:tc>
      </w:tr>
      <w:tr w14:paraId="3976BF3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0089CF4C">
            <w:pPr>
              <w:jc w:val="both"/>
              <w:rPr>
                <w:b w:val="0"/>
                <w:bCs w:val="0"/>
                <w:sz w:val="20"/>
                <w:szCs w:val="20"/>
                <w:lang w:val="en-US"/>
              </w:rPr>
            </w:pPr>
            <w:r>
              <w:rPr>
                <w:b w:val="0"/>
                <w:bCs w:val="0"/>
                <w:sz w:val="20"/>
                <w:szCs w:val="20"/>
                <w:lang w:val="en-US"/>
              </w:rPr>
              <w:t>Wajib Pajak Tidak Ditentukan Oleh Besarnya Tarif Pajak</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164DC784">
            <w:pPr>
              <w:jc w:val="center"/>
              <w:rPr>
                <w:color w:val="000000"/>
                <w:sz w:val="20"/>
                <w:szCs w:val="20"/>
                <w:lang w:eastAsia="id-ID"/>
              </w:rPr>
            </w:pPr>
            <w:r>
              <w:rPr>
                <w:color w:val="000000"/>
                <w:sz w:val="20"/>
                <w:szCs w:val="20"/>
                <w:lang w:eastAsia="id-ID"/>
              </w:rPr>
              <w:t>1</w:t>
            </w:r>
          </w:p>
          <w:p w14:paraId="1D48B6CE">
            <w:pPr>
              <w:jc w:val="center"/>
              <w:rPr>
                <w:color w:val="000000"/>
                <w:sz w:val="20"/>
                <w:szCs w:val="20"/>
                <w:lang w:eastAsia="id-ID"/>
              </w:rPr>
            </w:pPr>
            <w:r>
              <w:rPr>
                <w:color w:val="000000"/>
                <w:sz w:val="20"/>
                <w:szCs w:val="20"/>
                <w:lang w:eastAsia="id-ID"/>
              </w:rPr>
              <w:t>(1,4%)</w:t>
            </w:r>
          </w:p>
        </w:tc>
        <w:tc>
          <w:tcPr>
            <w:tcW w:w="876" w:type="dxa"/>
            <w:tcBorders>
              <w:top w:val="single" w:color="7E7E7E" w:themeColor="text1" w:themeTint="80" w:sz="4" w:space="0"/>
              <w:bottom w:val="single" w:color="7E7E7E" w:themeColor="text1" w:themeTint="80" w:sz="4" w:space="0"/>
              <w:insideH w:val="single" w:sz="4" w:space="0"/>
            </w:tcBorders>
            <w:vAlign w:val="center"/>
          </w:tcPr>
          <w:p w14:paraId="064C7E92">
            <w:pPr>
              <w:jc w:val="center"/>
              <w:rPr>
                <w:color w:val="000000"/>
                <w:sz w:val="20"/>
                <w:szCs w:val="20"/>
                <w:lang w:eastAsia="id-ID"/>
              </w:rPr>
            </w:pPr>
            <w:r>
              <w:rPr>
                <w:color w:val="000000"/>
                <w:sz w:val="20"/>
                <w:szCs w:val="20"/>
                <w:lang w:eastAsia="id-ID"/>
              </w:rPr>
              <w:t>4</w:t>
            </w:r>
          </w:p>
          <w:p w14:paraId="054CA880">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48A707F">
            <w:pPr>
              <w:jc w:val="center"/>
              <w:rPr>
                <w:color w:val="000000"/>
                <w:sz w:val="20"/>
                <w:szCs w:val="20"/>
                <w:lang w:eastAsia="id-ID"/>
              </w:rPr>
            </w:pPr>
            <w:r>
              <w:rPr>
                <w:color w:val="000000"/>
                <w:sz w:val="20"/>
                <w:szCs w:val="20"/>
                <w:lang w:eastAsia="id-ID"/>
              </w:rPr>
              <w:t>10</w:t>
            </w:r>
          </w:p>
          <w:p w14:paraId="3493D81B">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123D8DD">
            <w:pPr>
              <w:jc w:val="center"/>
              <w:rPr>
                <w:color w:val="000000"/>
                <w:sz w:val="20"/>
                <w:szCs w:val="20"/>
                <w:lang w:eastAsia="id-ID"/>
              </w:rPr>
            </w:pPr>
            <w:r>
              <w:rPr>
                <w:color w:val="000000"/>
                <w:sz w:val="20"/>
                <w:szCs w:val="20"/>
                <w:lang w:eastAsia="id-ID"/>
              </w:rPr>
              <w:t>36</w:t>
            </w:r>
          </w:p>
          <w:p w14:paraId="2BA60FE9">
            <w:pPr>
              <w:jc w:val="center"/>
              <w:rPr>
                <w:color w:val="000000"/>
                <w:sz w:val="20"/>
                <w:szCs w:val="20"/>
                <w:lang w:eastAsia="id-ID"/>
              </w:rPr>
            </w:pPr>
            <w:r>
              <w:rPr>
                <w:color w:val="000000"/>
                <w:sz w:val="20"/>
                <w:szCs w:val="20"/>
                <w:lang w:eastAsia="id-ID"/>
              </w:rPr>
              <w:t>(51,4%)</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B55917A">
            <w:pPr>
              <w:jc w:val="center"/>
              <w:rPr>
                <w:color w:val="000000"/>
                <w:sz w:val="20"/>
                <w:szCs w:val="20"/>
                <w:lang w:eastAsia="id-ID"/>
              </w:rPr>
            </w:pPr>
            <w:r>
              <w:rPr>
                <w:color w:val="000000"/>
                <w:sz w:val="20"/>
                <w:szCs w:val="20"/>
                <w:lang w:eastAsia="id-ID"/>
              </w:rPr>
              <w:t>19</w:t>
            </w:r>
          </w:p>
          <w:p w14:paraId="789986C3">
            <w:pPr>
              <w:jc w:val="center"/>
              <w:rPr>
                <w:color w:val="000000"/>
                <w:sz w:val="20"/>
                <w:szCs w:val="20"/>
                <w:lang w:eastAsia="id-ID"/>
              </w:rPr>
            </w:pPr>
            <w:r>
              <w:rPr>
                <w:color w:val="000000"/>
                <w:sz w:val="20"/>
                <w:szCs w:val="20"/>
                <w:lang w:eastAsia="id-ID"/>
              </w:rPr>
              <w:t>(27,1%)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E67F37E">
            <w:pPr>
              <w:jc w:val="center"/>
              <w:rPr>
                <w:color w:val="000000"/>
                <w:sz w:val="20"/>
                <w:szCs w:val="20"/>
                <w:lang w:eastAsia="id-ID"/>
              </w:rPr>
            </w:pPr>
            <w:r>
              <w:rPr>
                <w:color w:val="000000"/>
                <w:sz w:val="20"/>
                <w:szCs w:val="20"/>
                <w:lang w:eastAsia="id-ID"/>
              </w:rPr>
              <w:t>0,884</w:t>
            </w:r>
          </w:p>
        </w:tc>
        <w:tc>
          <w:tcPr>
            <w:tcW w:w="803" w:type="dxa"/>
            <w:tcBorders>
              <w:top w:val="single" w:color="7E7E7E" w:themeColor="text1" w:themeTint="80" w:sz="4" w:space="0"/>
              <w:bottom w:val="single" w:color="7E7E7E" w:themeColor="text1" w:themeTint="80" w:sz="4" w:space="0"/>
              <w:insideH w:val="single" w:sz="4" w:space="0"/>
            </w:tcBorders>
            <w:vAlign w:val="center"/>
          </w:tcPr>
          <w:p w14:paraId="7B38B5D0">
            <w:pPr>
              <w:jc w:val="center"/>
              <w:rPr>
                <w:color w:val="000000"/>
                <w:sz w:val="20"/>
                <w:szCs w:val="20"/>
                <w:lang w:eastAsia="id-ID"/>
              </w:rPr>
            </w:pPr>
            <w:r>
              <w:rPr>
                <w:color w:val="000000"/>
                <w:sz w:val="20"/>
                <w:szCs w:val="20"/>
                <w:lang w:eastAsia="id-ID"/>
              </w:rPr>
              <w:t>3,97</w:t>
            </w:r>
          </w:p>
        </w:tc>
      </w:tr>
      <w:tr w14:paraId="7A1D6A7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218E5067">
            <w:pPr>
              <w:jc w:val="both"/>
              <w:rPr>
                <w:b w:val="0"/>
                <w:bCs w:val="0"/>
                <w:sz w:val="20"/>
                <w:szCs w:val="20"/>
                <w:lang w:val="en-US"/>
              </w:rPr>
            </w:pPr>
            <w:r>
              <w:rPr>
                <w:b w:val="0"/>
                <w:bCs w:val="0"/>
                <w:sz w:val="20"/>
                <w:szCs w:val="20"/>
                <w:lang w:val="en-US"/>
              </w:rPr>
              <w:t>Ketidakpahaman atas peraturan pajak</w:t>
            </w:r>
          </w:p>
          <w:p w14:paraId="06F92001">
            <w:pPr>
              <w:jc w:val="both"/>
              <w:rPr>
                <w:b w:val="0"/>
                <w:bCs w:val="0"/>
                <w:sz w:val="20"/>
                <w:szCs w:val="20"/>
                <w:lang w:val="en-US"/>
              </w:rPr>
            </w:pPr>
            <w:r>
              <w:rPr>
                <w:b w:val="0"/>
                <w:bCs w:val="0"/>
                <w:sz w:val="20"/>
                <w:szCs w:val="20"/>
                <w:lang w:val="en-US"/>
              </w:rPr>
              <w:t>menyebabkan kurangnya pemahaman</w:t>
            </w:r>
          </w:p>
          <w:p w14:paraId="2681FEB6">
            <w:pPr>
              <w:jc w:val="both"/>
              <w:rPr>
                <w:b w:val="0"/>
                <w:bCs w:val="0"/>
                <w:sz w:val="20"/>
                <w:szCs w:val="20"/>
                <w:lang w:val="en-US"/>
              </w:rPr>
            </w:pPr>
            <w:r>
              <w:rPr>
                <w:b w:val="0"/>
                <w:bCs w:val="0"/>
                <w:sz w:val="20"/>
                <w:szCs w:val="20"/>
                <w:lang w:val="en-US"/>
              </w:rPr>
              <w:t>tarif pajak.</w:t>
            </w:r>
          </w:p>
        </w:tc>
        <w:tc>
          <w:tcPr>
            <w:tcW w:w="876" w:type="dxa"/>
            <w:vAlign w:val="center"/>
          </w:tcPr>
          <w:p w14:paraId="2C56C626">
            <w:pPr>
              <w:jc w:val="center"/>
              <w:rPr>
                <w:color w:val="000000"/>
                <w:sz w:val="20"/>
                <w:szCs w:val="20"/>
                <w:lang w:eastAsia="id-ID"/>
              </w:rPr>
            </w:pPr>
            <w:r>
              <w:rPr>
                <w:color w:val="000000"/>
                <w:sz w:val="20"/>
                <w:szCs w:val="20"/>
                <w:lang w:eastAsia="id-ID"/>
              </w:rPr>
              <w:t>1</w:t>
            </w:r>
          </w:p>
          <w:p w14:paraId="64F2F4F0">
            <w:pPr>
              <w:jc w:val="center"/>
              <w:rPr>
                <w:color w:val="000000"/>
                <w:sz w:val="20"/>
                <w:szCs w:val="20"/>
                <w:lang w:eastAsia="id-ID"/>
              </w:rPr>
            </w:pPr>
            <w:r>
              <w:rPr>
                <w:color w:val="000000"/>
                <w:sz w:val="20"/>
                <w:szCs w:val="20"/>
                <w:lang w:eastAsia="id-ID"/>
              </w:rPr>
              <w:t>(1,4%)</w:t>
            </w:r>
          </w:p>
        </w:tc>
        <w:tc>
          <w:tcPr>
            <w:tcW w:w="876" w:type="dxa"/>
            <w:vAlign w:val="center"/>
          </w:tcPr>
          <w:p w14:paraId="3474EFD5">
            <w:pPr>
              <w:jc w:val="center"/>
              <w:rPr>
                <w:color w:val="000000"/>
                <w:sz w:val="20"/>
                <w:szCs w:val="20"/>
                <w:lang w:eastAsia="id-ID"/>
              </w:rPr>
            </w:pPr>
            <w:r>
              <w:rPr>
                <w:color w:val="000000"/>
                <w:sz w:val="20"/>
                <w:szCs w:val="20"/>
                <w:lang w:eastAsia="id-ID"/>
              </w:rPr>
              <w:t>4</w:t>
            </w:r>
          </w:p>
          <w:p w14:paraId="6060E43D">
            <w:pPr>
              <w:jc w:val="center"/>
              <w:rPr>
                <w:color w:val="000000"/>
                <w:sz w:val="20"/>
                <w:szCs w:val="20"/>
                <w:lang w:eastAsia="id-ID"/>
              </w:rPr>
            </w:pPr>
            <w:r>
              <w:rPr>
                <w:color w:val="000000"/>
                <w:sz w:val="20"/>
                <w:szCs w:val="20"/>
                <w:lang w:eastAsia="id-ID"/>
              </w:rPr>
              <w:t>(5,7%)</w:t>
            </w:r>
          </w:p>
        </w:tc>
        <w:tc>
          <w:tcPr>
            <w:tcW w:w="0" w:type="auto"/>
            <w:vAlign w:val="center"/>
          </w:tcPr>
          <w:p w14:paraId="3C0F6D14">
            <w:pPr>
              <w:jc w:val="center"/>
              <w:rPr>
                <w:color w:val="000000"/>
                <w:sz w:val="20"/>
                <w:szCs w:val="20"/>
                <w:lang w:eastAsia="id-ID"/>
              </w:rPr>
            </w:pPr>
            <w:r>
              <w:rPr>
                <w:color w:val="000000"/>
                <w:sz w:val="20"/>
                <w:szCs w:val="20"/>
                <w:lang w:eastAsia="id-ID"/>
              </w:rPr>
              <w:t>9</w:t>
            </w:r>
          </w:p>
          <w:p w14:paraId="595C8194">
            <w:pPr>
              <w:jc w:val="center"/>
              <w:rPr>
                <w:color w:val="000000"/>
                <w:sz w:val="20"/>
                <w:szCs w:val="20"/>
                <w:lang w:eastAsia="id-ID"/>
              </w:rPr>
            </w:pPr>
            <w:r>
              <w:rPr>
                <w:color w:val="000000"/>
                <w:sz w:val="20"/>
                <w:szCs w:val="20"/>
                <w:lang w:eastAsia="id-ID"/>
              </w:rPr>
              <w:t>(12,9%)</w:t>
            </w:r>
          </w:p>
        </w:tc>
        <w:tc>
          <w:tcPr>
            <w:tcW w:w="0" w:type="auto"/>
            <w:vAlign w:val="center"/>
          </w:tcPr>
          <w:p w14:paraId="5B8DD1AB">
            <w:pPr>
              <w:jc w:val="center"/>
              <w:rPr>
                <w:color w:val="000000"/>
                <w:sz w:val="20"/>
                <w:szCs w:val="20"/>
                <w:lang w:eastAsia="id-ID"/>
              </w:rPr>
            </w:pPr>
            <w:r>
              <w:rPr>
                <w:color w:val="000000"/>
                <w:sz w:val="20"/>
                <w:szCs w:val="20"/>
                <w:lang w:eastAsia="id-ID"/>
              </w:rPr>
              <w:t>37</w:t>
            </w:r>
          </w:p>
          <w:p w14:paraId="65616C03">
            <w:pPr>
              <w:jc w:val="center"/>
              <w:rPr>
                <w:color w:val="000000"/>
                <w:sz w:val="20"/>
                <w:szCs w:val="20"/>
                <w:lang w:eastAsia="id-ID"/>
              </w:rPr>
            </w:pPr>
            <w:r>
              <w:rPr>
                <w:color w:val="000000"/>
                <w:sz w:val="20"/>
                <w:szCs w:val="20"/>
                <w:lang w:eastAsia="id-ID"/>
              </w:rPr>
              <w:t>(52,9%)</w:t>
            </w:r>
          </w:p>
        </w:tc>
        <w:tc>
          <w:tcPr>
            <w:tcW w:w="0" w:type="auto"/>
            <w:vAlign w:val="center"/>
          </w:tcPr>
          <w:p w14:paraId="2D4B604F">
            <w:pPr>
              <w:jc w:val="center"/>
              <w:rPr>
                <w:color w:val="000000"/>
                <w:sz w:val="20"/>
                <w:szCs w:val="20"/>
                <w:lang w:eastAsia="id-ID"/>
              </w:rPr>
            </w:pPr>
            <w:r>
              <w:rPr>
                <w:color w:val="000000"/>
                <w:sz w:val="20"/>
                <w:szCs w:val="20"/>
                <w:lang w:eastAsia="id-ID"/>
              </w:rPr>
              <w:t>19</w:t>
            </w:r>
          </w:p>
          <w:p w14:paraId="2B6A4004">
            <w:pPr>
              <w:jc w:val="center"/>
              <w:rPr>
                <w:color w:val="000000"/>
                <w:sz w:val="20"/>
                <w:szCs w:val="20"/>
                <w:lang w:eastAsia="id-ID"/>
              </w:rPr>
            </w:pPr>
            <w:r>
              <w:rPr>
                <w:color w:val="000000"/>
                <w:sz w:val="20"/>
                <w:szCs w:val="20"/>
                <w:lang w:eastAsia="id-ID"/>
              </w:rPr>
              <w:t>(27,1%)</w:t>
            </w:r>
          </w:p>
        </w:tc>
        <w:tc>
          <w:tcPr>
            <w:tcW w:w="0" w:type="auto"/>
            <w:vAlign w:val="center"/>
          </w:tcPr>
          <w:p w14:paraId="1E0DA19F">
            <w:pPr>
              <w:jc w:val="center"/>
              <w:rPr>
                <w:color w:val="000000"/>
                <w:sz w:val="20"/>
                <w:szCs w:val="20"/>
                <w:lang w:eastAsia="id-ID"/>
              </w:rPr>
            </w:pPr>
            <w:r>
              <w:rPr>
                <w:color w:val="000000"/>
                <w:sz w:val="20"/>
                <w:szCs w:val="20"/>
                <w:lang w:eastAsia="id-ID"/>
              </w:rPr>
              <w:t>0,876</w:t>
            </w:r>
          </w:p>
        </w:tc>
        <w:tc>
          <w:tcPr>
            <w:tcW w:w="803" w:type="dxa"/>
            <w:vAlign w:val="center"/>
          </w:tcPr>
          <w:p w14:paraId="18D34DE2">
            <w:pPr>
              <w:jc w:val="center"/>
              <w:rPr>
                <w:color w:val="000000"/>
                <w:sz w:val="20"/>
                <w:szCs w:val="20"/>
                <w:lang w:eastAsia="id-ID"/>
              </w:rPr>
            </w:pPr>
            <w:r>
              <w:rPr>
                <w:color w:val="000000"/>
                <w:sz w:val="20"/>
                <w:szCs w:val="20"/>
                <w:lang w:eastAsia="id-ID"/>
              </w:rPr>
              <w:t>3,99</w:t>
            </w:r>
          </w:p>
        </w:tc>
      </w:tr>
    </w:tbl>
    <w:p w14:paraId="229C7922">
      <w:pPr>
        <w:spacing w:line="480" w:lineRule="auto"/>
        <w:ind w:firstLine="720"/>
        <w:jc w:val="both"/>
      </w:pPr>
      <w:r>
        <w:t>Berikut adalah penjelasan hasil jawaban responden variabel Penurunan Tarif Pajak PP No. 23 Tahun 2018:</w:t>
      </w:r>
    </w:p>
    <w:p w14:paraId="4075A53C">
      <w:pPr>
        <w:numPr>
          <w:ilvl w:val="0"/>
          <w:numId w:val="7"/>
        </w:numPr>
        <w:spacing w:line="480" w:lineRule="auto"/>
        <w:jc w:val="both"/>
      </w:pPr>
      <w:r>
        <w:t>Pernyataan: Penurunan tarif pajak akan meningkatkan kemauan membayar pajak</w:t>
      </w:r>
      <w:r>
        <w:br w:type="textWrapping"/>
      </w:r>
      <w:r>
        <w:t>sebanyak 64,3% responden setuju dan 15,7% sangat setuju bahwa penurunan tarif pajak mampu mendorong keinginan untuk membayar pajak. Nilai rata-rata (mean) sebesar 3,87 menunjukkan bahwa sebagian besar pelaku UMKM setuju bahwa insentif berupa tarif pajak yang lebih rendah dapat meningkatkan kepatuhan pajak.</w:t>
      </w:r>
    </w:p>
    <w:p w14:paraId="0E0A94B0">
      <w:pPr>
        <w:numPr>
          <w:ilvl w:val="0"/>
          <w:numId w:val="7"/>
        </w:numPr>
        <w:spacing w:line="480" w:lineRule="auto"/>
        <w:jc w:val="both"/>
      </w:pPr>
      <w:r>
        <w:t>Pernyataan: PP No. 23 Tahun 2018 diharapkan menjadi pendorong bagi UMKM berperan aktif dalam kegiatan ekonomi. Mayoritas responden menyatakan setuju (50,0%) dan sangat setuju (34,3%) bahwa kebijakan PP No. 23 Tahun 2018 dapat mendorong keterlibatan aktif UMKM dalam perekonomian. Hal ini ditunjukkan dengan nilai mean yang tinggi, yaitu 4,13.</w:t>
      </w:r>
    </w:p>
    <w:p w14:paraId="76BB41F3">
      <w:pPr>
        <w:numPr>
          <w:ilvl w:val="0"/>
          <w:numId w:val="7"/>
        </w:numPr>
        <w:spacing w:line="480" w:lineRule="auto"/>
        <w:jc w:val="both"/>
      </w:pPr>
      <w:r>
        <w:t>Pernyataan: Kebijakan PP No. 23 Tahun 2018 memudahkan UMKM dalam menghitung besarnya pajak terutang. Tingkat persepsi kemudahan dalam menghitung pajak sangat tinggi, dengan 45,7% responden setuju dan 37,1% sangat setuju. Mean sebesar 4,14 menunjukkan bahwa kebijakan ini dinilai sangat membantu dari sisi administrasi perpajakan oleh pelaku UMKM.</w:t>
      </w:r>
    </w:p>
    <w:p w14:paraId="6CD140E7">
      <w:pPr>
        <w:numPr>
          <w:ilvl w:val="0"/>
          <w:numId w:val="7"/>
        </w:numPr>
        <w:spacing w:line="480" w:lineRule="auto"/>
        <w:jc w:val="both"/>
      </w:pPr>
      <w:r>
        <w:t>Pernyataan: Tarif Pajak 0,5% atas UMKM lebih sederhana secara administrasinya</w:t>
      </w:r>
      <w:r>
        <w:br w:type="textWrapping"/>
      </w:r>
      <w:r>
        <w:t>sebanyak 38,6% setuju dan 21,4% sangat setuju bahwa tarif 0,5% dinilai sederhana dari sisi administrasi, meskipun 32,9% hanya menyatakan “kurang setuju”. Nilai mean 3,73 mengindikasikan bahwa masih terdapat sebagian pelaku UMKM yang belum sepenuhnya merasakan kemudahan tersebut.</w:t>
      </w:r>
    </w:p>
    <w:p w14:paraId="1EE27B5D">
      <w:pPr>
        <w:numPr>
          <w:ilvl w:val="0"/>
          <w:numId w:val="7"/>
        </w:numPr>
        <w:spacing w:line="480" w:lineRule="auto"/>
        <w:jc w:val="both"/>
      </w:pPr>
      <w:r>
        <w:t>Pernyataan: Wajib Pajak tidak ditentukan oleh besarnya tarif pajak</w:t>
      </w:r>
      <w:r>
        <w:br w:type="textWrapping"/>
      </w:r>
      <w:r>
        <w:t>dengan 51,4% setuju dan 27,1% sangat setuju, mayoritas responden memahami bahwa kepatuhan wajib pajak bukan semata ditentukan oleh tarif yang diberlakukan. Nilai mean sebesar 3,97 menunjukkan tingkat kesadaran yang cukup baik terhadap pentingnya kepatuhan terlepas dari besaran tarif.</w:t>
      </w:r>
    </w:p>
    <w:p w14:paraId="61CE5A5B">
      <w:pPr>
        <w:numPr>
          <w:ilvl w:val="0"/>
          <w:numId w:val="7"/>
        </w:numPr>
        <w:spacing w:line="480" w:lineRule="auto"/>
        <w:jc w:val="both"/>
      </w:pPr>
      <w:r>
        <w:t>Pernyataan: Ketidakpahaman atas peraturan pajak menyebabkan kurangnya pemahaman tarif pajak sebanyak 52,9% setuju dan 27,1% sangat setuju bahwa rendahnya pemahaman terhadap peraturan perpajakan berdampak pada ketidakpahaman terhadap tarif pajak. Mean sebesar 3,99 menunjukkan bahwa edukasi terhadap regulasi pajak masih dibutuhkan di kalangan pelaku UMKM.</w:t>
      </w:r>
    </w:p>
    <w:p w14:paraId="64CE2C5D">
      <w:pPr>
        <w:spacing w:line="480" w:lineRule="auto"/>
        <w:ind w:firstLine="720"/>
        <w:jc w:val="both"/>
      </w:pPr>
      <w:r>
        <w:t>Secara keseluruhan, hasil tanggapan menunjukkan bahwa PP No. 23 Tahun 2018 dinilai positif oleh pelaku UMKM makanan dan minuman di Lubuk Pakam. Mereka menganggap kebijakan ini mampu mempermudah perhitungan pajak, mendorong peran ekonomi UMKM, serta meningkatkan kemauan membayar pajak. Meski demikian, aspek pemahaman terhadap aturan perpajakan secara menyeluruh masih menjadi tantangan yang perlu diatasi.</w:t>
      </w:r>
    </w:p>
    <w:p w14:paraId="517B7FF0">
      <w:pPr>
        <w:jc w:val="center"/>
        <w:rPr>
          <w:rFonts w:eastAsia="Calibri"/>
          <w:b/>
          <w:lang w:val="id"/>
        </w:rPr>
      </w:pPr>
      <w:r>
        <w:rPr>
          <w:rFonts w:eastAsia="Calibri"/>
          <w:b/>
          <w:lang w:val="id"/>
        </w:rPr>
        <w:t>Tabel 4.6</w:t>
      </w:r>
    </w:p>
    <w:p w14:paraId="00D3D36B">
      <w:pPr>
        <w:autoSpaceDE w:val="0"/>
        <w:autoSpaceDN w:val="0"/>
        <w:adjustRightInd w:val="0"/>
        <w:jc w:val="center"/>
        <w:rPr>
          <w:rFonts w:eastAsia="Calibri"/>
        </w:rPr>
      </w:pPr>
      <w:r>
        <w:rPr>
          <w:rFonts w:eastAsia="Calibri"/>
          <w:b/>
          <w:lang w:val="id"/>
        </w:rPr>
        <w:t>Frekuensi Jawaban Responden Variabel Kepatuhan Wajib Pajak (Y)</w:t>
      </w:r>
    </w:p>
    <w:tbl>
      <w:tblPr>
        <w:tblStyle w:val="27"/>
        <w:tblW w:w="7808"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66"/>
        <w:gridCol w:w="918"/>
        <w:gridCol w:w="951"/>
        <w:gridCol w:w="866"/>
        <w:gridCol w:w="866"/>
        <w:gridCol w:w="866"/>
        <w:gridCol w:w="1039"/>
        <w:gridCol w:w="836"/>
      </w:tblGrid>
      <w:tr w14:paraId="0294187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blHeader/>
          <w:jc w:val="center"/>
        </w:trPr>
        <w:tc>
          <w:tcPr>
            <w:tcW w:w="0" w:type="auto"/>
            <w:vMerge w:val="restart"/>
            <w:tcBorders>
              <w:bottom w:val="single" w:color="7E7E7E" w:themeColor="text1" w:themeTint="80" w:sz="4" w:space="0"/>
              <w:insideH w:val="single" w:sz="4" w:space="0"/>
            </w:tcBorders>
          </w:tcPr>
          <w:p w14:paraId="44BDB978">
            <w:pPr>
              <w:jc w:val="center"/>
              <w:rPr>
                <w:b/>
                <w:bCs w:val="0"/>
                <w:sz w:val="20"/>
                <w:szCs w:val="20"/>
                <w:lang w:val="id"/>
              </w:rPr>
            </w:pPr>
            <w:r>
              <w:rPr>
                <w:b/>
                <w:bCs w:val="0"/>
                <w:sz w:val="20"/>
                <w:szCs w:val="20"/>
                <w:lang w:val="id"/>
              </w:rPr>
              <w:t>Pernyataan</w:t>
            </w:r>
          </w:p>
        </w:tc>
        <w:tc>
          <w:tcPr>
            <w:tcW w:w="0" w:type="auto"/>
            <w:gridSpan w:val="5"/>
            <w:tcBorders>
              <w:bottom w:val="single" w:color="7E7E7E" w:themeColor="text1" w:themeTint="80" w:sz="4" w:space="0"/>
              <w:insideH w:val="single" w:sz="4" w:space="0"/>
            </w:tcBorders>
          </w:tcPr>
          <w:p w14:paraId="2A71D85B">
            <w:pPr>
              <w:jc w:val="center"/>
              <w:rPr>
                <w:b w:val="0"/>
                <w:bCs/>
                <w:color w:val="000000"/>
                <w:sz w:val="20"/>
                <w:szCs w:val="20"/>
                <w:lang w:eastAsia="id-ID"/>
              </w:rPr>
            </w:pPr>
            <w:r>
              <w:rPr>
                <w:b/>
                <w:bCs/>
                <w:sz w:val="20"/>
                <w:szCs w:val="20"/>
                <w:lang w:val="id"/>
              </w:rPr>
              <w:t>Kategori Jawaban Responden</w:t>
            </w:r>
          </w:p>
        </w:tc>
        <w:tc>
          <w:tcPr>
            <w:tcW w:w="0" w:type="auto"/>
            <w:vMerge w:val="restart"/>
            <w:tcBorders>
              <w:bottom w:val="single" w:color="7E7E7E" w:themeColor="text1" w:themeTint="80" w:sz="4" w:space="0"/>
              <w:insideH w:val="single" w:sz="4" w:space="0"/>
            </w:tcBorders>
          </w:tcPr>
          <w:p w14:paraId="19413892">
            <w:pPr>
              <w:jc w:val="center"/>
              <w:rPr>
                <w:b w:val="0"/>
                <w:bCs/>
                <w:sz w:val="20"/>
                <w:szCs w:val="20"/>
              </w:rPr>
            </w:pPr>
            <w:r>
              <w:rPr>
                <w:b/>
                <w:bCs/>
                <w:sz w:val="20"/>
                <w:szCs w:val="20"/>
                <w:lang w:val="id"/>
              </w:rPr>
              <w:t>Deviation</w:t>
            </w:r>
          </w:p>
        </w:tc>
        <w:tc>
          <w:tcPr>
            <w:tcW w:w="836" w:type="dxa"/>
            <w:vMerge w:val="restart"/>
            <w:tcBorders>
              <w:bottom w:val="single" w:color="7E7E7E" w:themeColor="text1" w:themeTint="80" w:sz="4" w:space="0"/>
              <w:insideH w:val="single" w:sz="4" w:space="0"/>
            </w:tcBorders>
          </w:tcPr>
          <w:p w14:paraId="4942D0BB">
            <w:pPr>
              <w:jc w:val="center"/>
              <w:rPr>
                <w:b w:val="0"/>
                <w:bCs/>
                <w:sz w:val="20"/>
                <w:szCs w:val="20"/>
              </w:rPr>
            </w:pPr>
            <w:r>
              <w:rPr>
                <w:b/>
                <w:bCs/>
                <w:sz w:val="20"/>
                <w:szCs w:val="20"/>
                <w:lang w:val="id"/>
              </w:rPr>
              <w:t>Mean</w:t>
            </w:r>
          </w:p>
        </w:tc>
      </w:tr>
      <w:tr w14:paraId="3E0275F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blHeader/>
          <w:jc w:val="center"/>
        </w:trPr>
        <w:tc>
          <w:tcPr>
            <w:tcW w:w="0" w:type="auto"/>
            <w:vMerge w:val="continue"/>
            <w:tcBorders>
              <w:bottom w:val="single" w:color="7E7E7E" w:themeColor="text1" w:themeTint="80" w:sz="4" w:space="0"/>
              <w:insideH w:val="single" w:sz="4" w:space="0"/>
            </w:tcBorders>
          </w:tcPr>
          <w:p w14:paraId="03919735">
            <w:pPr>
              <w:jc w:val="center"/>
              <w:rPr>
                <w:b/>
                <w:bCs w:val="0"/>
                <w:color w:val="000000"/>
                <w:sz w:val="20"/>
                <w:szCs w:val="20"/>
                <w:lang w:eastAsia="id-ID"/>
              </w:rPr>
            </w:pPr>
          </w:p>
        </w:tc>
        <w:tc>
          <w:tcPr>
            <w:tcW w:w="0" w:type="auto"/>
            <w:tcBorders>
              <w:bottom w:val="single" w:color="7E7E7E" w:themeColor="text1" w:themeTint="80" w:sz="4" w:space="0"/>
              <w:insideH w:val="single" w:sz="4" w:space="0"/>
            </w:tcBorders>
          </w:tcPr>
          <w:p w14:paraId="0FFF2C9A">
            <w:pPr>
              <w:jc w:val="center"/>
              <w:rPr>
                <w:b w:val="0"/>
                <w:bCs/>
                <w:color w:val="000000"/>
                <w:sz w:val="20"/>
                <w:szCs w:val="20"/>
                <w:lang w:eastAsia="id-ID"/>
              </w:rPr>
            </w:pPr>
            <w:r>
              <w:rPr>
                <w:b/>
                <w:bCs/>
                <w:color w:val="000000"/>
                <w:sz w:val="20"/>
                <w:szCs w:val="20"/>
                <w:lang w:eastAsia="id-ID"/>
              </w:rPr>
              <w:t>STS</w:t>
            </w:r>
          </w:p>
          <w:p w14:paraId="5EB821C4">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00A9F5EC">
            <w:pPr>
              <w:jc w:val="center"/>
              <w:rPr>
                <w:b w:val="0"/>
                <w:bCs/>
                <w:color w:val="000000"/>
                <w:sz w:val="20"/>
                <w:szCs w:val="20"/>
                <w:lang w:eastAsia="id-ID"/>
              </w:rPr>
            </w:pPr>
            <w:r>
              <w:rPr>
                <w:b/>
                <w:bCs/>
                <w:color w:val="000000"/>
                <w:sz w:val="20"/>
                <w:szCs w:val="20"/>
                <w:lang w:eastAsia="id-ID"/>
              </w:rPr>
              <w:t>TS</w:t>
            </w:r>
          </w:p>
          <w:p w14:paraId="66FDA6D9">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350BD37C">
            <w:pPr>
              <w:jc w:val="center"/>
              <w:rPr>
                <w:b w:val="0"/>
                <w:bCs/>
                <w:color w:val="000000"/>
                <w:sz w:val="20"/>
                <w:szCs w:val="20"/>
                <w:lang w:eastAsia="id-ID"/>
              </w:rPr>
            </w:pPr>
            <w:r>
              <w:rPr>
                <w:b/>
                <w:bCs/>
                <w:color w:val="000000"/>
                <w:sz w:val="20"/>
                <w:szCs w:val="20"/>
                <w:lang w:eastAsia="id-ID"/>
              </w:rPr>
              <w:t>KS</w:t>
            </w:r>
          </w:p>
          <w:p w14:paraId="6A5DC703">
            <w:pPr>
              <w:jc w:val="center"/>
              <w:rPr>
                <w:b w:val="0"/>
                <w:bCs/>
                <w:color w:val="000000"/>
                <w:sz w:val="20"/>
                <w:szCs w:val="20"/>
                <w:lang w:eastAsia="id-ID"/>
              </w:rPr>
            </w:pPr>
            <w:r>
              <w:rPr>
                <w:b/>
                <w:bCs/>
                <w:color w:val="000000"/>
                <w:sz w:val="20"/>
                <w:szCs w:val="20"/>
                <w:lang w:eastAsia="id-ID"/>
              </w:rPr>
              <w:t>(F%)</w:t>
            </w:r>
          </w:p>
        </w:tc>
        <w:tc>
          <w:tcPr>
            <w:tcW w:w="0" w:type="auto"/>
            <w:tcBorders>
              <w:bottom w:val="single" w:color="7E7E7E" w:themeColor="text1" w:themeTint="80" w:sz="4" w:space="0"/>
              <w:insideH w:val="single" w:sz="4" w:space="0"/>
            </w:tcBorders>
          </w:tcPr>
          <w:p w14:paraId="37E85721">
            <w:pPr>
              <w:jc w:val="center"/>
              <w:rPr>
                <w:b w:val="0"/>
                <w:bCs/>
                <w:color w:val="000000"/>
                <w:sz w:val="20"/>
                <w:szCs w:val="20"/>
                <w:lang w:eastAsia="id-ID"/>
              </w:rPr>
            </w:pPr>
            <w:r>
              <w:rPr>
                <w:b/>
                <w:bCs/>
                <w:color w:val="000000"/>
                <w:sz w:val="20"/>
                <w:szCs w:val="20"/>
                <w:lang w:eastAsia="id-ID"/>
              </w:rPr>
              <w:t>S</w:t>
            </w:r>
          </w:p>
          <w:p w14:paraId="5CD4B897">
            <w:pPr>
              <w:jc w:val="center"/>
              <w:rPr>
                <w:b w:val="0"/>
                <w:bCs/>
                <w:color w:val="000000"/>
                <w:sz w:val="20"/>
                <w:szCs w:val="20"/>
                <w:lang w:eastAsia="id-ID"/>
              </w:rPr>
            </w:pPr>
            <w:r>
              <w:rPr>
                <w:b/>
                <w:bCs/>
                <w:color w:val="000000"/>
                <w:sz w:val="20"/>
                <w:szCs w:val="20"/>
                <w:lang w:eastAsia="id-ID"/>
              </w:rPr>
              <w:t>(%)</w:t>
            </w:r>
          </w:p>
        </w:tc>
        <w:tc>
          <w:tcPr>
            <w:tcW w:w="0" w:type="auto"/>
            <w:tcBorders>
              <w:bottom w:val="single" w:color="7E7E7E" w:themeColor="text1" w:themeTint="80" w:sz="4" w:space="0"/>
              <w:insideH w:val="single" w:sz="4" w:space="0"/>
            </w:tcBorders>
          </w:tcPr>
          <w:p w14:paraId="41C2C15D">
            <w:pPr>
              <w:jc w:val="center"/>
              <w:rPr>
                <w:b w:val="0"/>
                <w:bCs/>
                <w:color w:val="000000"/>
                <w:sz w:val="20"/>
                <w:szCs w:val="20"/>
                <w:lang w:eastAsia="id-ID"/>
              </w:rPr>
            </w:pPr>
            <w:r>
              <w:rPr>
                <w:b/>
                <w:bCs/>
                <w:color w:val="000000"/>
                <w:sz w:val="20"/>
                <w:szCs w:val="20"/>
                <w:lang w:eastAsia="id-ID"/>
              </w:rPr>
              <w:t>SS</w:t>
            </w:r>
          </w:p>
          <w:p w14:paraId="00A97745">
            <w:pPr>
              <w:jc w:val="center"/>
              <w:rPr>
                <w:b w:val="0"/>
                <w:bCs/>
                <w:color w:val="000000"/>
                <w:sz w:val="20"/>
                <w:szCs w:val="20"/>
                <w:lang w:eastAsia="id-ID"/>
              </w:rPr>
            </w:pPr>
            <w:r>
              <w:rPr>
                <w:b/>
                <w:bCs/>
                <w:color w:val="000000"/>
                <w:sz w:val="20"/>
                <w:szCs w:val="20"/>
                <w:lang w:eastAsia="id-ID"/>
              </w:rPr>
              <w:t>(F%)</w:t>
            </w:r>
          </w:p>
        </w:tc>
        <w:tc>
          <w:tcPr>
            <w:tcW w:w="0" w:type="auto"/>
            <w:vMerge w:val="continue"/>
            <w:tcBorders>
              <w:bottom w:val="single" w:color="7E7E7E" w:themeColor="text1" w:themeTint="80" w:sz="4" w:space="0"/>
              <w:insideH w:val="single" w:sz="4" w:space="0"/>
            </w:tcBorders>
          </w:tcPr>
          <w:p w14:paraId="6371290B">
            <w:pPr>
              <w:jc w:val="center"/>
              <w:rPr>
                <w:b/>
                <w:bCs/>
                <w:color w:val="000000"/>
                <w:sz w:val="20"/>
                <w:szCs w:val="20"/>
                <w:lang w:eastAsia="id-ID"/>
              </w:rPr>
            </w:pPr>
          </w:p>
        </w:tc>
        <w:tc>
          <w:tcPr>
            <w:tcW w:w="836" w:type="dxa"/>
            <w:vMerge w:val="continue"/>
            <w:tcBorders>
              <w:bottom w:val="single" w:color="7E7E7E" w:themeColor="text1" w:themeTint="80" w:sz="4" w:space="0"/>
              <w:insideH w:val="single" w:sz="4" w:space="0"/>
            </w:tcBorders>
          </w:tcPr>
          <w:p w14:paraId="0D55D61F">
            <w:pPr>
              <w:jc w:val="center"/>
              <w:rPr>
                <w:b/>
                <w:bCs/>
                <w:color w:val="000000"/>
                <w:sz w:val="20"/>
                <w:szCs w:val="20"/>
                <w:lang w:eastAsia="id-ID"/>
              </w:rPr>
            </w:pPr>
          </w:p>
        </w:tc>
      </w:tr>
      <w:tr w14:paraId="6202489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21A8955F">
            <w:pPr>
              <w:jc w:val="both"/>
              <w:rPr>
                <w:b w:val="0"/>
                <w:bCs/>
                <w:sz w:val="20"/>
                <w:szCs w:val="20"/>
              </w:rPr>
            </w:pPr>
            <w:r>
              <w:rPr>
                <w:b w:val="0"/>
                <w:bCs/>
                <w:sz w:val="20"/>
                <w:szCs w:val="20"/>
              </w:rPr>
              <w:t>Sebagai wajib pajak harus mengetahui bahwa pajak ditetapkan undang-undang dan bersifat memaksa</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124B8F22">
            <w:pPr>
              <w:jc w:val="center"/>
              <w:rPr>
                <w:color w:val="000000"/>
                <w:sz w:val="20"/>
                <w:szCs w:val="20"/>
                <w:lang w:eastAsia="id-ID"/>
              </w:rPr>
            </w:pPr>
            <w:r>
              <w:rPr>
                <w:color w:val="000000"/>
                <w:sz w:val="20"/>
                <w:szCs w:val="20"/>
                <w:lang w:eastAsia="id-ID"/>
              </w:rPr>
              <w:t>1</w:t>
            </w:r>
          </w:p>
          <w:p w14:paraId="603AE57F">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5D7803C4">
            <w:pPr>
              <w:jc w:val="center"/>
              <w:rPr>
                <w:color w:val="000000"/>
                <w:sz w:val="20"/>
                <w:szCs w:val="20"/>
                <w:lang w:eastAsia="id-ID"/>
              </w:rPr>
            </w:pPr>
            <w:r>
              <w:rPr>
                <w:color w:val="000000"/>
                <w:sz w:val="20"/>
                <w:szCs w:val="20"/>
                <w:lang w:eastAsia="id-ID"/>
              </w:rPr>
              <w:t>4</w:t>
            </w:r>
          </w:p>
          <w:p w14:paraId="687BB129">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CB89942">
            <w:pPr>
              <w:jc w:val="center"/>
              <w:rPr>
                <w:color w:val="000000"/>
                <w:sz w:val="20"/>
                <w:szCs w:val="20"/>
                <w:lang w:eastAsia="id-ID"/>
              </w:rPr>
            </w:pPr>
            <w:r>
              <w:rPr>
                <w:color w:val="000000"/>
                <w:sz w:val="20"/>
                <w:szCs w:val="20"/>
                <w:lang w:eastAsia="id-ID"/>
              </w:rPr>
              <w:t>13</w:t>
            </w:r>
          </w:p>
          <w:p w14:paraId="40A018DB">
            <w:pPr>
              <w:jc w:val="center"/>
              <w:rPr>
                <w:color w:val="000000"/>
                <w:sz w:val="20"/>
                <w:szCs w:val="20"/>
                <w:lang w:eastAsia="id-ID"/>
              </w:rPr>
            </w:pPr>
            <w:r>
              <w:rPr>
                <w:color w:val="000000"/>
                <w:sz w:val="20"/>
                <w:szCs w:val="20"/>
                <w:lang w:eastAsia="id-ID"/>
              </w:rPr>
              <w:t>(18,6%)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64CB32F">
            <w:pPr>
              <w:jc w:val="center"/>
              <w:rPr>
                <w:color w:val="000000"/>
                <w:sz w:val="20"/>
                <w:szCs w:val="20"/>
                <w:lang w:eastAsia="id-ID"/>
              </w:rPr>
            </w:pPr>
            <w:r>
              <w:rPr>
                <w:color w:val="000000"/>
                <w:sz w:val="20"/>
                <w:szCs w:val="20"/>
                <w:lang w:eastAsia="id-ID"/>
              </w:rPr>
              <w:t>32</w:t>
            </w:r>
          </w:p>
          <w:p w14:paraId="0BE6AF8A">
            <w:pPr>
              <w:jc w:val="center"/>
              <w:rPr>
                <w:color w:val="000000"/>
                <w:sz w:val="20"/>
                <w:szCs w:val="20"/>
                <w:lang w:eastAsia="id-ID"/>
              </w:rPr>
            </w:pPr>
            <w:r>
              <w:rPr>
                <w:color w:val="000000"/>
                <w:sz w:val="20"/>
                <w:szCs w:val="20"/>
                <w:lang w:eastAsia="id-ID"/>
              </w:rPr>
              <w:t>(45,7%)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C68F6B3">
            <w:pPr>
              <w:jc w:val="center"/>
              <w:rPr>
                <w:color w:val="000000"/>
                <w:sz w:val="20"/>
                <w:szCs w:val="20"/>
                <w:lang w:eastAsia="id-ID"/>
              </w:rPr>
            </w:pPr>
            <w:r>
              <w:rPr>
                <w:color w:val="000000"/>
                <w:sz w:val="20"/>
                <w:szCs w:val="20"/>
                <w:lang w:eastAsia="id-ID"/>
              </w:rPr>
              <w:t>20</w:t>
            </w:r>
          </w:p>
          <w:p w14:paraId="5D230D9D">
            <w:pPr>
              <w:jc w:val="center"/>
              <w:rPr>
                <w:color w:val="000000"/>
                <w:sz w:val="20"/>
                <w:szCs w:val="20"/>
                <w:lang w:eastAsia="id-ID"/>
              </w:rPr>
            </w:pPr>
            <w:r>
              <w:rPr>
                <w:color w:val="000000"/>
                <w:sz w:val="20"/>
                <w:szCs w:val="20"/>
                <w:lang w:eastAsia="id-ID"/>
              </w:rPr>
              <w:t>(28,6%)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AE43E82">
            <w:pPr>
              <w:jc w:val="center"/>
              <w:rPr>
                <w:color w:val="000000"/>
                <w:sz w:val="20"/>
                <w:szCs w:val="20"/>
                <w:lang w:eastAsia="id-ID"/>
              </w:rPr>
            </w:pPr>
            <w:r>
              <w:rPr>
                <w:color w:val="000000"/>
                <w:sz w:val="20"/>
                <w:szCs w:val="20"/>
                <w:lang w:eastAsia="id-ID"/>
              </w:rPr>
              <w:t>0,915</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3ACA21DB">
            <w:pPr>
              <w:jc w:val="center"/>
              <w:rPr>
                <w:color w:val="000000"/>
                <w:sz w:val="20"/>
                <w:szCs w:val="20"/>
                <w:lang w:eastAsia="id-ID"/>
              </w:rPr>
            </w:pPr>
            <w:r>
              <w:rPr>
                <w:color w:val="000000"/>
                <w:sz w:val="20"/>
                <w:szCs w:val="20"/>
                <w:lang w:eastAsia="id-ID"/>
              </w:rPr>
              <w:t>3,94</w:t>
            </w:r>
          </w:p>
        </w:tc>
      </w:tr>
      <w:tr w14:paraId="0B4851D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jc w:val="center"/>
        </w:trPr>
        <w:tc>
          <w:tcPr>
            <w:tcW w:w="0" w:type="auto"/>
          </w:tcPr>
          <w:p w14:paraId="74DE5E35">
            <w:pPr>
              <w:jc w:val="both"/>
              <w:rPr>
                <w:b w:val="0"/>
                <w:bCs/>
                <w:sz w:val="20"/>
                <w:szCs w:val="20"/>
              </w:rPr>
            </w:pPr>
            <w:r>
              <w:rPr>
                <w:b w:val="0"/>
                <w:bCs/>
                <w:sz w:val="20"/>
                <w:szCs w:val="20"/>
                <w:lang w:val="en-US"/>
              </w:rPr>
              <w:t>Saya akan membayar pajak tepat pada waktunya</w:t>
            </w:r>
          </w:p>
        </w:tc>
        <w:tc>
          <w:tcPr>
            <w:tcW w:w="918" w:type="dxa"/>
            <w:vAlign w:val="center"/>
          </w:tcPr>
          <w:p w14:paraId="1E060B5C">
            <w:pPr>
              <w:jc w:val="center"/>
              <w:rPr>
                <w:color w:val="000000"/>
                <w:sz w:val="20"/>
                <w:szCs w:val="20"/>
                <w:lang w:eastAsia="id-ID"/>
              </w:rPr>
            </w:pPr>
            <w:r>
              <w:rPr>
                <w:color w:val="000000"/>
                <w:sz w:val="20"/>
                <w:szCs w:val="20"/>
                <w:lang w:eastAsia="id-ID"/>
              </w:rPr>
              <w:t>1</w:t>
            </w:r>
          </w:p>
          <w:p w14:paraId="5EB04D2D">
            <w:pPr>
              <w:jc w:val="center"/>
              <w:rPr>
                <w:color w:val="000000"/>
                <w:sz w:val="20"/>
                <w:szCs w:val="20"/>
                <w:lang w:eastAsia="id-ID"/>
              </w:rPr>
            </w:pPr>
            <w:r>
              <w:rPr>
                <w:color w:val="000000"/>
                <w:sz w:val="20"/>
                <w:szCs w:val="20"/>
                <w:lang w:eastAsia="id-ID"/>
              </w:rPr>
              <w:t>(1,4%)</w:t>
            </w:r>
          </w:p>
        </w:tc>
        <w:tc>
          <w:tcPr>
            <w:tcW w:w="951" w:type="dxa"/>
            <w:vAlign w:val="center"/>
          </w:tcPr>
          <w:p w14:paraId="13E03115">
            <w:pPr>
              <w:jc w:val="center"/>
              <w:rPr>
                <w:color w:val="000000"/>
                <w:sz w:val="20"/>
                <w:szCs w:val="20"/>
                <w:lang w:eastAsia="id-ID"/>
              </w:rPr>
            </w:pPr>
            <w:r>
              <w:rPr>
                <w:color w:val="000000"/>
                <w:sz w:val="20"/>
                <w:szCs w:val="20"/>
                <w:lang w:eastAsia="id-ID"/>
              </w:rPr>
              <w:t>4</w:t>
            </w:r>
          </w:p>
          <w:p w14:paraId="2EDFA9BF">
            <w:pPr>
              <w:jc w:val="center"/>
              <w:rPr>
                <w:color w:val="000000"/>
                <w:sz w:val="20"/>
                <w:szCs w:val="20"/>
                <w:lang w:eastAsia="id-ID"/>
              </w:rPr>
            </w:pPr>
            <w:r>
              <w:rPr>
                <w:color w:val="000000"/>
                <w:sz w:val="20"/>
                <w:szCs w:val="20"/>
                <w:lang w:eastAsia="id-ID"/>
              </w:rPr>
              <w:t>(5,7%)</w:t>
            </w:r>
          </w:p>
        </w:tc>
        <w:tc>
          <w:tcPr>
            <w:tcW w:w="0" w:type="auto"/>
            <w:vAlign w:val="center"/>
          </w:tcPr>
          <w:p w14:paraId="1B54004A">
            <w:pPr>
              <w:jc w:val="center"/>
              <w:rPr>
                <w:color w:val="000000"/>
                <w:sz w:val="20"/>
                <w:szCs w:val="20"/>
                <w:lang w:eastAsia="id-ID"/>
              </w:rPr>
            </w:pPr>
            <w:r>
              <w:rPr>
                <w:color w:val="000000"/>
                <w:sz w:val="20"/>
                <w:szCs w:val="20"/>
                <w:lang w:eastAsia="id-ID"/>
              </w:rPr>
              <w:t>10</w:t>
            </w:r>
          </w:p>
          <w:p w14:paraId="4503F151">
            <w:pPr>
              <w:jc w:val="center"/>
              <w:rPr>
                <w:color w:val="000000"/>
                <w:sz w:val="20"/>
                <w:szCs w:val="20"/>
                <w:lang w:eastAsia="id-ID"/>
              </w:rPr>
            </w:pPr>
            <w:r>
              <w:rPr>
                <w:color w:val="000000"/>
                <w:sz w:val="20"/>
                <w:szCs w:val="20"/>
                <w:lang w:eastAsia="id-ID"/>
              </w:rPr>
              <w:t>(14,3%)</w:t>
            </w:r>
          </w:p>
        </w:tc>
        <w:tc>
          <w:tcPr>
            <w:tcW w:w="0" w:type="auto"/>
            <w:vAlign w:val="center"/>
          </w:tcPr>
          <w:p w14:paraId="7EE8E9EB">
            <w:pPr>
              <w:jc w:val="center"/>
              <w:rPr>
                <w:color w:val="000000"/>
                <w:sz w:val="20"/>
                <w:szCs w:val="20"/>
                <w:lang w:eastAsia="id-ID"/>
              </w:rPr>
            </w:pPr>
            <w:r>
              <w:rPr>
                <w:color w:val="000000"/>
                <w:sz w:val="20"/>
                <w:szCs w:val="20"/>
                <w:lang w:eastAsia="id-ID"/>
              </w:rPr>
              <w:t>35</w:t>
            </w:r>
          </w:p>
          <w:p w14:paraId="4E0654F8">
            <w:pPr>
              <w:jc w:val="center"/>
              <w:rPr>
                <w:color w:val="000000"/>
                <w:sz w:val="20"/>
                <w:szCs w:val="20"/>
                <w:lang w:eastAsia="id-ID"/>
              </w:rPr>
            </w:pPr>
            <w:r>
              <w:rPr>
                <w:color w:val="000000"/>
                <w:sz w:val="20"/>
                <w:szCs w:val="20"/>
                <w:lang w:eastAsia="id-ID"/>
              </w:rPr>
              <w:t>(50,0%)</w:t>
            </w:r>
          </w:p>
        </w:tc>
        <w:tc>
          <w:tcPr>
            <w:tcW w:w="0" w:type="auto"/>
            <w:vAlign w:val="center"/>
          </w:tcPr>
          <w:p w14:paraId="33A6019C">
            <w:pPr>
              <w:jc w:val="center"/>
              <w:rPr>
                <w:color w:val="000000"/>
                <w:sz w:val="20"/>
                <w:szCs w:val="20"/>
                <w:lang w:eastAsia="id-ID"/>
              </w:rPr>
            </w:pPr>
            <w:r>
              <w:rPr>
                <w:color w:val="000000"/>
                <w:sz w:val="20"/>
                <w:szCs w:val="20"/>
                <w:lang w:eastAsia="id-ID"/>
              </w:rPr>
              <w:t>20</w:t>
            </w:r>
          </w:p>
          <w:p w14:paraId="7AB12782">
            <w:pPr>
              <w:jc w:val="center"/>
              <w:rPr>
                <w:color w:val="000000"/>
                <w:sz w:val="20"/>
                <w:szCs w:val="20"/>
                <w:lang w:eastAsia="id-ID"/>
              </w:rPr>
            </w:pPr>
            <w:r>
              <w:rPr>
                <w:color w:val="000000"/>
                <w:sz w:val="20"/>
                <w:szCs w:val="20"/>
                <w:lang w:eastAsia="id-ID"/>
              </w:rPr>
              <w:t>(28,6%)</w:t>
            </w:r>
          </w:p>
        </w:tc>
        <w:tc>
          <w:tcPr>
            <w:tcW w:w="0" w:type="auto"/>
            <w:vAlign w:val="center"/>
          </w:tcPr>
          <w:p w14:paraId="14D1ABB7">
            <w:pPr>
              <w:jc w:val="center"/>
              <w:rPr>
                <w:color w:val="000000"/>
                <w:sz w:val="20"/>
                <w:szCs w:val="20"/>
                <w:lang w:eastAsia="id-ID"/>
              </w:rPr>
            </w:pPr>
            <w:r>
              <w:rPr>
                <w:color w:val="000000"/>
                <w:sz w:val="20"/>
                <w:szCs w:val="20"/>
                <w:lang w:eastAsia="id-ID"/>
              </w:rPr>
              <w:t>0,893</w:t>
            </w:r>
          </w:p>
        </w:tc>
        <w:tc>
          <w:tcPr>
            <w:tcW w:w="836" w:type="dxa"/>
            <w:vAlign w:val="center"/>
          </w:tcPr>
          <w:p w14:paraId="7B70838F">
            <w:pPr>
              <w:jc w:val="center"/>
              <w:rPr>
                <w:color w:val="000000"/>
                <w:sz w:val="20"/>
                <w:szCs w:val="20"/>
                <w:lang w:eastAsia="id-ID"/>
              </w:rPr>
            </w:pPr>
            <w:r>
              <w:rPr>
                <w:color w:val="000000"/>
                <w:sz w:val="20"/>
                <w:szCs w:val="20"/>
                <w:lang w:eastAsia="id-ID"/>
              </w:rPr>
              <w:t>3,99</w:t>
            </w:r>
          </w:p>
        </w:tc>
      </w:tr>
      <w:tr w14:paraId="3088E4C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2CA677C4">
            <w:pPr>
              <w:spacing w:line="276" w:lineRule="auto"/>
              <w:jc w:val="both"/>
              <w:rPr>
                <w:b w:val="0"/>
                <w:bCs/>
                <w:sz w:val="20"/>
                <w:szCs w:val="20"/>
                <w:lang w:val="en-US"/>
              </w:rPr>
            </w:pPr>
            <w:r>
              <w:rPr>
                <w:b w:val="0"/>
                <w:bCs/>
                <w:sz w:val="20"/>
                <w:szCs w:val="20"/>
              </w:rPr>
              <w:t xml:space="preserve">Saya </w:t>
            </w:r>
            <w:r>
              <w:rPr>
                <w:b w:val="0"/>
                <w:bCs/>
                <w:sz w:val="20"/>
                <w:szCs w:val="20"/>
                <w:lang w:val="en-US"/>
              </w:rPr>
              <w:t xml:space="preserve">akan </w:t>
            </w:r>
            <w:r>
              <w:rPr>
                <w:b w:val="0"/>
                <w:bCs/>
                <w:sz w:val="20"/>
                <w:szCs w:val="20"/>
              </w:rPr>
              <w:t>melaporkan diri sebagai wajib pajak</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3685157E">
            <w:pPr>
              <w:jc w:val="center"/>
              <w:rPr>
                <w:color w:val="000000"/>
                <w:sz w:val="20"/>
                <w:szCs w:val="20"/>
                <w:lang w:eastAsia="id-ID"/>
              </w:rPr>
            </w:pPr>
            <w:r>
              <w:rPr>
                <w:color w:val="000000"/>
                <w:sz w:val="20"/>
                <w:szCs w:val="20"/>
                <w:lang w:eastAsia="id-ID"/>
              </w:rPr>
              <w:t>2</w:t>
            </w:r>
          </w:p>
          <w:p w14:paraId="59AF7257">
            <w:pPr>
              <w:jc w:val="center"/>
              <w:rPr>
                <w:color w:val="000000"/>
                <w:sz w:val="20"/>
                <w:szCs w:val="20"/>
                <w:lang w:eastAsia="id-ID"/>
              </w:rPr>
            </w:pPr>
            <w:r>
              <w:rPr>
                <w:color w:val="000000"/>
                <w:sz w:val="20"/>
                <w:szCs w:val="20"/>
                <w:lang w:eastAsia="id-ID"/>
              </w:rPr>
              <w:t>(2,9%)</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2B308469">
            <w:pPr>
              <w:jc w:val="center"/>
              <w:rPr>
                <w:color w:val="000000"/>
                <w:sz w:val="20"/>
                <w:szCs w:val="20"/>
                <w:lang w:eastAsia="id-ID"/>
              </w:rPr>
            </w:pPr>
            <w:r>
              <w:rPr>
                <w:color w:val="000000"/>
                <w:sz w:val="20"/>
                <w:szCs w:val="20"/>
                <w:lang w:eastAsia="id-ID"/>
              </w:rPr>
              <w:t>2</w:t>
            </w:r>
          </w:p>
          <w:p w14:paraId="2CBDEED1">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189C939">
            <w:pPr>
              <w:jc w:val="center"/>
              <w:rPr>
                <w:color w:val="000000"/>
                <w:sz w:val="20"/>
                <w:szCs w:val="20"/>
                <w:lang w:eastAsia="id-ID"/>
              </w:rPr>
            </w:pPr>
            <w:r>
              <w:rPr>
                <w:color w:val="000000"/>
                <w:sz w:val="20"/>
                <w:szCs w:val="20"/>
                <w:lang w:eastAsia="id-ID"/>
              </w:rPr>
              <w:t>10</w:t>
            </w:r>
          </w:p>
          <w:p w14:paraId="25704737">
            <w:pPr>
              <w:jc w:val="center"/>
              <w:rPr>
                <w:color w:val="000000"/>
                <w:sz w:val="20"/>
                <w:szCs w:val="20"/>
                <w:lang w:eastAsia="id-ID"/>
              </w:rPr>
            </w:pPr>
            <w:r>
              <w:rPr>
                <w:color w:val="000000"/>
                <w:sz w:val="20"/>
                <w:szCs w:val="20"/>
                <w:lang w:eastAsia="id-ID"/>
              </w:rPr>
              <w:t>(14,3%)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C17B782">
            <w:pPr>
              <w:jc w:val="center"/>
              <w:rPr>
                <w:color w:val="000000"/>
                <w:sz w:val="20"/>
                <w:szCs w:val="20"/>
                <w:lang w:eastAsia="id-ID"/>
              </w:rPr>
            </w:pPr>
            <w:r>
              <w:rPr>
                <w:color w:val="000000"/>
                <w:sz w:val="20"/>
                <w:szCs w:val="20"/>
                <w:lang w:eastAsia="id-ID"/>
              </w:rPr>
              <w:t>34</w:t>
            </w:r>
          </w:p>
          <w:p w14:paraId="4434FDEA">
            <w:pPr>
              <w:jc w:val="center"/>
              <w:rPr>
                <w:color w:val="000000"/>
                <w:sz w:val="20"/>
                <w:szCs w:val="20"/>
                <w:lang w:eastAsia="id-ID"/>
              </w:rPr>
            </w:pPr>
            <w:r>
              <w:rPr>
                <w:color w:val="000000"/>
                <w:sz w:val="20"/>
                <w:szCs w:val="20"/>
                <w:lang w:eastAsia="id-ID"/>
              </w:rPr>
              <w:t>(48,6%)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46DB9CD8">
            <w:pPr>
              <w:jc w:val="center"/>
              <w:rPr>
                <w:color w:val="000000"/>
                <w:sz w:val="20"/>
                <w:szCs w:val="20"/>
                <w:lang w:eastAsia="id-ID"/>
              </w:rPr>
            </w:pPr>
            <w:r>
              <w:rPr>
                <w:color w:val="000000"/>
                <w:sz w:val="20"/>
                <w:szCs w:val="20"/>
                <w:lang w:eastAsia="id-ID"/>
              </w:rPr>
              <w:t>22</w:t>
            </w:r>
          </w:p>
          <w:p w14:paraId="2A328DF8">
            <w:pPr>
              <w:jc w:val="center"/>
              <w:rPr>
                <w:color w:val="000000"/>
                <w:sz w:val="20"/>
                <w:szCs w:val="20"/>
                <w:lang w:eastAsia="id-ID"/>
              </w:rPr>
            </w:pPr>
            <w:r>
              <w:rPr>
                <w:color w:val="000000"/>
                <w:sz w:val="20"/>
                <w:szCs w:val="20"/>
                <w:lang w:eastAsia="id-ID"/>
              </w:rPr>
              <w:t>(31,4%)</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5A56F16">
            <w:pPr>
              <w:jc w:val="center"/>
              <w:rPr>
                <w:color w:val="000000"/>
                <w:sz w:val="20"/>
                <w:szCs w:val="20"/>
                <w:lang w:eastAsia="id-ID"/>
              </w:rPr>
            </w:pPr>
            <w:r>
              <w:rPr>
                <w:color w:val="000000"/>
                <w:sz w:val="20"/>
                <w:szCs w:val="20"/>
                <w:lang w:eastAsia="id-ID"/>
              </w:rPr>
              <w:t>0,998</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41D94B67">
            <w:pPr>
              <w:jc w:val="center"/>
              <w:rPr>
                <w:color w:val="000000"/>
                <w:sz w:val="20"/>
                <w:szCs w:val="20"/>
                <w:lang w:eastAsia="id-ID"/>
              </w:rPr>
            </w:pPr>
            <w:r>
              <w:rPr>
                <w:color w:val="000000"/>
                <w:sz w:val="20"/>
                <w:szCs w:val="20"/>
                <w:lang w:eastAsia="id-ID"/>
              </w:rPr>
              <w:t>3,70</w:t>
            </w:r>
          </w:p>
        </w:tc>
      </w:tr>
      <w:tr w14:paraId="709D28A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4B98096A">
            <w:pPr>
              <w:spacing w:line="276" w:lineRule="auto"/>
              <w:jc w:val="both"/>
              <w:rPr>
                <w:b w:val="0"/>
                <w:bCs/>
                <w:sz w:val="20"/>
                <w:szCs w:val="20"/>
              </w:rPr>
            </w:pPr>
            <w:r>
              <w:rPr>
                <w:b w:val="0"/>
                <w:bCs/>
                <w:sz w:val="20"/>
                <w:szCs w:val="20"/>
                <w:lang w:val="en-US"/>
              </w:rPr>
              <w:t>Sebagai seorang wajib pajak mempunyai kewajiban kepemilikan NPWP</w:t>
            </w:r>
            <w:r>
              <w:rPr>
                <w:b w:val="0"/>
                <w:bCs/>
                <w:color w:val="000000"/>
                <w:sz w:val="20"/>
                <w:szCs w:val="20"/>
              </w:rPr>
              <w:t>.</w:t>
            </w:r>
          </w:p>
        </w:tc>
        <w:tc>
          <w:tcPr>
            <w:tcW w:w="918" w:type="dxa"/>
            <w:vAlign w:val="center"/>
          </w:tcPr>
          <w:p w14:paraId="2B3373F2">
            <w:pPr>
              <w:jc w:val="center"/>
              <w:rPr>
                <w:color w:val="000000"/>
                <w:sz w:val="20"/>
                <w:szCs w:val="20"/>
                <w:lang w:eastAsia="id-ID"/>
              </w:rPr>
            </w:pPr>
            <w:r>
              <w:rPr>
                <w:color w:val="000000"/>
                <w:sz w:val="20"/>
                <w:szCs w:val="20"/>
                <w:lang w:eastAsia="id-ID"/>
              </w:rPr>
              <w:t>2</w:t>
            </w:r>
          </w:p>
          <w:p w14:paraId="3D99F06B">
            <w:pPr>
              <w:jc w:val="center"/>
              <w:rPr>
                <w:color w:val="000000"/>
                <w:sz w:val="20"/>
                <w:szCs w:val="20"/>
                <w:lang w:eastAsia="id-ID"/>
              </w:rPr>
            </w:pPr>
            <w:r>
              <w:rPr>
                <w:color w:val="000000"/>
                <w:sz w:val="20"/>
                <w:szCs w:val="20"/>
                <w:lang w:eastAsia="id-ID"/>
              </w:rPr>
              <w:t>(2,9%)</w:t>
            </w:r>
          </w:p>
        </w:tc>
        <w:tc>
          <w:tcPr>
            <w:tcW w:w="951" w:type="dxa"/>
            <w:vAlign w:val="center"/>
          </w:tcPr>
          <w:p w14:paraId="7BA8EF0B">
            <w:pPr>
              <w:jc w:val="center"/>
              <w:rPr>
                <w:color w:val="000000"/>
                <w:sz w:val="20"/>
                <w:szCs w:val="20"/>
                <w:lang w:eastAsia="id-ID"/>
              </w:rPr>
            </w:pPr>
            <w:r>
              <w:rPr>
                <w:color w:val="000000"/>
                <w:sz w:val="20"/>
                <w:szCs w:val="20"/>
                <w:lang w:eastAsia="id-ID"/>
              </w:rPr>
              <w:t>4</w:t>
            </w:r>
          </w:p>
          <w:p w14:paraId="69323754">
            <w:pPr>
              <w:jc w:val="center"/>
              <w:rPr>
                <w:color w:val="000000"/>
                <w:sz w:val="20"/>
                <w:szCs w:val="20"/>
                <w:lang w:eastAsia="id-ID"/>
              </w:rPr>
            </w:pPr>
            <w:r>
              <w:rPr>
                <w:color w:val="000000"/>
                <w:sz w:val="20"/>
                <w:szCs w:val="20"/>
                <w:lang w:eastAsia="id-ID"/>
              </w:rPr>
              <w:t>(5,7%)</w:t>
            </w:r>
          </w:p>
        </w:tc>
        <w:tc>
          <w:tcPr>
            <w:tcW w:w="0" w:type="auto"/>
            <w:vAlign w:val="center"/>
          </w:tcPr>
          <w:p w14:paraId="7F2ADB20">
            <w:pPr>
              <w:jc w:val="center"/>
              <w:rPr>
                <w:color w:val="000000"/>
                <w:sz w:val="20"/>
                <w:szCs w:val="20"/>
                <w:lang w:eastAsia="id-ID"/>
              </w:rPr>
            </w:pPr>
            <w:r>
              <w:rPr>
                <w:color w:val="000000"/>
                <w:sz w:val="20"/>
                <w:szCs w:val="20"/>
                <w:lang w:eastAsia="id-ID"/>
              </w:rPr>
              <w:t>24</w:t>
            </w:r>
          </w:p>
          <w:p w14:paraId="52A660AD">
            <w:pPr>
              <w:jc w:val="center"/>
              <w:rPr>
                <w:color w:val="000000"/>
                <w:sz w:val="20"/>
                <w:szCs w:val="20"/>
                <w:lang w:eastAsia="id-ID"/>
              </w:rPr>
            </w:pPr>
            <w:r>
              <w:rPr>
                <w:color w:val="000000"/>
                <w:sz w:val="20"/>
                <w:szCs w:val="20"/>
                <w:lang w:eastAsia="id-ID"/>
              </w:rPr>
              <w:t>(34,3%)</w:t>
            </w:r>
          </w:p>
        </w:tc>
        <w:tc>
          <w:tcPr>
            <w:tcW w:w="0" w:type="auto"/>
            <w:vAlign w:val="center"/>
          </w:tcPr>
          <w:p w14:paraId="4CC67C71">
            <w:pPr>
              <w:jc w:val="center"/>
              <w:rPr>
                <w:color w:val="000000"/>
                <w:sz w:val="20"/>
                <w:szCs w:val="20"/>
                <w:lang w:eastAsia="id-ID"/>
              </w:rPr>
            </w:pPr>
            <w:r>
              <w:rPr>
                <w:color w:val="000000"/>
                <w:sz w:val="20"/>
                <w:szCs w:val="20"/>
                <w:lang w:eastAsia="id-ID"/>
              </w:rPr>
              <w:t>23</w:t>
            </w:r>
          </w:p>
          <w:p w14:paraId="7815B267">
            <w:pPr>
              <w:jc w:val="center"/>
              <w:rPr>
                <w:color w:val="000000"/>
                <w:sz w:val="20"/>
                <w:szCs w:val="20"/>
                <w:lang w:eastAsia="id-ID"/>
              </w:rPr>
            </w:pPr>
            <w:r>
              <w:rPr>
                <w:color w:val="000000"/>
                <w:sz w:val="20"/>
                <w:szCs w:val="20"/>
                <w:lang w:eastAsia="id-ID"/>
              </w:rPr>
              <w:t>(32,9%)</w:t>
            </w:r>
          </w:p>
        </w:tc>
        <w:tc>
          <w:tcPr>
            <w:tcW w:w="0" w:type="auto"/>
            <w:vAlign w:val="center"/>
          </w:tcPr>
          <w:p w14:paraId="56996C2B">
            <w:pPr>
              <w:jc w:val="center"/>
              <w:rPr>
                <w:color w:val="000000"/>
                <w:sz w:val="20"/>
                <w:szCs w:val="20"/>
                <w:lang w:eastAsia="id-ID"/>
              </w:rPr>
            </w:pPr>
            <w:r>
              <w:rPr>
                <w:color w:val="000000"/>
                <w:sz w:val="20"/>
                <w:szCs w:val="20"/>
                <w:lang w:eastAsia="id-ID"/>
              </w:rPr>
              <w:t>17</w:t>
            </w:r>
          </w:p>
          <w:p w14:paraId="25E401AD">
            <w:pPr>
              <w:jc w:val="center"/>
              <w:rPr>
                <w:color w:val="000000"/>
                <w:sz w:val="20"/>
                <w:szCs w:val="20"/>
                <w:lang w:eastAsia="id-ID"/>
              </w:rPr>
            </w:pPr>
            <w:r>
              <w:rPr>
                <w:color w:val="000000"/>
                <w:sz w:val="20"/>
                <w:szCs w:val="20"/>
                <w:lang w:eastAsia="id-ID"/>
              </w:rPr>
              <w:t>(24,3%)</w:t>
            </w:r>
          </w:p>
        </w:tc>
        <w:tc>
          <w:tcPr>
            <w:tcW w:w="0" w:type="auto"/>
            <w:vAlign w:val="center"/>
          </w:tcPr>
          <w:p w14:paraId="46453117">
            <w:pPr>
              <w:jc w:val="center"/>
              <w:rPr>
                <w:color w:val="000000"/>
                <w:sz w:val="20"/>
                <w:szCs w:val="20"/>
                <w:lang w:eastAsia="id-ID"/>
              </w:rPr>
            </w:pPr>
            <w:r>
              <w:rPr>
                <w:color w:val="000000"/>
                <w:sz w:val="20"/>
                <w:szCs w:val="20"/>
                <w:lang w:eastAsia="id-ID"/>
              </w:rPr>
              <w:t>0,850</w:t>
            </w:r>
          </w:p>
        </w:tc>
        <w:tc>
          <w:tcPr>
            <w:tcW w:w="836" w:type="dxa"/>
            <w:vAlign w:val="center"/>
          </w:tcPr>
          <w:p w14:paraId="0CCD6D0F">
            <w:pPr>
              <w:jc w:val="center"/>
              <w:rPr>
                <w:color w:val="000000"/>
                <w:sz w:val="20"/>
                <w:szCs w:val="20"/>
                <w:lang w:eastAsia="id-ID"/>
              </w:rPr>
            </w:pPr>
            <w:r>
              <w:rPr>
                <w:color w:val="000000"/>
                <w:sz w:val="20"/>
                <w:szCs w:val="20"/>
                <w:lang w:eastAsia="id-ID"/>
              </w:rPr>
              <w:t>4,13</w:t>
            </w:r>
          </w:p>
        </w:tc>
      </w:tr>
      <w:tr w14:paraId="78846BD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0563A1A0">
            <w:pPr>
              <w:autoSpaceDE w:val="0"/>
              <w:autoSpaceDN w:val="0"/>
              <w:adjustRightInd w:val="0"/>
              <w:jc w:val="both"/>
              <w:rPr>
                <w:b w:val="0"/>
                <w:bCs/>
                <w:color w:val="000000"/>
                <w:sz w:val="20"/>
                <w:szCs w:val="20"/>
                <w:lang w:val="en-US"/>
              </w:rPr>
            </w:pPr>
            <w:r>
              <w:rPr>
                <w:b w:val="0"/>
                <w:bCs/>
                <w:sz w:val="20"/>
                <w:szCs w:val="20"/>
                <w:lang w:val="en-US"/>
              </w:rPr>
              <w:t>Kepatuhan untuk menyetorkan kembali Surat Pemberitahuan</w:t>
            </w:r>
            <w:r>
              <w:rPr>
                <w:b w:val="0"/>
                <w:bCs/>
                <w:color w:val="000000"/>
                <w:sz w:val="20"/>
                <w:szCs w:val="20"/>
              </w:rPr>
              <w:t xml:space="preserve">. </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14CF9AB9">
            <w:pPr>
              <w:jc w:val="center"/>
              <w:rPr>
                <w:color w:val="000000"/>
                <w:sz w:val="20"/>
                <w:szCs w:val="20"/>
                <w:lang w:eastAsia="id-ID"/>
              </w:rPr>
            </w:pPr>
            <w:r>
              <w:rPr>
                <w:color w:val="000000"/>
                <w:sz w:val="20"/>
                <w:szCs w:val="20"/>
                <w:lang w:eastAsia="id-ID"/>
              </w:rPr>
              <w:t>1</w:t>
            </w:r>
          </w:p>
          <w:p w14:paraId="580FC9C9">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5D6F152C">
            <w:pPr>
              <w:jc w:val="center"/>
              <w:rPr>
                <w:color w:val="000000"/>
                <w:sz w:val="20"/>
                <w:szCs w:val="20"/>
                <w:lang w:eastAsia="id-ID"/>
              </w:rPr>
            </w:pPr>
            <w:r>
              <w:rPr>
                <w:color w:val="000000"/>
                <w:sz w:val="20"/>
                <w:szCs w:val="20"/>
                <w:lang w:eastAsia="id-ID"/>
              </w:rPr>
              <w:t>2</w:t>
            </w:r>
          </w:p>
          <w:p w14:paraId="31A7A3E0">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9028C44">
            <w:pPr>
              <w:jc w:val="center"/>
              <w:rPr>
                <w:color w:val="000000"/>
                <w:sz w:val="20"/>
                <w:szCs w:val="20"/>
                <w:lang w:eastAsia="id-ID"/>
              </w:rPr>
            </w:pPr>
            <w:r>
              <w:rPr>
                <w:color w:val="000000"/>
                <w:sz w:val="20"/>
                <w:szCs w:val="20"/>
                <w:lang w:eastAsia="id-ID"/>
              </w:rPr>
              <w:t>9</w:t>
            </w:r>
          </w:p>
          <w:p w14:paraId="2D47B114">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00645E8">
            <w:pPr>
              <w:jc w:val="center"/>
              <w:rPr>
                <w:color w:val="000000"/>
                <w:sz w:val="20"/>
                <w:szCs w:val="20"/>
                <w:lang w:eastAsia="id-ID"/>
              </w:rPr>
            </w:pPr>
            <w:r>
              <w:rPr>
                <w:color w:val="000000"/>
                <w:sz w:val="20"/>
                <w:szCs w:val="20"/>
                <w:lang w:eastAsia="id-ID"/>
              </w:rPr>
              <w:t>33</w:t>
            </w:r>
          </w:p>
          <w:p w14:paraId="4690458B">
            <w:pPr>
              <w:jc w:val="center"/>
              <w:rPr>
                <w:color w:val="000000"/>
                <w:sz w:val="20"/>
                <w:szCs w:val="20"/>
                <w:lang w:eastAsia="id-ID"/>
              </w:rPr>
            </w:pPr>
            <w:r>
              <w:rPr>
                <w:color w:val="000000"/>
                <w:sz w:val="20"/>
                <w:szCs w:val="20"/>
                <w:lang w:eastAsia="id-ID"/>
              </w:rPr>
              <w:t>(47,1%)</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9D24073">
            <w:pPr>
              <w:jc w:val="center"/>
              <w:rPr>
                <w:color w:val="000000"/>
                <w:sz w:val="20"/>
                <w:szCs w:val="20"/>
                <w:lang w:eastAsia="id-ID"/>
              </w:rPr>
            </w:pPr>
            <w:r>
              <w:rPr>
                <w:color w:val="000000"/>
                <w:sz w:val="20"/>
                <w:szCs w:val="20"/>
                <w:lang w:eastAsia="id-ID"/>
              </w:rPr>
              <w:t>25</w:t>
            </w:r>
          </w:p>
          <w:p w14:paraId="1EE21F4B">
            <w:pPr>
              <w:jc w:val="center"/>
              <w:rPr>
                <w:color w:val="000000"/>
                <w:sz w:val="20"/>
                <w:szCs w:val="20"/>
                <w:lang w:eastAsia="id-ID"/>
              </w:rPr>
            </w:pPr>
            <w:r>
              <w:rPr>
                <w:color w:val="000000"/>
                <w:sz w:val="20"/>
                <w:szCs w:val="20"/>
                <w:lang w:eastAsia="id-ID"/>
              </w:rPr>
              <w:t>(35,7%)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EE6F4B0">
            <w:pPr>
              <w:jc w:val="center"/>
              <w:rPr>
                <w:color w:val="000000"/>
                <w:sz w:val="20"/>
                <w:szCs w:val="20"/>
                <w:lang w:eastAsia="id-ID"/>
              </w:rPr>
            </w:pPr>
            <w:r>
              <w:rPr>
                <w:color w:val="000000"/>
                <w:sz w:val="20"/>
                <w:szCs w:val="20"/>
                <w:lang w:eastAsia="id-ID"/>
              </w:rPr>
              <w:t>0,871</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33094922">
            <w:pPr>
              <w:jc w:val="center"/>
              <w:rPr>
                <w:color w:val="000000"/>
                <w:sz w:val="20"/>
                <w:szCs w:val="20"/>
                <w:lang w:eastAsia="id-ID"/>
              </w:rPr>
            </w:pPr>
            <w:r>
              <w:rPr>
                <w:color w:val="000000"/>
                <w:sz w:val="20"/>
                <w:szCs w:val="20"/>
                <w:lang w:eastAsia="id-ID"/>
              </w:rPr>
              <w:t>4,10</w:t>
            </w:r>
          </w:p>
        </w:tc>
      </w:tr>
      <w:tr w14:paraId="43E617F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6FD17A67">
            <w:pPr>
              <w:autoSpaceDE w:val="0"/>
              <w:autoSpaceDN w:val="0"/>
              <w:adjustRightInd w:val="0"/>
              <w:jc w:val="both"/>
              <w:rPr>
                <w:b w:val="0"/>
                <w:bCs/>
                <w:color w:val="000000"/>
                <w:sz w:val="20"/>
                <w:szCs w:val="20"/>
                <w:lang w:val="en-US"/>
              </w:rPr>
            </w:pPr>
            <w:r>
              <w:rPr>
                <w:b w:val="0"/>
                <w:bCs/>
                <w:color w:val="000000"/>
                <w:sz w:val="20"/>
                <w:szCs w:val="20"/>
                <w:lang w:val="en-US"/>
              </w:rPr>
              <w:t>Saya akan mengisi SPT dengan benar</w:t>
            </w:r>
          </w:p>
        </w:tc>
        <w:tc>
          <w:tcPr>
            <w:tcW w:w="918" w:type="dxa"/>
            <w:vAlign w:val="center"/>
          </w:tcPr>
          <w:p w14:paraId="0246B73E">
            <w:pPr>
              <w:jc w:val="center"/>
              <w:rPr>
                <w:color w:val="000000"/>
                <w:sz w:val="20"/>
                <w:szCs w:val="20"/>
                <w:lang w:eastAsia="id-ID"/>
              </w:rPr>
            </w:pPr>
            <w:r>
              <w:rPr>
                <w:color w:val="000000"/>
                <w:sz w:val="20"/>
                <w:szCs w:val="20"/>
                <w:lang w:eastAsia="id-ID"/>
              </w:rPr>
              <w:t>1</w:t>
            </w:r>
          </w:p>
          <w:p w14:paraId="74A5C18D">
            <w:pPr>
              <w:jc w:val="center"/>
              <w:rPr>
                <w:color w:val="000000"/>
                <w:sz w:val="20"/>
                <w:szCs w:val="20"/>
                <w:lang w:eastAsia="id-ID"/>
              </w:rPr>
            </w:pPr>
            <w:r>
              <w:rPr>
                <w:color w:val="000000"/>
                <w:sz w:val="20"/>
                <w:szCs w:val="20"/>
                <w:lang w:eastAsia="id-ID"/>
              </w:rPr>
              <w:t>(1,4%)</w:t>
            </w:r>
          </w:p>
        </w:tc>
        <w:tc>
          <w:tcPr>
            <w:tcW w:w="951" w:type="dxa"/>
            <w:vAlign w:val="center"/>
          </w:tcPr>
          <w:p w14:paraId="38A2ACAB">
            <w:pPr>
              <w:jc w:val="center"/>
              <w:rPr>
                <w:color w:val="000000"/>
                <w:sz w:val="20"/>
                <w:szCs w:val="20"/>
                <w:lang w:eastAsia="id-ID"/>
              </w:rPr>
            </w:pPr>
            <w:r>
              <w:rPr>
                <w:color w:val="000000"/>
                <w:sz w:val="20"/>
                <w:szCs w:val="20"/>
                <w:lang w:eastAsia="id-ID"/>
              </w:rPr>
              <w:t>2</w:t>
            </w:r>
          </w:p>
          <w:p w14:paraId="3D334816">
            <w:pPr>
              <w:jc w:val="center"/>
              <w:rPr>
                <w:color w:val="000000"/>
                <w:sz w:val="20"/>
                <w:szCs w:val="20"/>
                <w:lang w:eastAsia="id-ID"/>
              </w:rPr>
            </w:pPr>
            <w:r>
              <w:rPr>
                <w:color w:val="000000"/>
                <w:sz w:val="20"/>
                <w:szCs w:val="20"/>
                <w:lang w:eastAsia="id-ID"/>
              </w:rPr>
              <w:t>(2,9%)</w:t>
            </w:r>
          </w:p>
        </w:tc>
        <w:tc>
          <w:tcPr>
            <w:tcW w:w="0" w:type="auto"/>
            <w:vAlign w:val="center"/>
          </w:tcPr>
          <w:p w14:paraId="21115D50">
            <w:pPr>
              <w:jc w:val="center"/>
              <w:rPr>
                <w:color w:val="000000"/>
                <w:sz w:val="20"/>
                <w:szCs w:val="20"/>
                <w:lang w:eastAsia="id-ID"/>
              </w:rPr>
            </w:pPr>
            <w:r>
              <w:rPr>
                <w:color w:val="000000"/>
                <w:sz w:val="20"/>
                <w:szCs w:val="20"/>
                <w:lang w:eastAsia="id-ID"/>
              </w:rPr>
              <w:t>11</w:t>
            </w:r>
          </w:p>
          <w:p w14:paraId="0B7CB091">
            <w:pPr>
              <w:jc w:val="center"/>
              <w:rPr>
                <w:color w:val="000000"/>
                <w:sz w:val="20"/>
                <w:szCs w:val="20"/>
                <w:lang w:eastAsia="id-ID"/>
              </w:rPr>
            </w:pPr>
            <w:r>
              <w:rPr>
                <w:color w:val="000000"/>
                <w:sz w:val="20"/>
                <w:szCs w:val="20"/>
                <w:lang w:eastAsia="id-ID"/>
              </w:rPr>
              <w:t>(15,7%)</w:t>
            </w:r>
          </w:p>
        </w:tc>
        <w:tc>
          <w:tcPr>
            <w:tcW w:w="0" w:type="auto"/>
            <w:vAlign w:val="center"/>
          </w:tcPr>
          <w:p w14:paraId="668EC8BC">
            <w:pPr>
              <w:jc w:val="center"/>
              <w:rPr>
                <w:color w:val="000000"/>
                <w:sz w:val="20"/>
                <w:szCs w:val="20"/>
                <w:lang w:eastAsia="id-ID"/>
              </w:rPr>
            </w:pPr>
            <w:r>
              <w:rPr>
                <w:color w:val="000000"/>
                <w:sz w:val="20"/>
                <w:szCs w:val="20"/>
                <w:lang w:eastAsia="id-ID"/>
              </w:rPr>
              <w:t>31</w:t>
            </w:r>
          </w:p>
          <w:p w14:paraId="6C799B60">
            <w:pPr>
              <w:jc w:val="center"/>
              <w:rPr>
                <w:color w:val="000000"/>
                <w:sz w:val="20"/>
                <w:szCs w:val="20"/>
                <w:lang w:eastAsia="id-ID"/>
              </w:rPr>
            </w:pPr>
            <w:r>
              <w:rPr>
                <w:color w:val="000000"/>
                <w:sz w:val="20"/>
                <w:szCs w:val="20"/>
                <w:lang w:eastAsia="id-ID"/>
              </w:rPr>
              <w:t>(44,3%)</w:t>
            </w:r>
          </w:p>
        </w:tc>
        <w:tc>
          <w:tcPr>
            <w:tcW w:w="0" w:type="auto"/>
            <w:vAlign w:val="center"/>
          </w:tcPr>
          <w:p w14:paraId="5FBACA01">
            <w:pPr>
              <w:jc w:val="center"/>
              <w:rPr>
                <w:color w:val="000000"/>
                <w:sz w:val="20"/>
                <w:szCs w:val="20"/>
                <w:lang w:eastAsia="id-ID"/>
              </w:rPr>
            </w:pPr>
            <w:r>
              <w:rPr>
                <w:color w:val="000000"/>
                <w:sz w:val="20"/>
                <w:szCs w:val="20"/>
                <w:lang w:eastAsia="id-ID"/>
              </w:rPr>
              <w:t>25</w:t>
            </w:r>
          </w:p>
          <w:p w14:paraId="4EE31A86">
            <w:pPr>
              <w:jc w:val="center"/>
              <w:rPr>
                <w:color w:val="000000"/>
                <w:sz w:val="20"/>
                <w:szCs w:val="20"/>
                <w:lang w:eastAsia="id-ID"/>
              </w:rPr>
            </w:pPr>
            <w:r>
              <w:rPr>
                <w:color w:val="000000"/>
                <w:sz w:val="20"/>
                <w:szCs w:val="20"/>
                <w:lang w:eastAsia="id-ID"/>
              </w:rPr>
              <w:t>(35,7%)</w:t>
            </w:r>
          </w:p>
        </w:tc>
        <w:tc>
          <w:tcPr>
            <w:tcW w:w="0" w:type="auto"/>
            <w:vAlign w:val="center"/>
          </w:tcPr>
          <w:p w14:paraId="6FC4C2E4">
            <w:pPr>
              <w:jc w:val="center"/>
              <w:rPr>
                <w:color w:val="000000"/>
                <w:sz w:val="20"/>
                <w:szCs w:val="20"/>
                <w:lang w:eastAsia="id-ID"/>
              </w:rPr>
            </w:pPr>
            <w:r>
              <w:rPr>
                <w:color w:val="000000"/>
                <w:sz w:val="20"/>
                <w:szCs w:val="20"/>
                <w:lang w:eastAsia="id-ID"/>
              </w:rPr>
              <w:t>0,948</w:t>
            </w:r>
          </w:p>
        </w:tc>
        <w:tc>
          <w:tcPr>
            <w:tcW w:w="836" w:type="dxa"/>
            <w:vAlign w:val="center"/>
          </w:tcPr>
          <w:p w14:paraId="63D49A81">
            <w:pPr>
              <w:jc w:val="center"/>
              <w:rPr>
                <w:color w:val="000000"/>
                <w:sz w:val="20"/>
                <w:szCs w:val="20"/>
                <w:lang w:eastAsia="id-ID"/>
              </w:rPr>
            </w:pPr>
            <w:r>
              <w:rPr>
                <w:color w:val="000000"/>
                <w:sz w:val="20"/>
                <w:szCs w:val="20"/>
                <w:lang w:eastAsia="id-ID"/>
              </w:rPr>
              <w:t>4,00</w:t>
            </w:r>
          </w:p>
        </w:tc>
      </w:tr>
      <w:tr w14:paraId="7E7586D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46299501">
            <w:pPr>
              <w:autoSpaceDE w:val="0"/>
              <w:autoSpaceDN w:val="0"/>
              <w:adjustRightInd w:val="0"/>
              <w:jc w:val="both"/>
              <w:rPr>
                <w:b w:val="0"/>
                <w:bCs/>
                <w:sz w:val="20"/>
                <w:szCs w:val="20"/>
                <w:lang w:val="en-US"/>
              </w:rPr>
            </w:pPr>
            <w:r>
              <w:rPr>
                <w:b w:val="0"/>
                <w:bCs/>
                <w:sz w:val="20"/>
                <w:szCs w:val="20"/>
                <w:lang w:val="en-US"/>
              </w:rPr>
              <w:t>Saya akan menyetorkan surat pemberitahuan (SPT) dengan tepat waktu</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0053408C">
            <w:pPr>
              <w:jc w:val="center"/>
              <w:rPr>
                <w:color w:val="000000"/>
                <w:sz w:val="20"/>
                <w:szCs w:val="20"/>
                <w:lang w:eastAsia="id-ID"/>
              </w:rPr>
            </w:pPr>
            <w:r>
              <w:rPr>
                <w:color w:val="000000"/>
                <w:sz w:val="20"/>
                <w:szCs w:val="20"/>
                <w:lang w:eastAsia="id-ID"/>
              </w:rPr>
              <w:t>1</w:t>
            </w:r>
          </w:p>
          <w:p w14:paraId="58C6EDD7">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0B65C9B9">
            <w:pPr>
              <w:jc w:val="center"/>
              <w:rPr>
                <w:color w:val="000000"/>
                <w:sz w:val="20"/>
                <w:szCs w:val="20"/>
                <w:lang w:eastAsia="id-ID"/>
              </w:rPr>
            </w:pPr>
            <w:r>
              <w:rPr>
                <w:color w:val="000000"/>
                <w:sz w:val="20"/>
                <w:szCs w:val="20"/>
                <w:lang w:eastAsia="id-ID"/>
              </w:rPr>
              <w:t>4</w:t>
            </w:r>
          </w:p>
          <w:p w14:paraId="587786C6">
            <w:pPr>
              <w:jc w:val="center"/>
              <w:rPr>
                <w:color w:val="000000"/>
                <w:sz w:val="20"/>
                <w:szCs w:val="20"/>
                <w:lang w:eastAsia="id-ID"/>
              </w:rPr>
            </w:pPr>
            <w:r>
              <w:rPr>
                <w:color w:val="000000"/>
                <w:sz w:val="20"/>
                <w:szCs w:val="20"/>
                <w:lang w:eastAsia="id-ID"/>
              </w:rPr>
              <w:t>(5,7%)</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60A6A78">
            <w:pPr>
              <w:jc w:val="center"/>
              <w:rPr>
                <w:color w:val="000000"/>
                <w:sz w:val="20"/>
                <w:szCs w:val="20"/>
                <w:lang w:eastAsia="id-ID"/>
              </w:rPr>
            </w:pPr>
            <w:r>
              <w:rPr>
                <w:color w:val="000000"/>
                <w:sz w:val="20"/>
                <w:szCs w:val="20"/>
                <w:lang w:eastAsia="id-ID"/>
              </w:rPr>
              <w:t>13</w:t>
            </w:r>
          </w:p>
          <w:p w14:paraId="142AB416">
            <w:pPr>
              <w:jc w:val="center"/>
              <w:rPr>
                <w:color w:val="000000"/>
                <w:sz w:val="20"/>
                <w:szCs w:val="20"/>
                <w:lang w:eastAsia="id-ID"/>
              </w:rPr>
            </w:pPr>
            <w:r>
              <w:rPr>
                <w:color w:val="000000"/>
                <w:sz w:val="20"/>
                <w:szCs w:val="20"/>
                <w:lang w:eastAsia="id-ID"/>
              </w:rPr>
              <w:t>(18,6%)</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5BF62470">
            <w:pPr>
              <w:jc w:val="center"/>
              <w:rPr>
                <w:color w:val="000000"/>
                <w:sz w:val="20"/>
                <w:szCs w:val="20"/>
                <w:lang w:eastAsia="id-ID"/>
              </w:rPr>
            </w:pPr>
            <w:r>
              <w:rPr>
                <w:color w:val="000000"/>
                <w:sz w:val="20"/>
                <w:szCs w:val="20"/>
                <w:lang w:eastAsia="id-ID"/>
              </w:rPr>
              <w:t>28</w:t>
            </w:r>
          </w:p>
          <w:p w14:paraId="734CAB1D">
            <w:pPr>
              <w:jc w:val="center"/>
              <w:rPr>
                <w:color w:val="000000"/>
                <w:sz w:val="20"/>
                <w:szCs w:val="20"/>
                <w:lang w:eastAsia="id-ID"/>
              </w:rPr>
            </w:pPr>
            <w:r>
              <w:rPr>
                <w:color w:val="000000"/>
                <w:sz w:val="20"/>
                <w:szCs w:val="20"/>
                <w:lang w:eastAsia="id-ID"/>
              </w:rPr>
              <w:t>(40,0%)</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75E91E43">
            <w:pPr>
              <w:jc w:val="center"/>
              <w:rPr>
                <w:color w:val="000000"/>
                <w:sz w:val="20"/>
                <w:szCs w:val="20"/>
                <w:lang w:eastAsia="id-ID"/>
              </w:rPr>
            </w:pPr>
            <w:r>
              <w:rPr>
                <w:color w:val="000000"/>
                <w:sz w:val="20"/>
                <w:szCs w:val="20"/>
                <w:lang w:eastAsia="id-ID"/>
              </w:rPr>
              <w:t>24</w:t>
            </w:r>
          </w:p>
          <w:p w14:paraId="249D2B32">
            <w:pPr>
              <w:jc w:val="center"/>
              <w:rPr>
                <w:color w:val="000000"/>
                <w:sz w:val="20"/>
                <w:szCs w:val="20"/>
                <w:lang w:eastAsia="id-ID"/>
              </w:rPr>
            </w:pPr>
            <w:r>
              <w:rPr>
                <w:color w:val="000000"/>
                <w:sz w:val="20"/>
                <w:szCs w:val="20"/>
                <w:lang w:eastAsia="id-ID"/>
              </w:rPr>
              <w:t>(34,3%)</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4FC77DEE">
            <w:pPr>
              <w:jc w:val="center"/>
              <w:rPr>
                <w:color w:val="000000"/>
                <w:sz w:val="20"/>
                <w:szCs w:val="20"/>
                <w:lang w:eastAsia="id-ID"/>
              </w:rPr>
            </w:pPr>
            <w:r>
              <w:rPr>
                <w:color w:val="000000"/>
                <w:sz w:val="20"/>
                <w:szCs w:val="20"/>
                <w:lang w:eastAsia="id-ID"/>
              </w:rPr>
              <w:t>0,875</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75EF247A">
            <w:pPr>
              <w:jc w:val="center"/>
              <w:rPr>
                <w:color w:val="000000"/>
                <w:sz w:val="20"/>
                <w:szCs w:val="20"/>
                <w:lang w:eastAsia="id-ID"/>
              </w:rPr>
            </w:pPr>
            <w:r>
              <w:rPr>
                <w:color w:val="000000"/>
                <w:sz w:val="20"/>
                <w:szCs w:val="20"/>
                <w:lang w:eastAsia="id-ID"/>
              </w:rPr>
              <w:t>4,04</w:t>
            </w:r>
          </w:p>
        </w:tc>
      </w:tr>
      <w:tr w14:paraId="0528E2A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47EAD589">
            <w:pPr>
              <w:autoSpaceDE w:val="0"/>
              <w:autoSpaceDN w:val="0"/>
              <w:adjustRightInd w:val="0"/>
              <w:jc w:val="both"/>
              <w:rPr>
                <w:b w:val="0"/>
                <w:bCs/>
                <w:sz w:val="20"/>
                <w:szCs w:val="20"/>
                <w:lang w:val="en-US"/>
              </w:rPr>
            </w:pPr>
            <w:r>
              <w:rPr>
                <w:b w:val="0"/>
                <w:bCs/>
                <w:sz w:val="20"/>
                <w:szCs w:val="20"/>
                <w:lang w:val="en-US"/>
              </w:rPr>
              <w:t>Jika saya melakukan keterlambatan dalam menyetorkan SPT akan mendapatkan sanksi sesuai dengan ketentuan pajak</w:t>
            </w:r>
          </w:p>
        </w:tc>
        <w:tc>
          <w:tcPr>
            <w:tcW w:w="918" w:type="dxa"/>
            <w:vAlign w:val="center"/>
          </w:tcPr>
          <w:p w14:paraId="33F45F0E">
            <w:pPr>
              <w:jc w:val="center"/>
              <w:rPr>
                <w:color w:val="000000"/>
                <w:sz w:val="20"/>
                <w:szCs w:val="20"/>
                <w:lang w:eastAsia="id-ID"/>
              </w:rPr>
            </w:pPr>
            <w:r>
              <w:rPr>
                <w:color w:val="000000"/>
                <w:sz w:val="20"/>
                <w:szCs w:val="20"/>
                <w:lang w:eastAsia="id-ID"/>
              </w:rPr>
              <w:t>0</w:t>
            </w:r>
          </w:p>
          <w:p w14:paraId="48EF9E11">
            <w:pPr>
              <w:jc w:val="center"/>
              <w:rPr>
                <w:color w:val="000000"/>
                <w:sz w:val="20"/>
                <w:szCs w:val="20"/>
                <w:lang w:eastAsia="id-ID"/>
              </w:rPr>
            </w:pPr>
            <w:r>
              <w:rPr>
                <w:color w:val="000000"/>
                <w:sz w:val="20"/>
                <w:szCs w:val="20"/>
                <w:lang w:eastAsia="id-ID"/>
              </w:rPr>
              <w:t>(0,0%)</w:t>
            </w:r>
          </w:p>
        </w:tc>
        <w:tc>
          <w:tcPr>
            <w:tcW w:w="951" w:type="dxa"/>
            <w:vAlign w:val="center"/>
          </w:tcPr>
          <w:p w14:paraId="3DCD6EB5">
            <w:pPr>
              <w:jc w:val="center"/>
              <w:rPr>
                <w:color w:val="000000"/>
                <w:sz w:val="20"/>
                <w:szCs w:val="20"/>
                <w:lang w:eastAsia="id-ID"/>
              </w:rPr>
            </w:pPr>
            <w:r>
              <w:rPr>
                <w:color w:val="000000"/>
                <w:sz w:val="20"/>
                <w:szCs w:val="20"/>
                <w:lang w:eastAsia="id-ID"/>
              </w:rPr>
              <w:t>4</w:t>
            </w:r>
          </w:p>
          <w:p w14:paraId="05E30CC0">
            <w:pPr>
              <w:jc w:val="center"/>
              <w:rPr>
                <w:color w:val="000000"/>
                <w:sz w:val="20"/>
                <w:szCs w:val="20"/>
                <w:lang w:eastAsia="id-ID"/>
              </w:rPr>
            </w:pPr>
            <w:r>
              <w:rPr>
                <w:color w:val="000000"/>
                <w:sz w:val="20"/>
                <w:szCs w:val="20"/>
                <w:lang w:eastAsia="id-ID"/>
              </w:rPr>
              <w:t>(5,7%)</w:t>
            </w:r>
          </w:p>
        </w:tc>
        <w:tc>
          <w:tcPr>
            <w:tcW w:w="0" w:type="auto"/>
            <w:vAlign w:val="center"/>
          </w:tcPr>
          <w:p w14:paraId="2C8BC2A8">
            <w:pPr>
              <w:jc w:val="center"/>
              <w:rPr>
                <w:color w:val="000000"/>
                <w:sz w:val="20"/>
                <w:szCs w:val="20"/>
                <w:lang w:eastAsia="id-ID"/>
              </w:rPr>
            </w:pPr>
            <w:r>
              <w:rPr>
                <w:color w:val="000000"/>
                <w:sz w:val="20"/>
                <w:szCs w:val="20"/>
                <w:lang w:eastAsia="id-ID"/>
              </w:rPr>
              <w:t>13</w:t>
            </w:r>
          </w:p>
          <w:p w14:paraId="64F6F73C">
            <w:pPr>
              <w:jc w:val="center"/>
              <w:rPr>
                <w:color w:val="000000"/>
                <w:sz w:val="20"/>
                <w:szCs w:val="20"/>
                <w:lang w:eastAsia="id-ID"/>
              </w:rPr>
            </w:pPr>
            <w:r>
              <w:rPr>
                <w:color w:val="000000"/>
                <w:sz w:val="20"/>
                <w:szCs w:val="20"/>
                <w:lang w:eastAsia="id-ID"/>
              </w:rPr>
              <w:t>(18,6%)</w:t>
            </w:r>
          </w:p>
        </w:tc>
        <w:tc>
          <w:tcPr>
            <w:tcW w:w="0" w:type="auto"/>
            <w:vAlign w:val="center"/>
          </w:tcPr>
          <w:p w14:paraId="708EA1D8">
            <w:pPr>
              <w:jc w:val="center"/>
              <w:rPr>
                <w:color w:val="000000"/>
                <w:sz w:val="20"/>
                <w:szCs w:val="20"/>
                <w:lang w:eastAsia="id-ID"/>
              </w:rPr>
            </w:pPr>
            <w:r>
              <w:rPr>
                <w:color w:val="000000"/>
                <w:sz w:val="20"/>
                <w:szCs w:val="20"/>
                <w:lang w:eastAsia="id-ID"/>
              </w:rPr>
              <w:t>29</w:t>
            </w:r>
          </w:p>
          <w:p w14:paraId="38FC430B">
            <w:pPr>
              <w:jc w:val="center"/>
              <w:rPr>
                <w:color w:val="000000"/>
                <w:sz w:val="20"/>
                <w:szCs w:val="20"/>
                <w:lang w:eastAsia="id-ID"/>
              </w:rPr>
            </w:pPr>
            <w:r>
              <w:rPr>
                <w:color w:val="000000"/>
                <w:sz w:val="20"/>
                <w:szCs w:val="20"/>
                <w:lang w:eastAsia="id-ID"/>
              </w:rPr>
              <w:t>(41,4%)</w:t>
            </w:r>
          </w:p>
        </w:tc>
        <w:tc>
          <w:tcPr>
            <w:tcW w:w="0" w:type="auto"/>
            <w:vAlign w:val="center"/>
          </w:tcPr>
          <w:p w14:paraId="038796FB">
            <w:pPr>
              <w:jc w:val="center"/>
              <w:rPr>
                <w:color w:val="000000"/>
                <w:sz w:val="20"/>
                <w:szCs w:val="20"/>
                <w:lang w:eastAsia="id-ID"/>
              </w:rPr>
            </w:pPr>
            <w:r>
              <w:rPr>
                <w:color w:val="000000"/>
                <w:sz w:val="20"/>
                <w:szCs w:val="20"/>
                <w:lang w:eastAsia="id-ID"/>
              </w:rPr>
              <w:t>24</w:t>
            </w:r>
          </w:p>
          <w:p w14:paraId="5DEDBCC8">
            <w:pPr>
              <w:jc w:val="center"/>
              <w:rPr>
                <w:color w:val="000000"/>
                <w:sz w:val="20"/>
                <w:szCs w:val="20"/>
                <w:lang w:eastAsia="id-ID"/>
              </w:rPr>
            </w:pPr>
            <w:r>
              <w:rPr>
                <w:color w:val="000000"/>
                <w:sz w:val="20"/>
                <w:szCs w:val="20"/>
                <w:lang w:eastAsia="id-ID"/>
              </w:rPr>
              <w:t>(34,3%)</w:t>
            </w:r>
          </w:p>
        </w:tc>
        <w:tc>
          <w:tcPr>
            <w:tcW w:w="0" w:type="auto"/>
            <w:vAlign w:val="center"/>
          </w:tcPr>
          <w:p w14:paraId="0F90B13A">
            <w:pPr>
              <w:jc w:val="center"/>
              <w:rPr>
                <w:color w:val="000000"/>
                <w:sz w:val="20"/>
                <w:szCs w:val="20"/>
                <w:lang w:eastAsia="id-ID"/>
              </w:rPr>
            </w:pPr>
            <w:r>
              <w:rPr>
                <w:color w:val="000000"/>
                <w:sz w:val="20"/>
                <w:szCs w:val="20"/>
                <w:lang w:eastAsia="id-ID"/>
              </w:rPr>
              <w:t>0,837</w:t>
            </w:r>
          </w:p>
        </w:tc>
        <w:tc>
          <w:tcPr>
            <w:tcW w:w="836" w:type="dxa"/>
            <w:vAlign w:val="center"/>
          </w:tcPr>
          <w:p w14:paraId="4CA98235">
            <w:pPr>
              <w:jc w:val="center"/>
              <w:rPr>
                <w:color w:val="000000"/>
                <w:sz w:val="20"/>
                <w:szCs w:val="20"/>
                <w:lang w:eastAsia="id-ID"/>
              </w:rPr>
            </w:pPr>
            <w:r>
              <w:rPr>
                <w:color w:val="000000"/>
                <w:sz w:val="20"/>
                <w:szCs w:val="20"/>
                <w:lang w:eastAsia="id-ID"/>
              </w:rPr>
              <w:t>4,10</w:t>
            </w:r>
          </w:p>
        </w:tc>
      </w:tr>
      <w:tr w14:paraId="2E5EE7D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Borders>
              <w:top w:val="single" w:color="7E7E7E" w:themeColor="text1" w:themeTint="80" w:sz="4" w:space="0"/>
              <w:bottom w:val="single" w:color="7E7E7E" w:themeColor="text1" w:themeTint="80" w:sz="4" w:space="0"/>
              <w:insideH w:val="single" w:sz="4" w:space="0"/>
            </w:tcBorders>
          </w:tcPr>
          <w:p w14:paraId="1EF81544">
            <w:pPr>
              <w:autoSpaceDE w:val="0"/>
              <w:autoSpaceDN w:val="0"/>
              <w:adjustRightInd w:val="0"/>
              <w:jc w:val="both"/>
              <w:rPr>
                <w:b w:val="0"/>
                <w:bCs/>
                <w:color w:val="000000"/>
                <w:sz w:val="20"/>
                <w:szCs w:val="20"/>
                <w:lang w:val="en-US"/>
              </w:rPr>
            </w:pPr>
            <w:r>
              <w:rPr>
                <w:b w:val="0"/>
                <w:bCs/>
                <w:color w:val="000000"/>
                <w:sz w:val="20"/>
                <w:szCs w:val="20"/>
                <w:lang w:val="en-US"/>
              </w:rPr>
              <w:t>Saya memahami adanya SPT Masa, Tahunan, dan Tahunan Badan</w:t>
            </w:r>
          </w:p>
        </w:tc>
        <w:tc>
          <w:tcPr>
            <w:tcW w:w="918" w:type="dxa"/>
            <w:tcBorders>
              <w:top w:val="single" w:color="7E7E7E" w:themeColor="text1" w:themeTint="80" w:sz="4" w:space="0"/>
              <w:bottom w:val="single" w:color="7E7E7E" w:themeColor="text1" w:themeTint="80" w:sz="4" w:space="0"/>
              <w:insideH w:val="single" w:sz="4" w:space="0"/>
            </w:tcBorders>
            <w:vAlign w:val="center"/>
          </w:tcPr>
          <w:p w14:paraId="0E222D9B">
            <w:pPr>
              <w:jc w:val="center"/>
              <w:rPr>
                <w:color w:val="000000"/>
                <w:sz w:val="20"/>
                <w:szCs w:val="20"/>
                <w:lang w:eastAsia="id-ID"/>
              </w:rPr>
            </w:pPr>
            <w:r>
              <w:rPr>
                <w:color w:val="000000"/>
                <w:sz w:val="20"/>
                <w:szCs w:val="20"/>
                <w:lang w:eastAsia="id-ID"/>
              </w:rPr>
              <w:t>1</w:t>
            </w:r>
          </w:p>
          <w:p w14:paraId="6CEF8A17">
            <w:pPr>
              <w:jc w:val="center"/>
              <w:rPr>
                <w:color w:val="000000"/>
                <w:sz w:val="20"/>
                <w:szCs w:val="20"/>
                <w:lang w:eastAsia="id-ID"/>
              </w:rPr>
            </w:pPr>
            <w:r>
              <w:rPr>
                <w:color w:val="000000"/>
                <w:sz w:val="20"/>
                <w:szCs w:val="20"/>
                <w:lang w:eastAsia="id-ID"/>
              </w:rPr>
              <w:t>(1,4%)</w:t>
            </w:r>
          </w:p>
        </w:tc>
        <w:tc>
          <w:tcPr>
            <w:tcW w:w="951" w:type="dxa"/>
            <w:tcBorders>
              <w:top w:val="single" w:color="7E7E7E" w:themeColor="text1" w:themeTint="80" w:sz="4" w:space="0"/>
              <w:bottom w:val="single" w:color="7E7E7E" w:themeColor="text1" w:themeTint="80" w:sz="4" w:space="0"/>
              <w:insideH w:val="single" w:sz="4" w:space="0"/>
            </w:tcBorders>
            <w:vAlign w:val="center"/>
          </w:tcPr>
          <w:p w14:paraId="207A9192">
            <w:pPr>
              <w:jc w:val="center"/>
              <w:rPr>
                <w:color w:val="000000"/>
                <w:sz w:val="20"/>
                <w:szCs w:val="20"/>
                <w:lang w:eastAsia="id-ID"/>
              </w:rPr>
            </w:pPr>
            <w:r>
              <w:rPr>
                <w:color w:val="000000"/>
                <w:sz w:val="20"/>
                <w:szCs w:val="20"/>
                <w:lang w:eastAsia="id-ID"/>
              </w:rPr>
              <w:t>2</w:t>
            </w:r>
          </w:p>
          <w:p w14:paraId="06B9F077">
            <w:pPr>
              <w:jc w:val="center"/>
              <w:rPr>
                <w:color w:val="000000"/>
                <w:sz w:val="20"/>
                <w:szCs w:val="20"/>
                <w:lang w:eastAsia="id-ID"/>
              </w:rPr>
            </w:pPr>
            <w:r>
              <w:rPr>
                <w:color w:val="000000"/>
                <w:sz w:val="20"/>
                <w:szCs w:val="20"/>
                <w:lang w:eastAsia="id-ID"/>
              </w:rPr>
              <w:t>(2,9%)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69005B4">
            <w:pPr>
              <w:jc w:val="center"/>
              <w:rPr>
                <w:color w:val="000000"/>
                <w:sz w:val="20"/>
                <w:szCs w:val="20"/>
                <w:lang w:eastAsia="id-ID"/>
              </w:rPr>
            </w:pPr>
            <w:r>
              <w:rPr>
                <w:color w:val="000000"/>
                <w:sz w:val="20"/>
                <w:szCs w:val="20"/>
                <w:lang w:eastAsia="id-ID"/>
              </w:rPr>
              <w:t>9</w:t>
            </w:r>
          </w:p>
          <w:p w14:paraId="094312E6">
            <w:pPr>
              <w:jc w:val="center"/>
              <w:rPr>
                <w:color w:val="000000"/>
                <w:sz w:val="20"/>
                <w:szCs w:val="20"/>
                <w:lang w:eastAsia="id-ID"/>
              </w:rPr>
            </w:pPr>
            <w:r>
              <w:rPr>
                <w:color w:val="000000"/>
                <w:sz w:val="20"/>
                <w:szCs w:val="20"/>
                <w:lang w:eastAsia="id-ID"/>
              </w:rPr>
              <w:t>(12,9%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2942B9C1">
            <w:pPr>
              <w:jc w:val="center"/>
              <w:rPr>
                <w:color w:val="000000"/>
                <w:sz w:val="20"/>
                <w:szCs w:val="20"/>
                <w:lang w:eastAsia="id-ID"/>
              </w:rPr>
            </w:pPr>
            <w:r>
              <w:rPr>
                <w:color w:val="000000"/>
                <w:sz w:val="20"/>
                <w:szCs w:val="20"/>
                <w:lang w:eastAsia="id-ID"/>
              </w:rPr>
              <w:t>35</w:t>
            </w:r>
          </w:p>
          <w:p w14:paraId="5F244B23">
            <w:pPr>
              <w:jc w:val="center"/>
              <w:rPr>
                <w:color w:val="000000"/>
                <w:sz w:val="20"/>
                <w:szCs w:val="20"/>
                <w:lang w:eastAsia="id-ID"/>
              </w:rPr>
            </w:pPr>
            <w:r>
              <w:rPr>
                <w:color w:val="000000"/>
                <w:sz w:val="20"/>
                <w:szCs w:val="20"/>
                <w:lang w:eastAsia="id-ID"/>
              </w:rPr>
              <w:t>(50,0%)</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6AF12ADC">
            <w:pPr>
              <w:jc w:val="center"/>
              <w:rPr>
                <w:color w:val="000000"/>
                <w:sz w:val="20"/>
                <w:szCs w:val="20"/>
                <w:lang w:eastAsia="id-ID"/>
              </w:rPr>
            </w:pPr>
            <w:r>
              <w:rPr>
                <w:color w:val="000000"/>
                <w:sz w:val="20"/>
                <w:szCs w:val="20"/>
                <w:lang w:eastAsia="id-ID"/>
              </w:rPr>
              <w:t>23</w:t>
            </w:r>
          </w:p>
          <w:p w14:paraId="2CBCE473">
            <w:pPr>
              <w:jc w:val="center"/>
              <w:rPr>
                <w:color w:val="000000"/>
                <w:sz w:val="20"/>
                <w:szCs w:val="20"/>
                <w:lang w:eastAsia="id-ID"/>
              </w:rPr>
            </w:pPr>
            <w:r>
              <w:rPr>
                <w:color w:val="000000"/>
                <w:sz w:val="20"/>
                <w:szCs w:val="20"/>
                <w:lang w:eastAsia="id-ID"/>
              </w:rPr>
              <w:t>(32,9%)</w:t>
            </w:r>
          </w:p>
        </w:tc>
        <w:tc>
          <w:tcPr>
            <w:tcW w:w="0" w:type="auto"/>
            <w:tcBorders>
              <w:top w:val="single" w:color="7E7E7E" w:themeColor="text1" w:themeTint="80" w:sz="4" w:space="0"/>
              <w:bottom w:val="single" w:color="7E7E7E" w:themeColor="text1" w:themeTint="80" w:sz="4" w:space="0"/>
              <w:insideH w:val="single" w:sz="4" w:space="0"/>
            </w:tcBorders>
            <w:vAlign w:val="center"/>
          </w:tcPr>
          <w:p w14:paraId="3EFD1285">
            <w:pPr>
              <w:jc w:val="center"/>
              <w:rPr>
                <w:color w:val="000000"/>
                <w:sz w:val="20"/>
                <w:szCs w:val="20"/>
                <w:lang w:eastAsia="id-ID"/>
              </w:rPr>
            </w:pPr>
            <w:r>
              <w:rPr>
                <w:color w:val="000000"/>
                <w:sz w:val="20"/>
                <w:szCs w:val="20"/>
                <w:lang w:eastAsia="id-ID"/>
              </w:rPr>
              <w:t>0,892</w:t>
            </w:r>
          </w:p>
        </w:tc>
        <w:tc>
          <w:tcPr>
            <w:tcW w:w="836" w:type="dxa"/>
            <w:tcBorders>
              <w:top w:val="single" w:color="7E7E7E" w:themeColor="text1" w:themeTint="80" w:sz="4" w:space="0"/>
              <w:bottom w:val="single" w:color="7E7E7E" w:themeColor="text1" w:themeTint="80" w:sz="4" w:space="0"/>
              <w:insideH w:val="single" w:sz="4" w:space="0"/>
            </w:tcBorders>
            <w:vAlign w:val="center"/>
          </w:tcPr>
          <w:p w14:paraId="65171A51">
            <w:pPr>
              <w:jc w:val="center"/>
              <w:rPr>
                <w:color w:val="000000"/>
                <w:sz w:val="20"/>
                <w:szCs w:val="20"/>
                <w:lang w:eastAsia="id-ID"/>
              </w:rPr>
            </w:pPr>
            <w:r>
              <w:rPr>
                <w:color w:val="000000"/>
                <w:sz w:val="20"/>
                <w:szCs w:val="20"/>
                <w:lang w:eastAsia="id-ID"/>
              </w:rPr>
              <w:t>4,04</w:t>
            </w:r>
          </w:p>
        </w:tc>
      </w:tr>
      <w:tr w14:paraId="022284A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0" w:type="auto"/>
          </w:tcPr>
          <w:p w14:paraId="7741F1B9">
            <w:pPr>
              <w:autoSpaceDE w:val="0"/>
              <w:autoSpaceDN w:val="0"/>
              <w:adjustRightInd w:val="0"/>
              <w:jc w:val="both"/>
              <w:rPr>
                <w:b w:val="0"/>
                <w:bCs/>
                <w:sz w:val="20"/>
                <w:szCs w:val="20"/>
                <w:lang w:val="en-US"/>
              </w:rPr>
            </w:pPr>
            <w:r>
              <w:rPr>
                <w:b w:val="0"/>
                <w:bCs/>
                <w:sz w:val="20"/>
                <w:szCs w:val="20"/>
                <w:lang w:val="en-US"/>
              </w:rPr>
              <w:t xml:space="preserve">Saya mengetahui adanya sanksi perpajakan </w:t>
            </w:r>
          </w:p>
        </w:tc>
        <w:tc>
          <w:tcPr>
            <w:tcW w:w="918" w:type="dxa"/>
            <w:vAlign w:val="center"/>
          </w:tcPr>
          <w:p w14:paraId="2C21FCF5">
            <w:pPr>
              <w:jc w:val="center"/>
              <w:rPr>
                <w:color w:val="000000"/>
                <w:sz w:val="20"/>
                <w:szCs w:val="20"/>
                <w:lang w:eastAsia="id-ID"/>
              </w:rPr>
            </w:pPr>
            <w:r>
              <w:rPr>
                <w:color w:val="000000"/>
                <w:sz w:val="20"/>
                <w:szCs w:val="20"/>
                <w:lang w:eastAsia="id-ID"/>
              </w:rPr>
              <w:t>1</w:t>
            </w:r>
          </w:p>
          <w:p w14:paraId="7864A63B">
            <w:pPr>
              <w:jc w:val="center"/>
              <w:rPr>
                <w:color w:val="000000"/>
                <w:sz w:val="20"/>
                <w:szCs w:val="20"/>
                <w:lang w:eastAsia="id-ID"/>
              </w:rPr>
            </w:pPr>
            <w:r>
              <w:rPr>
                <w:color w:val="000000"/>
                <w:sz w:val="20"/>
                <w:szCs w:val="20"/>
                <w:lang w:eastAsia="id-ID"/>
              </w:rPr>
              <w:t>(1,4%)</w:t>
            </w:r>
          </w:p>
        </w:tc>
        <w:tc>
          <w:tcPr>
            <w:tcW w:w="951" w:type="dxa"/>
            <w:vAlign w:val="center"/>
          </w:tcPr>
          <w:p w14:paraId="10D202D8">
            <w:pPr>
              <w:jc w:val="center"/>
              <w:rPr>
                <w:color w:val="000000"/>
                <w:sz w:val="20"/>
                <w:szCs w:val="20"/>
                <w:lang w:eastAsia="id-ID"/>
              </w:rPr>
            </w:pPr>
            <w:r>
              <w:rPr>
                <w:color w:val="000000"/>
                <w:sz w:val="20"/>
                <w:szCs w:val="20"/>
                <w:lang w:eastAsia="id-ID"/>
              </w:rPr>
              <w:t>4</w:t>
            </w:r>
          </w:p>
          <w:p w14:paraId="300FFB92">
            <w:pPr>
              <w:jc w:val="center"/>
              <w:rPr>
                <w:color w:val="000000"/>
                <w:sz w:val="20"/>
                <w:szCs w:val="20"/>
                <w:lang w:eastAsia="id-ID"/>
              </w:rPr>
            </w:pPr>
            <w:r>
              <w:rPr>
                <w:color w:val="000000"/>
                <w:sz w:val="20"/>
                <w:szCs w:val="20"/>
                <w:lang w:eastAsia="id-ID"/>
              </w:rPr>
              <w:t>(5,7%)</w:t>
            </w:r>
          </w:p>
        </w:tc>
        <w:tc>
          <w:tcPr>
            <w:tcW w:w="0" w:type="auto"/>
            <w:vAlign w:val="center"/>
          </w:tcPr>
          <w:p w14:paraId="5CFB0150">
            <w:pPr>
              <w:jc w:val="center"/>
              <w:rPr>
                <w:color w:val="000000"/>
                <w:sz w:val="20"/>
                <w:szCs w:val="20"/>
                <w:lang w:eastAsia="id-ID"/>
              </w:rPr>
            </w:pPr>
            <w:r>
              <w:rPr>
                <w:color w:val="000000"/>
                <w:sz w:val="20"/>
                <w:szCs w:val="20"/>
                <w:lang w:eastAsia="id-ID"/>
              </w:rPr>
              <w:t>8</w:t>
            </w:r>
          </w:p>
          <w:p w14:paraId="54FDCD25">
            <w:pPr>
              <w:jc w:val="center"/>
              <w:rPr>
                <w:color w:val="000000"/>
                <w:sz w:val="20"/>
                <w:szCs w:val="20"/>
                <w:lang w:eastAsia="id-ID"/>
              </w:rPr>
            </w:pPr>
            <w:r>
              <w:rPr>
                <w:color w:val="000000"/>
                <w:sz w:val="20"/>
                <w:szCs w:val="20"/>
                <w:lang w:eastAsia="id-ID"/>
              </w:rPr>
              <w:t>(11,4%)</w:t>
            </w:r>
          </w:p>
        </w:tc>
        <w:tc>
          <w:tcPr>
            <w:tcW w:w="0" w:type="auto"/>
            <w:vAlign w:val="center"/>
          </w:tcPr>
          <w:p w14:paraId="3D117119">
            <w:pPr>
              <w:jc w:val="center"/>
              <w:rPr>
                <w:color w:val="000000"/>
                <w:sz w:val="20"/>
                <w:szCs w:val="20"/>
                <w:lang w:eastAsia="id-ID"/>
              </w:rPr>
            </w:pPr>
            <w:r>
              <w:rPr>
                <w:color w:val="000000"/>
                <w:sz w:val="20"/>
                <w:szCs w:val="20"/>
                <w:lang w:eastAsia="id-ID"/>
              </w:rPr>
              <w:t>35</w:t>
            </w:r>
          </w:p>
          <w:p w14:paraId="53D74CBC">
            <w:pPr>
              <w:jc w:val="center"/>
              <w:rPr>
                <w:color w:val="000000"/>
                <w:sz w:val="20"/>
                <w:szCs w:val="20"/>
                <w:lang w:eastAsia="id-ID"/>
              </w:rPr>
            </w:pPr>
            <w:r>
              <w:rPr>
                <w:color w:val="000000"/>
                <w:sz w:val="20"/>
                <w:szCs w:val="20"/>
                <w:lang w:eastAsia="id-ID"/>
              </w:rPr>
              <w:t>(50,0%)</w:t>
            </w:r>
          </w:p>
        </w:tc>
        <w:tc>
          <w:tcPr>
            <w:tcW w:w="0" w:type="auto"/>
            <w:vAlign w:val="center"/>
          </w:tcPr>
          <w:p w14:paraId="3E78651A">
            <w:pPr>
              <w:jc w:val="center"/>
              <w:rPr>
                <w:color w:val="000000"/>
                <w:sz w:val="20"/>
                <w:szCs w:val="20"/>
                <w:lang w:eastAsia="id-ID"/>
              </w:rPr>
            </w:pPr>
            <w:r>
              <w:rPr>
                <w:color w:val="000000"/>
                <w:sz w:val="20"/>
                <w:szCs w:val="20"/>
                <w:lang w:eastAsia="id-ID"/>
              </w:rPr>
              <w:t>22</w:t>
            </w:r>
          </w:p>
          <w:p w14:paraId="2767775C">
            <w:pPr>
              <w:jc w:val="center"/>
              <w:rPr>
                <w:color w:val="000000"/>
                <w:sz w:val="20"/>
                <w:szCs w:val="20"/>
                <w:lang w:eastAsia="id-ID"/>
              </w:rPr>
            </w:pPr>
            <w:r>
              <w:rPr>
                <w:color w:val="000000"/>
                <w:sz w:val="20"/>
                <w:szCs w:val="20"/>
                <w:lang w:eastAsia="id-ID"/>
              </w:rPr>
              <w:t>(31,4%)</w:t>
            </w:r>
          </w:p>
        </w:tc>
        <w:tc>
          <w:tcPr>
            <w:tcW w:w="0" w:type="auto"/>
            <w:vAlign w:val="center"/>
          </w:tcPr>
          <w:p w14:paraId="242A8391">
            <w:pPr>
              <w:jc w:val="center"/>
              <w:rPr>
                <w:color w:val="000000"/>
                <w:sz w:val="20"/>
                <w:szCs w:val="20"/>
                <w:lang w:eastAsia="id-ID"/>
              </w:rPr>
            </w:pPr>
            <w:r>
              <w:rPr>
                <w:color w:val="000000"/>
                <w:sz w:val="20"/>
                <w:szCs w:val="20"/>
                <w:lang w:eastAsia="id-ID"/>
              </w:rPr>
              <w:t>0,867</w:t>
            </w:r>
          </w:p>
        </w:tc>
        <w:tc>
          <w:tcPr>
            <w:tcW w:w="836" w:type="dxa"/>
            <w:vAlign w:val="center"/>
          </w:tcPr>
          <w:p w14:paraId="794A29BC">
            <w:pPr>
              <w:jc w:val="center"/>
              <w:rPr>
                <w:color w:val="000000"/>
                <w:sz w:val="20"/>
                <w:szCs w:val="20"/>
                <w:lang w:eastAsia="id-ID"/>
              </w:rPr>
            </w:pPr>
            <w:r>
              <w:rPr>
                <w:color w:val="000000"/>
                <w:sz w:val="20"/>
                <w:szCs w:val="20"/>
                <w:lang w:eastAsia="id-ID"/>
              </w:rPr>
              <w:t>3,87</w:t>
            </w:r>
          </w:p>
        </w:tc>
      </w:tr>
    </w:tbl>
    <w:p w14:paraId="6B2AF3EF">
      <w:pPr>
        <w:pStyle w:val="16"/>
        <w:spacing w:line="480" w:lineRule="auto"/>
        <w:jc w:val="both"/>
      </w:pPr>
      <w:r>
        <w:t>Sumber : Hasil Penelitian, 2025</w:t>
      </w:r>
    </w:p>
    <w:p w14:paraId="69CC3D4E">
      <w:pPr>
        <w:pStyle w:val="16"/>
        <w:spacing w:line="480" w:lineRule="auto"/>
        <w:ind w:firstLine="720"/>
        <w:jc w:val="both"/>
      </w:pPr>
      <w:r>
        <w:t xml:space="preserve">Berikut ini adalah keterangan terkait Tabel 4.6 hasil jawaban responden </w:t>
      </w:r>
      <w:r>
        <w:rPr>
          <w:rStyle w:val="18"/>
          <w:rFonts w:eastAsiaTheme="majorEastAsia"/>
          <w:b w:val="0"/>
          <w:bCs w:val="0"/>
        </w:rPr>
        <w:t>variabel Kepatuhan Wajib Pajak</w:t>
      </w:r>
      <w:r>
        <w:t>:</w:t>
      </w:r>
    </w:p>
    <w:p w14:paraId="09B3E985">
      <w:pPr>
        <w:pStyle w:val="16"/>
        <w:numPr>
          <w:ilvl w:val="0"/>
          <w:numId w:val="8"/>
        </w:numPr>
        <w:spacing w:line="480" w:lineRule="auto"/>
        <w:jc w:val="both"/>
      </w:pPr>
      <w:r>
        <w:rPr>
          <w:rStyle w:val="18"/>
          <w:rFonts w:eastAsiaTheme="majorEastAsia"/>
          <w:b w:val="0"/>
          <w:bCs w:val="0"/>
        </w:rPr>
        <w:t>Pernyataan: Sebagai wajib pajak harus mengetahui bahwa pajak ditetapkan undang-undang dan bersifat memaksa</w:t>
      </w:r>
      <w:r>
        <w:t xml:space="preserve"> sebanyak 45,7% responden setuju dan 28,6% sangat setuju dengan pernyataan ini. Nilai mean sebesar 3,94 menunjukkan bahwa mayoritas pelaku UMKM menyadari bahwa pajak merupakan kewajiban hukum yang tidak dapat dihindari.</w:t>
      </w:r>
    </w:p>
    <w:p w14:paraId="1C189D44">
      <w:pPr>
        <w:pStyle w:val="16"/>
        <w:numPr>
          <w:ilvl w:val="0"/>
          <w:numId w:val="8"/>
        </w:numPr>
        <w:spacing w:line="480" w:lineRule="auto"/>
        <w:jc w:val="both"/>
      </w:pPr>
      <w:r>
        <w:rPr>
          <w:rStyle w:val="18"/>
          <w:rFonts w:eastAsiaTheme="majorEastAsia"/>
          <w:b w:val="0"/>
          <w:bCs w:val="0"/>
        </w:rPr>
        <w:t>Pernyataan: Saya akan membayar pajak tepat pada waktunya</w:t>
      </w:r>
      <w:r>
        <w:t xml:space="preserve"> terdapat 50,0% responden yang setuju dan 28,6% sangat setuju untuk membayar pajak tepat waktu. Mean 3,99 menunjukkan tingkat kepatuhan yang tinggi dalam hal ketepatan waktu pembayaran pajak.</w:t>
      </w:r>
    </w:p>
    <w:p w14:paraId="6A870970">
      <w:pPr>
        <w:pStyle w:val="16"/>
        <w:numPr>
          <w:ilvl w:val="0"/>
          <w:numId w:val="8"/>
        </w:numPr>
        <w:spacing w:line="480" w:lineRule="auto"/>
        <w:jc w:val="both"/>
      </w:pPr>
      <w:r>
        <w:rPr>
          <w:rStyle w:val="18"/>
          <w:rFonts w:eastAsiaTheme="majorEastAsia"/>
          <w:b w:val="0"/>
          <w:bCs w:val="0"/>
        </w:rPr>
        <w:t>Pernyataan: Saya akan melaporkan diri sebagai wajib pajak</w:t>
      </w:r>
      <w:r>
        <w:t xml:space="preserve"> sebanyak 48,6% responden setuju dan 31,4% sangat setuju akan melaporkan diri sebagai wajib pajak, meskipun terdapat 14,3% yang kurang setuju. Nilai mean 3,70 menunjukkan kepatuhan yang cukup, namun masih terdapat sebagian kecil yang belum sepenuhnya sadar pentingnya pelaporan.</w:t>
      </w:r>
    </w:p>
    <w:p w14:paraId="2C6D2205">
      <w:pPr>
        <w:pStyle w:val="16"/>
        <w:numPr>
          <w:ilvl w:val="0"/>
          <w:numId w:val="8"/>
        </w:numPr>
        <w:spacing w:line="480" w:lineRule="auto"/>
        <w:jc w:val="both"/>
      </w:pPr>
      <w:r>
        <w:rPr>
          <w:rStyle w:val="18"/>
          <w:rFonts w:eastAsiaTheme="majorEastAsia"/>
          <w:b w:val="0"/>
          <w:bCs w:val="0"/>
        </w:rPr>
        <w:t>Pernyataan: Sebagai seorang wajib pajak mempunyai kewajiban kepemilikan NPWP</w:t>
      </w:r>
      <w:r>
        <w:t>, 32,9% responden setuju dan 24,3% sangat setuju bahwa memiliki NPWP adalah kewajiban. Mean 4,13 menunjukkan tingkat pemahaman yang tinggi terhadap kepemilikan NPWP di kalangan UMKM.</w:t>
      </w:r>
    </w:p>
    <w:p w14:paraId="711A087E">
      <w:pPr>
        <w:pStyle w:val="16"/>
        <w:numPr>
          <w:ilvl w:val="0"/>
          <w:numId w:val="8"/>
        </w:numPr>
        <w:spacing w:line="480" w:lineRule="auto"/>
        <w:jc w:val="both"/>
      </w:pPr>
      <w:r>
        <w:rPr>
          <w:rStyle w:val="18"/>
          <w:rFonts w:eastAsiaTheme="majorEastAsia"/>
          <w:b w:val="0"/>
          <w:bCs w:val="0"/>
        </w:rPr>
        <w:t>Pernyataan: Kepatuhan untuk menyetorkan kembali Surat Pemberitahuan (SPT)</w:t>
      </w:r>
      <w:r>
        <w:t xml:space="preserve"> sebanyak 47,1% responden setuju dan 35,7% sangat setuju untuk menyetorkan SPT. Nilai mean 4,10 mencerminkan kepatuhan yang kuat terhadap kewajiban penyetoran SPT.</w:t>
      </w:r>
    </w:p>
    <w:p w14:paraId="0B388F5A">
      <w:pPr>
        <w:pStyle w:val="16"/>
        <w:numPr>
          <w:ilvl w:val="0"/>
          <w:numId w:val="8"/>
        </w:numPr>
        <w:spacing w:line="480" w:lineRule="auto"/>
        <w:jc w:val="both"/>
      </w:pPr>
      <w:r>
        <w:rPr>
          <w:rStyle w:val="18"/>
          <w:rFonts w:eastAsiaTheme="majorEastAsia"/>
          <w:b w:val="0"/>
          <w:bCs w:val="0"/>
        </w:rPr>
        <w:t>Pernyataan: Saya akan mengisi SPT dengan benar</w:t>
      </w:r>
      <w:r>
        <w:t xml:space="preserve"> mayoritas responden setuju (44,3%) dan sangat setuju (35,7%) bahwa mereka akan mengisi SPT dengan benar. Mean 4,00 menunjukkan tingkat kesadaran yang tinggi akan pentingnya keakuratan pelaporan pajak.</w:t>
      </w:r>
    </w:p>
    <w:p w14:paraId="1C1B0B87">
      <w:pPr>
        <w:pStyle w:val="16"/>
        <w:numPr>
          <w:ilvl w:val="0"/>
          <w:numId w:val="8"/>
        </w:numPr>
        <w:spacing w:line="480" w:lineRule="auto"/>
        <w:jc w:val="both"/>
      </w:pPr>
      <w:r>
        <w:rPr>
          <w:rStyle w:val="18"/>
          <w:rFonts w:eastAsiaTheme="majorEastAsia"/>
          <w:b w:val="0"/>
          <w:bCs w:val="0"/>
        </w:rPr>
        <w:t>Pernyataan: Saya akan menyetorkan Surat Pemberitahuan (SPT) dengan tepat waktu</w:t>
      </w:r>
      <w:r>
        <w:t>, responden yang setuju sebesar 40,0% dan sangat setuju 34,3%. Mean 4,04 menunjukkan bahwa pelaku UMKM cenderung taat waktu dalam menyampaikan SPT.</w:t>
      </w:r>
    </w:p>
    <w:p w14:paraId="336C8469">
      <w:pPr>
        <w:pStyle w:val="16"/>
        <w:numPr>
          <w:ilvl w:val="0"/>
          <w:numId w:val="8"/>
        </w:numPr>
        <w:spacing w:line="480" w:lineRule="auto"/>
        <w:jc w:val="both"/>
      </w:pPr>
      <w:r>
        <w:rPr>
          <w:rStyle w:val="18"/>
          <w:rFonts w:eastAsiaTheme="majorEastAsia"/>
          <w:b w:val="0"/>
          <w:bCs w:val="0"/>
        </w:rPr>
        <w:t>Pernyataan: Jika saya melakukan keterlambatan dalam menyetorkan SPT akan mendapatkan sanksi sesuai dengan ketentuan pajak</w:t>
      </w:r>
      <w:r>
        <w:t>, tanggapan setuju sebesar 41,4% dan sangat setuju 34,3% menunjukkan bahwa para wajib pajak sadar akan risiko sanksi akibat keterlambatan. Nilai mean 4,10 menegaskan bahwa pemahaman terhadap konsekuensi hukum cukup tinggi.</w:t>
      </w:r>
    </w:p>
    <w:p w14:paraId="4730AC1A">
      <w:pPr>
        <w:pStyle w:val="16"/>
        <w:numPr>
          <w:ilvl w:val="0"/>
          <w:numId w:val="8"/>
        </w:numPr>
        <w:spacing w:line="480" w:lineRule="auto"/>
        <w:jc w:val="both"/>
      </w:pPr>
      <w:r>
        <w:rPr>
          <w:rStyle w:val="18"/>
          <w:rFonts w:eastAsiaTheme="majorEastAsia"/>
          <w:b w:val="0"/>
          <w:bCs w:val="0"/>
        </w:rPr>
        <w:t>Pernyataan: Saya memahami adanya SPT Masa, Tahunan, dan Tahunan Badan</w:t>
      </w:r>
      <w:r>
        <w:t xml:space="preserve"> dengan 50,0% responden setuju dan 32,9% sangat setuju, menunjukkan bahwa sebagian besar wajib pajak memahami jenis-jenis SPT yang ada. Mean 4,04 mencerminkan pemahaman yang baik terhadap kewajiban pelaporan perpajakan.</w:t>
      </w:r>
    </w:p>
    <w:p w14:paraId="4ACA9460">
      <w:pPr>
        <w:pStyle w:val="16"/>
        <w:numPr>
          <w:ilvl w:val="0"/>
          <w:numId w:val="8"/>
        </w:numPr>
        <w:spacing w:line="480" w:lineRule="auto"/>
        <w:jc w:val="both"/>
      </w:pPr>
      <w:r>
        <w:rPr>
          <w:rStyle w:val="18"/>
          <w:rFonts w:eastAsiaTheme="majorEastAsia"/>
          <w:b w:val="0"/>
          <w:bCs w:val="0"/>
        </w:rPr>
        <w:t>Pernyataan: Saya mengetahui adanya sanksi perpajakan</w:t>
      </w:r>
      <w:r>
        <w:t xml:space="preserve"> sebanyak 50,0% responden setuju dan 31,4% sangat setuju bahwa mereka mengetahui adanya sanksi perpajakan. Nilai mean 3,87 mengindikasikan tingkat kesadaran yang tinggi namun masih ada ruang peningkatan dalam penyuluhan pajak.</w:t>
      </w:r>
    </w:p>
    <w:p w14:paraId="25831028">
      <w:pPr>
        <w:pStyle w:val="16"/>
        <w:spacing w:line="480" w:lineRule="auto"/>
        <w:ind w:firstLine="720"/>
        <w:jc w:val="both"/>
      </w:pPr>
      <w:r>
        <w:t xml:space="preserve">Secara keseluruhan, data menunjukkan bahwa pelaku UMKM di Lubuk Pakam memiliki tingkat </w:t>
      </w:r>
      <w:r>
        <w:rPr>
          <w:rStyle w:val="18"/>
          <w:rFonts w:eastAsiaTheme="majorEastAsia"/>
          <w:b w:val="0"/>
          <w:bCs w:val="0"/>
        </w:rPr>
        <w:t>kepatuhan wajib pajak yang cukup tinggi</w:t>
      </w:r>
      <w:r>
        <w:t>, baik dalam hal kesadaran hukum, ketepatan waktu, maupun pemahaman administratif terkait SPT dan NPWP. Namun, masih ada sebagian kecil yang menunjukkan ketidakyakinan atau belum sepenuhnya paham, terutama dalam aspek pelaporan diri dan konsekuensi sanksi, yang dapat ditingkatkan melalui sosialisasi dan edukasi perpajakan yang lebih intensif.</w:t>
      </w:r>
    </w:p>
    <w:p w14:paraId="724EF7CC">
      <w:pPr>
        <w:pStyle w:val="16"/>
        <w:spacing w:line="480" w:lineRule="auto"/>
        <w:jc w:val="both"/>
        <w:rPr>
          <w:b/>
          <w:bCs/>
        </w:rPr>
      </w:pPr>
      <w:r>
        <w:rPr>
          <w:b/>
          <w:bCs/>
        </w:rPr>
        <w:t>4.3</w:t>
      </w:r>
      <w:r>
        <w:rPr>
          <w:b/>
          <w:bCs/>
        </w:rPr>
        <w:tab/>
      </w:r>
      <w:r>
        <w:rPr>
          <w:b/>
          <w:bCs/>
        </w:rPr>
        <w:t>Uji Deskriptif Data</w:t>
      </w:r>
    </w:p>
    <w:p w14:paraId="3A932C4A">
      <w:pPr>
        <w:pStyle w:val="16"/>
        <w:spacing w:line="480" w:lineRule="auto"/>
        <w:ind w:firstLine="720"/>
        <w:jc w:val="both"/>
      </w:pPr>
      <w:r>
        <w:t>Uji deskriptif data merupakan salah satu tahapan awal dalam analisis statistik yang bertujuan untuk memberikan gambaran umum mengenai karakteristik data penelitian yang telah dikumpulkan. Uji ini menyajikan ringkasan data melalui ukuran-ukuran statistik seperti nilai minimum, maksimum, rata-rata (mean), dan standar deviasi. Melalui uji deskriptif, peneliti dapat mengetahui sejauh mana sebaran data, kecenderungan sentral, serta keberagaman nilai dari masing-masing variabel penelitian. Oleh karena itu, uji deskriptif berperan penting dalam menjelaskan kondisi awal data dan membantu dalam interpretasi hasil penelitian secara lebih mendalam.</w:t>
      </w:r>
    </w:p>
    <w:p w14:paraId="61DD854E">
      <w:pPr>
        <w:jc w:val="center"/>
        <w:rPr>
          <w:b/>
          <w:bCs/>
        </w:rPr>
      </w:pPr>
      <w:r>
        <w:rPr>
          <w:b/>
          <w:bCs/>
        </w:rPr>
        <w:t>Tabel</w:t>
      </w:r>
      <w:r>
        <w:rPr>
          <w:b/>
          <w:bCs/>
          <w:spacing w:val="-4"/>
        </w:rPr>
        <w:t xml:space="preserve"> </w:t>
      </w:r>
      <w:r>
        <w:rPr>
          <w:b/>
          <w:bCs/>
        </w:rPr>
        <w:t>4.7</w:t>
      </w:r>
    </w:p>
    <w:p w14:paraId="60C3B751">
      <w:pPr>
        <w:pStyle w:val="16"/>
        <w:jc w:val="center"/>
      </w:pPr>
      <w:r>
        <w:rPr>
          <w:b/>
          <w:bCs/>
        </w:rPr>
        <w:t>Hasil</w:t>
      </w:r>
      <w:r>
        <w:rPr>
          <w:b/>
          <w:bCs/>
          <w:spacing w:val="-4"/>
        </w:rPr>
        <w:t xml:space="preserve"> </w:t>
      </w:r>
      <w:r>
        <w:rPr>
          <w:b/>
          <w:bCs/>
        </w:rPr>
        <w:t>Uji Deskriptif Data</w:t>
      </w:r>
    </w:p>
    <w:tbl>
      <w:tblPr>
        <w:tblStyle w:val="8"/>
        <w:tblW w:w="5000" w:type="pct"/>
        <w:jc w:val="center"/>
        <w:tblLayout w:type="fixed"/>
        <w:tblCellMar>
          <w:top w:w="0" w:type="dxa"/>
          <w:left w:w="0" w:type="dxa"/>
          <w:bottom w:w="0" w:type="dxa"/>
          <w:right w:w="0" w:type="dxa"/>
        </w:tblCellMar>
      </w:tblPr>
      <w:tblGrid>
        <w:gridCol w:w="930"/>
        <w:gridCol w:w="930"/>
        <w:gridCol w:w="1519"/>
        <w:gridCol w:w="1520"/>
        <w:gridCol w:w="1520"/>
        <w:gridCol w:w="1519"/>
      </w:tblGrid>
      <w:tr w14:paraId="7C7C0DF6">
        <w:tblPrEx>
          <w:tblCellMar>
            <w:top w:w="0" w:type="dxa"/>
            <w:left w:w="0" w:type="dxa"/>
            <w:bottom w:w="0" w:type="dxa"/>
            <w:right w:w="0" w:type="dxa"/>
          </w:tblCellMar>
        </w:tblPrEx>
        <w:trPr>
          <w:cantSplit/>
          <w:jc w:val="center"/>
        </w:trPr>
        <w:tc>
          <w:tcPr>
            <w:tcW w:w="7938" w:type="dxa"/>
            <w:gridSpan w:val="6"/>
            <w:tcBorders>
              <w:top w:val="nil"/>
              <w:left w:val="nil"/>
              <w:bottom w:val="nil"/>
              <w:right w:val="nil"/>
            </w:tcBorders>
            <w:shd w:val="clear" w:color="auto" w:fill="FFFFFF"/>
          </w:tcPr>
          <w:p w14:paraId="2B59395D">
            <w:pPr>
              <w:autoSpaceDE w:val="0"/>
              <w:autoSpaceDN w:val="0"/>
              <w:adjustRightInd w:val="0"/>
              <w:ind w:left="60" w:right="60"/>
              <w:jc w:val="center"/>
              <w:rPr>
                <w:rFonts w:eastAsiaTheme="minorHAnsi"/>
                <w:color w:val="010205"/>
                <w:sz w:val="20"/>
                <w:szCs w:val="20"/>
                <w:lang w:val="en-GB" w:eastAsia="en-US"/>
              </w:rPr>
            </w:pPr>
            <w:r>
              <w:rPr>
                <w:rFonts w:eastAsiaTheme="minorHAnsi"/>
                <w:b/>
                <w:bCs/>
                <w:color w:val="010205"/>
                <w:sz w:val="20"/>
                <w:szCs w:val="20"/>
                <w:lang w:val="en-GB" w:eastAsia="en-US"/>
              </w:rPr>
              <w:t>Statistics</w:t>
            </w:r>
          </w:p>
        </w:tc>
      </w:tr>
      <w:tr w14:paraId="54F56CE7">
        <w:tblPrEx>
          <w:tblCellMar>
            <w:top w:w="0" w:type="dxa"/>
            <w:left w:w="0" w:type="dxa"/>
            <w:bottom w:w="0" w:type="dxa"/>
            <w:right w:w="0" w:type="dxa"/>
          </w:tblCellMar>
        </w:tblPrEx>
        <w:trPr>
          <w:cantSplit/>
          <w:jc w:val="center"/>
        </w:trPr>
        <w:tc>
          <w:tcPr>
            <w:tcW w:w="1860" w:type="dxa"/>
            <w:gridSpan w:val="2"/>
            <w:tcBorders>
              <w:top w:val="nil"/>
              <w:left w:val="nil"/>
              <w:bottom w:val="single" w:color="152935" w:sz="8" w:space="0"/>
              <w:right w:val="nil"/>
            </w:tcBorders>
            <w:shd w:val="clear" w:color="auto" w:fill="FFFFFF"/>
          </w:tcPr>
          <w:p w14:paraId="1CE0431F">
            <w:pPr>
              <w:autoSpaceDE w:val="0"/>
              <w:autoSpaceDN w:val="0"/>
              <w:adjustRightInd w:val="0"/>
              <w:rPr>
                <w:rFonts w:eastAsiaTheme="minorHAnsi"/>
                <w:sz w:val="20"/>
                <w:szCs w:val="20"/>
                <w:lang w:val="en-GB" w:eastAsia="en-US"/>
              </w:rPr>
            </w:pPr>
          </w:p>
        </w:tc>
        <w:tc>
          <w:tcPr>
            <w:tcW w:w="1519" w:type="dxa"/>
            <w:tcBorders>
              <w:top w:val="nil"/>
              <w:left w:val="nil"/>
              <w:bottom w:val="single" w:color="152935" w:sz="8" w:space="0"/>
              <w:right w:val="single" w:color="E0E0E0" w:sz="8" w:space="0"/>
            </w:tcBorders>
            <w:shd w:val="clear" w:color="auto" w:fill="FFFFFF"/>
          </w:tcPr>
          <w:p w14:paraId="52919476">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Pemahaman Perpajakan</w:t>
            </w:r>
          </w:p>
        </w:tc>
        <w:tc>
          <w:tcPr>
            <w:tcW w:w="1520" w:type="dxa"/>
            <w:tcBorders>
              <w:top w:val="nil"/>
              <w:left w:val="single" w:color="E0E0E0" w:sz="8" w:space="0"/>
              <w:bottom w:val="single" w:color="152935" w:sz="8" w:space="0"/>
              <w:right w:val="single" w:color="E0E0E0" w:sz="8" w:space="0"/>
            </w:tcBorders>
            <w:shd w:val="clear" w:color="auto" w:fill="FFFFFF"/>
          </w:tcPr>
          <w:p w14:paraId="4B13F6BE">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Kesadaran Wajib Pajak</w:t>
            </w:r>
          </w:p>
        </w:tc>
        <w:tc>
          <w:tcPr>
            <w:tcW w:w="1520" w:type="dxa"/>
            <w:tcBorders>
              <w:top w:val="nil"/>
              <w:left w:val="single" w:color="E0E0E0" w:sz="8" w:space="0"/>
              <w:bottom w:val="single" w:color="152935" w:sz="8" w:space="0"/>
              <w:right w:val="single" w:color="E0E0E0" w:sz="8" w:space="0"/>
            </w:tcBorders>
            <w:shd w:val="clear" w:color="auto" w:fill="FFFFFF"/>
          </w:tcPr>
          <w:p w14:paraId="5842E9D1">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Penurunan Tarif Pajak PP No 23 Tahun 2018</w:t>
            </w:r>
          </w:p>
        </w:tc>
        <w:tc>
          <w:tcPr>
            <w:tcW w:w="1519" w:type="dxa"/>
            <w:tcBorders>
              <w:top w:val="nil"/>
              <w:left w:val="single" w:color="E0E0E0" w:sz="8" w:space="0"/>
              <w:bottom w:val="single" w:color="152935" w:sz="8" w:space="0"/>
              <w:right w:val="nil"/>
            </w:tcBorders>
            <w:shd w:val="clear" w:color="auto" w:fill="FFFFFF"/>
          </w:tcPr>
          <w:p w14:paraId="521D7C9E">
            <w:pPr>
              <w:autoSpaceDE w:val="0"/>
              <w:autoSpaceDN w:val="0"/>
              <w:adjustRightInd w:val="0"/>
              <w:ind w:left="60" w:right="60"/>
              <w:jc w:val="center"/>
              <w:rPr>
                <w:rFonts w:eastAsiaTheme="minorHAnsi"/>
                <w:color w:val="264A60"/>
                <w:sz w:val="20"/>
                <w:szCs w:val="20"/>
                <w:lang w:val="en-GB" w:eastAsia="en-US"/>
              </w:rPr>
            </w:pPr>
            <w:r>
              <w:rPr>
                <w:rFonts w:eastAsiaTheme="minorHAnsi"/>
                <w:color w:val="264A60"/>
                <w:sz w:val="20"/>
                <w:szCs w:val="20"/>
                <w:lang w:val="en-GB" w:eastAsia="en-US"/>
              </w:rPr>
              <w:t>Kepatuhan Wajib Pajak</w:t>
            </w:r>
          </w:p>
        </w:tc>
      </w:tr>
      <w:tr w14:paraId="3A64FE2F">
        <w:tblPrEx>
          <w:tblCellMar>
            <w:top w:w="0" w:type="dxa"/>
            <w:left w:w="0" w:type="dxa"/>
            <w:bottom w:w="0" w:type="dxa"/>
            <w:right w:w="0" w:type="dxa"/>
          </w:tblCellMar>
        </w:tblPrEx>
        <w:trPr>
          <w:cantSplit/>
          <w:jc w:val="center"/>
        </w:trPr>
        <w:tc>
          <w:tcPr>
            <w:tcW w:w="930" w:type="dxa"/>
            <w:vMerge w:val="restart"/>
            <w:tcBorders>
              <w:top w:val="single" w:color="152935" w:sz="8" w:space="0"/>
              <w:left w:val="nil"/>
              <w:bottom w:val="single" w:color="AEAEAE" w:sz="8" w:space="0"/>
              <w:right w:val="nil"/>
            </w:tcBorders>
            <w:shd w:val="clear" w:color="auto" w:fill="E0E0E0"/>
          </w:tcPr>
          <w:p w14:paraId="2A48FDAC">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N</w:t>
            </w:r>
          </w:p>
        </w:tc>
        <w:tc>
          <w:tcPr>
            <w:tcW w:w="930" w:type="dxa"/>
            <w:tcBorders>
              <w:top w:val="single" w:color="152935" w:sz="8" w:space="0"/>
              <w:left w:val="nil"/>
              <w:bottom w:val="single" w:color="AEAEAE" w:sz="8" w:space="0"/>
              <w:right w:val="nil"/>
            </w:tcBorders>
            <w:shd w:val="clear" w:color="auto" w:fill="E0E0E0"/>
          </w:tcPr>
          <w:p w14:paraId="05E277F4">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Valid</w:t>
            </w:r>
          </w:p>
        </w:tc>
        <w:tc>
          <w:tcPr>
            <w:tcW w:w="1519" w:type="dxa"/>
            <w:tcBorders>
              <w:top w:val="single" w:color="152935" w:sz="8" w:space="0"/>
              <w:left w:val="nil"/>
              <w:bottom w:val="single" w:color="AEAEAE" w:sz="8" w:space="0"/>
              <w:right w:val="single" w:color="E0E0E0" w:sz="8" w:space="0"/>
            </w:tcBorders>
            <w:shd w:val="clear" w:color="auto" w:fill="F9F9FB"/>
          </w:tcPr>
          <w:p w14:paraId="17E75C37">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20" w:type="dxa"/>
            <w:tcBorders>
              <w:top w:val="single" w:color="152935" w:sz="8" w:space="0"/>
              <w:left w:val="single" w:color="E0E0E0" w:sz="8" w:space="0"/>
              <w:bottom w:val="single" w:color="AEAEAE" w:sz="8" w:space="0"/>
              <w:right w:val="single" w:color="E0E0E0" w:sz="8" w:space="0"/>
            </w:tcBorders>
            <w:shd w:val="clear" w:color="auto" w:fill="F9F9FB"/>
          </w:tcPr>
          <w:p w14:paraId="1A3B3D4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20" w:type="dxa"/>
            <w:tcBorders>
              <w:top w:val="single" w:color="152935" w:sz="8" w:space="0"/>
              <w:left w:val="single" w:color="E0E0E0" w:sz="8" w:space="0"/>
              <w:bottom w:val="single" w:color="AEAEAE" w:sz="8" w:space="0"/>
              <w:right w:val="single" w:color="E0E0E0" w:sz="8" w:space="0"/>
            </w:tcBorders>
            <w:shd w:val="clear" w:color="auto" w:fill="F9F9FB"/>
          </w:tcPr>
          <w:p w14:paraId="1B8639E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c>
          <w:tcPr>
            <w:tcW w:w="1519" w:type="dxa"/>
            <w:tcBorders>
              <w:top w:val="single" w:color="152935" w:sz="8" w:space="0"/>
              <w:left w:val="single" w:color="E0E0E0" w:sz="8" w:space="0"/>
              <w:bottom w:val="single" w:color="AEAEAE" w:sz="8" w:space="0"/>
              <w:right w:val="nil"/>
            </w:tcBorders>
            <w:shd w:val="clear" w:color="auto" w:fill="F9F9FB"/>
          </w:tcPr>
          <w:p w14:paraId="012B2990">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w:t>
            </w:r>
          </w:p>
        </w:tc>
      </w:tr>
      <w:tr w14:paraId="3CB9B952">
        <w:tblPrEx>
          <w:tblCellMar>
            <w:top w:w="0" w:type="dxa"/>
            <w:left w:w="0" w:type="dxa"/>
            <w:bottom w:w="0" w:type="dxa"/>
            <w:right w:w="0" w:type="dxa"/>
          </w:tblCellMar>
        </w:tblPrEx>
        <w:trPr>
          <w:cantSplit/>
          <w:jc w:val="center"/>
        </w:trPr>
        <w:tc>
          <w:tcPr>
            <w:tcW w:w="930" w:type="dxa"/>
            <w:vMerge w:val="continue"/>
            <w:tcBorders>
              <w:top w:val="single" w:color="152935" w:sz="8" w:space="0"/>
              <w:left w:val="nil"/>
              <w:bottom w:val="single" w:color="AEAEAE" w:sz="8" w:space="0"/>
              <w:right w:val="nil"/>
            </w:tcBorders>
            <w:shd w:val="clear" w:color="auto" w:fill="E0E0E0"/>
          </w:tcPr>
          <w:p w14:paraId="3EAAF194">
            <w:pPr>
              <w:autoSpaceDE w:val="0"/>
              <w:autoSpaceDN w:val="0"/>
              <w:adjustRightInd w:val="0"/>
              <w:rPr>
                <w:rFonts w:eastAsiaTheme="minorHAnsi"/>
                <w:color w:val="010205"/>
                <w:sz w:val="20"/>
                <w:szCs w:val="20"/>
                <w:lang w:val="en-GB" w:eastAsia="en-US"/>
              </w:rPr>
            </w:pPr>
          </w:p>
        </w:tc>
        <w:tc>
          <w:tcPr>
            <w:tcW w:w="930" w:type="dxa"/>
            <w:tcBorders>
              <w:top w:val="single" w:color="AEAEAE" w:sz="8" w:space="0"/>
              <w:left w:val="nil"/>
              <w:bottom w:val="single" w:color="AEAEAE" w:sz="8" w:space="0"/>
              <w:right w:val="nil"/>
            </w:tcBorders>
            <w:shd w:val="clear" w:color="auto" w:fill="E0E0E0"/>
          </w:tcPr>
          <w:p w14:paraId="4F1BAF3D">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Missing</w:t>
            </w:r>
          </w:p>
        </w:tc>
        <w:tc>
          <w:tcPr>
            <w:tcW w:w="1519" w:type="dxa"/>
            <w:tcBorders>
              <w:top w:val="single" w:color="AEAEAE" w:sz="8" w:space="0"/>
              <w:left w:val="nil"/>
              <w:bottom w:val="single" w:color="AEAEAE" w:sz="8" w:space="0"/>
              <w:right w:val="single" w:color="E0E0E0" w:sz="8" w:space="0"/>
            </w:tcBorders>
            <w:shd w:val="clear" w:color="auto" w:fill="F9F9FB"/>
          </w:tcPr>
          <w:p w14:paraId="3F8058E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3ECE088">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51FD80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c>
          <w:tcPr>
            <w:tcW w:w="1519" w:type="dxa"/>
            <w:tcBorders>
              <w:top w:val="single" w:color="AEAEAE" w:sz="8" w:space="0"/>
              <w:left w:val="single" w:color="E0E0E0" w:sz="8" w:space="0"/>
              <w:bottom w:val="single" w:color="AEAEAE" w:sz="8" w:space="0"/>
              <w:right w:val="nil"/>
            </w:tcBorders>
            <w:shd w:val="clear" w:color="auto" w:fill="F9F9FB"/>
          </w:tcPr>
          <w:p w14:paraId="74CCD275">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0</w:t>
            </w:r>
          </w:p>
        </w:tc>
      </w:tr>
      <w:tr w14:paraId="1E3EDEE4">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FE28179">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Mean</w:t>
            </w:r>
          </w:p>
        </w:tc>
        <w:tc>
          <w:tcPr>
            <w:tcW w:w="1519" w:type="dxa"/>
            <w:tcBorders>
              <w:top w:val="single" w:color="AEAEAE" w:sz="8" w:space="0"/>
              <w:left w:val="nil"/>
              <w:bottom w:val="single" w:color="AEAEAE" w:sz="8" w:space="0"/>
              <w:right w:val="single" w:color="E0E0E0" w:sz="8" w:space="0"/>
            </w:tcBorders>
            <w:shd w:val="clear" w:color="auto" w:fill="F9F9FB"/>
          </w:tcPr>
          <w:p w14:paraId="5718700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48.23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7809114">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24.03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6BAF9D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23.83</w:t>
            </w:r>
          </w:p>
        </w:tc>
        <w:tc>
          <w:tcPr>
            <w:tcW w:w="1519" w:type="dxa"/>
            <w:tcBorders>
              <w:top w:val="single" w:color="AEAEAE" w:sz="8" w:space="0"/>
              <w:left w:val="single" w:color="E0E0E0" w:sz="8" w:space="0"/>
              <w:bottom w:val="single" w:color="AEAEAE" w:sz="8" w:space="0"/>
              <w:right w:val="nil"/>
            </w:tcBorders>
            <w:shd w:val="clear" w:color="auto" w:fill="F9F9FB"/>
          </w:tcPr>
          <w:p w14:paraId="48411E5F">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39.91</w:t>
            </w:r>
          </w:p>
        </w:tc>
      </w:tr>
      <w:tr w14:paraId="6638B096">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C43E6D2">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Std. Error of Mean</w:t>
            </w:r>
          </w:p>
        </w:tc>
        <w:tc>
          <w:tcPr>
            <w:tcW w:w="1519" w:type="dxa"/>
            <w:tcBorders>
              <w:top w:val="single" w:color="AEAEAE" w:sz="8" w:space="0"/>
              <w:left w:val="nil"/>
              <w:bottom w:val="single" w:color="AEAEAE" w:sz="8" w:space="0"/>
              <w:right w:val="single" w:color="E0E0E0" w:sz="8" w:space="0"/>
            </w:tcBorders>
            <w:shd w:val="clear" w:color="auto" w:fill="F9F9FB"/>
          </w:tcPr>
          <w:p w14:paraId="3BF0443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.595</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B8FB99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.343</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5A21133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.317</w:t>
            </w:r>
          </w:p>
        </w:tc>
        <w:tc>
          <w:tcPr>
            <w:tcW w:w="1519" w:type="dxa"/>
            <w:tcBorders>
              <w:top w:val="single" w:color="AEAEAE" w:sz="8" w:space="0"/>
              <w:left w:val="single" w:color="E0E0E0" w:sz="8" w:space="0"/>
              <w:bottom w:val="single" w:color="AEAEAE" w:sz="8" w:space="0"/>
              <w:right w:val="nil"/>
            </w:tcBorders>
            <w:shd w:val="clear" w:color="auto" w:fill="F9F9FB"/>
          </w:tcPr>
          <w:p w14:paraId="5C66A01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.503</w:t>
            </w:r>
          </w:p>
        </w:tc>
      </w:tr>
      <w:tr w14:paraId="77ECF20F">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47BB48BD">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Median</w:t>
            </w:r>
          </w:p>
        </w:tc>
        <w:tc>
          <w:tcPr>
            <w:tcW w:w="1519" w:type="dxa"/>
            <w:tcBorders>
              <w:top w:val="single" w:color="AEAEAE" w:sz="8" w:space="0"/>
              <w:left w:val="nil"/>
              <w:bottom w:val="single" w:color="AEAEAE" w:sz="8" w:space="0"/>
              <w:right w:val="single" w:color="E0E0E0" w:sz="8" w:space="0"/>
            </w:tcBorders>
            <w:shd w:val="clear" w:color="auto" w:fill="F9F9FB"/>
          </w:tcPr>
          <w:p w14:paraId="458324E7">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49.50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7E719A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25.00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70A08C3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25.00</w:t>
            </w:r>
          </w:p>
        </w:tc>
        <w:tc>
          <w:tcPr>
            <w:tcW w:w="1519" w:type="dxa"/>
            <w:tcBorders>
              <w:top w:val="single" w:color="AEAEAE" w:sz="8" w:space="0"/>
              <w:left w:val="single" w:color="E0E0E0" w:sz="8" w:space="0"/>
              <w:bottom w:val="single" w:color="AEAEAE" w:sz="8" w:space="0"/>
              <w:right w:val="nil"/>
            </w:tcBorders>
            <w:shd w:val="clear" w:color="auto" w:fill="F9F9FB"/>
          </w:tcPr>
          <w:p w14:paraId="4973FF2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41.00</w:t>
            </w:r>
          </w:p>
        </w:tc>
      </w:tr>
      <w:tr w14:paraId="60491BB1">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7359A75">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Mode</w:t>
            </w:r>
          </w:p>
        </w:tc>
        <w:tc>
          <w:tcPr>
            <w:tcW w:w="1519" w:type="dxa"/>
            <w:tcBorders>
              <w:top w:val="single" w:color="AEAEAE" w:sz="8" w:space="0"/>
              <w:left w:val="nil"/>
              <w:bottom w:val="single" w:color="AEAEAE" w:sz="8" w:space="0"/>
              <w:right w:val="single" w:color="E0E0E0" w:sz="8" w:space="0"/>
            </w:tcBorders>
            <w:shd w:val="clear" w:color="auto" w:fill="F9F9FB"/>
          </w:tcPr>
          <w:p w14:paraId="38FBA1C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51</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949661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6F5BD2FC">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25</w:t>
            </w:r>
          </w:p>
        </w:tc>
        <w:tc>
          <w:tcPr>
            <w:tcW w:w="1519" w:type="dxa"/>
            <w:tcBorders>
              <w:top w:val="single" w:color="AEAEAE" w:sz="8" w:space="0"/>
              <w:left w:val="single" w:color="E0E0E0" w:sz="8" w:space="0"/>
              <w:bottom w:val="single" w:color="AEAEAE" w:sz="8" w:space="0"/>
              <w:right w:val="nil"/>
            </w:tcBorders>
            <w:shd w:val="clear" w:color="auto" w:fill="F9F9FB"/>
          </w:tcPr>
          <w:p w14:paraId="7C48CF5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42</w:t>
            </w:r>
          </w:p>
        </w:tc>
      </w:tr>
      <w:tr w14:paraId="3FC909D6">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673BCBD3">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Std. Deviation</w:t>
            </w:r>
          </w:p>
        </w:tc>
        <w:tc>
          <w:tcPr>
            <w:tcW w:w="1519" w:type="dxa"/>
            <w:tcBorders>
              <w:top w:val="single" w:color="AEAEAE" w:sz="8" w:space="0"/>
              <w:left w:val="nil"/>
              <w:bottom w:val="single" w:color="AEAEAE" w:sz="8" w:space="0"/>
              <w:right w:val="single" w:color="E0E0E0" w:sz="8" w:space="0"/>
            </w:tcBorders>
            <w:shd w:val="clear" w:color="auto" w:fill="F9F9FB"/>
          </w:tcPr>
          <w:p w14:paraId="69871E40">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4.979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228194A1">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2.869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3FF756D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2.654</w:t>
            </w:r>
          </w:p>
        </w:tc>
        <w:tc>
          <w:tcPr>
            <w:tcW w:w="1519" w:type="dxa"/>
            <w:tcBorders>
              <w:top w:val="single" w:color="AEAEAE" w:sz="8" w:space="0"/>
              <w:left w:val="single" w:color="E0E0E0" w:sz="8" w:space="0"/>
              <w:bottom w:val="single" w:color="AEAEAE" w:sz="8" w:space="0"/>
              <w:right w:val="nil"/>
            </w:tcBorders>
            <w:shd w:val="clear" w:color="auto" w:fill="F9F9FB"/>
          </w:tcPr>
          <w:p w14:paraId="747468B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4.211</w:t>
            </w:r>
          </w:p>
        </w:tc>
      </w:tr>
      <w:tr w14:paraId="6D675F1A">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2E0F62B1">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Variance</w:t>
            </w:r>
          </w:p>
        </w:tc>
        <w:tc>
          <w:tcPr>
            <w:tcW w:w="1519" w:type="dxa"/>
            <w:tcBorders>
              <w:top w:val="single" w:color="AEAEAE" w:sz="8" w:space="0"/>
              <w:left w:val="nil"/>
              <w:bottom w:val="single" w:color="AEAEAE" w:sz="8" w:space="0"/>
              <w:right w:val="single" w:color="E0E0E0" w:sz="8" w:space="0"/>
            </w:tcBorders>
            <w:shd w:val="clear" w:color="auto" w:fill="F9F9FB"/>
          </w:tcPr>
          <w:p w14:paraId="5D794A8C">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24.788</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32AFF2C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8.231</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6B1F518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7.043</w:t>
            </w:r>
          </w:p>
        </w:tc>
        <w:tc>
          <w:tcPr>
            <w:tcW w:w="1519" w:type="dxa"/>
            <w:tcBorders>
              <w:top w:val="single" w:color="AEAEAE" w:sz="8" w:space="0"/>
              <w:left w:val="single" w:color="E0E0E0" w:sz="8" w:space="0"/>
              <w:bottom w:val="single" w:color="AEAEAE" w:sz="8" w:space="0"/>
              <w:right w:val="nil"/>
            </w:tcBorders>
            <w:shd w:val="clear" w:color="auto" w:fill="F9F9FB"/>
          </w:tcPr>
          <w:p w14:paraId="63AEC506">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17.732</w:t>
            </w:r>
          </w:p>
        </w:tc>
      </w:tr>
      <w:tr w14:paraId="4C001EAD">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17F3BC97">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Range</w:t>
            </w:r>
          </w:p>
        </w:tc>
        <w:tc>
          <w:tcPr>
            <w:tcW w:w="1519" w:type="dxa"/>
            <w:tcBorders>
              <w:top w:val="single" w:color="AEAEAE" w:sz="8" w:space="0"/>
              <w:left w:val="nil"/>
              <w:bottom w:val="single" w:color="AEAEAE" w:sz="8" w:space="0"/>
              <w:right w:val="single" w:color="E0E0E0" w:sz="8" w:space="0"/>
            </w:tcBorders>
            <w:shd w:val="clear" w:color="auto" w:fill="F9F9FB"/>
          </w:tcPr>
          <w:p w14:paraId="7347ABB4">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20</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7D7E1F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12</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087D81C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13</w:t>
            </w:r>
          </w:p>
        </w:tc>
        <w:tc>
          <w:tcPr>
            <w:tcW w:w="1519" w:type="dxa"/>
            <w:tcBorders>
              <w:top w:val="single" w:color="AEAEAE" w:sz="8" w:space="0"/>
              <w:left w:val="single" w:color="E0E0E0" w:sz="8" w:space="0"/>
              <w:bottom w:val="single" w:color="AEAEAE" w:sz="8" w:space="0"/>
              <w:right w:val="nil"/>
            </w:tcBorders>
            <w:shd w:val="clear" w:color="auto" w:fill="F9F9FB"/>
          </w:tcPr>
          <w:p w14:paraId="78A45361">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20</w:t>
            </w:r>
          </w:p>
        </w:tc>
      </w:tr>
      <w:tr w14:paraId="6A625141">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0492981F">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Minimum</w:t>
            </w:r>
          </w:p>
        </w:tc>
        <w:tc>
          <w:tcPr>
            <w:tcW w:w="1519" w:type="dxa"/>
            <w:tcBorders>
              <w:top w:val="single" w:color="AEAEAE" w:sz="8" w:space="0"/>
              <w:left w:val="nil"/>
              <w:bottom w:val="single" w:color="AEAEAE" w:sz="8" w:space="0"/>
              <w:right w:val="single" w:color="E0E0E0" w:sz="8" w:space="0"/>
            </w:tcBorders>
            <w:shd w:val="clear" w:color="auto" w:fill="F9F9FB"/>
          </w:tcPr>
          <w:p w14:paraId="60AEC16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36</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7E0D9C3E">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17</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60460CB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15</w:t>
            </w:r>
          </w:p>
        </w:tc>
        <w:tc>
          <w:tcPr>
            <w:tcW w:w="1519" w:type="dxa"/>
            <w:tcBorders>
              <w:top w:val="single" w:color="AEAEAE" w:sz="8" w:space="0"/>
              <w:left w:val="single" w:color="E0E0E0" w:sz="8" w:space="0"/>
              <w:bottom w:val="single" w:color="AEAEAE" w:sz="8" w:space="0"/>
              <w:right w:val="nil"/>
            </w:tcBorders>
            <w:shd w:val="clear" w:color="auto" w:fill="F9F9FB"/>
          </w:tcPr>
          <w:p w14:paraId="0587DD51">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w:t>
            </w:r>
          </w:p>
        </w:tc>
      </w:tr>
      <w:tr w14:paraId="234FED68">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AEAEAE" w:sz="8" w:space="0"/>
              <w:right w:val="nil"/>
            </w:tcBorders>
            <w:shd w:val="clear" w:color="auto" w:fill="E0E0E0"/>
          </w:tcPr>
          <w:p w14:paraId="3C8B1DA7">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Maximum</w:t>
            </w:r>
          </w:p>
        </w:tc>
        <w:tc>
          <w:tcPr>
            <w:tcW w:w="1519" w:type="dxa"/>
            <w:tcBorders>
              <w:top w:val="single" w:color="AEAEAE" w:sz="8" w:space="0"/>
              <w:left w:val="nil"/>
              <w:bottom w:val="single" w:color="AEAEAE" w:sz="8" w:space="0"/>
              <w:right w:val="single" w:color="E0E0E0" w:sz="8" w:space="0"/>
            </w:tcBorders>
            <w:shd w:val="clear" w:color="auto" w:fill="F9F9FB"/>
          </w:tcPr>
          <w:p w14:paraId="264D7D02">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56</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4AA8997D">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29</w:t>
            </w:r>
          </w:p>
        </w:tc>
        <w:tc>
          <w:tcPr>
            <w:tcW w:w="1520" w:type="dxa"/>
            <w:tcBorders>
              <w:top w:val="single" w:color="AEAEAE" w:sz="8" w:space="0"/>
              <w:left w:val="single" w:color="E0E0E0" w:sz="8" w:space="0"/>
              <w:bottom w:val="single" w:color="AEAEAE" w:sz="8" w:space="0"/>
              <w:right w:val="single" w:color="E0E0E0" w:sz="8" w:space="0"/>
            </w:tcBorders>
            <w:shd w:val="clear" w:color="auto" w:fill="F9F9FB"/>
          </w:tcPr>
          <w:p w14:paraId="5033909B">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28</w:t>
            </w:r>
          </w:p>
        </w:tc>
        <w:tc>
          <w:tcPr>
            <w:tcW w:w="1519" w:type="dxa"/>
            <w:tcBorders>
              <w:top w:val="single" w:color="AEAEAE" w:sz="8" w:space="0"/>
              <w:left w:val="single" w:color="E0E0E0" w:sz="8" w:space="0"/>
              <w:bottom w:val="single" w:color="AEAEAE" w:sz="8" w:space="0"/>
              <w:right w:val="nil"/>
            </w:tcBorders>
            <w:shd w:val="clear" w:color="auto" w:fill="F9F9FB"/>
          </w:tcPr>
          <w:p w14:paraId="68674453">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48</w:t>
            </w:r>
          </w:p>
        </w:tc>
      </w:tr>
      <w:tr w14:paraId="1378E785">
        <w:tblPrEx>
          <w:tblCellMar>
            <w:top w:w="0" w:type="dxa"/>
            <w:left w:w="0" w:type="dxa"/>
            <w:bottom w:w="0" w:type="dxa"/>
            <w:right w:w="0" w:type="dxa"/>
          </w:tblCellMar>
        </w:tblPrEx>
        <w:trPr>
          <w:cantSplit/>
          <w:jc w:val="center"/>
        </w:trPr>
        <w:tc>
          <w:tcPr>
            <w:tcW w:w="1860" w:type="dxa"/>
            <w:gridSpan w:val="2"/>
            <w:tcBorders>
              <w:top w:val="single" w:color="AEAEAE" w:sz="8" w:space="0"/>
              <w:left w:val="nil"/>
              <w:bottom w:val="single" w:color="152935" w:sz="8" w:space="0"/>
              <w:right w:val="nil"/>
            </w:tcBorders>
            <w:shd w:val="clear" w:color="auto" w:fill="E0E0E0"/>
          </w:tcPr>
          <w:p w14:paraId="5619D488">
            <w:pPr>
              <w:autoSpaceDE w:val="0"/>
              <w:autoSpaceDN w:val="0"/>
              <w:adjustRightInd w:val="0"/>
              <w:ind w:left="60" w:right="60"/>
              <w:rPr>
                <w:rFonts w:eastAsiaTheme="minorHAnsi"/>
                <w:color w:val="264A60"/>
                <w:sz w:val="20"/>
                <w:szCs w:val="20"/>
                <w:lang w:val="en-GB" w:eastAsia="en-US"/>
              </w:rPr>
            </w:pPr>
            <w:r>
              <w:rPr>
                <w:rFonts w:eastAsiaTheme="minorHAnsi"/>
                <w:color w:val="264A60"/>
                <w:sz w:val="20"/>
                <w:szCs w:val="20"/>
                <w:lang w:val="en-GB" w:eastAsia="en-US"/>
              </w:rPr>
              <w:t>Sum</w:t>
            </w:r>
          </w:p>
        </w:tc>
        <w:tc>
          <w:tcPr>
            <w:tcW w:w="1519" w:type="dxa"/>
            <w:tcBorders>
              <w:top w:val="single" w:color="AEAEAE" w:sz="8" w:space="0"/>
              <w:left w:val="nil"/>
              <w:bottom w:val="single" w:color="152935" w:sz="8" w:space="0"/>
              <w:right w:val="single" w:color="E0E0E0" w:sz="8" w:space="0"/>
            </w:tcBorders>
            <w:shd w:val="clear" w:color="auto" w:fill="F9F9FB"/>
          </w:tcPr>
          <w:p w14:paraId="5A48B45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3376</w:t>
            </w:r>
          </w:p>
        </w:tc>
        <w:tc>
          <w:tcPr>
            <w:tcW w:w="1520" w:type="dxa"/>
            <w:tcBorders>
              <w:top w:val="single" w:color="AEAEAE" w:sz="8" w:space="0"/>
              <w:left w:val="single" w:color="E0E0E0" w:sz="8" w:space="0"/>
              <w:bottom w:val="single" w:color="152935" w:sz="8" w:space="0"/>
              <w:right w:val="single" w:color="E0E0E0" w:sz="8" w:space="0"/>
            </w:tcBorders>
            <w:shd w:val="clear" w:color="auto" w:fill="F9F9FB"/>
          </w:tcPr>
          <w:p w14:paraId="23ECD8EA">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1682</w:t>
            </w:r>
          </w:p>
        </w:tc>
        <w:tc>
          <w:tcPr>
            <w:tcW w:w="1520" w:type="dxa"/>
            <w:tcBorders>
              <w:top w:val="single" w:color="AEAEAE" w:sz="8" w:space="0"/>
              <w:left w:val="single" w:color="E0E0E0" w:sz="8" w:space="0"/>
              <w:bottom w:val="single" w:color="152935" w:sz="8" w:space="0"/>
              <w:right w:val="single" w:color="E0E0E0" w:sz="8" w:space="0"/>
            </w:tcBorders>
            <w:shd w:val="clear" w:color="auto" w:fill="F9F9FB"/>
          </w:tcPr>
          <w:p w14:paraId="35EECD79">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1668</w:t>
            </w:r>
          </w:p>
        </w:tc>
        <w:tc>
          <w:tcPr>
            <w:tcW w:w="1519" w:type="dxa"/>
            <w:tcBorders>
              <w:top w:val="single" w:color="AEAEAE" w:sz="8" w:space="0"/>
              <w:left w:val="single" w:color="E0E0E0" w:sz="8" w:space="0"/>
              <w:bottom w:val="single" w:color="152935" w:sz="8" w:space="0"/>
              <w:right w:val="nil"/>
            </w:tcBorders>
            <w:shd w:val="clear" w:color="auto" w:fill="F9F9FB"/>
          </w:tcPr>
          <w:p w14:paraId="15978DB7">
            <w:pPr>
              <w:autoSpaceDE w:val="0"/>
              <w:autoSpaceDN w:val="0"/>
              <w:adjustRightInd w:val="0"/>
              <w:ind w:left="60" w:right="60"/>
              <w:jc w:val="right"/>
              <w:rPr>
                <w:rFonts w:eastAsiaTheme="minorHAnsi"/>
                <w:color w:val="010205"/>
                <w:sz w:val="20"/>
                <w:szCs w:val="20"/>
                <w:lang w:val="en-GB" w:eastAsia="en-US"/>
              </w:rPr>
            </w:pPr>
            <w:r>
              <w:rPr>
                <w:rFonts w:eastAsiaTheme="minorHAnsi"/>
                <w:color w:val="010205"/>
                <w:sz w:val="20"/>
                <w:szCs w:val="20"/>
                <w:lang w:val="en-GB" w:eastAsia="en-US"/>
              </w:rPr>
              <w:t>2794</w:t>
            </w:r>
          </w:p>
        </w:tc>
      </w:tr>
    </w:tbl>
    <w:p w14:paraId="41A7820B">
      <w:pPr>
        <w:autoSpaceDE w:val="0"/>
        <w:autoSpaceDN w:val="0"/>
        <w:adjustRightInd w:val="0"/>
        <w:spacing w:line="480" w:lineRule="auto"/>
      </w:pPr>
      <w:r>
        <w:t>Sumber : Hasil Penelitian, 2024</w:t>
      </w:r>
    </w:p>
    <w:p w14:paraId="0406A729">
      <w:pPr>
        <w:autoSpaceDE w:val="0"/>
        <w:autoSpaceDN w:val="0"/>
        <w:adjustRightInd w:val="0"/>
        <w:spacing w:line="480" w:lineRule="auto"/>
        <w:ind w:firstLine="720"/>
        <w:jc w:val="both"/>
        <w:rPr>
          <w:rFonts w:eastAsiaTheme="minorHAnsi"/>
          <w:lang w:val="en-GB" w:eastAsia="en-US"/>
        </w:rPr>
      </w:pPr>
      <w:r>
        <w:t xml:space="preserve">Berdasarkan hasil uji deskriptif data, diketahui bahwa seluruh variabel dalam penelitian ini dianalisis dari 70 responden tanpa data yang hilang. Variabel </w:t>
      </w:r>
      <w:r>
        <w:rPr>
          <w:rStyle w:val="11"/>
        </w:rPr>
        <w:t>Pemahaman Perpajakan</w:t>
      </w:r>
      <w:r>
        <w:t xml:space="preserve"> memiliki rata-rata sebesar 48,23 dengan standar deviasi 4,979, menunjukkan tingkat pemahaman yang cukup tinggi dengan variasi data yang moderat. Variabel </w:t>
      </w:r>
      <w:r>
        <w:rPr>
          <w:rStyle w:val="11"/>
        </w:rPr>
        <w:t>Kesadaran Wajib Pajak</w:t>
      </w:r>
      <w:r>
        <w:t xml:space="preserve"> memiliki rata-rata 24,03 dan standar deviasi 2,869, mengindikasikan kesadaran yang cukup merata di antara responden. Variabel </w:t>
      </w:r>
      <w:r>
        <w:rPr>
          <w:rStyle w:val="11"/>
        </w:rPr>
        <w:t>Penurunan Tarif Pajak PP No. 23 Tahun 2018</w:t>
      </w:r>
      <w:r>
        <w:t xml:space="preserve"> memiliki rata-rata 23,83 dan standar deviasi 2,654, yang menunjukkan persepsi responden terhadap kebijakan tersebut tergolong homogen. Sementara itu, variabel </w:t>
      </w:r>
      <w:r>
        <w:rPr>
          <w:rStyle w:val="11"/>
        </w:rPr>
        <w:t>Kepatuhan Wajib Pajak</w:t>
      </w:r>
      <w:r>
        <w:t xml:space="preserve"> memiliki rata-rata 39,91 dengan standar deviasi 4,211, menandakan tingkat kepatuhan yang cukup baik dengan sebaran data yang masih dapat diterima. Secara keseluruhan, keempat variabel menunjukkan distribusi data yang wajar dan dapat digunakan untuk analisis lanjutan.</w:t>
      </w:r>
    </w:p>
    <w:p w14:paraId="0439C2A4">
      <w:pPr>
        <w:pStyle w:val="16"/>
        <w:spacing w:line="480" w:lineRule="auto"/>
        <w:jc w:val="both"/>
        <w:rPr>
          <w:b/>
          <w:bCs/>
        </w:rPr>
      </w:pPr>
      <w:r>
        <w:rPr>
          <w:b/>
          <w:bCs/>
        </w:rPr>
        <w:t>4.4</w:t>
      </w:r>
      <w:r>
        <w:rPr>
          <w:b/>
          <w:bCs/>
        </w:rPr>
        <w:tab/>
      </w:r>
      <w:r>
        <w:rPr>
          <w:b/>
          <w:bCs/>
        </w:rPr>
        <w:t>Uji Validitas dan Reliabilitas</w:t>
      </w:r>
    </w:p>
    <w:p w14:paraId="74C45A3D">
      <w:pPr>
        <w:pStyle w:val="16"/>
        <w:spacing w:line="480" w:lineRule="auto"/>
        <w:jc w:val="both"/>
        <w:rPr>
          <w:b/>
          <w:bCs/>
        </w:rPr>
      </w:pPr>
      <w:r>
        <w:rPr>
          <w:b/>
          <w:bCs/>
        </w:rPr>
        <w:t>4.4.1</w:t>
      </w:r>
      <w:r>
        <w:rPr>
          <w:b/>
          <w:bCs/>
        </w:rPr>
        <w:tab/>
      </w:r>
      <w:r>
        <w:rPr>
          <w:b/>
          <w:bCs/>
        </w:rPr>
        <w:t>Uji Validitas</w:t>
      </w:r>
    </w:p>
    <w:p w14:paraId="5EE8880D">
      <w:pPr>
        <w:pStyle w:val="16"/>
        <w:spacing w:line="480" w:lineRule="auto"/>
        <w:ind w:firstLine="720"/>
        <w:jc w:val="both"/>
      </w:pPr>
      <w:r>
        <w:t xml:space="preserve">Sebelum dilakukan analisis lebih lanjut, terlebih dahulu dilakukan uji validitas dan reliabilitas terhadap instrumen kuesioner yang digunakan dalam penelitian ini. Uji validitas bertujuan untuk mengukur sejauh mana butir-butir pertanyaan dalam kuesioner mampu mengukur variabel yang dimaksud. Instrumen dikatakan valid apabila nilai korelasi antara skor item dengan total skor (Corrected Item-Total Correlation) lebih besar dari 0,3673. </w:t>
      </w:r>
    </w:p>
    <w:p w14:paraId="73F9AAC0">
      <w:pPr>
        <w:jc w:val="center"/>
        <w:rPr>
          <w:b/>
          <w:bCs/>
        </w:rPr>
      </w:pPr>
      <w:r>
        <w:rPr>
          <w:b/>
          <w:bCs/>
        </w:rPr>
        <w:t>Tabel</w:t>
      </w:r>
      <w:r>
        <w:rPr>
          <w:b/>
          <w:bCs/>
          <w:spacing w:val="-4"/>
        </w:rPr>
        <w:t xml:space="preserve"> </w:t>
      </w:r>
      <w:r>
        <w:rPr>
          <w:b/>
          <w:bCs/>
        </w:rPr>
        <w:t>4.8</w:t>
      </w:r>
    </w:p>
    <w:p w14:paraId="212F4946">
      <w:pPr>
        <w:jc w:val="center"/>
        <w:rPr>
          <w:b/>
          <w:bCs/>
        </w:rPr>
      </w:pPr>
      <w:r>
        <w:rPr>
          <w:b/>
          <w:bCs/>
        </w:rPr>
        <w:t>Hasil</w:t>
      </w:r>
      <w:r>
        <w:rPr>
          <w:b/>
          <w:bCs/>
          <w:spacing w:val="-4"/>
        </w:rPr>
        <w:t xml:space="preserve"> </w:t>
      </w:r>
      <w:r>
        <w:rPr>
          <w:b/>
          <w:bCs/>
        </w:rPr>
        <w:t>Uji Validitas</w:t>
      </w:r>
    </w:p>
    <w:tbl>
      <w:tblPr>
        <w:tblStyle w:val="27"/>
        <w:tblpPr w:leftFromText="180" w:rightFromText="180" w:vertAnchor="text" w:tblpXSpec="center" w:tblpY="1"/>
        <w:tblW w:w="7650"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0"/>
        <w:gridCol w:w="1594"/>
        <w:gridCol w:w="1736"/>
        <w:gridCol w:w="1155"/>
        <w:gridCol w:w="1675"/>
      </w:tblGrid>
      <w:tr w14:paraId="32BDEB8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tcBorders>
              <w:bottom w:val="single" w:color="7E7E7E" w:themeColor="text1" w:themeTint="80" w:sz="4" w:space="0"/>
              <w:insideH w:val="single" w:sz="4" w:space="0"/>
            </w:tcBorders>
          </w:tcPr>
          <w:p w14:paraId="11E2CE1E">
            <w:pPr>
              <w:pStyle w:val="37"/>
              <w:ind w:left="142" w:right="97" w:firstLine="0"/>
              <w:jc w:val="center"/>
              <w:rPr>
                <w:b w:val="0"/>
                <w:bCs/>
                <w:sz w:val="20"/>
                <w:szCs w:val="20"/>
              </w:rPr>
            </w:pPr>
            <w:r>
              <w:rPr>
                <w:b/>
                <w:bCs/>
                <w:sz w:val="20"/>
                <w:szCs w:val="20"/>
              </w:rPr>
              <w:t>Variabel</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126FCD4">
            <w:pPr>
              <w:pStyle w:val="37"/>
              <w:ind w:left="218" w:right="171" w:firstLine="0"/>
              <w:jc w:val="center"/>
              <w:rPr>
                <w:b w:val="0"/>
                <w:bCs/>
                <w:sz w:val="20"/>
                <w:szCs w:val="20"/>
              </w:rPr>
            </w:pPr>
            <w:r>
              <w:rPr>
                <w:b/>
                <w:bCs/>
                <w:sz w:val="20"/>
                <w:szCs w:val="20"/>
              </w:rPr>
              <w:t>Pernyataan</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1236F5C">
            <w:pPr>
              <w:pStyle w:val="25"/>
              <w:tabs>
                <w:tab w:val="left" w:pos="851"/>
              </w:tabs>
              <w:ind w:left="218" w:right="171"/>
              <w:jc w:val="center"/>
              <w:rPr>
                <w:b w:val="0"/>
                <w:bCs/>
                <w:sz w:val="20"/>
                <w:szCs w:val="20"/>
              </w:rPr>
            </w:pPr>
            <w:r>
              <w:rPr>
                <w:b/>
                <w:bCs/>
                <w:sz w:val="20"/>
                <w:szCs w:val="20"/>
              </w:rPr>
              <w:t>Corrected Item Total</w:t>
            </w:r>
          </w:p>
          <w:p w14:paraId="181FC611">
            <w:pPr>
              <w:pStyle w:val="37"/>
              <w:ind w:left="218" w:right="171" w:firstLine="0"/>
              <w:jc w:val="center"/>
              <w:rPr>
                <w:b w:val="0"/>
                <w:bCs/>
                <w:sz w:val="20"/>
                <w:szCs w:val="20"/>
              </w:rPr>
            </w:pPr>
            <w:r>
              <w:rPr>
                <w:b/>
                <w:bCs/>
                <w:sz w:val="20"/>
                <w:szCs w:val="20"/>
              </w:rPr>
              <w:t>Correlation</w:t>
            </w:r>
            <w:r>
              <w:rPr>
                <w:b/>
                <w:bCs/>
                <w:position w:val="3"/>
                <w:sz w:val="20"/>
                <w:szCs w:val="20"/>
              </w:rPr>
              <w:t xml:space="preserve"> (r</w:t>
            </w:r>
            <w:r>
              <w:rPr>
                <w:b/>
                <w:bCs/>
                <w:sz w:val="20"/>
                <w:szCs w:val="20"/>
                <w:vertAlign w:val="subscript"/>
              </w:rPr>
              <w:t>hitung</w:t>
            </w:r>
            <w:r>
              <w:rPr>
                <w:b/>
                <w:bCs/>
                <w:sz w:val="20"/>
                <w:szCs w:val="20"/>
              </w:rPr>
              <w:t>)</w:t>
            </w:r>
          </w:p>
        </w:tc>
        <w:tc>
          <w:tcPr>
            <w:tcW w:w="0" w:type="auto"/>
            <w:tcBorders>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0EC6529">
            <w:pPr>
              <w:pStyle w:val="37"/>
              <w:ind w:left="218" w:right="171" w:firstLine="0"/>
              <w:jc w:val="center"/>
              <w:rPr>
                <w:b w:val="0"/>
                <w:bCs/>
                <w:sz w:val="20"/>
                <w:szCs w:val="20"/>
              </w:rPr>
            </w:pPr>
            <w:r>
              <w:rPr>
                <w:b/>
                <w:bCs/>
                <w:sz w:val="20"/>
                <w:szCs w:val="20"/>
              </w:rPr>
              <w:t>r</w:t>
            </w:r>
            <w:r>
              <w:rPr>
                <w:b/>
                <w:bCs/>
                <w:sz w:val="20"/>
                <w:szCs w:val="20"/>
                <w:vertAlign w:val="subscript"/>
              </w:rPr>
              <w:t>tabel</w:t>
            </w:r>
          </w:p>
        </w:tc>
        <w:tc>
          <w:tcPr>
            <w:tcW w:w="1675" w:type="dxa"/>
            <w:tcBorders>
              <w:bottom w:val="single" w:color="7E7E7E" w:themeColor="text1" w:themeTint="80" w:sz="4" w:space="0"/>
              <w:insideH w:val="single" w:sz="4" w:space="0"/>
            </w:tcBorders>
          </w:tcPr>
          <w:p w14:paraId="0486C73A">
            <w:pPr>
              <w:pStyle w:val="37"/>
              <w:ind w:left="218" w:right="171" w:firstLine="0"/>
              <w:jc w:val="center"/>
              <w:rPr>
                <w:b w:val="0"/>
                <w:bCs/>
                <w:sz w:val="20"/>
                <w:szCs w:val="20"/>
              </w:rPr>
            </w:pPr>
            <w:r>
              <w:rPr>
                <w:b/>
                <w:bCs/>
                <w:sz w:val="20"/>
                <w:szCs w:val="20"/>
              </w:rPr>
              <w:t>Status</w:t>
            </w:r>
          </w:p>
        </w:tc>
      </w:tr>
      <w:tr w14:paraId="088DADA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43F4FF4E">
            <w:pPr>
              <w:pStyle w:val="37"/>
              <w:ind w:right="97" w:firstLine="0"/>
              <w:jc w:val="center"/>
              <w:rPr>
                <w:b w:val="0"/>
                <w:bCs w:val="0"/>
                <w:spacing w:val="-1"/>
                <w:sz w:val="20"/>
                <w:szCs w:val="20"/>
              </w:rPr>
            </w:pPr>
            <w:r>
              <w:rPr>
                <w:rFonts w:eastAsia="Calibri"/>
                <w:b w:val="0"/>
                <w:bCs w:val="0"/>
                <w:sz w:val="20"/>
                <w:szCs w:val="20"/>
              </w:rPr>
              <w:t>Pemahaman Perpajakan</w:t>
            </w:r>
            <w:r>
              <w:rPr>
                <w:b w:val="0"/>
                <w:bCs w:val="0"/>
                <w:color w:val="000000" w:themeColor="text1"/>
                <w:sz w:val="20"/>
                <w:szCs w:val="20"/>
                <w14:textFill>
                  <w14:solidFill>
                    <w14:schemeClr w14:val="tx1"/>
                  </w14:solidFill>
                </w14:textFill>
              </w:rPr>
              <w:t xml:space="preserve"> (</w:t>
            </w:r>
            <w:r>
              <w:rPr>
                <w:b w:val="0"/>
                <w:bCs w:val="0"/>
                <w:sz w:val="20"/>
                <w:szCs w:val="20"/>
              </w:rPr>
              <w:t>X</w:t>
            </w:r>
            <w:r>
              <w:rPr>
                <w:b w:val="0"/>
                <w:bCs w:val="0"/>
                <w:sz w:val="20"/>
                <w:szCs w:val="20"/>
                <w:vertAlign w:val="subscript"/>
              </w:rPr>
              <w:t>1</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CAF8A3C">
            <w:pPr>
              <w:pStyle w:val="37"/>
              <w:ind w:left="218" w:right="171" w:firstLine="0"/>
              <w:jc w:val="center"/>
              <w:rPr>
                <w:sz w:val="20"/>
                <w:szCs w:val="20"/>
              </w:rPr>
            </w:pPr>
            <w:r>
              <w:rPr>
                <w:sz w:val="20"/>
                <w:szCs w:val="20"/>
              </w:rPr>
              <w:t>X</w:t>
            </w:r>
            <w:r>
              <w:rPr>
                <w:sz w:val="20"/>
                <w:szCs w:val="20"/>
                <w:vertAlign w:val="subscript"/>
              </w:rPr>
              <w:t>1</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6CD8B32">
            <w:pPr>
              <w:pStyle w:val="37"/>
              <w:ind w:left="218" w:right="171" w:firstLine="0"/>
              <w:jc w:val="center"/>
              <w:rPr>
                <w:sz w:val="20"/>
                <w:szCs w:val="20"/>
              </w:rPr>
            </w:pPr>
            <w:r>
              <w:rPr>
                <w:sz w:val="20"/>
                <w:szCs w:val="20"/>
              </w:rPr>
              <w:t>0,911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6A836CA">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6506F4E3">
            <w:pPr>
              <w:pStyle w:val="37"/>
              <w:ind w:left="218" w:right="171" w:firstLine="0"/>
              <w:jc w:val="center"/>
              <w:rPr>
                <w:b w:val="0"/>
                <w:bCs w:val="0"/>
                <w:sz w:val="20"/>
                <w:szCs w:val="20"/>
              </w:rPr>
            </w:pPr>
            <w:r>
              <w:rPr>
                <w:b w:val="0"/>
                <w:bCs w:val="0"/>
                <w:sz w:val="20"/>
                <w:szCs w:val="20"/>
              </w:rPr>
              <w:t>Valid</w:t>
            </w:r>
          </w:p>
        </w:tc>
      </w:tr>
      <w:tr w14:paraId="0B6DD6D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2CC942EF">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1E00BB1E">
            <w:pPr>
              <w:pStyle w:val="37"/>
              <w:ind w:left="218" w:right="171" w:firstLine="0"/>
              <w:jc w:val="center"/>
              <w:rPr>
                <w:sz w:val="20"/>
                <w:szCs w:val="20"/>
              </w:rPr>
            </w:pPr>
            <w:r>
              <w:rPr>
                <w:sz w:val="20"/>
                <w:szCs w:val="20"/>
              </w:rPr>
              <w:t>X</w:t>
            </w:r>
            <w:r>
              <w:rPr>
                <w:sz w:val="20"/>
                <w:szCs w:val="20"/>
                <w:vertAlign w:val="subscript"/>
              </w:rPr>
              <w:t>1</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2CDC2C3C">
            <w:pPr>
              <w:pStyle w:val="37"/>
              <w:ind w:left="218" w:right="171" w:firstLine="0"/>
              <w:jc w:val="center"/>
              <w:rPr>
                <w:sz w:val="20"/>
                <w:szCs w:val="20"/>
              </w:rPr>
            </w:pPr>
            <w:r>
              <w:rPr>
                <w:sz w:val="20"/>
                <w:szCs w:val="20"/>
              </w:rPr>
              <w:t>0,884</w:t>
            </w:r>
          </w:p>
        </w:tc>
        <w:tc>
          <w:tcPr>
            <w:tcW w:w="0" w:type="auto"/>
            <w:tcBorders>
              <w:left w:val="single" w:color="7E7E7E" w:themeColor="text1" w:themeTint="80" w:sz="4" w:space="0"/>
              <w:right w:val="single" w:color="7E7E7E" w:themeColor="text1" w:themeTint="80" w:sz="4" w:space="0"/>
              <w:insideV w:val="single" w:sz="4" w:space="0"/>
            </w:tcBorders>
          </w:tcPr>
          <w:p w14:paraId="6A7F5439">
            <w:pPr>
              <w:pStyle w:val="37"/>
              <w:ind w:left="218" w:right="171" w:firstLine="0"/>
              <w:jc w:val="center"/>
              <w:rPr>
                <w:sz w:val="20"/>
                <w:szCs w:val="20"/>
              </w:rPr>
            </w:pPr>
            <w:r>
              <w:rPr>
                <w:sz w:val="20"/>
                <w:szCs w:val="20"/>
              </w:rPr>
              <w:t>0,3673</w:t>
            </w:r>
          </w:p>
        </w:tc>
        <w:tc>
          <w:tcPr>
            <w:tcW w:w="1675" w:type="dxa"/>
          </w:tcPr>
          <w:p w14:paraId="3E8CED1E">
            <w:pPr>
              <w:pStyle w:val="37"/>
              <w:ind w:left="218" w:right="171" w:firstLine="0"/>
              <w:jc w:val="center"/>
              <w:rPr>
                <w:b w:val="0"/>
                <w:bCs w:val="0"/>
                <w:sz w:val="20"/>
                <w:szCs w:val="20"/>
              </w:rPr>
            </w:pPr>
            <w:r>
              <w:rPr>
                <w:b w:val="0"/>
                <w:bCs w:val="0"/>
                <w:sz w:val="20"/>
                <w:szCs w:val="20"/>
              </w:rPr>
              <w:t>Valid</w:t>
            </w:r>
          </w:p>
        </w:tc>
      </w:tr>
      <w:tr w14:paraId="3F8BEAB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2CD09689">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F24BC67">
            <w:pPr>
              <w:pStyle w:val="37"/>
              <w:ind w:left="218" w:right="171" w:firstLine="0"/>
              <w:jc w:val="center"/>
              <w:rPr>
                <w:sz w:val="20"/>
                <w:szCs w:val="20"/>
              </w:rPr>
            </w:pPr>
            <w:r>
              <w:rPr>
                <w:sz w:val="20"/>
                <w:szCs w:val="20"/>
              </w:rPr>
              <w:t>X</w:t>
            </w:r>
            <w:r>
              <w:rPr>
                <w:sz w:val="20"/>
                <w:szCs w:val="20"/>
                <w:vertAlign w:val="subscript"/>
              </w:rPr>
              <w:t>1</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7380880">
            <w:pPr>
              <w:pStyle w:val="37"/>
              <w:ind w:left="218" w:right="171" w:firstLine="0"/>
              <w:jc w:val="center"/>
              <w:rPr>
                <w:sz w:val="20"/>
                <w:szCs w:val="20"/>
              </w:rPr>
            </w:pPr>
            <w:r>
              <w:rPr>
                <w:sz w:val="20"/>
                <w:szCs w:val="20"/>
              </w:rPr>
              <w:t>0,819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2B16E12">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67E70060">
            <w:pPr>
              <w:pStyle w:val="37"/>
              <w:ind w:left="218" w:right="171" w:firstLine="0"/>
              <w:jc w:val="center"/>
              <w:rPr>
                <w:b w:val="0"/>
                <w:bCs w:val="0"/>
                <w:sz w:val="20"/>
                <w:szCs w:val="20"/>
              </w:rPr>
            </w:pPr>
            <w:r>
              <w:rPr>
                <w:b w:val="0"/>
                <w:bCs w:val="0"/>
                <w:sz w:val="20"/>
                <w:szCs w:val="20"/>
              </w:rPr>
              <w:t>Valid</w:t>
            </w:r>
          </w:p>
        </w:tc>
      </w:tr>
      <w:tr w14:paraId="3E65ED0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4A9CF2E7">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3661FC0F">
            <w:pPr>
              <w:pStyle w:val="37"/>
              <w:ind w:left="218" w:right="171" w:firstLine="0"/>
              <w:jc w:val="center"/>
              <w:rPr>
                <w:sz w:val="20"/>
                <w:szCs w:val="20"/>
              </w:rPr>
            </w:pPr>
            <w:r>
              <w:rPr>
                <w:sz w:val="20"/>
                <w:szCs w:val="20"/>
              </w:rPr>
              <w:t>X</w:t>
            </w:r>
            <w:r>
              <w:rPr>
                <w:sz w:val="20"/>
                <w:szCs w:val="20"/>
                <w:vertAlign w:val="subscript"/>
              </w:rPr>
              <w:t>1</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5222C248">
            <w:pPr>
              <w:pStyle w:val="37"/>
              <w:ind w:left="218" w:right="171" w:firstLine="0"/>
              <w:jc w:val="center"/>
              <w:rPr>
                <w:sz w:val="20"/>
                <w:szCs w:val="20"/>
              </w:rPr>
            </w:pPr>
            <w:r>
              <w:rPr>
                <w:sz w:val="20"/>
                <w:szCs w:val="20"/>
              </w:rPr>
              <w:t>0,831</w:t>
            </w:r>
          </w:p>
        </w:tc>
        <w:tc>
          <w:tcPr>
            <w:tcW w:w="0" w:type="auto"/>
            <w:tcBorders>
              <w:left w:val="single" w:color="7E7E7E" w:themeColor="text1" w:themeTint="80" w:sz="4" w:space="0"/>
              <w:right w:val="single" w:color="7E7E7E" w:themeColor="text1" w:themeTint="80" w:sz="4" w:space="0"/>
              <w:insideV w:val="single" w:sz="4" w:space="0"/>
            </w:tcBorders>
          </w:tcPr>
          <w:p w14:paraId="7C59C5C8">
            <w:pPr>
              <w:pStyle w:val="37"/>
              <w:ind w:left="218" w:right="171" w:firstLine="0"/>
              <w:jc w:val="center"/>
              <w:rPr>
                <w:sz w:val="20"/>
                <w:szCs w:val="20"/>
              </w:rPr>
            </w:pPr>
            <w:r>
              <w:rPr>
                <w:sz w:val="20"/>
                <w:szCs w:val="20"/>
              </w:rPr>
              <w:t>0,3673</w:t>
            </w:r>
          </w:p>
        </w:tc>
        <w:tc>
          <w:tcPr>
            <w:tcW w:w="1675" w:type="dxa"/>
          </w:tcPr>
          <w:p w14:paraId="664902C0">
            <w:pPr>
              <w:pStyle w:val="37"/>
              <w:ind w:left="218" w:right="171" w:firstLine="0"/>
              <w:jc w:val="center"/>
              <w:rPr>
                <w:b w:val="0"/>
                <w:bCs w:val="0"/>
                <w:sz w:val="20"/>
                <w:szCs w:val="20"/>
              </w:rPr>
            </w:pPr>
            <w:r>
              <w:rPr>
                <w:b w:val="0"/>
                <w:bCs w:val="0"/>
                <w:sz w:val="20"/>
                <w:szCs w:val="20"/>
              </w:rPr>
              <w:t>Valid</w:t>
            </w:r>
          </w:p>
        </w:tc>
      </w:tr>
      <w:tr w14:paraId="5566E491">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5C3BF911">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0BAAFEE">
            <w:pPr>
              <w:pStyle w:val="37"/>
              <w:ind w:left="218" w:right="171" w:firstLine="0"/>
              <w:jc w:val="center"/>
              <w:rPr>
                <w:sz w:val="20"/>
                <w:szCs w:val="20"/>
              </w:rPr>
            </w:pPr>
            <w:r>
              <w:rPr>
                <w:sz w:val="20"/>
                <w:szCs w:val="20"/>
              </w:rPr>
              <w:t>X</w:t>
            </w:r>
            <w:r>
              <w:rPr>
                <w:sz w:val="20"/>
                <w:szCs w:val="20"/>
                <w:vertAlign w:val="subscript"/>
              </w:rPr>
              <w:t>1</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5B4A3C7">
            <w:pPr>
              <w:pStyle w:val="37"/>
              <w:ind w:left="218" w:right="171" w:firstLine="0"/>
              <w:jc w:val="center"/>
              <w:rPr>
                <w:sz w:val="20"/>
                <w:szCs w:val="20"/>
              </w:rPr>
            </w:pPr>
            <w:r>
              <w:rPr>
                <w:sz w:val="20"/>
                <w:szCs w:val="20"/>
              </w:rPr>
              <w:t>0,822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0B05512">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3DA4DFD4">
            <w:pPr>
              <w:pStyle w:val="37"/>
              <w:ind w:left="218" w:right="171" w:firstLine="0"/>
              <w:jc w:val="center"/>
              <w:rPr>
                <w:b w:val="0"/>
                <w:bCs w:val="0"/>
                <w:sz w:val="20"/>
                <w:szCs w:val="20"/>
              </w:rPr>
            </w:pPr>
            <w:r>
              <w:rPr>
                <w:b w:val="0"/>
                <w:bCs w:val="0"/>
                <w:sz w:val="20"/>
                <w:szCs w:val="20"/>
              </w:rPr>
              <w:t>Valid</w:t>
            </w:r>
          </w:p>
        </w:tc>
      </w:tr>
      <w:tr w14:paraId="23B22B9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7B211B42">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3CBB0BF4">
            <w:pPr>
              <w:pStyle w:val="37"/>
              <w:ind w:left="218" w:right="171" w:firstLine="0"/>
              <w:jc w:val="center"/>
              <w:rPr>
                <w:sz w:val="20"/>
                <w:szCs w:val="20"/>
              </w:rPr>
            </w:pPr>
            <w:r>
              <w:rPr>
                <w:sz w:val="20"/>
                <w:szCs w:val="20"/>
              </w:rPr>
              <w:t>X</w:t>
            </w:r>
            <w:r>
              <w:rPr>
                <w:sz w:val="20"/>
                <w:szCs w:val="20"/>
                <w:vertAlign w:val="subscript"/>
              </w:rPr>
              <w:t>1</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1E2C6A9E">
            <w:pPr>
              <w:pStyle w:val="37"/>
              <w:ind w:left="218" w:right="171" w:firstLine="0"/>
              <w:jc w:val="center"/>
              <w:rPr>
                <w:sz w:val="20"/>
                <w:szCs w:val="20"/>
              </w:rPr>
            </w:pPr>
            <w:r>
              <w:rPr>
                <w:sz w:val="20"/>
                <w:szCs w:val="20"/>
              </w:rPr>
              <w:t>0,888</w:t>
            </w:r>
          </w:p>
        </w:tc>
        <w:tc>
          <w:tcPr>
            <w:tcW w:w="0" w:type="auto"/>
            <w:tcBorders>
              <w:left w:val="single" w:color="7E7E7E" w:themeColor="text1" w:themeTint="80" w:sz="4" w:space="0"/>
              <w:right w:val="single" w:color="7E7E7E" w:themeColor="text1" w:themeTint="80" w:sz="4" w:space="0"/>
              <w:insideV w:val="single" w:sz="4" w:space="0"/>
            </w:tcBorders>
          </w:tcPr>
          <w:p w14:paraId="4F516079">
            <w:pPr>
              <w:pStyle w:val="37"/>
              <w:ind w:left="218" w:right="171" w:firstLine="0"/>
              <w:jc w:val="center"/>
              <w:rPr>
                <w:sz w:val="20"/>
                <w:szCs w:val="20"/>
              </w:rPr>
            </w:pPr>
            <w:r>
              <w:rPr>
                <w:sz w:val="20"/>
                <w:szCs w:val="20"/>
              </w:rPr>
              <w:t>0,3673</w:t>
            </w:r>
          </w:p>
        </w:tc>
        <w:tc>
          <w:tcPr>
            <w:tcW w:w="1675" w:type="dxa"/>
          </w:tcPr>
          <w:p w14:paraId="4E5241E2">
            <w:pPr>
              <w:pStyle w:val="37"/>
              <w:ind w:left="218" w:right="171" w:firstLine="0"/>
              <w:jc w:val="center"/>
              <w:rPr>
                <w:b w:val="0"/>
                <w:bCs w:val="0"/>
                <w:sz w:val="20"/>
                <w:szCs w:val="20"/>
              </w:rPr>
            </w:pPr>
            <w:r>
              <w:rPr>
                <w:b w:val="0"/>
                <w:bCs w:val="0"/>
                <w:sz w:val="20"/>
                <w:szCs w:val="20"/>
              </w:rPr>
              <w:t>Valid</w:t>
            </w:r>
          </w:p>
        </w:tc>
      </w:tr>
      <w:tr w14:paraId="491CB38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628D3692">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FB1A29F">
            <w:pPr>
              <w:pStyle w:val="37"/>
              <w:ind w:left="218" w:right="171" w:firstLine="0"/>
              <w:jc w:val="center"/>
              <w:rPr>
                <w:sz w:val="20"/>
                <w:szCs w:val="20"/>
              </w:rPr>
            </w:pPr>
            <w:r>
              <w:rPr>
                <w:sz w:val="20"/>
                <w:szCs w:val="20"/>
              </w:rPr>
              <w:t>X</w:t>
            </w:r>
            <w:r>
              <w:rPr>
                <w:sz w:val="20"/>
                <w:szCs w:val="20"/>
                <w:vertAlign w:val="subscript"/>
              </w:rPr>
              <w:t>1</w:t>
            </w:r>
            <w:r>
              <w:rPr>
                <w:sz w:val="20"/>
                <w:szCs w:val="20"/>
              </w:rPr>
              <w:t>.7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B438992">
            <w:pPr>
              <w:pStyle w:val="37"/>
              <w:ind w:left="218" w:right="171" w:firstLine="0"/>
              <w:jc w:val="center"/>
              <w:rPr>
                <w:sz w:val="20"/>
                <w:szCs w:val="20"/>
              </w:rPr>
            </w:pPr>
            <w:r>
              <w:rPr>
                <w:sz w:val="20"/>
                <w:szCs w:val="20"/>
              </w:rPr>
              <w:t>0,864</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64C1A1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0323B19">
            <w:pPr>
              <w:pStyle w:val="37"/>
              <w:ind w:left="218" w:right="171" w:firstLine="0"/>
              <w:jc w:val="center"/>
              <w:rPr>
                <w:b w:val="0"/>
                <w:bCs w:val="0"/>
                <w:sz w:val="20"/>
                <w:szCs w:val="20"/>
              </w:rPr>
            </w:pPr>
            <w:r>
              <w:rPr>
                <w:b w:val="0"/>
                <w:bCs w:val="0"/>
                <w:sz w:val="20"/>
                <w:szCs w:val="20"/>
              </w:rPr>
              <w:t>Valid</w:t>
            </w:r>
          </w:p>
        </w:tc>
      </w:tr>
      <w:tr w14:paraId="028ACB9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25E14D83">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41655E27">
            <w:pPr>
              <w:pStyle w:val="37"/>
              <w:ind w:left="218" w:right="171" w:firstLine="0"/>
              <w:jc w:val="center"/>
              <w:rPr>
                <w:sz w:val="20"/>
                <w:szCs w:val="20"/>
              </w:rPr>
            </w:pPr>
            <w:r>
              <w:rPr>
                <w:sz w:val="20"/>
                <w:szCs w:val="20"/>
              </w:rPr>
              <w:t>X</w:t>
            </w:r>
            <w:r>
              <w:rPr>
                <w:sz w:val="20"/>
                <w:szCs w:val="20"/>
                <w:vertAlign w:val="subscript"/>
              </w:rPr>
              <w:t>1</w:t>
            </w:r>
            <w:r>
              <w:rPr>
                <w:sz w:val="20"/>
                <w:szCs w:val="20"/>
              </w:rPr>
              <w:t>.8</w:t>
            </w:r>
          </w:p>
        </w:tc>
        <w:tc>
          <w:tcPr>
            <w:tcW w:w="0" w:type="auto"/>
            <w:tcBorders>
              <w:left w:val="single" w:color="7E7E7E" w:themeColor="text1" w:themeTint="80" w:sz="4" w:space="0"/>
              <w:right w:val="single" w:color="7E7E7E" w:themeColor="text1" w:themeTint="80" w:sz="4" w:space="0"/>
              <w:insideV w:val="single" w:sz="4" w:space="0"/>
            </w:tcBorders>
          </w:tcPr>
          <w:p w14:paraId="0C9D73D5">
            <w:pPr>
              <w:pStyle w:val="37"/>
              <w:ind w:left="218" w:right="171" w:firstLine="0"/>
              <w:jc w:val="center"/>
              <w:rPr>
                <w:sz w:val="20"/>
                <w:szCs w:val="20"/>
              </w:rPr>
            </w:pPr>
            <w:r>
              <w:rPr>
                <w:sz w:val="20"/>
                <w:szCs w:val="20"/>
              </w:rPr>
              <w:t>0,864</w:t>
            </w:r>
          </w:p>
        </w:tc>
        <w:tc>
          <w:tcPr>
            <w:tcW w:w="0" w:type="auto"/>
            <w:tcBorders>
              <w:left w:val="single" w:color="7E7E7E" w:themeColor="text1" w:themeTint="80" w:sz="4" w:space="0"/>
              <w:right w:val="single" w:color="7E7E7E" w:themeColor="text1" w:themeTint="80" w:sz="4" w:space="0"/>
              <w:insideV w:val="single" w:sz="4" w:space="0"/>
            </w:tcBorders>
          </w:tcPr>
          <w:p w14:paraId="5E40C51A">
            <w:pPr>
              <w:pStyle w:val="37"/>
              <w:ind w:left="218" w:right="171" w:firstLine="0"/>
              <w:jc w:val="center"/>
              <w:rPr>
                <w:sz w:val="20"/>
                <w:szCs w:val="20"/>
              </w:rPr>
            </w:pPr>
            <w:r>
              <w:rPr>
                <w:sz w:val="20"/>
                <w:szCs w:val="20"/>
              </w:rPr>
              <w:t>0,3673</w:t>
            </w:r>
          </w:p>
        </w:tc>
        <w:tc>
          <w:tcPr>
            <w:tcW w:w="1675" w:type="dxa"/>
          </w:tcPr>
          <w:p w14:paraId="25755598">
            <w:pPr>
              <w:pStyle w:val="37"/>
              <w:ind w:left="218" w:right="171" w:firstLine="0"/>
              <w:jc w:val="center"/>
              <w:rPr>
                <w:b w:val="0"/>
                <w:bCs w:val="0"/>
                <w:sz w:val="20"/>
                <w:szCs w:val="20"/>
              </w:rPr>
            </w:pPr>
            <w:r>
              <w:rPr>
                <w:b w:val="0"/>
                <w:bCs w:val="0"/>
                <w:sz w:val="20"/>
                <w:szCs w:val="20"/>
              </w:rPr>
              <w:t>Valid</w:t>
            </w:r>
          </w:p>
        </w:tc>
      </w:tr>
      <w:tr w14:paraId="3BD271C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438B5E81">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EE6EED4">
            <w:pPr>
              <w:pStyle w:val="37"/>
              <w:ind w:left="218" w:right="171" w:firstLine="0"/>
              <w:jc w:val="center"/>
              <w:rPr>
                <w:sz w:val="20"/>
                <w:szCs w:val="20"/>
              </w:rPr>
            </w:pPr>
            <w:r>
              <w:rPr>
                <w:sz w:val="20"/>
                <w:szCs w:val="20"/>
              </w:rPr>
              <w:t>X</w:t>
            </w:r>
            <w:r>
              <w:rPr>
                <w:sz w:val="20"/>
                <w:szCs w:val="20"/>
                <w:vertAlign w:val="subscript"/>
              </w:rPr>
              <w:t>1</w:t>
            </w:r>
            <w:r>
              <w:rPr>
                <w:sz w:val="20"/>
                <w:szCs w:val="20"/>
              </w:rPr>
              <w:t>.9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AF86136">
            <w:pPr>
              <w:pStyle w:val="37"/>
              <w:ind w:left="218" w:right="171" w:firstLine="0"/>
              <w:jc w:val="center"/>
              <w:rPr>
                <w:sz w:val="20"/>
                <w:szCs w:val="20"/>
              </w:rPr>
            </w:pPr>
            <w:r>
              <w:rPr>
                <w:sz w:val="20"/>
                <w:szCs w:val="20"/>
              </w:rPr>
              <w:t>0,526</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717E815">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870FD7F">
            <w:pPr>
              <w:pStyle w:val="37"/>
              <w:ind w:left="218" w:right="171" w:firstLine="0"/>
              <w:jc w:val="center"/>
              <w:rPr>
                <w:b w:val="0"/>
                <w:bCs w:val="0"/>
                <w:sz w:val="20"/>
                <w:szCs w:val="20"/>
              </w:rPr>
            </w:pPr>
            <w:r>
              <w:rPr>
                <w:b w:val="0"/>
                <w:bCs w:val="0"/>
                <w:sz w:val="20"/>
                <w:szCs w:val="20"/>
              </w:rPr>
              <w:t>Valid</w:t>
            </w:r>
          </w:p>
        </w:tc>
      </w:tr>
      <w:tr w14:paraId="0E2B97B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11136D84">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52AEC801">
            <w:pPr>
              <w:pStyle w:val="37"/>
              <w:ind w:left="218" w:right="171" w:firstLine="0"/>
              <w:jc w:val="center"/>
              <w:rPr>
                <w:sz w:val="20"/>
                <w:szCs w:val="20"/>
              </w:rPr>
            </w:pPr>
            <w:r>
              <w:rPr>
                <w:sz w:val="20"/>
                <w:szCs w:val="20"/>
              </w:rPr>
              <w:t>X</w:t>
            </w:r>
            <w:r>
              <w:rPr>
                <w:sz w:val="20"/>
                <w:szCs w:val="20"/>
                <w:vertAlign w:val="subscript"/>
              </w:rPr>
              <w:t>1</w:t>
            </w:r>
            <w:r>
              <w:rPr>
                <w:sz w:val="20"/>
                <w:szCs w:val="20"/>
              </w:rPr>
              <w:t>.10</w:t>
            </w:r>
          </w:p>
        </w:tc>
        <w:tc>
          <w:tcPr>
            <w:tcW w:w="0" w:type="auto"/>
            <w:tcBorders>
              <w:left w:val="single" w:color="7E7E7E" w:themeColor="text1" w:themeTint="80" w:sz="4" w:space="0"/>
              <w:right w:val="single" w:color="7E7E7E" w:themeColor="text1" w:themeTint="80" w:sz="4" w:space="0"/>
              <w:insideV w:val="single" w:sz="4" w:space="0"/>
            </w:tcBorders>
          </w:tcPr>
          <w:p w14:paraId="22E10CA1">
            <w:pPr>
              <w:pStyle w:val="37"/>
              <w:ind w:left="218" w:right="171" w:firstLine="0"/>
              <w:jc w:val="center"/>
              <w:rPr>
                <w:sz w:val="20"/>
                <w:szCs w:val="20"/>
              </w:rPr>
            </w:pPr>
            <w:r>
              <w:rPr>
                <w:sz w:val="20"/>
                <w:szCs w:val="20"/>
              </w:rPr>
              <w:t>0,883</w:t>
            </w:r>
          </w:p>
        </w:tc>
        <w:tc>
          <w:tcPr>
            <w:tcW w:w="0" w:type="auto"/>
            <w:tcBorders>
              <w:left w:val="single" w:color="7E7E7E" w:themeColor="text1" w:themeTint="80" w:sz="4" w:space="0"/>
              <w:right w:val="single" w:color="7E7E7E" w:themeColor="text1" w:themeTint="80" w:sz="4" w:space="0"/>
              <w:insideV w:val="single" w:sz="4" w:space="0"/>
            </w:tcBorders>
          </w:tcPr>
          <w:p w14:paraId="66FACF38">
            <w:pPr>
              <w:pStyle w:val="37"/>
              <w:ind w:left="218" w:right="171" w:firstLine="0"/>
              <w:jc w:val="center"/>
              <w:rPr>
                <w:sz w:val="20"/>
                <w:szCs w:val="20"/>
              </w:rPr>
            </w:pPr>
            <w:r>
              <w:rPr>
                <w:sz w:val="20"/>
                <w:szCs w:val="20"/>
              </w:rPr>
              <w:t>0,3673</w:t>
            </w:r>
          </w:p>
        </w:tc>
        <w:tc>
          <w:tcPr>
            <w:tcW w:w="1675" w:type="dxa"/>
          </w:tcPr>
          <w:p w14:paraId="33EBC12C">
            <w:pPr>
              <w:pStyle w:val="37"/>
              <w:ind w:left="218" w:right="171" w:firstLine="0"/>
              <w:jc w:val="center"/>
              <w:rPr>
                <w:b w:val="0"/>
                <w:bCs w:val="0"/>
                <w:sz w:val="20"/>
                <w:szCs w:val="20"/>
              </w:rPr>
            </w:pPr>
            <w:r>
              <w:rPr>
                <w:b w:val="0"/>
                <w:bCs w:val="0"/>
                <w:sz w:val="20"/>
                <w:szCs w:val="20"/>
              </w:rPr>
              <w:t>Valid</w:t>
            </w:r>
          </w:p>
        </w:tc>
      </w:tr>
      <w:tr w14:paraId="64B4667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03B832D3">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482B96B">
            <w:pPr>
              <w:pStyle w:val="37"/>
              <w:ind w:left="218" w:right="171" w:firstLine="0"/>
              <w:jc w:val="center"/>
              <w:rPr>
                <w:sz w:val="20"/>
                <w:szCs w:val="20"/>
              </w:rPr>
            </w:pPr>
            <w:r>
              <w:rPr>
                <w:sz w:val="20"/>
                <w:szCs w:val="20"/>
              </w:rPr>
              <w:t>X</w:t>
            </w:r>
            <w:r>
              <w:rPr>
                <w:sz w:val="20"/>
                <w:szCs w:val="20"/>
                <w:vertAlign w:val="subscript"/>
              </w:rPr>
              <w:t>1</w:t>
            </w:r>
            <w:r>
              <w:rPr>
                <w:sz w:val="20"/>
                <w:szCs w:val="20"/>
              </w:rPr>
              <w:t>.11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4259394">
            <w:pPr>
              <w:pStyle w:val="37"/>
              <w:ind w:left="218" w:right="171" w:firstLine="0"/>
              <w:jc w:val="center"/>
              <w:rPr>
                <w:sz w:val="20"/>
                <w:szCs w:val="20"/>
              </w:rPr>
            </w:pPr>
            <w:r>
              <w:rPr>
                <w:sz w:val="20"/>
                <w:szCs w:val="20"/>
              </w:rPr>
              <w:t>0,708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FFA9664">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7B180035">
            <w:pPr>
              <w:pStyle w:val="37"/>
              <w:ind w:left="218" w:right="171" w:firstLine="0"/>
              <w:jc w:val="center"/>
              <w:rPr>
                <w:b w:val="0"/>
                <w:bCs w:val="0"/>
                <w:sz w:val="20"/>
                <w:szCs w:val="20"/>
              </w:rPr>
            </w:pPr>
            <w:r>
              <w:rPr>
                <w:b w:val="0"/>
                <w:bCs w:val="0"/>
                <w:sz w:val="20"/>
                <w:szCs w:val="20"/>
              </w:rPr>
              <w:t>Valid</w:t>
            </w:r>
          </w:p>
        </w:tc>
      </w:tr>
      <w:tr w14:paraId="697F670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1A88E3A2">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5C71E6BB">
            <w:pPr>
              <w:pStyle w:val="37"/>
              <w:ind w:left="218" w:right="171" w:firstLine="0"/>
              <w:jc w:val="center"/>
              <w:rPr>
                <w:sz w:val="20"/>
                <w:szCs w:val="20"/>
              </w:rPr>
            </w:pPr>
            <w:r>
              <w:rPr>
                <w:sz w:val="20"/>
                <w:szCs w:val="20"/>
              </w:rPr>
              <w:t>X</w:t>
            </w:r>
            <w:r>
              <w:rPr>
                <w:sz w:val="20"/>
                <w:szCs w:val="20"/>
                <w:vertAlign w:val="subscript"/>
              </w:rPr>
              <w:t>1</w:t>
            </w:r>
            <w:r>
              <w:rPr>
                <w:sz w:val="20"/>
                <w:szCs w:val="20"/>
              </w:rPr>
              <w:t>.12</w:t>
            </w:r>
          </w:p>
        </w:tc>
        <w:tc>
          <w:tcPr>
            <w:tcW w:w="0" w:type="auto"/>
            <w:tcBorders>
              <w:left w:val="single" w:color="7E7E7E" w:themeColor="text1" w:themeTint="80" w:sz="4" w:space="0"/>
              <w:right w:val="single" w:color="7E7E7E" w:themeColor="text1" w:themeTint="80" w:sz="4" w:space="0"/>
              <w:insideV w:val="single" w:sz="4" w:space="0"/>
            </w:tcBorders>
          </w:tcPr>
          <w:p w14:paraId="41F1C49B">
            <w:pPr>
              <w:pStyle w:val="37"/>
              <w:ind w:left="218" w:right="171" w:firstLine="0"/>
              <w:jc w:val="center"/>
              <w:rPr>
                <w:sz w:val="20"/>
                <w:szCs w:val="20"/>
              </w:rPr>
            </w:pPr>
            <w:r>
              <w:rPr>
                <w:sz w:val="20"/>
                <w:szCs w:val="20"/>
              </w:rPr>
              <w:t>0,532</w:t>
            </w:r>
          </w:p>
        </w:tc>
        <w:tc>
          <w:tcPr>
            <w:tcW w:w="0" w:type="auto"/>
            <w:tcBorders>
              <w:left w:val="single" w:color="7E7E7E" w:themeColor="text1" w:themeTint="80" w:sz="4" w:space="0"/>
              <w:right w:val="single" w:color="7E7E7E" w:themeColor="text1" w:themeTint="80" w:sz="4" w:space="0"/>
              <w:insideV w:val="single" w:sz="4" w:space="0"/>
            </w:tcBorders>
          </w:tcPr>
          <w:p w14:paraId="4D5DDB78">
            <w:pPr>
              <w:pStyle w:val="37"/>
              <w:ind w:left="218" w:right="171" w:firstLine="0"/>
              <w:jc w:val="center"/>
              <w:rPr>
                <w:sz w:val="20"/>
                <w:szCs w:val="20"/>
              </w:rPr>
            </w:pPr>
            <w:r>
              <w:rPr>
                <w:sz w:val="20"/>
                <w:szCs w:val="20"/>
              </w:rPr>
              <w:t>0,3673</w:t>
            </w:r>
          </w:p>
        </w:tc>
        <w:tc>
          <w:tcPr>
            <w:tcW w:w="1675" w:type="dxa"/>
          </w:tcPr>
          <w:p w14:paraId="1ED3CFA6">
            <w:pPr>
              <w:pStyle w:val="37"/>
              <w:ind w:left="218" w:right="171" w:firstLine="0"/>
              <w:jc w:val="center"/>
              <w:rPr>
                <w:b w:val="0"/>
                <w:bCs w:val="0"/>
                <w:sz w:val="20"/>
                <w:szCs w:val="20"/>
              </w:rPr>
            </w:pPr>
            <w:r>
              <w:rPr>
                <w:b w:val="0"/>
                <w:bCs w:val="0"/>
                <w:sz w:val="20"/>
                <w:szCs w:val="20"/>
              </w:rPr>
              <w:t>Valid</w:t>
            </w:r>
          </w:p>
        </w:tc>
      </w:tr>
      <w:tr w14:paraId="06A66F7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0A5C88CB">
            <w:pPr>
              <w:ind w:right="97"/>
              <w:jc w:val="center"/>
              <w:rPr>
                <w:b w:val="0"/>
                <w:bCs w:val="0"/>
                <w:sz w:val="20"/>
                <w:szCs w:val="20"/>
              </w:rPr>
            </w:pPr>
            <w:r>
              <w:rPr>
                <w:rFonts w:eastAsia="Calibri"/>
                <w:b w:val="0"/>
                <w:bCs w:val="0"/>
                <w:sz w:val="20"/>
                <w:szCs w:val="20"/>
                <w:lang w:val="id"/>
              </w:rPr>
              <w:t>Kesadaran Wajib Pajak</w:t>
            </w:r>
            <w:r>
              <w:rPr>
                <w:b w:val="0"/>
                <w:bCs w:val="0"/>
                <w:sz w:val="20"/>
                <w:szCs w:val="20"/>
              </w:rPr>
              <w:t xml:space="preserve"> (X</w:t>
            </w:r>
            <w:r>
              <w:rPr>
                <w:b w:val="0"/>
                <w:bCs w:val="0"/>
                <w:sz w:val="20"/>
                <w:szCs w:val="20"/>
                <w:vertAlign w:val="subscript"/>
              </w:rPr>
              <w:t>2</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1CF88BE">
            <w:pPr>
              <w:pStyle w:val="37"/>
              <w:ind w:left="218" w:right="171" w:firstLine="0"/>
              <w:jc w:val="center"/>
              <w:rPr>
                <w:sz w:val="20"/>
                <w:szCs w:val="20"/>
              </w:rPr>
            </w:pPr>
            <w:r>
              <w:rPr>
                <w:sz w:val="20"/>
                <w:szCs w:val="20"/>
              </w:rPr>
              <w:t>X</w:t>
            </w:r>
            <w:r>
              <w:rPr>
                <w:sz w:val="20"/>
                <w:szCs w:val="20"/>
                <w:vertAlign w:val="subscript"/>
              </w:rPr>
              <w:t>2</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18F09D">
            <w:pPr>
              <w:pStyle w:val="37"/>
              <w:ind w:left="218" w:right="171" w:firstLine="0"/>
              <w:jc w:val="center"/>
              <w:rPr>
                <w:sz w:val="20"/>
                <w:szCs w:val="20"/>
              </w:rPr>
            </w:pPr>
            <w:r>
              <w:rPr>
                <w:sz w:val="20"/>
                <w:szCs w:val="20"/>
              </w:rPr>
              <w:t>0,899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C7AE041">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2BBB941A">
            <w:pPr>
              <w:pStyle w:val="37"/>
              <w:ind w:left="218" w:right="171" w:firstLine="0"/>
              <w:jc w:val="center"/>
              <w:rPr>
                <w:b w:val="0"/>
                <w:bCs w:val="0"/>
                <w:sz w:val="20"/>
                <w:szCs w:val="20"/>
              </w:rPr>
            </w:pPr>
            <w:r>
              <w:rPr>
                <w:b w:val="0"/>
                <w:bCs w:val="0"/>
                <w:sz w:val="20"/>
                <w:szCs w:val="20"/>
              </w:rPr>
              <w:t>Valid</w:t>
            </w:r>
          </w:p>
        </w:tc>
      </w:tr>
      <w:tr w14:paraId="58827B8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04434A39">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267E5F55">
            <w:pPr>
              <w:pStyle w:val="37"/>
              <w:ind w:left="218" w:right="171" w:firstLine="0"/>
              <w:jc w:val="center"/>
              <w:rPr>
                <w:sz w:val="20"/>
                <w:szCs w:val="20"/>
              </w:rPr>
            </w:pPr>
            <w:r>
              <w:rPr>
                <w:sz w:val="20"/>
                <w:szCs w:val="20"/>
              </w:rPr>
              <w:t>X</w:t>
            </w:r>
            <w:r>
              <w:rPr>
                <w:sz w:val="20"/>
                <w:szCs w:val="20"/>
                <w:vertAlign w:val="subscript"/>
              </w:rPr>
              <w:t>2</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10B403A9">
            <w:pPr>
              <w:pStyle w:val="37"/>
              <w:ind w:left="218" w:right="171" w:firstLine="0"/>
              <w:jc w:val="center"/>
              <w:rPr>
                <w:sz w:val="20"/>
                <w:szCs w:val="20"/>
              </w:rPr>
            </w:pPr>
            <w:r>
              <w:rPr>
                <w:sz w:val="20"/>
                <w:szCs w:val="20"/>
              </w:rPr>
              <w:t>0,919</w:t>
            </w:r>
          </w:p>
        </w:tc>
        <w:tc>
          <w:tcPr>
            <w:tcW w:w="0" w:type="auto"/>
            <w:tcBorders>
              <w:left w:val="single" w:color="7E7E7E" w:themeColor="text1" w:themeTint="80" w:sz="4" w:space="0"/>
              <w:right w:val="single" w:color="7E7E7E" w:themeColor="text1" w:themeTint="80" w:sz="4" w:space="0"/>
              <w:insideV w:val="single" w:sz="4" w:space="0"/>
            </w:tcBorders>
          </w:tcPr>
          <w:p w14:paraId="5BC7436A">
            <w:pPr>
              <w:pStyle w:val="37"/>
              <w:ind w:left="218" w:right="171" w:firstLine="0"/>
              <w:jc w:val="center"/>
              <w:rPr>
                <w:sz w:val="20"/>
                <w:szCs w:val="20"/>
              </w:rPr>
            </w:pPr>
            <w:r>
              <w:rPr>
                <w:sz w:val="20"/>
                <w:szCs w:val="20"/>
              </w:rPr>
              <w:t>0,3673</w:t>
            </w:r>
          </w:p>
        </w:tc>
        <w:tc>
          <w:tcPr>
            <w:tcW w:w="1675" w:type="dxa"/>
          </w:tcPr>
          <w:p w14:paraId="6D522786">
            <w:pPr>
              <w:pStyle w:val="37"/>
              <w:ind w:left="218" w:right="171" w:firstLine="0"/>
              <w:jc w:val="center"/>
              <w:rPr>
                <w:b w:val="0"/>
                <w:bCs w:val="0"/>
                <w:sz w:val="20"/>
                <w:szCs w:val="20"/>
              </w:rPr>
            </w:pPr>
            <w:r>
              <w:rPr>
                <w:b w:val="0"/>
                <w:bCs w:val="0"/>
                <w:sz w:val="20"/>
                <w:szCs w:val="20"/>
              </w:rPr>
              <w:t>Valid</w:t>
            </w:r>
          </w:p>
        </w:tc>
      </w:tr>
      <w:tr w14:paraId="0DD9284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6175A4AA">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1B9DDD2">
            <w:pPr>
              <w:pStyle w:val="37"/>
              <w:ind w:left="218" w:right="171" w:firstLine="0"/>
              <w:jc w:val="center"/>
              <w:rPr>
                <w:sz w:val="20"/>
                <w:szCs w:val="20"/>
              </w:rPr>
            </w:pPr>
            <w:r>
              <w:rPr>
                <w:sz w:val="20"/>
                <w:szCs w:val="20"/>
              </w:rPr>
              <w:t>X</w:t>
            </w:r>
            <w:r>
              <w:rPr>
                <w:sz w:val="20"/>
                <w:szCs w:val="20"/>
                <w:vertAlign w:val="subscript"/>
              </w:rPr>
              <w:t>2</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223ED5C">
            <w:pPr>
              <w:pStyle w:val="37"/>
              <w:ind w:left="218" w:right="171" w:firstLine="0"/>
              <w:jc w:val="center"/>
              <w:rPr>
                <w:sz w:val="20"/>
                <w:szCs w:val="20"/>
              </w:rPr>
            </w:pPr>
            <w:r>
              <w:rPr>
                <w:sz w:val="20"/>
                <w:szCs w:val="20"/>
              </w:rPr>
              <w:t>0,940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F0D8BAB">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6A4BD612">
            <w:pPr>
              <w:pStyle w:val="37"/>
              <w:ind w:left="218" w:right="171" w:firstLine="0"/>
              <w:jc w:val="center"/>
              <w:rPr>
                <w:b w:val="0"/>
                <w:bCs w:val="0"/>
                <w:sz w:val="20"/>
                <w:szCs w:val="20"/>
              </w:rPr>
            </w:pPr>
            <w:r>
              <w:rPr>
                <w:b w:val="0"/>
                <w:bCs w:val="0"/>
                <w:sz w:val="20"/>
                <w:szCs w:val="20"/>
              </w:rPr>
              <w:t>Valid</w:t>
            </w:r>
          </w:p>
        </w:tc>
      </w:tr>
      <w:tr w14:paraId="4E8E258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7B36C705">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0E576D7">
            <w:pPr>
              <w:pStyle w:val="37"/>
              <w:ind w:left="218" w:right="171" w:firstLine="0"/>
              <w:jc w:val="center"/>
              <w:rPr>
                <w:sz w:val="20"/>
                <w:szCs w:val="20"/>
              </w:rPr>
            </w:pPr>
            <w:r>
              <w:rPr>
                <w:sz w:val="20"/>
                <w:szCs w:val="20"/>
              </w:rPr>
              <w:t>X</w:t>
            </w:r>
            <w:r>
              <w:rPr>
                <w:sz w:val="20"/>
                <w:szCs w:val="20"/>
                <w:vertAlign w:val="subscript"/>
              </w:rPr>
              <w:t>2</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72315445">
            <w:pPr>
              <w:pStyle w:val="37"/>
              <w:ind w:left="218" w:right="171" w:firstLine="0"/>
              <w:jc w:val="center"/>
              <w:rPr>
                <w:sz w:val="20"/>
                <w:szCs w:val="20"/>
              </w:rPr>
            </w:pPr>
            <w:r>
              <w:rPr>
                <w:sz w:val="20"/>
                <w:szCs w:val="20"/>
              </w:rPr>
              <w:t>0,835</w:t>
            </w:r>
          </w:p>
        </w:tc>
        <w:tc>
          <w:tcPr>
            <w:tcW w:w="0" w:type="auto"/>
            <w:tcBorders>
              <w:left w:val="single" w:color="7E7E7E" w:themeColor="text1" w:themeTint="80" w:sz="4" w:space="0"/>
              <w:right w:val="single" w:color="7E7E7E" w:themeColor="text1" w:themeTint="80" w:sz="4" w:space="0"/>
              <w:insideV w:val="single" w:sz="4" w:space="0"/>
            </w:tcBorders>
          </w:tcPr>
          <w:p w14:paraId="680257F5">
            <w:pPr>
              <w:pStyle w:val="37"/>
              <w:ind w:left="218" w:right="171" w:firstLine="0"/>
              <w:jc w:val="center"/>
              <w:rPr>
                <w:sz w:val="20"/>
                <w:szCs w:val="20"/>
              </w:rPr>
            </w:pPr>
            <w:r>
              <w:rPr>
                <w:sz w:val="20"/>
                <w:szCs w:val="20"/>
              </w:rPr>
              <w:t>0,3673</w:t>
            </w:r>
          </w:p>
        </w:tc>
        <w:tc>
          <w:tcPr>
            <w:tcW w:w="1675" w:type="dxa"/>
          </w:tcPr>
          <w:p w14:paraId="1FE5DDB9">
            <w:pPr>
              <w:pStyle w:val="37"/>
              <w:ind w:left="218" w:right="171" w:firstLine="0"/>
              <w:jc w:val="center"/>
              <w:rPr>
                <w:b w:val="0"/>
                <w:bCs w:val="0"/>
                <w:sz w:val="20"/>
                <w:szCs w:val="20"/>
              </w:rPr>
            </w:pPr>
            <w:r>
              <w:rPr>
                <w:b w:val="0"/>
                <w:bCs w:val="0"/>
                <w:sz w:val="20"/>
                <w:szCs w:val="20"/>
              </w:rPr>
              <w:t>Valid</w:t>
            </w:r>
          </w:p>
        </w:tc>
      </w:tr>
      <w:tr w14:paraId="4E6230F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547A98AC">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573030B">
            <w:pPr>
              <w:pStyle w:val="37"/>
              <w:ind w:left="218" w:right="171" w:firstLine="0"/>
              <w:jc w:val="center"/>
              <w:rPr>
                <w:sz w:val="20"/>
                <w:szCs w:val="20"/>
              </w:rPr>
            </w:pPr>
            <w:r>
              <w:rPr>
                <w:sz w:val="20"/>
                <w:szCs w:val="20"/>
              </w:rPr>
              <w:t>X</w:t>
            </w:r>
            <w:r>
              <w:rPr>
                <w:sz w:val="20"/>
                <w:szCs w:val="20"/>
                <w:vertAlign w:val="subscript"/>
              </w:rPr>
              <w:t>2</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55EE4B4">
            <w:pPr>
              <w:pStyle w:val="37"/>
              <w:ind w:left="218" w:right="171" w:firstLine="0"/>
              <w:jc w:val="center"/>
              <w:rPr>
                <w:sz w:val="20"/>
                <w:szCs w:val="20"/>
              </w:rPr>
            </w:pPr>
            <w:r>
              <w:rPr>
                <w:sz w:val="20"/>
                <w:szCs w:val="20"/>
              </w:rPr>
              <w:t>0,940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5849318">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D8456DD">
            <w:pPr>
              <w:pStyle w:val="37"/>
              <w:ind w:left="218" w:right="171" w:firstLine="0"/>
              <w:jc w:val="center"/>
              <w:rPr>
                <w:b w:val="0"/>
                <w:bCs w:val="0"/>
                <w:sz w:val="20"/>
                <w:szCs w:val="20"/>
              </w:rPr>
            </w:pPr>
            <w:r>
              <w:rPr>
                <w:b w:val="0"/>
                <w:bCs w:val="0"/>
                <w:sz w:val="20"/>
                <w:szCs w:val="20"/>
              </w:rPr>
              <w:t>Valid</w:t>
            </w:r>
          </w:p>
        </w:tc>
      </w:tr>
      <w:tr w14:paraId="1BAC3E4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54613BF9">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44951288">
            <w:pPr>
              <w:pStyle w:val="37"/>
              <w:ind w:left="218" w:right="171" w:firstLine="0"/>
              <w:jc w:val="center"/>
              <w:rPr>
                <w:sz w:val="20"/>
                <w:szCs w:val="20"/>
              </w:rPr>
            </w:pPr>
            <w:r>
              <w:rPr>
                <w:sz w:val="20"/>
                <w:szCs w:val="20"/>
              </w:rPr>
              <w:t>X</w:t>
            </w:r>
            <w:r>
              <w:rPr>
                <w:sz w:val="20"/>
                <w:szCs w:val="20"/>
                <w:vertAlign w:val="subscript"/>
              </w:rPr>
              <w:t>2</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0215DD46">
            <w:pPr>
              <w:pStyle w:val="37"/>
              <w:ind w:left="218" w:right="171" w:firstLine="0"/>
              <w:jc w:val="center"/>
              <w:rPr>
                <w:sz w:val="20"/>
                <w:szCs w:val="20"/>
              </w:rPr>
            </w:pPr>
            <w:r>
              <w:rPr>
                <w:sz w:val="20"/>
                <w:szCs w:val="20"/>
              </w:rPr>
              <w:t>0,899</w:t>
            </w:r>
          </w:p>
        </w:tc>
        <w:tc>
          <w:tcPr>
            <w:tcW w:w="0" w:type="auto"/>
            <w:tcBorders>
              <w:left w:val="single" w:color="7E7E7E" w:themeColor="text1" w:themeTint="80" w:sz="4" w:space="0"/>
              <w:right w:val="single" w:color="7E7E7E" w:themeColor="text1" w:themeTint="80" w:sz="4" w:space="0"/>
              <w:insideV w:val="single" w:sz="4" w:space="0"/>
            </w:tcBorders>
          </w:tcPr>
          <w:p w14:paraId="41D41881">
            <w:pPr>
              <w:pStyle w:val="37"/>
              <w:ind w:left="218" w:right="171" w:firstLine="0"/>
              <w:jc w:val="center"/>
              <w:rPr>
                <w:sz w:val="20"/>
                <w:szCs w:val="20"/>
              </w:rPr>
            </w:pPr>
            <w:r>
              <w:rPr>
                <w:sz w:val="20"/>
                <w:szCs w:val="20"/>
              </w:rPr>
              <w:t>0,3673</w:t>
            </w:r>
          </w:p>
        </w:tc>
        <w:tc>
          <w:tcPr>
            <w:tcW w:w="1675" w:type="dxa"/>
          </w:tcPr>
          <w:p w14:paraId="3DE0C331">
            <w:pPr>
              <w:pStyle w:val="37"/>
              <w:ind w:left="218" w:right="171" w:firstLine="0"/>
              <w:jc w:val="center"/>
              <w:rPr>
                <w:b w:val="0"/>
                <w:bCs w:val="0"/>
                <w:sz w:val="20"/>
                <w:szCs w:val="20"/>
              </w:rPr>
            </w:pPr>
            <w:r>
              <w:rPr>
                <w:b w:val="0"/>
                <w:bCs w:val="0"/>
                <w:sz w:val="20"/>
                <w:szCs w:val="20"/>
              </w:rPr>
              <w:t>Valid</w:t>
            </w:r>
          </w:p>
        </w:tc>
      </w:tr>
      <w:tr w14:paraId="4327CD4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7D3AEC94">
            <w:pPr>
              <w:ind w:right="97"/>
              <w:jc w:val="center"/>
              <w:rPr>
                <w:b w:val="0"/>
                <w:bCs w:val="0"/>
                <w:sz w:val="20"/>
                <w:szCs w:val="20"/>
              </w:rPr>
            </w:pPr>
            <w:r>
              <w:rPr>
                <w:rFonts w:eastAsia="Calibri"/>
                <w:b w:val="0"/>
                <w:bCs w:val="0"/>
                <w:sz w:val="20"/>
                <w:szCs w:val="20"/>
                <w:lang w:val="id"/>
              </w:rPr>
              <w:t xml:space="preserve">Penurunan Tarif Pajak PPNo 23 Tahun 2018 </w:t>
            </w:r>
            <w:r>
              <w:rPr>
                <w:b w:val="0"/>
                <w:bCs w:val="0"/>
                <w:sz w:val="20"/>
                <w:szCs w:val="20"/>
              </w:rPr>
              <w:t xml:space="preserve"> (X</w:t>
            </w:r>
            <w:r>
              <w:rPr>
                <w:b w:val="0"/>
                <w:bCs w:val="0"/>
                <w:sz w:val="20"/>
                <w:szCs w:val="20"/>
                <w:vertAlign w:val="subscript"/>
              </w:rPr>
              <w:t>3</w:t>
            </w:r>
            <w:r>
              <w:rPr>
                <w:b w:val="0"/>
                <w:bCs w:val="0"/>
                <w:sz w:val="20"/>
                <w:szCs w:val="20"/>
              </w:rPr>
              <w:t>)</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C07CF70">
            <w:pPr>
              <w:pStyle w:val="37"/>
              <w:ind w:left="218" w:right="171" w:firstLine="0"/>
              <w:jc w:val="center"/>
              <w:rPr>
                <w:sz w:val="20"/>
                <w:szCs w:val="20"/>
              </w:rPr>
            </w:pPr>
            <w:r>
              <w:rPr>
                <w:sz w:val="20"/>
                <w:szCs w:val="20"/>
              </w:rPr>
              <w:t>X</w:t>
            </w:r>
            <w:r>
              <w:rPr>
                <w:sz w:val="20"/>
                <w:szCs w:val="20"/>
                <w:vertAlign w:val="subscript"/>
              </w:rPr>
              <w:t>3</w:t>
            </w:r>
            <w:r>
              <w:rPr>
                <w:sz w:val="20"/>
                <w:szCs w:val="20"/>
              </w:rPr>
              <w:t>.1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20A3756">
            <w:pPr>
              <w:pStyle w:val="37"/>
              <w:ind w:left="218" w:right="171" w:firstLine="0"/>
              <w:jc w:val="center"/>
              <w:rPr>
                <w:sz w:val="20"/>
                <w:szCs w:val="20"/>
              </w:rPr>
            </w:pPr>
            <w:r>
              <w:rPr>
                <w:sz w:val="20"/>
                <w:szCs w:val="20"/>
              </w:rPr>
              <w:t>0,897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6D939A8A">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084DF77C">
            <w:pPr>
              <w:pStyle w:val="37"/>
              <w:ind w:left="218" w:right="171" w:firstLine="0"/>
              <w:jc w:val="center"/>
              <w:rPr>
                <w:b w:val="0"/>
                <w:bCs w:val="0"/>
                <w:sz w:val="20"/>
                <w:szCs w:val="20"/>
              </w:rPr>
            </w:pPr>
            <w:r>
              <w:rPr>
                <w:b w:val="0"/>
                <w:bCs w:val="0"/>
                <w:sz w:val="20"/>
                <w:szCs w:val="20"/>
              </w:rPr>
              <w:t>Valid</w:t>
            </w:r>
          </w:p>
        </w:tc>
      </w:tr>
      <w:tr w14:paraId="228103A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00E498BA">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72A840F">
            <w:pPr>
              <w:pStyle w:val="37"/>
              <w:ind w:left="218" w:right="171" w:firstLine="0"/>
              <w:jc w:val="center"/>
              <w:rPr>
                <w:sz w:val="20"/>
                <w:szCs w:val="20"/>
              </w:rPr>
            </w:pPr>
            <w:r>
              <w:rPr>
                <w:sz w:val="20"/>
                <w:szCs w:val="20"/>
              </w:rPr>
              <w:t>X</w:t>
            </w:r>
            <w:r>
              <w:rPr>
                <w:sz w:val="20"/>
                <w:szCs w:val="20"/>
                <w:vertAlign w:val="subscript"/>
              </w:rPr>
              <w:t>3</w:t>
            </w:r>
            <w:r>
              <w:rPr>
                <w:sz w:val="20"/>
                <w:szCs w:val="20"/>
              </w:rPr>
              <w:t>.2</w:t>
            </w:r>
          </w:p>
        </w:tc>
        <w:tc>
          <w:tcPr>
            <w:tcW w:w="0" w:type="auto"/>
            <w:tcBorders>
              <w:left w:val="single" w:color="7E7E7E" w:themeColor="text1" w:themeTint="80" w:sz="4" w:space="0"/>
              <w:right w:val="single" w:color="7E7E7E" w:themeColor="text1" w:themeTint="80" w:sz="4" w:space="0"/>
              <w:insideV w:val="single" w:sz="4" w:space="0"/>
            </w:tcBorders>
          </w:tcPr>
          <w:p w14:paraId="0E734B34">
            <w:pPr>
              <w:pStyle w:val="37"/>
              <w:ind w:left="218" w:right="171" w:firstLine="0"/>
              <w:jc w:val="center"/>
              <w:rPr>
                <w:sz w:val="20"/>
                <w:szCs w:val="20"/>
              </w:rPr>
            </w:pPr>
            <w:r>
              <w:rPr>
                <w:sz w:val="20"/>
                <w:szCs w:val="20"/>
              </w:rPr>
              <w:t>0,886</w:t>
            </w:r>
          </w:p>
        </w:tc>
        <w:tc>
          <w:tcPr>
            <w:tcW w:w="0" w:type="auto"/>
            <w:tcBorders>
              <w:left w:val="single" w:color="7E7E7E" w:themeColor="text1" w:themeTint="80" w:sz="4" w:space="0"/>
              <w:right w:val="single" w:color="7E7E7E" w:themeColor="text1" w:themeTint="80" w:sz="4" w:space="0"/>
              <w:insideV w:val="single" w:sz="4" w:space="0"/>
            </w:tcBorders>
          </w:tcPr>
          <w:p w14:paraId="5EFEF3A5">
            <w:pPr>
              <w:pStyle w:val="37"/>
              <w:ind w:left="218" w:right="171" w:firstLine="0"/>
              <w:jc w:val="center"/>
              <w:rPr>
                <w:sz w:val="20"/>
                <w:szCs w:val="20"/>
              </w:rPr>
            </w:pPr>
            <w:r>
              <w:rPr>
                <w:sz w:val="20"/>
                <w:szCs w:val="20"/>
              </w:rPr>
              <w:t>0,3673</w:t>
            </w:r>
          </w:p>
        </w:tc>
        <w:tc>
          <w:tcPr>
            <w:tcW w:w="1675" w:type="dxa"/>
          </w:tcPr>
          <w:p w14:paraId="432EE26E">
            <w:pPr>
              <w:pStyle w:val="37"/>
              <w:ind w:left="218" w:right="171" w:firstLine="0"/>
              <w:jc w:val="center"/>
              <w:rPr>
                <w:b w:val="0"/>
                <w:bCs w:val="0"/>
                <w:sz w:val="20"/>
                <w:szCs w:val="20"/>
              </w:rPr>
            </w:pPr>
            <w:r>
              <w:rPr>
                <w:b w:val="0"/>
                <w:bCs w:val="0"/>
                <w:sz w:val="20"/>
                <w:szCs w:val="20"/>
              </w:rPr>
              <w:t>Valid</w:t>
            </w:r>
          </w:p>
        </w:tc>
      </w:tr>
      <w:tr w14:paraId="1AADDC9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1B55BE28">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82C44F2">
            <w:pPr>
              <w:pStyle w:val="37"/>
              <w:ind w:left="218" w:right="171" w:firstLine="0"/>
              <w:jc w:val="center"/>
              <w:rPr>
                <w:sz w:val="20"/>
                <w:szCs w:val="20"/>
              </w:rPr>
            </w:pPr>
            <w:r>
              <w:rPr>
                <w:sz w:val="20"/>
                <w:szCs w:val="20"/>
              </w:rPr>
              <w:t>X</w:t>
            </w:r>
            <w:r>
              <w:rPr>
                <w:sz w:val="20"/>
                <w:szCs w:val="20"/>
                <w:vertAlign w:val="subscript"/>
              </w:rPr>
              <w:t>3</w:t>
            </w:r>
            <w:r>
              <w:rPr>
                <w:sz w:val="20"/>
                <w:szCs w:val="20"/>
              </w:rPr>
              <w:t>.3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15DEFAC">
            <w:pPr>
              <w:pStyle w:val="37"/>
              <w:ind w:left="218" w:right="171" w:firstLine="0"/>
              <w:jc w:val="center"/>
              <w:rPr>
                <w:sz w:val="20"/>
                <w:szCs w:val="20"/>
              </w:rPr>
            </w:pPr>
            <w:r>
              <w:rPr>
                <w:sz w:val="20"/>
                <w:szCs w:val="20"/>
              </w:rPr>
              <w:t>0,938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242374E">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1D6F94D8">
            <w:pPr>
              <w:pStyle w:val="37"/>
              <w:ind w:left="218" w:right="171" w:firstLine="0"/>
              <w:jc w:val="center"/>
              <w:rPr>
                <w:b w:val="0"/>
                <w:bCs w:val="0"/>
                <w:sz w:val="20"/>
                <w:szCs w:val="20"/>
              </w:rPr>
            </w:pPr>
            <w:r>
              <w:rPr>
                <w:b w:val="0"/>
                <w:bCs w:val="0"/>
                <w:sz w:val="20"/>
                <w:szCs w:val="20"/>
              </w:rPr>
              <w:t>Valid</w:t>
            </w:r>
          </w:p>
        </w:tc>
      </w:tr>
      <w:tr w14:paraId="3397794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13A15C11">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273B6CF">
            <w:pPr>
              <w:pStyle w:val="37"/>
              <w:ind w:left="218" w:right="171" w:firstLine="0"/>
              <w:jc w:val="center"/>
              <w:rPr>
                <w:sz w:val="20"/>
                <w:szCs w:val="20"/>
              </w:rPr>
            </w:pPr>
            <w:r>
              <w:rPr>
                <w:sz w:val="20"/>
                <w:szCs w:val="20"/>
              </w:rPr>
              <w:t>X</w:t>
            </w:r>
            <w:r>
              <w:rPr>
                <w:sz w:val="20"/>
                <w:szCs w:val="20"/>
                <w:vertAlign w:val="subscript"/>
              </w:rPr>
              <w:t>3</w:t>
            </w:r>
            <w:r>
              <w:rPr>
                <w:sz w:val="20"/>
                <w:szCs w:val="20"/>
              </w:rPr>
              <w:t>.4</w:t>
            </w:r>
          </w:p>
        </w:tc>
        <w:tc>
          <w:tcPr>
            <w:tcW w:w="0" w:type="auto"/>
            <w:tcBorders>
              <w:left w:val="single" w:color="7E7E7E" w:themeColor="text1" w:themeTint="80" w:sz="4" w:space="0"/>
              <w:right w:val="single" w:color="7E7E7E" w:themeColor="text1" w:themeTint="80" w:sz="4" w:space="0"/>
              <w:insideV w:val="single" w:sz="4" w:space="0"/>
            </w:tcBorders>
          </w:tcPr>
          <w:p w14:paraId="029A4113">
            <w:pPr>
              <w:pStyle w:val="37"/>
              <w:ind w:left="218" w:right="171" w:firstLine="0"/>
              <w:jc w:val="center"/>
              <w:rPr>
                <w:sz w:val="20"/>
                <w:szCs w:val="20"/>
              </w:rPr>
            </w:pPr>
            <w:r>
              <w:rPr>
                <w:sz w:val="20"/>
                <w:szCs w:val="20"/>
              </w:rPr>
              <w:t>0,791</w:t>
            </w:r>
          </w:p>
        </w:tc>
        <w:tc>
          <w:tcPr>
            <w:tcW w:w="0" w:type="auto"/>
            <w:tcBorders>
              <w:left w:val="single" w:color="7E7E7E" w:themeColor="text1" w:themeTint="80" w:sz="4" w:space="0"/>
              <w:right w:val="single" w:color="7E7E7E" w:themeColor="text1" w:themeTint="80" w:sz="4" w:space="0"/>
              <w:insideV w:val="single" w:sz="4" w:space="0"/>
            </w:tcBorders>
          </w:tcPr>
          <w:p w14:paraId="7FDF9981">
            <w:pPr>
              <w:pStyle w:val="37"/>
              <w:ind w:left="218" w:right="171" w:firstLine="0"/>
              <w:jc w:val="center"/>
              <w:rPr>
                <w:sz w:val="20"/>
                <w:szCs w:val="20"/>
              </w:rPr>
            </w:pPr>
            <w:r>
              <w:rPr>
                <w:sz w:val="20"/>
                <w:szCs w:val="20"/>
              </w:rPr>
              <w:t>0,3673</w:t>
            </w:r>
          </w:p>
        </w:tc>
        <w:tc>
          <w:tcPr>
            <w:tcW w:w="1675" w:type="dxa"/>
          </w:tcPr>
          <w:p w14:paraId="5CA52F30">
            <w:pPr>
              <w:pStyle w:val="37"/>
              <w:ind w:left="218" w:right="171" w:firstLine="0"/>
              <w:jc w:val="center"/>
              <w:rPr>
                <w:b w:val="0"/>
                <w:bCs w:val="0"/>
                <w:sz w:val="20"/>
                <w:szCs w:val="20"/>
              </w:rPr>
            </w:pPr>
            <w:r>
              <w:rPr>
                <w:b w:val="0"/>
                <w:bCs w:val="0"/>
                <w:sz w:val="20"/>
                <w:szCs w:val="20"/>
              </w:rPr>
              <w:t>Valid</w:t>
            </w:r>
          </w:p>
        </w:tc>
      </w:tr>
      <w:tr w14:paraId="3F66F23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vAlign w:val="center"/>
          </w:tcPr>
          <w:p w14:paraId="1A8933B7">
            <w:pPr>
              <w:ind w:left="142" w:right="97"/>
              <w:jc w:val="center"/>
              <w:rPr>
                <w:b w:val="0"/>
                <w:bCs w:val="0"/>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1588A2DD">
            <w:pPr>
              <w:pStyle w:val="37"/>
              <w:ind w:left="218" w:right="171" w:firstLine="0"/>
              <w:jc w:val="center"/>
              <w:rPr>
                <w:sz w:val="20"/>
                <w:szCs w:val="20"/>
              </w:rPr>
            </w:pPr>
            <w:r>
              <w:rPr>
                <w:sz w:val="20"/>
                <w:szCs w:val="20"/>
              </w:rPr>
              <w:t>X</w:t>
            </w:r>
            <w:r>
              <w:rPr>
                <w:sz w:val="20"/>
                <w:szCs w:val="20"/>
                <w:vertAlign w:val="subscript"/>
              </w:rPr>
              <w:t>3</w:t>
            </w:r>
            <w:r>
              <w:rPr>
                <w:sz w:val="20"/>
                <w:szCs w:val="20"/>
              </w:rPr>
              <w:t>.5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6FCBBED">
            <w:pPr>
              <w:pStyle w:val="37"/>
              <w:ind w:left="218" w:right="171" w:firstLine="0"/>
              <w:jc w:val="center"/>
              <w:rPr>
                <w:sz w:val="20"/>
                <w:szCs w:val="20"/>
              </w:rPr>
            </w:pPr>
            <w:r>
              <w:rPr>
                <w:sz w:val="20"/>
                <w:szCs w:val="20"/>
              </w:rPr>
              <w:t>0,931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5193D8F">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26BD9555">
            <w:pPr>
              <w:pStyle w:val="37"/>
              <w:ind w:left="218" w:right="171" w:firstLine="0"/>
              <w:jc w:val="center"/>
              <w:rPr>
                <w:b w:val="0"/>
                <w:bCs w:val="0"/>
                <w:sz w:val="20"/>
                <w:szCs w:val="20"/>
              </w:rPr>
            </w:pPr>
            <w:r>
              <w:rPr>
                <w:b w:val="0"/>
                <w:bCs w:val="0"/>
                <w:sz w:val="20"/>
                <w:szCs w:val="20"/>
              </w:rPr>
              <w:t>Valid</w:t>
            </w:r>
          </w:p>
        </w:tc>
      </w:tr>
      <w:tr w14:paraId="02EBC06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vAlign w:val="center"/>
          </w:tcPr>
          <w:p w14:paraId="5F3B53D8">
            <w:pPr>
              <w:ind w:left="142" w:right="97"/>
              <w:jc w:val="center"/>
              <w:rPr>
                <w:b w:val="0"/>
                <w:bCs w:val="0"/>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835DDD7">
            <w:pPr>
              <w:pStyle w:val="37"/>
              <w:ind w:left="218" w:right="171" w:firstLine="0"/>
              <w:jc w:val="center"/>
              <w:rPr>
                <w:sz w:val="20"/>
                <w:szCs w:val="20"/>
              </w:rPr>
            </w:pPr>
            <w:r>
              <w:rPr>
                <w:sz w:val="20"/>
                <w:szCs w:val="20"/>
              </w:rPr>
              <w:t>X</w:t>
            </w:r>
            <w:r>
              <w:rPr>
                <w:sz w:val="20"/>
                <w:szCs w:val="20"/>
                <w:vertAlign w:val="subscript"/>
              </w:rPr>
              <w:t>3</w:t>
            </w:r>
            <w:r>
              <w:rPr>
                <w:sz w:val="20"/>
                <w:szCs w:val="20"/>
              </w:rPr>
              <w:t>.6</w:t>
            </w:r>
          </w:p>
        </w:tc>
        <w:tc>
          <w:tcPr>
            <w:tcW w:w="0" w:type="auto"/>
            <w:tcBorders>
              <w:left w:val="single" w:color="7E7E7E" w:themeColor="text1" w:themeTint="80" w:sz="4" w:space="0"/>
              <w:right w:val="single" w:color="7E7E7E" w:themeColor="text1" w:themeTint="80" w:sz="4" w:space="0"/>
              <w:insideV w:val="single" w:sz="4" w:space="0"/>
            </w:tcBorders>
          </w:tcPr>
          <w:p w14:paraId="5DF9D01B">
            <w:pPr>
              <w:pStyle w:val="37"/>
              <w:ind w:left="218" w:right="171" w:firstLine="0"/>
              <w:jc w:val="center"/>
              <w:rPr>
                <w:sz w:val="20"/>
                <w:szCs w:val="20"/>
              </w:rPr>
            </w:pPr>
            <w:r>
              <w:rPr>
                <w:sz w:val="20"/>
                <w:szCs w:val="20"/>
              </w:rPr>
              <w:t>0,901</w:t>
            </w:r>
          </w:p>
        </w:tc>
        <w:tc>
          <w:tcPr>
            <w:tcW w:w="0" w:type="auto"/>
            <w:tcBorders>
              <w:left w:val="single" w:color="7E7E7E" w:themeColor="text1" w:themeTint="80" w:sz="4" w:space="0"/>
              <w:right w:val="single" w:color="7E7E7E" w:themeColor="text1" w:themeTint="80" w:sz="4" w:space="0"/>
              <w:insideV w:val="single" w:sz="4" w:space="0"/>
            </w:tcBorders>
          </w:tcPr>
          <w:p w14:paraId="605C4A8B">
            <w:pPr>
              <w:pStyle w:val="37"/>
              <w:ind w:left="218" w:right="171" w:firstLine="0"/>
              <w:jc w:val="center"/>
              <w:rPr>
                <w:sz w:val="20"/>
                <w:szCs w:val="20"/>
              </w:rPr>
            </w:pPr>
            <w:r>
              <w:rPr>
                <w:sz w:val="20"/>
                <w:szCs w:val="20"/>
              </w:rPr>
              <w:t>0,3673</w:t>
            </w:r>
          </w:p>
        </w:tc>
        <w:tc>
          <w:tcPr>
            <w:tcW w:w="1675" w:type="dxa"/>
          </w:tcPr>
          <w:p w14:paraId="137EBDA2">
            <w:pPr>
              <w:pStyle w:val="37"/>
              <w:ind w:left="218" w:right="171" w:firstLine="0"/>
              <w:jc w:val="center"/>
              <w:rPr>
                <w:b w:val="0"/>
                <w:bCs w:val="0"/>
                <w:sz w:val="20"/>
                <w:szCs w:val="20"/>
              </w:rPr>
            </w:pPr>
            <w:r>
              <w:rPr>
                <w:b w:val="0"/>
                <w:bCs w:val="0"/>
                <w:sz w:val="20"/>
                <w:szCs w:val="20"/>
              </w:rPr>
              <w:t>Valid</w:t>
            </w:r>
          </w:p>
        </w:tc>
      </w:tr>
      <w:tr w14:paraId="60E0C6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restart"/>
            <w:tcBorders>
              <w:top w:val="single" w:color="7E7E7E" w:themeColor="text1" w:themeTint="80" w:sz="4" w:space="0"/>
              <w:bottom w:val="single" w:color="7E7E7E" w:themeColor="text1" w:themeTint="80" w:sz="4" w:space="0"/>
              <w:insideH w:val="single" w:sz="4" w:space="0"/>
            </w:tcBorders>
            <w:vAlign w:val="center"/>
          </w:tcPr>
          <w:p w14:paraId="60CE9206">
            <w:pPr>
              <w:pStyle w:val="37"/>
              <w:ind w:right="97" w:firstLine="0"/>
              <w:jc w:val="center"/>
              <w:rPr>
                <w:b w:val="0"/>
                <w:bCs w:val="0"/>
                <w:spacing w:val="-57"/>
                <w:sz w:val="20"/>
                <w:szCs w:val="20"/>
              </w:rPr>
            </w:pPr>
            <w:r>
              <w:rPr>
                <w:rFonts w:eastAsia="Calibri"/>
                <w:b w:val="0"/>
                <w:bCs w:val="0"/>
                <w:sz w:val="20"/>
                <w:szCs w:val="20"/>
              </w:rPr>
              <w:t>Kepatuhan Wajib Pajak</w:t>
            </w:r>
            <w:r>
              <w:rPr>
                <w:b w:val="0"/>
                <w:bCs w:val="0"/>
                <w:sz w:val="20"/>
                <w:szCs w:val="20"/>
              </w:rPr>
              <w:t xml:space="preserve"> (Y)</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5EFDB25">
            <w:pPr>
              <w:pStyle w:val="37"/>
              <w:ind w:left="218" w:right="171" w:firstLine="0"/>
              <w:jc w:val="center"/>
              <w:rPr>
                <w:sz w:val="20"/>
                <w:szCs w:val="20"/>
              </w:rPr>
            </w:pPr>
            <w:r>
              <w:rPr>
                <w:sz w:val="20"/>
                <w:szCs w:val="20"/>
              </w:rPr>
              <w:t>Y.1</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26B5EEFE">
            <w:pPr>
              <w:pStyle w:val="37"/>
              <w:ind w:left="218" w:right="171" w:firstLine="0"/>
              <w:jc w:val="center"/>
              <w:rPr>
                <w:sz w:val="20"/>
                <w:szCs w:val="20"/>
              </w:rPr>
            </w:pPr>
            <w:r>
              <w:rPr>
                <w:sz w:val="20"/>
                <w:szCs w:val="20"/>
              </w:rPr>
              <w:t>0,748</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365D05C">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12480AC0">
            <w:pPr>
              <w:pStyle w:val="37"/>
              <w:ind w:left="218" w:right="171" w:firstLine="0"/>
              <w:jc w:val="center"/>
              <w:rPr>
                <w:b w:val="0"/>
                <w:bCs w:val="0"/>
                <w:sz w:val="20"/>
                <w:szCs w:val="20"/>
              </w:rPr>
            </w:pPr>
            <w:r>
              <w:rPr>
                <w:b w:val="0"/>
                <w:bCs w:val="0"/>
                <w:sz w:val="20"/>
                <w:szCs w:val="20"/>
              </w:rPr>
              <w:t>Valid</w:t>
            </w:r>
          </w:p>
        </w:tc>
      </w:tr>
      <w:tr w14:paraId="3559B3B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682D8F3E">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408AB963">
            <w:pPr>
              <w:pStyle w:val="37"/>
              <w:ind w:left="218" w:right="171" w:firstLine="0"/>
              <w:jc w:val="center"/>
              <w:rPr>
                <w:sz w:val="20"/>
                <w:szCs w:val="20"/>
              </w:rPr>
            </w:pPr>
            <w:r>
              <w:rPr>
                <w:sz w:val="20"/>
                <w:szCs w:val="20"/>
              </w:rPr>
              <w:t>Y.2</w:t>
            </w:r>
          </w:p>
        </w:tc>
        <w:tc>
          <w:tcPr>
            <w:tcW w:w="0" w:type="auto"/>
            <w:tcBorders>
              <w:left w:val="single" w:color="7E7E7E" w:themeColor="text1" w:themeTint="80" w:sz="4" w:space="0"/>
              <w:right w:val="single" w:color="7E7E7E" w:themeColor="text1" w:themeTint="80" w:sz="4" w:space="0"/>
              <w:insideV w:val="single" w:sz="4" w:space="0"/>
            </w:tcBorders>
          </w:tcPr>
          <w:p w14:paraId="56F79968">
            <w:pPr>
              <w:pStyle w:val="37"/>
              <w:ind w:left="218" w:right="171" w:firstLine="0"/>
              <w:jc w:val="center"/>
              <w:rPr>
                <w:sz w:val="20"/>
                <w:szCs w:val="20"/>
              </w:rPr>
            </w:pPr>
            <w:r>
              <w:rPr>
                <w:sz w:val="20"/>
                <w:szCs w:val="20"/>
              </w:rPr>
              <w:t>0,876</w:t>
            </w:r>
          </w:p>
        </w:tc>
        <w:tc>
          <w:tcPr>
            <w:tcW w:w="0" w:type="auto"/>
            <w:tcBorders>
              <w:left w:val="single" w:color="7E7E7E" w:themeColor="text1" w:themeTint="80" w:sz="4" w:space="0"/>
              <w:right w:val="single" w:color="7E7E7E" w:themeColor="text1" w:themeTint="80" w:sz="4" w:space="0"/>
              <w:insideV w:val="single" w:sz="4" w:space="0"/>
            </w:tcBorders>
          </w:tcPr>
          <w:p w14:paraId="60065A5A">
            <w:pPr>
              <w:pStyle w:val="37"/>
              <w:ind w:left="218" w:right="171" w:firstLine="0"/>
              <w:jc w:val="center"/>
              <w:rPr>
                <w:sz w:val="20"/>
                <w:szCs w:val="20"/>
              </w:rPr>
            </w:pPr>
            <w:r>
              <w:rPr>
                <w:sz w:val="20"/>
                <w:szCs w:val="20"/>
              </w:rPr>
              <w:t>0,3673</w:t>
            </w:r>
          </w:p>
        </w:tc>
        <w:tc>
          <w:tcPr>
            <w:tcW w:w="1675" w:type="dxa"/>
          </w:tcPr>
          <w:p w14:paraId="617E5665">
            <w:pPr>
              <w:pStyle w:val="37"/>
              <w:ind w:left="218" w:right="171" w:firstLine="0"/>
              <w:jc w:val="center"/>
              <w:rPr>
                <w:b w:val="0"/>
                <w:bCs w:val="0"/>
                <w:sz w:val="20"/>
                <w:szCs w:val="20"/>
              </w:rPr>
            </w:pPr>
            <w:r>
              <w:rPr>
                <w:b w:val="0"/>
                <w:bCs w:val="0"/>
                <w:sz w:val="20"/>
                <w:szCs w:val="20"/>
              </w:rPr>
              <w:t>Valid</w:t>
            </w:r>
          </w:p>
        </w:tc>
      </w:tr>
      <w:tr w14:paraId="74C6AE4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641D8FBE">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E54F854">
            <w:pPr>
              <w:pStyle w:val="37"/>
              <w:ind w:left="218" w:right="171" w:firstLine="0"/>
              <w:jc w:val="center"/>
              <w:rPr>
                <w:sz w:val="20"/>
                <w:szCs w:val="20"/>
              </w:rPr>
            </w:pPr>
            <w:r>
              <w:rPr>
                <w:sz w:val="20"/>
                <w:szCs w:val="20"/>
              </w:rPr>
              <w:t>Y.3</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7BDE672">
            <w:pPr>
              <w:pStyle w:val="37"/>
              <w:ind w:left="218" w:right="171" w:firstLine="0"/>
              <w:jc w:val="center"/>
              <w:rPr>
                <w:sz w:val="20"/>
                <w:szCs w:val="20"/>
              </w:rPr>
            </w:pPr>
            <w:r>
              <w:rPr>
                <w:sz w:val="20"/>
                <w:szCs w:val="20"/>
              </w:rPr>
              <w:t>0,580</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0F302EB">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595623BB">
            <w:pPr>
              <w:pStyle w:val="37"/>
              <w:ind w:left="218" w:right="171" w:firstLine="0"/>
              <w:jc w:val="center"/>
              <w:rPr>
                <w:b w:val="0"/>
                <w:bCs w:val="0"/>
                <w:sz w:val="20"/>
                <w:szCs w:val="20"/>
              </w:rPr>
            </w:pPr>
            <w:r>
              <w:rPr>
                <w:b w:val="0"/>
                <w:bCs w:val="0"/>
                <w:sz w:val="20"/>
                <w:szCs w:val="20"/>
              </w:rPr>
              <w:t>Valid</w:t>
            </w:r>
          </w:p>
        </w:tc>
      </w:tr>
      <w:tr w14:paraId="1A9F585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7045249B">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0A512BEF">
            <w:pPr>
              <w:pStyle w:val="37"/>
              <w:ind w:left="218" w:right="171" w:firstLine="0"/>
              <w:jc w:val="center"/>
              <w:rPr>
                <w:sz w:val="20"/>
                <w:szCs w:val="20"/>
              </w:rPr>
            </w:pPr>
            <w:r>
              <w:rPr>
                <w:sz w:val="20"/>
                <w:szCs w:val="20"/>
              </w:rPr>
              <w:t>Y.4</w:t>
            </w:r>
          </w:p>
        </w:tc>
        <w:tc>
          <w:tcPr>
            <w:tcW w:w="0" w:type="auto"/>
            <w:tcBorders>
              <w:left w:val="single" w:color="7E7E7E" w:themeColor="text1" w:themeTint="80" w:sz="4" w:space="0"/>
              <w:right w:val="single" w:color="7E7E7E" w:themeColor="text1" w:themeTint="80" w:sz="4" w:space="0"/>
              <w:insideV w:val="single" w:sz="4" w:space="0"/>
            </w:tcBorders>
          </w:tcPr>
          <w:p w14:paraId="5C2E705E">
            <w:pPr>
              <w:pStyle w:val="37"/>
              <w:ind w:left="218" w:right="171" w:firstLine="0"/>
              <w:jc w:val="center"/>
              <w:rPr>
                <w:sz w:val="20"/>
                <w:szCs w:val="20"/>
              </w:rPr>
            </w:pPr>
            <w:r>
              <w:rPr>
                <w:sz w:val="20"/>
                <w:szCs w:val="20"/>
              </w:rPr>
              <w:t>0,711</w:t>
            </w:r>
          </w:p>
        </w:tc>
        <w:tc>
          <w:tcPr>
            <w:tcW w:w="0" w:type="auto"/>
            <w:tcBorders>
              <w:left w:val="single" w:color="7E7E7E" w:themeColor="text1" w:themeTint="80" w:sz="4" w:space="0"/>
              <w:right w:val="single" w:color="7E7E7E" w:themeColor="text1" w:themeTint="80" w:sz="4" w:space="0"/>
              <w:insideV w:val="single" w:sz="4" w:space="0"/>
            </w:tcBorders>
          </w:tcPr>
          <w:p w14:paraId="0F91800B">
            <w:pPr>
              <w:pStyle w:val="37"/>
              <w:ind w:left="218" w:right="171" w:firstLine="0"/>
              <w:jc w:val="center"/>
              <w:rPr>
                <w:sz w:val="20"/>
                <w:szCs w:val="20"/>
              </w:rPr>
            </w:pPr>
            <w:r>
              <w:rPr>
                <w:sz w:val="20"/>
                <w:szCs w:val="20"/>
              </w:rPr>
              <w:t>0,3673</w:t>
            </w:r>
          </w:p>
        </w:tc>
        <w:tc>
          <w:tcPr>
            <w:tcW w:w="1675" w:type="dxa"/>
          </w:tcPr>
          <w:p w14:paraId="18D084B2">
            <w:pPr>
              <w:pStyle w:val="37"/>
              <w:ind w:left="218" w:right="171" w:firstLine="0"/>
              <w:jc w:val="center"/>
              <w:rPr>
                <w:b w:val="0"/>
                <w:bCs w:val="0"/>
                <w:sz w:val="20"/>
                <w:szCs w:val="20"/>
              </w:rPr>
            </w:pPr>
            <w:r>
              <w:rPr>
                <w:b w:val="0"/>
                <w:bCs w:val="0"/>
                <w:sz w:val="20"/>
                <w:szCs w:val="20"/>
              </w:rPr>
              <w:t>Valid</w:t>
            </w:r>
          </w:p>
        </w:tc>
      </w:tr>
      <w:tr w14:paraId="735445D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090ACB9A">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DF9393E">
            <w:pPr>
              <w:pStyle w:val="37"/>
              <w:ind w:left="218" w:right="171" w:firstLine="0"/>
              <w:jc w:val="center"/>
              <w:rPr>
                <w:sz w:val="20"/>
                <w:szCs w:val="20"/>
              </w:rPr>
            </w:pPr>
            <w:r>
              <w:rPr>
                <w:sz w:val="20"/>
                <w:szCs w:val="20"/>
              </w:rPr>
              <w:t>Y.5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10DBC49">
            <w:pPr>
              <w:pStyle w:val="37"/>
              <w:ind w:left="218" w:right="171" w:firstLine="0"/>
              <w:jc w:val="center"/>
              <w:rPr>
                <w:sz w:val="20"/>
                <w:szCs w:val="20"/>
              </w:rPr>
            </w:pPr>
            <w:r>
              <w:rPr>
                <w:sz w:val="20"/>
                <w:szCs w:val="20"/>
              </w:rPr>
              <w:t>0,662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40DA75">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34E4D85B">
            <w:pPr>
              <w:pStyle w:val="37"/>
              <w:ind w:left="218" w:right="171" w:firstLine="0"/>
              <w:jc w:val="center"/>
              <w:rPr>
                <w:b w:val="0"/>
                <w:bCs w:val="0"/>
                <w:sz w:val="20"/>
                <w:szCs w:val="20"/>
              </w:rPr>
            </w:pPr>
            <w:r>
              <w:rPr>
                <w:b w:val="0"/>
                <w:bCs w:val="0"/>
                <w:sz w:val="20"/>
                <w:szCs w:val="20"/>
              </w:rPr>
              <w:t>Valid</w:t>
            </w:r>
          </w:p>
        </w:tc>
      </w:tr>
      <w:tr w14:paraId="0DCFAEC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5D8A36B0">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4600A084">
            <w:pPr>
              <w:pStyle w:val="37"/>
              <w:ind w:left="218" w:right="171" w:firstLine="0"/>
              <w:jc w:val="center"/>
              <w:rPr>
                <w:sz w:val="20"/>
                <w:szCs w:val="20"/>
              </w:rPr>
            </w:pPr>
            <w:r>
              <w:rPr>
                <w:sz w:val="20"/>
                <w:szCs w:val="20"/>
              </w:rPr>
              <w:t>Y.6</w:t>
            </w:r>
          </w:p>
        </w:tc>
        <w:tc>
          <w:tcPr>
            <w:tcW w:w="0" w:type="auto"/>
            <w:tcBorders>
              <w:left w:val="single" w:color="7E7E7E" w:themeColor="text1" w:themeTint="80" w:sz="4" w:space="0"/>
              <w:right w:val="single" w:color="7E7E7E" w:themeColor="text1" w:themeTint="80" w:sz="4" w:space="0"/>
              <w:insideV w:val="single" w:sz="4" w:space="0"/>
            </w:tcBorders>
          </w:tcPr>
          <w:p w14:paraId="1D76F8E5">
            <w:pPr>
              <w:pStyle w:val="37"/>
              <w:ind w:left="218" w:right="171" w:firstLine="0"/>
              <w:jc w:val="center"/>
              <w:rPr>
                <w:sz w:val="20"/>
                <w:szCs w:val="20"/>
              </w:rPr>
            </w:pPr>
            <w:r>
              <w:rPr>
                <w:sz w:val="20"/>
                <w:szCs w:val="20"/>
              </w:rPr>
              <w:t>0,699</w:t>
            </w:r>
          </w:p>
        </w:tc>
        <w:tc>
          <w:tcPr>
            <w:tcW w:w="0" w:type="auto"/>
            <w:tcBorders>
              <w:left w:val="single" w:color="7E7E7E" w:themeColor="text1" w:themeTint="80" w:sz="4" w:space="0"/>
              <w:right w:val="single" w:color="7E7E7E" w:themeColor="text1" w:themeTint="80" w:sz="4" w:space="0"/>
              <w:insideV w:val="single" w:sz="4" w:space="0"/>
            </w:tcBorders>
          </w:tcPr>
          <w:p w14:paraId="3E027F6D">
            <w:pPr>
              <w:pStyle w:val="37"/>
              <w:ind w:left="218" w:right="171" w:firstLine="0"/>
              <w:jc w:val="center"/>
              <w:rPr>
                <w:sz w:val="20"/>
                <w:szCs w:val="20"/>
              </w:rPr>
            </w:pPr>
            <w:r>
              <w:rPr>
                <w:sz w:val="20"/>
                <w:szCs w:val="20"/>
              </w:rPr>
              <w:t>0,3673</w:t>
            </w:r>
          </w:p>
        </w:tc>
        <w:tc>
          <w:tcPr>
            <w:tcW w:w="1675" w:type="dxa"/>
          </w:tcPr>
          <w:p w14:paraId="3D5D58E2">
            <w:pPr>
              <w:pStyle w:val="37"/>
              <w:ind w:left="218" w:right="171" w:firstLine="0"/>
              <w:jc w:val="center"/>
              <w:rPr>
                <w:b w:val="0"/>
                <w:bCs w:val="0"/>
                <w:sz w:val="20"/>
                <w:szCs w:val="20"/>
              </w:rPr>
            </w:pPr>
            <w:r>
              <w:rPr>
                <w:b w:val="0"/>
                <w:bCs w:val="0"/>
                <w:sz w:val="20"/>
                <w:szCs w:val="20"/>
              </w:rPr>
              <w:t>Valid</w:t>
            </w:r>
          </w:p>
        </w:tc>
      </w:tr>
      <w:tr w14:paraId="5250B5DF">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32875A01">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0FF2569F">
            <w:pPr>
              <w:pStyle w:val="37"/>
              <w:ind w:left="218" w:right="171" w:firstLine="0"/>
              <w:jc w:val="center"/>
              <w:rPr>
                <w:sz w:val="20"/>
                <w:szCs w:val="20"/>
              </w:rPr>
            </w:pPr>
            <w:r>
              <w:rPr>
                <w:sz w:val="20"/>
                <w:szCs w:val="20"/>
              </w:rPr>
              <w:t>Y.7</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37B8197E">
            <w:pPr>
              <w:pStyle w:val="37"/>
              <w:ind w:left="218" w:right="171" w:firstLine="0"/>
              <w:jc w:val="center"/>
              <w:rPr>
                <w:sz w:val="20"/>
                <w:szCs w:val="20"/>
              </w:rPr>
            </w:pPr>
            <w:r>
              <w:rPr>
                <w:sz w:val="20"/>
                <w:szCs w:val="20"/>
              </w:rPr>
              <w:t>0,605</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527A5AA3">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5B7DD2E5">
            <w:pPr>
              <w:pStyle w:val="37"/>
              <w:ind w:left="218" w:right="171" w:firstLine="0"/>
              <w:jc w:val="center"/>
              <w:rPr>
                <w:b w:val="0"/>
                <w:bCs w:val="0"/>
                <w:sz w:val="20"/>
                <w:szCs w:val="20"/>
              </w:rPr>
            </w:pPr>
            <w:r>
              <w:rPr>
                <w:b w:val="0"/>
                <w:bCs w:val="0"/>
                <w:sz w:val="20"/>
                <w:szCs w:val="20"/>
              </w:rPr>
              <w:t>Valid</w:t>
            </w:r>
          </w:p>
        </w:tc>
      </w:tr>
      <w:tr w14:paraId="46FC994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Pr>
          <w:p w14:paraId="5E30A1DB">
            <w:pPr>
              <w:jc w:val="center"/>
              <w:rPr>
                <w:b/>
                <w:bCs/>
                <w:sz w:val="20"/>
                <w:szCs w:val="20"/>
              </w:rPr>
            </w:pPr>
          </w:p>
        </w:tc>
        <w:tc>
          <w:tcPr>
            <w:tcW w:w="0" w:type="auto"/>
            <w:tcBorders>
              <w:left w:val="single" w:color="7E7E7E" w:themeColor="text1" w:themeTint="80" w:sz="4" w:space="0"/>
              <w:right w:val="single" w:color="7E7E7E" w:themeColor="text1" w:themeTint="80" w:sz="4" w:space="0"/>
              <w:insideV w:val="single" w:sz="4" w:space="0"/>
            </w:tcBorders>
          </w:tcPr>
          <w:p w14:paraId="27B4806D">
            <w:pPr>
              <w:pStyle w:val="37"/>
              <w:ind w:left="218" w:right="171" w:firstLine="0"/>
              <w:jc w:val="center"/>
              <w:rPr>
                <w:sz w:val="20"/>
                <w:szCs w:val="20"/>
              </w:rPr>
            </w:pPr>
            <w:r>
              <w:rPr>
                <w:sz w:val="20"/>
                <w:szCs w:val="20"/>
              </w:rPr>
              <w:t>Y.8</w:t>
            </w:r>
          </w:p>
        </w:tc>
        <w:tc>
          <w:tcPr>
            <w:tcW w:w="0" w:type="auto"/>
            <w:tcBorders>
              <w:left w:val="single" w:color="7E7E7E" w:themeColor="text1" w:themeTint="80" w:sz="4" w:space="0"/>
              <w:right w:val="single" w:color="7E7E7E" w:themeColor="text1" w:themeTint="80" w:sz="4" w:space="0"/>
              <w:insideV w:val="single" w:sz="4" w:space="0"/>
            </w:tcBorders>
          </w:tcPr>
          <w:p w14:paraId="139F741E">
            <w:pPr>
              <w:pStyle w:val="37"/>
              <w:ind w:left="218" w:right="171" w:firstLine="0"/>
              <w:jc w:val="center"/>
              <w:rPr>
                <w:sz w:val="20"/>
                <w:szCs w:val="20"/>
              </w:rPr>
            </w:pPr>
            <w:r>
              <w:rPr>
                <w:sz w:val="20"/>
                <w:szCs w:val="20"/>
              </w:rPr>
              <w:t>0,881</w:t>
            </w:r>
          </w:p>
        </w:tc>
        <w:tc>
          <w:tcPr>
            <w:tcW w:w="0" w:type="auto"/>
            <w:tcBorders>
              <w:left w:val="single" w:color="7E7E7E" w:themeColor="text1" w:themeTint="80" w:sz="4" w:space="0"/>
              <w:right w:val="single" w:color="7E7E7E" w:themeColor="text1" w:themeTint="80" w:sz="4" w:space="0"/>
              <w:insideV w:val="single" w:sz="4" w:space="0"/>
            </w:tcBorders>
          </w:tcPr>
          <w:p w14:paraId="0358DEDB">
            <w:pPr>
              <w:pStyle w:val="37"/>
              <w:ind w:left="218" w:right="171" w:firstLine="0"/>
              <w:jc w:val="center"/>
              <w:rPr>
                <w:sz w:val="20"/>
                <w:szCs w:val="20"/>
              </w:rPr>
            </w:pPr>
            <w:r>
              <w:rPr>
                <w:sz w:val="20"/>
                <w:szCs w:val="20"/>
              </w:rPr>
              <w:t>0,3673</w:t>
            </w:r>
          </w:p>
        </w:tc>
        <w:tc>
          <w:tcPr>
            <w:tcW w:w="1675" w:type="dxa"/>
          </w:tcPr>
          <w:p w14:paraId="2BA354AF">
            <w:pPr>
              <w:pStyle w:val="37"/>
              <w:ind w:left="218" w:right="171" w:firstLine="0"/>
              <w:jc w:val="center"/>
              <w:rPr>
                <w:b w:val="0"/>
                <w:bCs w:val="0"/>
                <w:sz w:val="20"/>
                <w:szCs w:val="20"/>
              </w:rPr>
            </w:pPr>
            <w:r>
              <w:rPr>
                <w:b w:val="0"/>
                <w:bCs w:val="0"/>
                <w:sz w:val="20"/>
                <w:szCs w:val="20"/>
              </w:rPr>
              <w:t>Valid</w:t>
            </w:r>
          </w:p>
        </w:tc>
      </w:tr>
      <w:tr w14:paraId="4E84223A">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bottom w:val="single" w:color="7E7E7E" w:themeColor="text1" w:themeTint="80" w:sz="4" w:space="0"/>
              <w:insideH w:val="single" w:sz="4" w:space="0"/>
            </w:tcBorders>
          </w:tcPr>
          <w:p w14:paraId="728AF4A9">
            <w:pPr>
              <w:jc w:val="center"/>
              <w:rPr>
                <w:b/>
                <w:bCs/>
                <w:sz w:val="20"/>
                <w:szCs w:val="20"/>
              </w:rPr>
            </w:pP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47A9848F">
            <w:pPr>
              <w:pStyle w:val="37"/>
              <w:ind w:left="218" w:right="171" w:firstLine="0"/>
              <w:jc w:val="center"/>
              <w:rPr>
                <w:sz w:val="20"/>
                <w:szCs w:val="20"/>
              </w:rPr>
            </w:pPr>
            <w:r>
              <w:rPr>
                <w:sz w:val="20"/>
                <w:szCs w:val="20"/>
              </w:rPr>
              <w:t>Y.9</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A585A1E">
            <w:pPr>
              <w:pStyle w:val="37"/>
              <w:ind w:left="218" w:right="171" w:firstLine="0"/>
              <w:jc w:val="center"/>
              <w:rPr>
                <w:sz w:val="20"/>
                <w:szCs w:val="20"/>
              </w:rPr>
            </w:pPr>
            <w:r>
              <w:rPr>
                <w:sz w:val="20"/>
                <w:szCs w:val="20"/>
              </w:rPr>
              <w:t>0,702</w:t>
            </w:r>
          </w:p>
        </w:tc>
        <w:tc>
          <w:tcPr>
            <w:tcW w:w="0" w:type="auto"/>
            <w:tc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sz="4" w:space="0"/>
              <w:insideV w:val="single" w:sz="4" w:space="0"/>
            </w:tcBorders>
          </w:tcPr>
          <w:p w14:paraId="73B84F30">
            <w:pPr>
              <w:pStyle w:val="37"/>
              <w:ind w:left="218" w:right="171" w:firstLine="0"/>
              <w:jc w:val="center"/>
              <w:rPr>
                <w:sz w:val="20"/>
                <w:szCs w:val="20"/>
              </w:rPr>
            </w:pPr>
            <w:r>
              <w:rPr>
                <w:sz w:val="20"/>
                <w:szCs w:val="20"/>
              </w:rPr>
              <w:t>0,3673</w:t>
            </w:r>
          </w:p>
        </w:tc>
        <w:tc>
          <w:tcPr>
            <w:tcW w:w="1675" w:type="dxa"/>
            <w:tcBorders>
              <w:top w:val="single" w:color="7E7E7E" w:themeColor="text1" w:themeTint="80" w:sz="4" w:space="0"/>
              <w:bottom w:val="single" w:color="7E7E7E" w:themeColor="text1" w:themeTint="80" w:sz="4" w:space="0"/>
              <w:insideH w:val="single" w:sz="4" w:space="0"/>
            </w:tcBorders>
          </w:tcPr>
          <w:p w14:paraId="460590B0">
            <w:pPr>
              <w:pStyle w:val="37"/>
              <w:ind w:left="218" w:right="171" w:firstLine="0"/>
              <w:jc w:val="center"/>
              <w:rPr>
                <w:b w:val="0"/>
                <w:bCs w:val="0"/>
                <w:sz w:val="20"/>
                <w:szCs w:val="20"/>
              </w:rPr>
            </w:pPr>
            <w:r>
              <w:rPr>
                <w:b w:val="0"/>
                <w:bCs w:val="0"/>
                <w:sz w:val="20"/>
                <w:szCs w:val="20"/>
              </w:rPr>
              <w:t>Valid</w:t>
            </w:r>
          </w:p>
        </w:tc>
      </w:tr>
      <w:tr w14:paraId="545F443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trPr>
        <w:tc>
          <w:tcPr>
            <w:tcW w:w="1490" w:type="dxa"/>
            <w:vMerge w:val="continue"/>
            <w:tcBorders>
              <w:top w:val="single" w:color="7E7E7E" w:themeColor="text1" w:themeTint="80" w:sz="4" w:space="0"/>
            </w:tcBorders>
          </w:tcPr>
          <w:p w14:paraId="0D8A6914">
            <w:pPr>
              <w:jc w:val="center"/>
              <w:rPr>
                <w:b/>
                <w:bCs/>
                <w:sz w:val="20"/>
                <w:szCs w:val="20"/>
              </w:rPr>
            </w:pP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3A41FCA5">
            <w:pPr>
              <w:pStyle w:val="37"/>
              <w:ind w:left="218" w:right="171" w:firstLine="0"/>
              <w:jc w:val="center"/>
              <w:rPr>
                <w:b w:val="0"/>
                <w:bCs w:val="0"/>
                <w:sz w:val="20"/>
                <w:szCs w:val="20"/>
              </w:rPr>
            </w:pPr>
            <w:r>
              <w:rPr>
                <w:b w:val="0"/>
                <w:bCs w:val="0"/>
                <w:sz w:val="20"/>
                <w:szCs w:val="20"/>
              </w:rPr>
              <w:t>Y.10</w:t>
            </w: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50586F9F">
            <w:pPr>
              <w:pStyle w:val="37"/>
              <w:ind w:left="218" w:right="171" w:firstLine="0"/>
              <w:jc w:val="center"/>
              <w:rPr>
                <w:b w:val="0"/>
                <w:bCs w:val="0"/>
                <w:sz w:val="20"/>
                <w:szCs w:val="20"/>
              </w:rPr>
            </w:pPr>
            <w:r>
              <w:rPr>
                <w:b w:val="0"/>
                <w:bCs w:val="0"/>
                <w:sz w:val="20"/>
                <w:szCs w:val="20"/>
              </w:rPr>
              <w:t>0,648</w:t>
            </w:r>
          </w:p>
        </w:tc>
        <w:tc>
          <w:tcPr>
            <w:tcW w:w="0" w:type="auto"/>
            <w:tcBorders>
              <w:top w:val="single" w:color="7E7E7E" w:themeColor="text1" w:themeTint="80" w:sz="4" w:space="0"/>
              <w:left w:val="single" w:color="7E7E7E" w:themeColor="text1" w:themeTint="80" w:sz="4" w:space="0"/>
              <w:right w:val="single" w:color="7E7E7E" w:themeColor="text1" w:themeTint="80" w:sz="4" w:space="0"/>
              <w:insideV w:val="single" w:sz="4" w:space="0"/>
            </w:tcBorders>
          </w:tcPr>
          <w:p w14:paraId="30291F3F">
            <w:pPr>
              <w:pStyle w:val="37"/>
              <w:ind w:left="218" w:right="171" w:firstLine="0"/>
              <w:jc w:val="center"/>
              <w:rPr>
                <w:b w:val="0"/>
                <w:bCs w:val="0"/>
                <w:sz w:val="20"/>
                <w:szCs w:val="20"/>
              </w:rPr>
            </w:pPr>
            <w:r>
              <w:rPr>
                <w:b w:val="0"/>
                <w:bCs w:val="0"/>
                <w:sz w:val="20"/>
                <w:szCs w:val="20"/>
              </w:rPr>
              <w:t>0,3673</w:t>
            </w:r>
          </w:p>
        </w:tc>
        <w:tc>
          <w:tcPr>
            <w:tcW w:w="1675" w:type="dxa"/>
            <w:tcBorders>
              <w:top w:val="single" w:color="7E7E7E" w:themeColor="text1" w:themeTint="80" w:sz="4" w:space="0"/>
            </w:tcBorders>
          </w:tcPr>
          <w:p w14:paraId="53F47D93">
            <w:pPr>
              <w:pStyle w:val="37"/>
              <w:ind w:left="218" w:right="171" w:firstLine="0"/>
              <w:jc w:val="center"/>
              <w:rPr>
                <w:b w:val="0"/>
                <w:bCs w:val="0"/>
                <w:sz w:val="20"/>
                <w:szCs w:val="20"/>
              </w:rPr>
            </w:pPr>
            <w:r>
              <w:rPr>
                <w:b w:val="0"/>
                <w:bCs w:val="0"/>
                <w:sz w:val="20"/>
                <w:szCs w:val="20"/>
              </w:rPr>
              <w:t>Valid</w:t>
            </w:r>
          </w:p>
        </w:tc>
      </w:tr>
    </w:tbl>
    <w:p w14:paraId="2EBCC0C9">
      <w:pPr>
        <w:spacing w:after="100" w:line="480" w:lineRule="auto"/>
        <w:ind w:firstLine="284"/>
        <w:contextualSpacing/>
      </w:pPr>
      <w:r>
        <w:t>Sumber : Hasil Penelitian, 2024</w:t>
      </w:r>
    </w:p>
    <w:p w14:paraId="062E8855">
      <w:pPr>
        <w:spacing w:line="480" w:lineRule="auto"/>
        <w:ind w:firstLine="720"/>
        <w:jc w:val="both"/>
      </w:pPr>
      <w:r>
        <w:t xml:space="preserve">Hasil uji validitas dari setiap pernyataan dalam variabel pemahaman perpajakan, kesadaran wajib pajak,  </w:t>
      </w:r>
      <w:r>
        <w:rPr>
          <w:rFonts w:eastAsia="Calibri"/>
          <w:lang w:val="id"/>
        </w:rPr>
        <w:t>penurunan tarif pajak PP No 23 Tahun 2018 dan kepatuhan wajib pajak</w:t>
      </w:r>
      <w:r>
        <w:t xml:space="preserve"> besar dari nilai r tabel 0.3673 sehingga semua butir pernyataan dalam kuesioner dinyatakan valid.</w:t>
      </w:r>
    </w:p>
    <w:p w14:paraId="76E5824C">
      <w:pPr>
        <w:pStyle w:val="16"/>
        <w:spacing w:line="480" w:lineRule="auto"/>
        <w:jc w:val="both"/>
        <w:rPr>
          <w:b/>
          <w:bCs/>
        </w:rPr>
      </w:pPr>
      <w:r>
        <w:rPr>
          <w:b/>
          <w:bCs/>
        </w:rPr>
        <w:t>4.4.2</w:t>
      </w:r>
      <w:r>
        <w:rPr>
          <w:b/>
          <w:bCs/>
        </w:rPr>
        <w:tab/>
      </w:r>
      <w:r>
        <w:rPr>
          <w:b/>
          <w:bCs/>
        </w:rPr>
        <w:t>Uji Reliabilitas</w:t>
      </w:r>
    </w:p>
    <w:p w14:paraId="2106A9B2">
      <w:pPr>
        <w:pStyle w:val="16"/>
        <w:spacing w:line="480" w:lineRule="auto"/>
        <w:ind w:firstLine="720"/>
        <w:jc w:val="both"/>
        <w:rPr>
          <w:b/>
          <w:bCs/>
        </w:rPr>
      </w:pPr>
      <w:r>
        <w:t xml:space="preserve">Uji reliabilitas dilakukan untuk mengetahui sejauh mana instrumen tersebut dapat memberikan hasil yang konsisten apabila diukur kembali dalam kondisi yang sama. Pengujian reliabilitas dilakukan menggunakan nilai </w:t>
      </w:r>
      <w:r>
        <w:rPr>
          <w:i/>
          <w:iCs/>
        </w:rPr>
        <w:t>Cronbach’s Alpha,</w:t>
      </w:r>
      <w:r>
        <w:t xml:space="preserve"> dengan kriteria bahwa instrumen dinyatakan reliabel apabila nilai Cronbach’s Alpha lebih besar dari 0,60. </w:t>
      </w:r>
    </w:p>
    <w:p w14:paraId="7832678C">
      <w:pPr>
        <w:jc w:val="center"/>
        <w:rPr>
          <w:b/>
          <w:bCs/>
        </w:rPr>
      </w:pPr>
      <w:r>
        <w:rPr>
          <w:b/>
          <w:bCs/>
        </w:rPr>
        <w:t>Tabel</w:t>
      </w:r>
      <w:r>
        <w:rPr>
          <w:b/>
          <w:bCs/>
          <w:spacing w:val="-4"/>
        </w:rPr>
        <w:t xml:space="preserve"> </w:t>
      </w:r>
      <w:r>
        <w:rPr>
          <w:b/>
          <w:bCs/>
        </w:rPr>
        <w:t>4.9</w:t>
      </w:r>
    </w:p>
    <w:p w14:paraId="5A231D22">
      <w:pPr>
        <w:jc w:val="center"/>
        <w:rPr>
          <w:b/>
          <w:bCs/>
        </w:rPr>
      </w:pPr>
      <w:r>
        <w:rPr>
          <w:b/>
          <w:bCs/>
        </w:rPr>
        <w:t>Hasil</w:t>
      </w:r>
      <w:r>
        <w:rPr>
          <w:b/>
          <w:bCs/>
          <w:spacing w:val="-4"/>
        </w:rPr>
        <w:t xml:space="preserve"> </w:t>
      </w:r>
      <w:r>
        <w:rPr>
          <w:b/>
          <w:bCs/>
        </w:rPr>
        <w:t>Uji Reliabilitas</w:t>
      </w:r>
    </w:p>
    <w:tbl>
      <w:tblPr>
        <w:tblStyle w:val="27"/>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53"/>
        <w:gridCol w:w="1843"/>
        <w:gridCol w:w="2116"/>
      </w:tblGrid>
      <w:tr w14:paraId="4A62DD60">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bottom w:val="single" w:color="7E7E7E" w:themeColor="text1" w:themeTint="80" w:sz="4" w:space="0"/>
              <w:insideH w:val="single" w:sz="4" w:space="0"/>
            </w:tcBorders>
          </w:tcPr>
          <w:p w14:paraId="58D0AECB">
            <w:pPr>
              <w:tabs>
                <w:tab w:val="left" w:pos="567"/>
                <w:tab w:val="left" w:pos="851"/>
              </w:tabs>
              <w:jc w:val="center"/>
              <w:rPr>
                <w:b w:val="0"/>
                <w:bCs/>
                <w:sz w:val="20"/>
                <w:szCs w:val="20"/>
              </w:rPr>
            </w:pPr>
            <w:r>
              <w:rPr>
                <w:b/>
                <w:bCs/>
                <w:sz w:val="20"/>
                <w:szCs w:val="20"/>
              </w:rPr>
              <w:t>Variabel</w:t>
            </w:r>
          </w:p>
        </w:tc>
        <w:tc>
          <w:tcPr>
            <w:tcW w:w="1843" w:type="dxa"/>
            <w:tcBorders>
              <w:bottom w:val="single" w:color="7E7E7E" w:themeColor="text1" w:themeTint="80" w:sz="4" w:space="0"/>
              <w:insideH w:val="single" w:sz="4" w:space="0"/>
            </w:tcBorders>
          </w:tcPr>
          <w:p w14:paraId="48936247">
            <w:pPr>
              <w:tabs>
                <w:tab w:val="left" w:pos="567"/>
                <w:tab w:val="left" w:pos="851"/>
              </w:tabs>
              <w:jc w:val="center"/>
              <w:rPr>
                <w:b w:val="0"/>
                <w:bCs/>
                <w:sz w:val="20"/>
                <w:szCs w:val="20"/>
              </w:rPr>
            </w:pPr>
            <w:r>
              <w:rPr>
                <w:b/>
                <w:bCs/>
                <w:i/>
                <w:iCs/>
                <w:sz w:val="20"/>
                <w:szCs w:val="20"/>
              </w:rPr>
              <w:t>Croncbach´s Alph</w:t>
            </w:r>
            <w:r>
              <w:rPr>
                <w:b/>
                <w:bCs/>
                <w:sz w:val="20"/>
                <w:szCs w:val="20"/>
              </w:rPr>
              <w:t>a Hitung</w:t>
            </w:r>
          </w:p>
        </w:tc>
        <w:tc>
          <w:tcPr>
            <w:tcW w:w="2116" w:type="dxa"/>
            <w:tcBorders>
              <w:bottom w:val="single" w:color="7E7E7E" w:themeColor="text1" w:themeTint="80" w:sz="4" w:space="0"/>
              <w:insideH w:val="single" w:sz="4" w:space="0"/>
            </w:tcBorders>
          </w:tcPr>
          <w:p w14:paraId="1C47A6B1">
            <w:pPr>
              <w:tabs>
                <w:tab w:val="left" w:pos="567"/>
                <w:tab w:val="left" w:pos="851"/>
              </w:tabs>
              <w:jc w:val="center"/>
              <w:rPr>
                <w:b w:val="0"/>
                <w:bCs/>
                <w:sz w:val="20"/>
                <w:szCs w:val="20"/>
              </w:rPr>
            </w:pPr>
            <w:r>
              <w:rPr>
                <w:b/>
                <w:bCs/>
                <w:sz w:val="20"/>
                <w:szCs w:val="20"/>
              </w:rPr>
              <w:t>Keterangan</w:t>
            </w:r>
          </w:p>
        </w:tc>
      </w:tr>
      <w:tr w14:paraId="3E94E68D">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top w:val="single" w:color="7E7E7E" w:themeColor="text1" w:themeTint="80" w:sz="4" w:space="0"/>
              <w:bottom w:val="single" w:color="7E7E7E" w:themeColor="text1" w:themeTint="80" w:sz="4" w:space="0"/>
              <w:insideH w:val="single" w:sz="4" w:space="0"/>
            </w:tcBorders>
          </w:tcPr>
          <w:p w14:paraId="7514CA93">
            <w:pPr>
              <w:jc w:val="center"/>
              <w:rPr>
                <w:b w:val="0"/>
                <w:bCs w:val="0"/>
                <w:sz w:val="20"/>
                <w:szCs w:val="20"/>
              </w:rPr>
            </w:pPr>
            <w:r>
              <w:rPr>
                <w:rFonts w:eastAsia="Calibri"/>
                <w:b w:val="0"/>
                <w:bCs w:val="0"/>
                <w:sz w:val="20"/>
                <w:szCs w:val="20"/>
                <w:lang w:val="id"/>
              </w:rPr>
              <w:t>Pemahaman Perpajakan</w:t>
            </w:r>
            <w:r>
              <w:rPr>
                <w:b w:val="0"/>
                <w:bCs w:val="0"/>
                <w:color w:val="000000" w:themeColor="text1"/>
                <w:sz w:val="20"/>
                <w:szCs w:val="20"/>
                <w14:textFill>
                  <w14:solidFill>
                    <w14:schemeClr w14:val="tx1"/>
                  </w14:solidFill>
                </w14:textFill>
              </w:rPr>
              <w:t xml:space="preserve"> </w:t>
            </w:r>
            <w:r>
              <w:rPr>
                <w:b w:val="0"/>
                <w:bCs w:val="0"/>
                <w:sz w:val="20"/>
                <w:szCs w:val="20"/>
              </w:rPr>
              <w:t>(X</w:t>
            </w:r>
            <w:r>
              <w:rPr>
                <w:b w:val="0"/>
                <w:bCs w:val="0"/>
                <w:sz w:val="20"/>
                <w:szCs w:val="20"/>
                <w:vertAlign w:val="subscript"/>
              </w:rPr>
              <w:t>1</w:t>
            </w:r>
            <w:r>
              <w:rPr>
                <w:b w:val="0"/>
                <w:bCs w:val="0"/>
                <w:sz w:val="20"/>
                <w:szCs w:val="20"/>
              </w:rPr>
              <w:t>)</w:t>
            </w:r>
          </w:p>
        </w:tc>
        <w:tc>
          <w:tcPr>
            <w:tcW w:w="1843" w:type="dxa"/>
            <w:tcBorders>
              <w:top w:val="single" w:color="7E7E7E" w:themeColor="text1" w:themeTint="80" w:sz="4" w:space="0"/>
              <w:bottom w:val="single" w:color="7E7E7E" w:themeColor="text1" w:themeTint="80" w:sz="4" w:space="0"/>
              <w:insideH w:val="single" w:sz="4" w:space="0"/>
            </w:tcBorders>
          </w:tcPr>
          <w:p w14:paraId="3D8C1256">
            <w:pPr>
              <w:tabs>
                <w:tab w:val="left" w:pos="567"/>
                <w:tab w:val="left" w:pos="851"/>
              </w:tabs>
              <w:jc w:val="center"/>
              <w:rPr>
                <w:sz w:val="20"/>
                <w:szCs w:val="20"/>
              </w:rPr>
            </w:pPr>
            <w:r>
              <w:rPr>
                <w:sz w:val="20"/>
                <w:szCs w:val="20"/>
              </w:rPr>
              <w:t>0,940</w:t>
            </w:r>
          </w:p>
        </w:tc>
        <w:tc>
          <w:tcPr>
            <w:tcW w:w="2116" w:type="dxa"/>
            <w:tcBorders>
              <w:top w:val="single" w:color="7E7E7E" w:themeColor="text1" w:themeTint="80" w:sz="4" w:space="0"/>
              <w:bottom w:val="single" w:color="7E7E7E" w:themeColor="text1" w:themeTint="80" w:sz="4" w:space="0"/>
              <w:insideH w:val="single" w:sz="4" w:space="0"/>
            </w:tcBorders>
          </w:tcPr>
          <w:p w14:paraId="5721C0E1">
            <w:pPr>
              <w:tabs>
                <w:tab w:val="left" w:pos="567"/>
                <w:tab w:val="left" w:pos="851"/>
              </w:tabs>
              <w:jc w:val="center"/>
              <w:rPr>
                <w:sz w:val="20"/>
                <w:szCs w:val="20"/>
              </w:rPr>
            </w:pPr>
            <w:r>
              <w:rPr>
                <w:sz w:val="20"/>
                <w:szCs w:val="20"/>
              </w:rPr>
              <w:t>Reliabel</w:t>
            </w:r>
          </w:p>
        </w:tc>
      </w:tr>
      <w:tr w14:paraId="31B5D7C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Pr>
          <w:p w14:paraId="314C9112">
            <w:pPr>
              <w:jc w:val="center"/>
              <w:rPr>
                <w:b w:val="0"/>
                <w:bCs w:val="0"/>
                <w:sz w:val="20"/>
                <w:szCs w:val="20"/>
              </w:rPr>
            </w:pPr>
            <w:r>
              <w:rPr>
                <w:rFonts w:eastAsia="Calibri"/>
                <w:b w:val="0"/>
                <w:bCs w:val="0"/>
                <w:sz w:val="20"/>
                <w:szCs w:val="20"/>
                <w:lang w:val="id"/>
              </w:rPr>
              <w:t>Kesadaran Wajib Pajak</w:t>
            </w:r>
            <w:r>
              <w:rPr>
                <w:b w:val="0"/>
                <w:bCs w:val="0"/>
                <w:sz w:val="20"/>
                <w:szCs w:val="20"/>
              </w:rPr>
              <w:t xml:space="preserve"> (X</w:t>
            </w:r>
            <w:r>
              <w:rPr>
                <w:b w:val="0"/>
                <w:bCs w:val="0"/>
                <w:sz w:val="20"/>
                <w:szCs w:val="20"/>
                <w:vertAlign w:val="subscript"/>
              </w:rPr>
              <w:t>2</w:t>
            </w:r>
            <w:r>
              <w:rPr>
                <w:b w:val="0"/>
                <w:bCs w:val="0"/>
                <w:sz w:val="20"/>
                <w:szCs w:val="20"/>
              </w:rPr>
              <w:t>)</w:t>
            </w:r>
          </w:p>
        </w:tc>
        <w:tc>
          <w:tcPr>
            <w:tcW w:w="1843" w:type="dxa"/>
          </w:tcPr>
          <w:p w14:paraId="153066A8">
            <w:pPr>
              <w:tabs>
                <w:tab w:val="left" w:pos="567"/>
                <w:tab w:val="left" w:pos="851"/>
              </w:tabs>
              <w:jc w:val="center"/>
              <w:rPr>
                <w:sz w:val="20"/>
                <w:szCs w:val="20"/>
              </w:rPr>
            </w:pPr>
            <w:r>
              <w:rPr>
                <w:sz w:val="20"/>
                <w:szCs w:val="20"/>
              </w:rPr>
              <w:t>0,956</w:t>
            </w:r>
          </w:p>
        </w:tc>
        <w:tc>
          <w:tcPr>
            <w:tcW w:w="2116" w:type="dxa"/>
          </w:tcPr>
          <w:p w14:paraId="737D996D">
            <w:pPr>
              <w:tabs>
                <w:tab w:val="left" w:pos="567"/>
                <w:tab w:val="left" w:pos="851"/>
              </w:tabs>
              <w:jc w:val="center"/>
              <w:rPr>
                <w:sz w:val="20"/>
                <w:szCs w:val="20"/>
              </w:rPr>
            </w:pPr>
            <w:r>
              <w:rPr>
                <w:sz w:val="20"/>
                <w:szCs w:val="20"/>
              </w:rPr>
              <w:t>Reliabel</w:t>
            </w:r>
          </w:p>
        </w:tc>
      </w:tr>
      <w:tr w14:paraId="3B162AC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Borders>
              <w:top w:val="single" w:color="7E7E7E" w:themeColor="text1" w:themeTint="80" w:sz="4" w:space="0"/>
              <w:bottom w:val="single" w:color="7E7E7E" w:themeColor="text1" w:themeTint="80" w:sz="4" w:space="0"/>
              <w:insideH w:val="single" w:sz="4" w:space="0"/>
            </w:tcBorders>
          </w:tcPr>
          <w:p w14:paraId="536F04D3">
            <w:pPr>
              <w:jc w:val="center"/>
              <w:rPr>
                <w:b w:val="0"/>
                <w:bCs w:val="0"/>
                <w:sz w:val="20"/>
                <w:szCs w:val="20"/>
              </w:rPr>
            </w:pPr>
            <w:r>
              <w:rPr>
                <w:rFonts w:eastAsia="Calibri"/>
                <w:b w:val="0"/>
                <w:bCs w:val="0"/>
                <w:sz w:val="20"/>
                <w:szCs w:val="20"/>
                <w:lang w:val="id"/>
              </w:rPr>
              <w:t xml:space="preserve">Penurunan Tarif Pajak PPNo 23 Tahun2018 </w:t>
            </w:r>
            <w:r>
              <w:rPr>
                <w:b w:val="0"/>
                <w:bCs w:val="0"/>
                <w:sz w:val="20"/>
                <w:szCs w:val="20"/>
              </w:rPr>
              <w:t xml:space="preserve"> (X</w:t>
            </w:r>
            <w:r>
              <w:rPr>
                <w:b w:val="0"/>
                <w:bCs w:val="0"/>
                <w:sz w:val="20"/>
                <w:szCs w:val="20"/>
                <w:vertAlign w:val="subscript"/>
              </w:rPr>
              <w:t>3</w:t>
            </w:r>
            <w:r>
              <w:rPr>
                <w:b w:val="0"/>
                <w:bCs w:val="0"/>
                <w:sz w:val="20"/>
                <w:szCs w:val="20"/>
              </w:rPr>
              <w:t>)</w:t>
            </w:r>
          </w:p>
        </w:tc>
        <w:tc>
          <w:tcPr>
            <w:tcW w:w="1843" w:type="dxa"/>
            <w:tcBorders>
              <w:top w:val="single" w:color="7E7E7E" w:themeColor="text1" w:themeTint="80" w:sz="4" w:space="0"/>
              <w:bottom w:val="single" w:color="7E7E7E" w:themeColor="text1" w:themeTint="80" w:sz="4" w:space="0"/>
              <w:insideH w:val="single" w:sz="4" w:space="0"/>
            </w:tcBorders>
          </w:tcPr>
          <w:p w14:paraId="2FBAB05E">
            <w:pPr>
              <w:tabs>
                <w:tab w:val="left" w:pos="567"/>
                <w:tab w:val="left" w:pos="851"/>
              </w:tabs>
              <w:jc w:val="center"/>
              <w:rPr>
                <w:sz w:val="20"/>
                <w:szCs w:val="20"/>
              </w:rPr>
            </w:pPr>
            <w:r>
              <w:rPr>
                <w:sz w:val="20"/>
                <w:szCs w:val="20"/>
              </w:rPr>
              <w:t>0,948</w:t>
            </w:r>
          </w:p>
        </w:tc>
        <w:tc>
          <w:tcPr>
            <w:tcW w:w="2116" w:type="dxa"/>
            <w:tcBorders>
              <w:top w:val="single" w:color="7E7E7E" w:themeColor="text1" w:themeTint="80" w:sz="4" w:space="0"/>
              <w:bottom w:val="single" w:color="7E7E7E" w:themeColor="text1" w:themeTint="80" w:sz="4" w:space="0"/>
              <w:insideH w:val="single" w:sz="4" w:space="0"/>
            </w:tcBorders>
          </w:tcPr>
          <w:p w14:paraId="5289E5FA">
            <w:pPr>
              <w:tabs>
                <w:tab w:val="left" w:pos="567"/>
                <w:tab w:val="left" w:pos="851"/>
              </w:tabs>
              <w:jc w:val="center"/>
              <w:rPr>
                <w:sz w:val="20"/>
                <w:szCs w:val="20"/>
              </w:rPr>
            </w:pPr>
            <w:r>
              <w:rPr>
                <w:sz w:val="20"/>
                <w:szCs w:val="20"/>
              </w:rPr>
              <w:t>Reliabel</w:t>
            </w:r>
          </w:p>
        </w:tc>
      </w:tr>
      <w:tr w14:paraId="2E24E9A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353" w:type="dxa"/>
          </w:tcPr>
          <w:p w14:paraId="35637315">
            <w:pPr>
              <w:jc w:val="center"/>
              <w:rPr>
                <w:b w:val="0"/>
                <w:bCs w:val="0"/>
                <w:sz w:val="20"/>
                <w:szCs w:val="20"/>
              </w:rPr>
            </w:pPr>
            <w:r>
              <w:rPr>
                <w:rFonts w:eastAsia="Calibri"/>
                <w:b w:val="0"/>
                <w:bCs w:val="0"/>
                <w:sz w:val="20"/>
                <w:szCs w:val="20"/>
                <w:lang w:val="id"/>
              </w:rPr>
              <w:t>Kepatuhan Wajib Pajak</w:t>
            </w:r>
            <w:r>
              <w:rPr>
                <w:b w:val="0"/>
                <w:bCs w:val="0"/>
                <w:sz w:val="20"/>
                <w:szCs w:val="20"/>
              </w:rPr>
              <w:t xml:space="preserve"> (Y)</w:t>
            </w:r>
          </w:p>
        </w:tc>
        <w:tc>
          <w:tcPr>
            <w:tcW w:w="1843" w:type="dxa"/>
          </w:tcPr>
          <w:p w14:paraId="0F52C86E">
            <w:pPr>
              <w:tabs>
                <w:tab w:val="left" w:pos="567"/>
                <w:tab w:val="left" w:pos="851"/>
              </w:tabs>
              <w:jc w:val="center"/>
              <w:rPr>
                <w:sz w:val="20"/>
                <w:szCs w:val="20"/>
              </w:rPr>
            </w:pPr>
            <w:r>
              <w:rPr>
                <w:sz w:val="20"/>
                <w:szCs w:val="20"/>
              </w:rPr>
              <w:t>0,891</w:t>
            </w:r>
          </w:p>
        </w:tc>
        <w:tc>
          <w:tcPr>
            <w:tcW w:w="2116" w:type="dxa"/>
          </w:tcPr>
          <w:p w14:paraId="60DD4B70">
            <w:pPr>
              <w:tabs>
                <w:tab w:val="left" w:pos="567"/>
                <w:tab w:val="left" w:pos="851"/>
              </w:tabs>
              <w:jc w:val="center"/>
              <w:rPr>
                <w:sz w:val="20"/>
                <w:szCs w:val="20"/>
              </w:rPr>
            </w:pPr>
            <w:r>
              <w:rPr>
                <w:sz w:val="20"/>
                <w:szCs w:val="20"/>
              </w:rPr>
              <w:t>Reliabel</w:t>
            </w:r>
          </w:p>
        </w:tc>
      </w:tr>
    </w:tbl>
    <w:p w14:paraId="3EC55B75">
      <w:pPr>
        <w:spacing w:line="480" w:lineRule="auto"/>
        <w:ind w:left="284"/>
        <w:jc w:val="both"/>
        <w:rPr>
          <w:lang w:val="en-US"/>
        </w:rPr>
      </w:pPr>
      <w:r>
        <w:rPr>
          <w:lang w:val="en-US"/>
        </w:rPr>
        <w:t>Sumber : Hasil Penelitian, 2025</w:t>
      </w:r>
    </w:p>
    <w:p w14:paraId="260AABA0">
      <w:pPr>
        <w:spacing w:line="480" w:lineRule="auto"/>
        <w:ind w:firstLine="720"/>
        <w:jc w:val="both"/>
        <w:rPr>
          <w:lang w:val="en-US"/>
        </w:rPr>
      </w:pPr>
      <w:r>
        <w:t xml:space="preserve">Berdasarkan Tabel 4.9 dapat dilihat bahwa nilai </w:t>
      </w:r>
      <w:r>
        <w:rPr>
          <w:i/>
          <w:iCs/>
        </w:rPr>
        <w:t>Cronbach alpha</w:t>
      </w:r>
      <w:r>
        <w:t xml:space="preserve"> masing-masing variabel pemahaman perpajakan, kesadaran wajib pajak,  </w:t>
      </w:r>
      <w:r>
        <w:rPr>
          <w:rFonts w:eastAsia="Calibri"/>
          <w:lang w:val="id"/>
        </w:rPr>
        <w:t>penurunan tarif pajak PP No 23 Tahun 2018 dan kepatuhan wajib pajak</w:t>
      </w:r>
      <w:r>
        <w:t xml:space="preserve"> lebih besar dari 0,6 sehingga alat ukur yang digunakan dalam penelitian ini terbukti reliabel</w:t>
      </w:r>
    </w:p>
    <w:p w14:paraId="3B58CC7E">
      <w:pPr>
        <w:pStyle w:val="16"/>
        <w:spacing w:line="480" w:lineRule="auto"/>
        <w:jc w:val="both"/>
        <w:rPr>
          <w:b/>
          <w:bCs/>
        </w:rPr>
      </w:pPr>
      <w:r>
        <w:rPr>
          <w:b/>
          <w:bCs/>
        </w:rPr>
        <w:t>4.</w:t>
      </w:r>
      <w:r>
        <w:rPr>
          <w:b/>
          <w:bCs/>
          <w:lang w:val="en-US"/>
        </w:rPr>
        <w:t>5</w:t>
      </w:r>
      <w:r>
        <w:rPr>
          <w:b/>
          <w:bCs/>
        </w:rPr>
        <w:tab/>
      </w:r>
      <w:r>
        <w:rPr>
          <w:b/>
          <w:bCs/>
        </w:rPr>
        <w:t xml:space="preserve">Uji Asumsi Klasik </w:t>
      </w:r>
    </w:p>
    <w:p w14:paraId="093B1D3D">
      <w:pPr>
        <w:pStyle w:val="16"/>
        <w:spacing w:line="480" w:lineRule="auto"/>
        <w:ind w:firstLine="720"/>
        <w:jc w:val="both"/>
        <w:rPr>
          <w:lang w:val="sv-SE"/>
        </w:rPr>
      </w:pPr>
      <w:r>
        <w:rPr>
          <w:lang w:val="sv-SE"/>
        </w:rPr>
        <w:t>Uji asumsi klasik yang harus dipenuhi dalam sebuah model regresi berganda antara lain adalah sebagai berikut :</w:t>
      </w:r>
    </w:p>
    <w:p w14:paraId="195BA7C7">
      <w:pPr>
        <w:pStyle w:val="16"/>
        <w:spacing w:line="480" w:lineRule="auto"/>
        <w:jc w:val="both"/>
        <w:rPr>
          <w:b/>
        </w:rPr>
      </w:pPr>
      <w:r>
        <w:rPr>
          <w:b/>
        </w:rPr>
        <w:t>4.</w:t>
      </w:r>
      <w:r>
        <w:rPr>
          <w:b/>
          <w:lang w:val="en-US"/>
        </w:rPr>
        <w:t>5</w:t>
      </w:r>
      <w:r>
        <w:rPr>
          <w:b/>
        </w:rPr>
        <w:t>.1</w:t>
      </w:r>
      <w:r>
        <w:rPr>
          <w:b/>
        </w:rPr>
        <w:tab/>
      </w:r>
      <w:r>
        <w:rPr>
          <w:b/>
        </w:rPr>
        <w:t>Uji Normalitas</w:t>
      </w:r>
    </w:p>
    <w:p w14:paraId="37EAEE0D">
      <w:pPr>
        <w:spacing w:line="480" w:lineRule="auto"/>
        <w:ind w:firstLine="720"/>
        <w:jc w:val="both"/>
      </w:pPr>
      <w:r>
        <w:t>Uji Normalitas berguna untuk</w:t>
      </w:r>
      <w:r>
        <w:rPr>
          <w:spacing w:val="1"/>
        </w:rPr>
        <w:t xml:space="preserve"> </w:t>
      </w:r>
      <w:r>
        <w:t>menentukan data yang telah dikumpulkan berdistribusi normal atau diambil dan</w:t>
      </w:r>
      <w:r>
        <w:rPr>
          <w:spacing w:val="1"/>
        </w:rPr>
        <w:t xml:space="preserve"> </w:t>
      </w:r>
      <w:r>
        <w:t>populasi</w:t>
      </w:r>
      <w:r>
        <w:rPr>
          <w:spacing w:val="1"/>
        </w:rPr>
        <w:t xml:space="preserve"> </w:t>
      </w:r>
      <w:r>
        <w:t>normal.</w:t>
      </w:r>
      <w:r>
        <w:rPr>
          <w:spacing w:val="1"/>
        </w:rPr>
        <w:t xml:space="preserve"> </w:t>
      </w:r>
      <w:r>
        <w:t>Metode</w:t>
      </w:r>
      <w:r>
        <w:rPr>
          <w:spacing w:val="1"/>
        </w:rPr>
        <w:t xml:space="preserve"> </w:t>
      </w:r>
      <w:r>
        <w:t>klasik</w:t>
      </w:r>
      <w:r>
        <w:rPr>
          <w:spacing w:val="1"/>
        </w:rPr>
        <w:t xml:space="preserve"> </w:t>
      </w:r>
      <w:r>
        <w:t>dalam</w:t>
      </w:r>
      <w:r>
        <w:rPr>
          <w:spacing w:val="1"/>
        </w:rPr>
        <w:t xml:space="preserve"> </w:t>
      </w:r>
      <w:r>
        <w:t>pengujian</w:t>
      </w:r>
      <w:r>
        <w:rPr>
          <w:spacing w:val="1"/>
        </w:rPr>
        <w:t xml:space="preserve"> </w:t>
      </w:r>
      <w:r>
        <w:t>normalitas</w:t>
      </w:r>
      <w:r>
        <w:rPr>
          <w:spacing w:val="1"/>
        </w:rPr>
        <w:t xml:space="preserve"> </w:t>
      </w:r>
      <w:r>
        <w:t>suatu</w:t>
      </w:r>
      <w:r>
        <w:rPr>
          <w:spacing w:val="1"/>
        </w:rPr>
        <w:t xml:space="preserve"> </w:t>
      </w:r>
      <w:r>
        <w:t>data</w:t>
      </w:r>
      <w:r>
        <w:rPr>
          <w:spacing w:val="60"/>
        </w:rPr>
        <w:t xml:space="preserve"> </w:t>
      </w:r>
      <w:r>
        <w:t>tidak</w:t>
      </w:r>
      <w:r>
        <w:rPr>
          <w:spacing w:val="1"/>
        </w:rPr>
        <w:t xml:space="preserve"> </w:t>
      </w:r>
      <w:r>
        <w:t>begitu</w:t>
      </w:r>
      <w:r>
        <w:rPr>
          <w:spacing w:val="26"/>
        </w:rPr>
        <w:t xml:space="preserve"> </w:t>
      </w:r>
      <w:r>
        <w:t>rumit.</w:t>
      </w:r>
      <w:r>
        <w:rPr>
          <w:spacing w:val="31"/>
        </w:rPr>
        <w:t xml:space="preserve"> </w:t>
      </w:r>
      <w:r>
        <w:t>Untuk</w:t>
      </w:r>
      <w:r>
        <w:rPr>
          <w:spacing w:val="32"/>
        </w:rPr>
        <w:t xml:space="preserve"> </w:t>
      </w:r>
      <w:r>
        <w:t>melihat</w:t>
      </w:r>
      <w:r>
        <w:rPr>
          <w:spacing w:val="32"/>
        </w:rPr>
        <w:t xml:space="preserve"> </w:t>
      </w:r>
      <w:r>
        <w:t>apakah</w:t>
      </w:r>
      <w:r>
        <w:rPr>
          <w:spacing w:val="22"/>
        </w:rPr>
        <w:t xml:space="preserve"> </w:t>
      </w:r>
      <w:r>
        <w:t>data</w:t>
      </w:r>
      <w:r>
        <w:rPr>
          <w:spacing w:val="27"/>
        </w:rPr>
        <w:t xml:space="preserve"> </w:t>
      </w:r>
      <w:r>
        <w:t>terdistribusi</w:t>
      </w:r>
      <w:r>
        <w:rPr>
          <w:spacing w:val="27"/>
        </w:rPr>
        <w:t xml:space="preserve"> </w:t>
      </w:r>
      <w:r>
        <w:t>normal</w:t>
      </w:r>
      <w:r>
        <w:rPr>
          <w:spacing w:val="23"/>
        </w:rPr>
        <w:t xml:space="preserve"> </w:t>
      </w:r>
      <w:r>
        <w:t>atau</w:t>
      </w:r>
      <w:r>
        <w:rPr>
          <w:spacing w:val="29"/>
        </w:rPr>
        <w:t xml:space="preserve"> </w:t>
      </w:r>
      <w:r>
        <w:t>tidak,</w:t>
      </w:r>
      <w:r>
        <w:rPr>
          <w:spacing w:val="30"/>
        </w:rPr>
        <w:t xml:space="preserve"> </w:t>
      </w:r>
      <w:r>
        <w:t xml:space="preserve">penulis menggunakan uji analisis </w:t>
      </w:r>
      <w:r>
        <w:rPr>
          <w:i/>
        </w:rPr>
        <w:t xml:space="preserve">Kolmogorov-Smirnov </w:t>
      </w:r>
      <w:r>
        <w:t>dengan kriteria nilai signifikansi</w:t>
      </w:r>
      <w:r>
        <w:rPr>
          <w:spacing w:val="1"/>
        </w:rPr>
        <w:t xml:space="preserve"> </w:t>
      </w:r>
      <w:r>
        <w:t>harus</w:t>
      </w:r>
      <w:r>
        <w:rPr>
          <w:spacing w:val="1"/>
        </w:rPr>
        <w:t xml:space="preserve"> </w:t>
      </w:r>
      <w:r>
        <w:t>lebih</w:t>
      </w:r>
      <w:r>
        <w:rPr>
          <w:spacing w:val="1"/>
        </w:rPr>
        <w:t xml:space="preserve"> </w:t>
      </w:r>
      <w:r>
        <w:t>besar</w:t>
      </w:r>
      <w:r>
        <w:rPr>
          <w:spacing w:val="1"/>
        </w:rPr>
        <w:t xml:space="preserve"> </w:t>
      </w:r>
      <w:r>
        <w:t>dan</w:t>
      </w:r>
      <w:r>
        <w:rPr>
          <w:spacing w:val="1"/>
        </w:rPr>
        <w:t xml:space="preserve"> </w:t>
      </w:r>
      <w:r>
        <w:t>0,05</w:t>
      </w:r>
      <w:r>
        <w:rPr>
          <w:spacing w:val="1"/>
        </w:rPr>
        <w:t xml:space="preserve"> </w:t>
      </w:r>
      <w:r>
        <w:t>untuk</w:t>
      </w:r>
      <w:r>
        <w:rPr>
          <w:spacing w:val="1"/>
        </w:rPr>
        <w:t xml:space="preserve"> </w:t>
      </w:r>
      <w:r>
        <w:t>dapat</w:t>
      </w:r>
      <w:r>
        <w:rPr>
          <w:spacing w:val="1"/>
        </w:rPr>
        <w:t xml:space="preserve"> </w:t>
      </w:r>
      <w:r>
        <w:t>dikatakan</w:t>
      </w:r>
      <w:r>
        <w:rPr>
          <w:spacing w:val="1"/>
        </w:rPr>
        <w:t xml:space="preserve"> </w:t>
      </w:r>
      <w:r>
        <w:t>data</w:t>
      </w:r>
      <w:r>
        <w:rPr>
          <w:spacing w:val="60"/>
        </w:rPr>
        <w:t xml:space="preserve"> </w:t>
      </w:r>
      <w:r>
        <w:t>terdistribusi</w:t>
      </w:r>
      <w:r>
        <w:rPr>
          <w:spacing w:val="60"/>
        </w:rPr>
        <w:t xml:space="preserve"> </w:t>
      </w:r>
      <w:r>
        <w:t>normal.</w:t>
      </w:r>
      <w:r>
        <w:rPr>
          <w:spacing w:val="1"/>
        </w:rPr>
        <w:t xml:space="preserve"> </w:t>
      </w:r>
      <w:r>
        <w:t>Berikut</w:t>
      </w:r>
      <w:r>
        <w:rPr>
          <w:spacing w:val="6"/>
        </w:rPr>
        <w:t xml:space="preserve"> </w:t>
      </w:r>
      <w:r>
        <w:t>adalah</w:t>
      </w:r>
      <w:r>
        <w:rPr>
          <w:spacing w:val="-3"/>
        </w:rPr>
        <w:t xml:space="preserve"> </w:t>
      </w:r>
      <w:r>
        <w:t>hasil</w:t>
      </w:r>
      <w:r>
        <w:rPr>
          <w:spacing w:val="-7"/>
        </w:rPr>
        <w:t xml:space="preserve"> </w:t>
      </w:r>
      <w:r>
        <w:t>ujinya:</w:t>
      </w:r>
    </w:p>
    <w:p w14:paraId="5CB85382">
      <w:pPr>
        <w:jc w:val="center"/>
        <w:rPr>
          <w:b/>
          <w:bCs/>
        </w:rPr>
      </w:pPr>
      <w:r>
        <w:rPr>
          <w:b/>
          <w:bCs/>
        </w:rPr>
        <w:t>Tabel</w:t>
      </w:r>
      <w:r>
        <w:rPr>
          <w:b/>
          <w:bCs/>
          <w:spacing w:val="-4"/>
        </w:rPr>
        <w:t xml:space="preserve"> </w:t>
      </w:r>
      <w:r>
        <w:rPr>
          <w:b/>
          <w:bCs/>
        </w:rPr>
        <w:t>4.10</w:t>
      </w:r>
    </w:p>
    <w:p w14:paraId="36E4D998">
      <w:pPr>
        <w:jc w:val="center"/>
        <w:rPr>
          <w:b/>
          <w:bCs/>
        </w:rPr>
      </w:pPr>
      <w:r>
        <w:rPr>
          <w:b/>
          <w:bCs/>
        </w:rPr>
        <w:t>Hasil</w:t>
      </w:r>
      <w:r>
        <w:rPr>
          <w:b/>
          <w:bCs/>
          <w:spacing w:val="-4"/>
        </w:rPr>
        <w:t xml:space="preserve"> </w:t>
      </w:r>
      <w:r>
        <w:rPr>
          <w:b/>
          <w:bCs/>
        </w:rPr>
        <w:t>Uji Normalitas</w:t>
      </w:r>
      <w:r>
        <w:rPr>
          <w:b/>
          <w:bCs/>
          <w:spacing w:val="-2"/>
        </w:rPr>
        <w:t xml:space="preserve"> </w:t>
      </w:r>
      <w:r>
        <w:rPr>
          <w:b/>
          <w:bCs/>
        </w:rPr>
        <w:t>Data</w:t>
      </w:r>
    </w:p>
    <w:tbl>
      <w:tblPr>
        <w:tblStyle w:val="8"/>
        <w:tblW w:w="7825" w:type="dxa"/>
        <w:tblInd w:w="0" w:type="dxa"/>
        <w:tblLayout w:type="fixed"/>
        <w:tblCellMar>
          <w:top w:w="0" w:type="dxa"/>
          <w:left w:w="0" w:type="dxa"/>
          <w:bottom w:w="0" w:type="dxa"/>
          <w:right w:w="0" w:type="dxa"/>
        </w:tblCellMar>
      </w:tblPr>
      <w:tblGrid>
        <w:gridCol w:w="2545"/>
        <w:gridCol w:w="2360"/>
        <w:gridCol w:w="1399"/>
        <w:gridCol w:w="1521"/>
      </w:tblGrid>
      <w:tr w14:paraId="784CE168">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vAlign w:val="center"/>
          </w:tcPr>
          <w:p w14:paraId="4C8D5C73">
            <w:pPr>
              <w:autoSpaceDE w:val="0"/>
              <w:autoSpaceDN w:val="0"/>
              <w:adjustRightInd w:val="0"/>
              <w:ind w:left="60" w:right="60"/>
              <w:jc w:val="center"/>
              <w:rPr>
                <w:color w:val="010205"/>
                <w:szCs w:val="20"/>
                <w:lang w:val="en-GB"/>
              </w:rPr>
            </w:pPr>
            <w:r>
              <w:rPr>
                <w:b/>
                <w:bCs/>
                <w:color w:val="010205"/>
                <w:szCs w:val="20"/>
                <w:lang w:val="en-GB"/>
              </w:rPr>
              <w:t>One-Sample Kolmogorov-Smirnov Test</w:t>
            </w:r>
          </w:p>
        </w:tc>
      </w:tr>
      <w:tr w14:paraId="4B6B2A49">
        <w:tblPrEx>
          <w:tblCellMar>
            <w:top w:w="0" w:type="dxa"/>
            <w:left w:w="0" w:type="dxa"/>
            <w:bottom w:w="0" w:type="dxa"/>
            <w:right w:w="0" w:type="dxa"/>
          </w:tblCellMar>
        </w:tblPrEx>
        <w:trPr>
          <w:cantSplit/>
          <w:trHeight w:val="569" w:hRule="atLeast"/>
        </w:trPr>
        <w:tc>
          <w:tcPr>
            <w:tcW w:w="6304" w:type="dxa"/>
            <w:gridSpan w:val="3"/>
            <w:tcBorders>
              <w:top w:val="nil"/>
              <w:left w:val="nil"/>
              <w:bottom w:val="single" w:color="152935" w:sz="8" w:space="0"/>
              <w:right w:val="nil"/>
            </w:tcBorders>
            <w:shd w:val="clear" w:color="auto" w:fill="FFFFFF"/>
            <w:vAlign w:val="bottom"/>
          </w:tcPr>
          <w:p w14:paraId="6F132E6B">
            <w:pPr>
              <w:autoSpaceDE w:val="0"/>
              <w:autoSpaceDN w:val="0"/>
              <w:adjustRightInd w:val="0"/>
              <w:rPr>
                <w:szCs w:val="20"/>
                <w:lang w:val="en-GB"/>
              </w:rPr>
            </w:pPr>
          </w:p>
        </w:tc>
        <w:tc>
          <w:tcPr>
            <w:tcW w:w="1521" w:type="dxa"/>
            <w:tcBorders>
              <w:top w:val="nil"/>
              <w:left w:val="nil"/>
              <w:bottom w:val="single" w:color="152935" w:sz="8" w:space="0"/>
              <w:right w:val="nil"/>
            </w:tcBorders>
            <w:shd w:val="clear" w:color="auto" w:fill="FFFFFF"/>
            <w:vAlign w:val="bottom"/>
          </w:tcPr>
          <w:p w14:paraId="3DF13EDE">
            <w:pPr>
              <w:autoSpaceDE w:val="0"/>
              <w:autoSpaceDN w:val="0"/>
              <w:adjustRightInd w:val="0"/>
              <w:ind w:left="60" w:right="60"/>
              <w:jc w:val="center"/>
              <w:rPr>
                <w:color w:val="264A60"/>
                <w:szCs w:val="20"/>
                <w:lang w:val="en-GB"/>
              </w:rPr>
            </w:pPr>
            <w:r>
              <w:rPr>
                <w:color w:val="264A60"/>
                <w:szCs w:val="20"/>
                <w:lang w:val="en-GB"/>
              </w:rPr>
              <w:t>Unstandardized Residual</w:t>
            </w:r>
          </w:p>
        </w:tc>
      </w:tr>
      <w:tr w14:paraId="414E567D">
        <w:tblPrEx>
          <w:tblCellMar>
            <w:top w:w="0" w:type="dxa"/>
            <w:left w:w="0" w:type="dxa"/>
            <w:bottom w:w="0" w:type="dxa"/>
            <w:right w:w="0" w:type="dxa"/>
          </w:tblCellMar>
        </w:tblPrEx>
        <w:trPr>
          <w:cantSplit/>
          <w:trHeight w:val="295" w:hRule="atLeast"/>
        </w:trPr>
        <w:tc>
          <w:tcPr>
            <w:tcW w:w="6304" w:type="dxa"/>
            <w:gridSpan w:val="3"/>
            <w:tcBorders>
              <w:top w:val="single" w:color="152935" w:sz="8" w:space="0"/>
              <w:left w:val="nil"/>
              <w:bottom w:val="single" w:color="AEAEAE" w:sz="8" w:space="0"/>
              <w:right w:val="nil"/>
            </w:tcBorders>
            <w:shd w:val="clear" w:color="auto" w:fill="E0E0E0"/>
          </w:tcPr>
          <w:p w14:paraId="064E0C58">
            <w:pPr>
              <w:autoSpaceDE w:val="0"/>
              <w:autoSpaceDN w:val="0"/>
              <w:adjustRightInd w:val="0"/>
              <w:ind w:left="60" w:right="60"/>
              <w:rPr>
                <w:color w:val="264A60"/>
                <w:szCs w:val="20"/>
                <w:lang w:val="en-GB"/>
              </w:rPr>
            </w:pPr>
            <w:r>
              <w:rPr>
                <w:color w:val="264A60"/>
                <w:szCs w:val="20"/>
                <w:lang w:val="en-GB"/>
              </w:rPr>
              <w:t>N</w:t>
            </w:r>
          </w:p>
        </w:tc>
        <w:tc>
          <w:tcPr>
            <w:tcW w:w="1521" w:type="dxa"/>
            <w:tcBorders>
              <w:top w:val="single" w:color="152935" w:sz="8" w:space="0"/>
              <w:left w:val="nil"/>
              <w:bottom w:val="single" w:color="AEAEAE" w:sz="8" w:space="0"/>
              <w:right w:val="nil"/>
            </w:tcBorders>
            <w:shd w:val="clear" w:color="auto" w:fill="F9F9FB"/>
          </w:tcPr>
          <w:p w14:paraId="6609FDF7">
            <w:pPr>
              <w:autoSpaceDE w:val="0"/>
              <w:autoSpaceDN w:val="0"/>
              <w:adjustRightInd w:val="0"/>
              <w:ind w:left="60" w:right="60"/>
              <w:jc w:val="right"/>
              <w:rPr>
                <w:color w:val="010205"/>
                <w:szCs w:val="20"/>
                <w:lang w:val="en-GB"/>
              </w:rPr>
            </w:pPr>
            <w:r>
              <w:rPr>
                <w:color w:val="010205"/>
                <w:szCs w:val="20"/>
                <w:lang w:val="en-GB"/>
              </w:rPr>
              <w:t>70</w:t>
            </w:r>
          </w:p>
        </w:tc>
      </w:tr>
      <w:tr w14:paraId="5FDFDC26">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AEAEAE" w:sz="8" w:space="0"/>
              <w:right w:val="nil"/>
            </w:tcBorders>
            <w:shd w:val="clear" w:color="auto" w:fill="E0E0E0"/>
          </w:tcPr>
          <w:p w14:paraId="6178D51C">
            <w:pPr>
              <w:autoSpaceDE w:val="0"/>
              <w:autoSpaceDN w:val="0"/>
              <w:adjustRightInd w:val="0"/>
              <w:ind w:left="60" w:right="60"/>
              <w:rPr>
                <w:color w:val="264A60"/>
                <w:szCs w:val="20"/>
                <w:lang w:val="en-GB"/>
              </w:rPr>
            </w:pPr>
            <w:r>
              <w:rPr>
                <w:color w:val="264A60"/>
                <w:szCs w:val="20"/>
                <w:lang w:val="en-GB"/>
              </w:rPr>
              <w:t>Normal Parameters</w:t>
            </w:r>
            <w:r>
              <w:rPr>
                <w:color w:val="264A60"/>
                <w:szCs w:val="20"/>
                <w:vertAlign w:val="superscript"/>
                <w:lang w:val="en-GB"/>
              </w:rPr>
              <w:t>a,b</w:t>
            </w:r>
          </w:p>
        </w:tc>
        <w:tc>
          <w:tcPr>
            <w:tcW w:w="3758" w:type="dxa"/>
            <w:gridSpan w:val="2"/>
            <w:tcBorders>
              <w:top w:val="single" w:color="AEAEAE" w:sz="8" w:space="0"/>
              <w:left w:val="nil"/>
              <w:bottom w:val="single" w:color="AEAEAE" w:sz="8" w:space="0"/>
              <w:right w:val="nil"/>
            </w:tcBorders>
            <w:shd w:val="clear" w:color="auto" w:fill="E0E0E0"/>
          </w:tcPr>
          <w:p w14:paraId="4C9AEF01">
            <w:pPr>
              <w:autoSpaceDE w:val="0"/>
              <w:autoSpaceDN w:val="0"/>
              <w:adjustRightInd w:val="0"/>
              <w:ind w:left="60" w:right="60"/>
              <w:rPr>
                <w:color w:val="264A60"/>
                <w:szCs w:val="20"/>
                <w:lang w:val="en-GB"/>
              </w:rPr>
            </w:pPr>
            <w:r>
              <w:rPr>
                <w:color w:val="264A60"/>
                <w:szCs w:val="20"/>
                <w:lang w:val="en-GB"/>
              </w:rPr>
              <w:t>Mean</w:t>
            </w:r>
          </w:p>
        </w:tc>
        <w:tc>
          <w:tcPr>
            <w:tcW w:w="1521" w:type="dxa"/>
            <w:tcBorders>
              <w:top w:val="single" w:color="AEAEAE" w:sz="8" w:space="0"/>
              <w:left w:val="nil"/>
              <w:bottom w:val="single" w:color="AEAEAE" w:sz="8" w:space="0"/>
              <w:right w:val="nil"/>
            </w:tcBorders>
            <w:shd w:val="clear" w:color="auto" w:fill="F9F9FB"/>
          </w:tcPr>
          <w:p w14:paraId="65F16FBE">
            <w:pPr>
              <w:autoSpaceDE w:val="0"/>
              <w:autoSpaceDN w:val="0"/>
              <w:adjustRightInd w:val="0"/>
              <w:ind w:left="60" w:right="60"/>
              <w:jc w:val="right"/>
              <w:rPr>
                <w:color w:val="010205"/>
                <w:szCs w:val="20"/>
                <w:lang w:val="en-GB"/>
              </w:rPr>
            </w:pPr>
            <w:r>
              <w:rPr>
                <w:color w:val="010205"/>
                <w:szCs w:val="20"/>
                <w:lang w:val="en-GB"/>
              </w:rPr>
              <w:t>.0000000</w:t>
            </w:r>
          </w:p>
        </w:tc>
      </w:tr>
      <w:tr w14:paraId="1A6FCE33">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6CEE6576">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0D060288">
            <w:pPr>
              <w:autoSpaceDE w:val="0"/>
              <w:autoSpaceDN w:val="0"/>
              <w:adjustRightInd w:val="0"/>
              <w:ind w:left="60" w:right="60"/>
              <w:rPr>
                <w:color w:val="264A60"/>
                <w:szCs w:val="20"/>
                <w:lang w:val="en-GB"/>
              </w:rPr>
            </w:pPr>
            <w:r>
              <w:rPr>
                <w:color w:val="264A60"/>
                <w:szCs w:val="20"/>
                <w:lang w:val="en-GB"/>
              </w:rPr>
              <w:t>Std. Deviation</w:t>
            </w:r>
          </w:p>
        </w:tc>
        <w:tc>
          <w:tcPr>
            <w:tcW w:w="1521" w:type="dxa"/>
            <w:tcBorders>
              <w:top w:val="single" w:color="AEAEAE" w:sz="8" w:space="0"/>
              <w:left w:val="nil"/>
              <w:bottom w:val="single" w:color="AEAEAE" w:sz="8" w:space="0"/>
              <w:right w:val="nil"/>
            </w:tcBorders>
            <w:shd w:val="clear" w:color="auto" w:fill="F9F9FB"/>
          </w:tcPr>
          <w:p w14:paraId="6F58E875">
            <w:pPr>
              <w:autoSpaceDE w:val="0"/>
              <w:autoSpaceDN w:val="0"/>
              <w:adjustRightInd w:val="0"/>
              <w:ind w:left="60" w:right="60"/>
              <w:jc w:val="right"/>
              <w:rPr>
                <w:color w:val="010205"/>
                <w:szCs w:val="20"/>
                <w:lang w:val="en-GB"/>
              </w:rPr>
            </w:pPr>
            <w:r>
              <w:rPr>
                <w:color w:val="010205"/>
                <w:szCs w:val="20"/>
                <w:lang w:val="en-GB"/>
              </w:rPr>
              <w:t>2.51600004</w:t>
            </w:r>
          </w:p>
        </w:tc>
      </w:tr>
      <w:tr w14:paraId="6C8BBACC">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AEAEAE" w:sz="8" w:space="0"/>
              <w:right w:val="nil"/>
            </w:tcBorders>
            <w:shd w:val="clear" w:color="auto" w:fill="E0E0E0"/>
          </w:tcPr>
          <w:p w14:paraId="0C115BE5">
            <w:pPr>
              <w:autoSpaceDE w:val="0"/>
              <w:autoSpaceDN w:val="0"/>
              <w:adjustRightInd w:val="0"/>
              <w:ind w:left="60" w:right="60"/>
              <w:rPr>
                <w:color w:val="264A60"/>
                <w:szCs w:val="20"/>
                <w:lang w:val="en-GB"/>
              </w:rPr>
            </w:pPr>
            <w:r>
              <w:rPr>
                <w:color w:val="264A60"/>
                <w:szCs w:val="20"/>
                <w:lang w:val="en-GB"/>
              </w:rPr>
              <w:t>Most Extreme Differences</w:t>
            </w:r>
          </w:p>
        </w:tc>
        <w:tc>
          <w:tcPr>
            <w:tcW w:w="3758" w:type="dxa"/>
            <w:gridSpan w:val="2"/>
            <w:tcBorders>
              <w:top w:val="single" w:color="AEAEAE" w:sz="8" w:space="0"/>
              <w:left w:val="nil"/>
              <w:bottom w:val="single" w:color="AEAEAE" w:sz="8" w:space="0"/>
              <w:right w:val="nil"/>
            </w:tcBorders>
            <w:shd w:val="clear" w:color="auto" w:fill="E0E0E0"/>
          </w:tcPr>
          <w:p w14:paraId="799239DB">
            <w:pPr>
              <w:autoSpaceDE w:val="0"/>
              <w:autoSpaceDN w:val="0"/>
              <w:adjustRightInd w:val="0"/>
              <w:ind w:left="60" w:right="60"/>
              <w:rPr>
                <w:color w:val="264A60"/>
                <w:szCs w:val="20"/>
                <w:lang w:val="en-GB"/>
              </w:rPr>
            </w:pPr>
            <w:r>
              <w:rPr>
                <w:color w:val="264A60"/>
                <w:szCs w:val="20"/>
                <w:lang w:val="en-GB"/>
              </w:rPr>
              <w:t>Absolute</w:t>
            </w:r>
          </w:p>
        </w:tc>
        <w:tc>
          <w:tcPr>
            <w:tcW w:w="1521" w:type="dxa"/>
            <w:tcBorders>
              <w:top w:val="single" w:color="AEAEAE" w:sz="8" w:space="0"/>
              <w:left w:val="nil"/>
              <w:bottom w:val="single" w:color="AEAEAE" w:sz="8" w:space="0"/>
              <w:right w:val="nil"/>
            </w:tcBorders>
            <w:shd w:val="clear" w:color="auto" w:fill="F9F9FB"/>
          </w:tcPr>
          <w:p w14:paraId="106F9966">
            <w:pPr>
              <w:autoSpaceDE w:val="0"/>
              <w:autoSpaceDN w:val="0"/>
              <w:adjustRightInd w:val="0"/>
              <w:ind w:left="60" w:right="60"/>
              <w:jc w:val="right"/>
              <w:rPr>
                <w:color w:val="010205"/>
                <w:szCs w:val="20"/>
                <w:lang w:val="en-GB"/>
              </w:rPr>
            </w:pPr>
            <w:r>
              <w:rPr>
                <w:color w:val="010205"/>
                <w:szCs w:val="20"/>
                <w:lang w:val="en-GB"/>
              </w:rPr>
              <w:t>.090</w:t>
            </w:r>
          </w:p>
        </w:tc>
      </w:tr>
      <w:tr w14:paraId="6D6274BF">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0C880845">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18263DE6">
            <w:pPr>
              <w:autoSpaceDE w:val="0"/>
              <w:autoSpaceDN w:val="0"/>
              <w:adjustRightInd w:val="0"/>
              <w:ind w:left="60" w:right="60"/>
              <w:rPr>
                <w:color w:val="264A60"/>
                <w:szCs w:val="20"/>
                <w:lang w:val="en-GB"/>
              </w:rPr>
            </w:pPr>
            <w:r>
              <w:rPr>
                <w:color w:val="264A60"/>
                <w:szCs w:val="20"/>
                <w:lang w:val="en-GB"/>
              </w:rPr>
              <w:t>Positive</w:t>
            </w:r>
          </w:p>
        </w:tc>
        <w:tc>
          <w:tcPr>
            <w:tcW w:w="1521" w:type="dxa"/>
            <w:tcBorders>
              <w:top w:val="single" w:color="AEAEAE" w:sz="8" w:space="0"/>
              <w:left w:val="nil"/>
              <w:bottom w:val="single" w:color="AEAEAE" w:sz="8" w:space="0"/>
              <w:right w:val="nil"/>
            </w:tcBorders>
            <w:shd w:val="clear" w:color="auto" w:fill="F9F9FB"/>
          </w:tcPr>
          <w:p w14:paraId="3B1006E7">
            <w:pPr>
              <w:autoSpaceDE w:val="0"/>
              <w:autoSpaceDN w:val="0"/>
              <w:adjustRightInd w:val="0"/>
              <w:ind w:left="60" w:right="60"/>
              <w:jc w:val="right"/>
              <w:rPr>
                <w:color w:val="010205"/>
                <w:szCs w:val="20"/>
                <w:lang w:val="en-GB"/>
              </w:rPr>
            </w:pPr>
            <w:r>
              <w:rPr>
                <w:color w:val="010205"/>
                <w:szCs w:val="20"/>
                <w:lang w:val="en-GB"/>
              </w:rPr>
              <w:t>.063</w:t>
            </w:r>
          </w:p>
        </w:tc>
      </w:tr>
      <w:tr w14:paraId="6A4C4B66">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AEAEAE" w:sz="8" w:space="0"/>
              <w:right w:val="nil"/>
            </w:tcBorders>
            <w:shd w:val="clear" w:color="auto" w:fill="E0E0E0"/>
          </w:tcPr>
          <w:p w14:paraId="1E5A95BF">
            <w:pPr>
              <w:autoSpaceDE w:val="0"/>
              <w:autoSpaceDN w:val="0"/>
              <w:adjustRightInd w:val="0"/>
              <w:rPr>
                <w:color w:val="010205"/>
                <w:szCs w:val="20"/>
                <w:lang w:val="en-GB"/>
              </w:rPr>
            </w:pPr>
          </w:p>
        </w:tc>
        <w:tc>
          <w:tcPr>
            <w:tcW w:w="3758" w:type="dxa"/>
            <w:gridSpan w:val="2"/>
            <w:tcBorders>
              <w:top w:val="single" w:color="AEAEAE" w:sz="8" w:space="0"/>
              <w:left w:val="nil"/>
              <w:bottom w:val="single" w:color="AEAEAE" w:sz="8" w:space="0"/>
              <w:right w:val="nil"/>
            </w:tcBorders>
            <w:shd w:val="clear" w:color="auto" w:fill="E0E0E0"/>
          </w:tcPr>
          <w:p w14:paraId="632EC2C9">
            <w:pPr>
              <w:autoSpaceDE w:val="0"/>
              <w:autoSpaceDN w:val="0"/>
              <w:adjustRightInd w:val="0"/>
              <w:ind w:left="60" w:right="60"/>
              <w:rPr>
                <w:color w:val="264A60"/>
                <w:szCs w:val="20"/>
                <w:lang w:val="en-GB"/>
              </w:rPr>
            </w:pPr>
            <w:r>
              <w:rPr>
                <w:color w:val="264A60"/>
                <w:szCs w:val="20"/>
                <w:lang w:val="en-GB"/>
              </w:rPr>
              <w:t>Negative</w:t>
            </w:r>
          </w:p>
        </w:tc>
        <w:tc>
          <w:tcPr>
            <w:tcW w:w="1521" w:type="dxa"/>
            <w:tcBorders>
              <w:top w:val="single" w:color="AEAEAE" w:sz="8" w:space="0"/>
              <w:left w:val="nil"/>
              <w:bottom w:val="single" w:color="AEAEAE" w:sz="8" w:space="0"/>
              <w:right w:val="nil"/>
            </w:tcBorders>
            <w:shd w:val="clear" w:color="auto" w:fill="F9F9FB"/>
          </w:tcPr>
          <w:p w14:paraId="003F34E4">
            <w:pPr>
              <w:autoSpaceDE w:val="0"/>
              <w:autoSpaceDN w:val="0"/>
              <w:adjustRightInd w:val="0"/>
              <w:ind w:left="60" w:right="60"/>
              <w:jc w:val="right"/>
              <w:rPr>
                <w:color w:val="010205"/>
                <w:szCs w:val="20"/>
                <w:lang w:val="en-GB"/>
              </w:rPr>
            </w:pPr>
            <w:r>
              <w:rPr>
                <w:color w:val="010205"/>
                <w:szCs w:val="20"/>
                <w:lang w:val="en-GB"/>
              </w:rPr>
              <w:t>-.090</w:t>
            </w:r>
          </w:p>
        </w:tc>
      </w:tr>
      <w:tr w14:paraId="0B862870">
        <w:tblPrEx>
          <w:tblCellMar>
            <w:top w:w="0" w:type="dxa"/>
            <w:left w:w="0" w:type="dxa"/>
            <w:bottom w:w="0" w:type="dxa"/>
            <w:right w:w="0" w:type="dxa"/>
          </w:tblCellMar>
        </w:tblPrEx>
        <w:trPr>
          <w:cantSplit/>
          <w:trHeight w:val="295" w:hRule="atLeast"/>
        </w:trPr>
        <w:tc>
          <w:tcPr>
            <w:tcW w:w="6304" w:type="dxa"/>
            <w:gridSpan w:val="3"/>
            <w:tcBorders>
              <w:top w:val="single" w:color="AEAEAE" w:sz="8" w:space="0"/>
              <w:left w:val="nil"/>
              <w:bottom w:val="single" w:color="AEAEAE" w:sz="8" w:space="0"/>
              <w:right w:val="nil"/>
            </w:tcBorders>
            <w:shd w:val="clear" w:color="auto" w:fill="E0E0E0"/>
          </w:tcPr>
          <w:p w14:paraId="401FA6A3">
            <w:pPr>
              <w:autoSpaceDE w:val="0"/>
              <w:autoSpaceDN w:val="0"/>
              <w:adjustRightInd w:val="0"/>
              <w:ind w:left="60" w:right="60"/>
              <w:rPr>
                <w:color w:val="264A60"/>
                <w:szCs w:val="20"/>
                <w:lang w:val="en-GB"/>
              </w:rPr>
            </w:pPr>
            <w:r>
              <w:rPr>
                <w:color w:val="264A60"/>
                <w:szCs w:val="20"/>
                <w:lang w:val="en-GB"/>
              </w:rPr>
              <w:t>Test Statistic</w:t>
            </w:r>
          </w:p>
        </w:tc>
        <w:tc>
          <w:tcPr>
            <w:tcW w:w="1521" w:type="dxa"/>
            <w:tcBorders>
              <w:top w:val="single" w:color="AEAEAE" w:sz="8" w:space="0"/>
              <w:left w:val="nil"/>
              <w:bottom w:val="single" w:color="AEAEAE" w:sz="8" w:space="0"/>
              <w:right w:val="nil"/>
            </w:tcBorders>
            <w:shd w:val="clear" w:color="auto" w:fill="F9F9FB"/>
          </w:tcPr>
          <w:p w14:paraId="7FDA3C79">
            <w:pPr>
              <w:autoSpaceDE w:val="0"/>
              <w:autoSpaceDN w:val="0"/>
              <w:adjustRightInd w:val="0"/>
              <w:ind w:left="60" w:right="60"/>
              <w:jc w:val="right"/>
              <w:rPr>
                <w:color w:val="010205"/>
                <w:szCs w:val="20"/>
                <w:lang w:val="en-GB"/>
              </w:rPr>
            </w:pPr>
            <w:r>
              <w:rPr>
                <w:color w:val="010205"/>
                <w:szCs w:val="20"/>
                <w:lang w:val="en-GB"/>
              </w:rPr>
              <w:t>.090</w:t>
            </w:r>
          </w:p>
        </w:tc>
      </w:tr>
      <w:tr w14:paraId="3FFA636F">
        <w:tblPrEx>
          <w:tblCellMar>
            <w:top w:w="0" w:type="dxa"/>
            <w:left w:w="0" w:type="dxa"/>
            <w:bottom w:w="0" w:type="dxa"/>
            <w:right w:w="0" w:type="dxa"/>
          </w:tblCellMar>
        </w:tblPrEx>
        <w:trPr>
          <w:cantSplit/>
          <w:trHeight w:val="295" w:hRule="atLeast"/>
        </w:trPr>
        <w:tc>
          <w:tcPr>
            <w:tcW w:w="6304" w:type="dxa"/>
            <w:gridSpan w:val="3"/>
            <w:tcBorders>
              <w:top w:val="single" w:color="AEAEAE" w:sz="8" w:space="0"/>
              <w:left w:val="nil"/>
              <w:bottom w:val="single" w:color="AEAEAE" w:sz="8" w:space="0"/>
              <w:right w:val="nil"/>
            </w:tcBorders>
            <w:shd w:val="clear" w:color="auto" w:fill="E0E0E0"/>
          </w:tcPr>
          <w:p w14:paraId="3D933EF7">
            <w:pPr>
              <w:autoSpaceDE w:val="0"/>
              <w:autoSpaceDN w:val="0"/>
              <w:adjustRightInd w:val="0"/>
              <w:ind w:left="60" w:right="60"/>
              <w:rPr>
                <w:color w:val="264A60"/>
                <w:szCs w:val="20"/>
                <w:lang w:val="en-GB"/>
              </w:rPr>
            </w:pPr>
            <w:r>
              <w:rPr>
                <w:color w:val="264A60"/>
                <w:szCs w:val="20"/>
                <w:lang w:val="en-GB"/>
              </w:rPr>
              <w:t>Asymp. Sig. (2-tailed)</w:t>
            </w:r>
            <w:r>
              <w:rPr>
                <w:color w:val="264A60"/>
                <w:szCs w:val="20"/>
                <w:vertAlign w:val="superscript"/>
                <w:lang w:val="en-GB"/>
              </w:rPr>
              <w:t>c</w:t>
            </w:r>
          </w:p>
        </w:tc>
        <w:tc>
          <w:tcPr>
            <w:tcW w:w="1521" w:type="dxa"/>
            <w:tcBorders>
              <w:top w:val="single" w:color="AEAEAE" w:sz="8" w:space="0"/>
              <w:left w:val="nil"/>
              <w:bottom w:val="single" w:color="AEAEAE" w:sz="8" w:space="0"/>
              <w:right w:val="nil"/>
            </w:tcBorders>
            <w:shd w:val="clear" w:color="auto" w:fill="F9F9FB"/>
          </w:tcPr>
          <w:p w14:paraId="57C8F329">
            <w:pPr>
              <w:autoSpaceDE w:val="0"/>
              <w:autoSpaceDN w:val="0"/>
              <w:adjustRightInd w:val="0"/>
              <w:ind w:left="60" w:right="60"/>
              <w:jc w:val="right"/>
              <w:rPr>
                <w:color w:val="010205"/>
                <w:szCs w:val="20"/>
                <w:lang w:val="en-GB"/>
              </w:rPr>
            </w:pPr>
            <w:r>
              <w:rPr>
                <w:color w:val="010205"/>
                <w:szCs w:val="20"/>
                <w:lang w:val="en-GB"/>
              </w:rPr>
              <w:t>.200</w:t>
            </w:r>
            <w:r>
              <w:rPr>
                <w:color w:val="010205"/>
                <w:szCs w:val="20"/>
                <w:vertAlign w:val="superscript"/>
                <w:lang w:val="en-GB"/>
              </w:rPr>
              <w:t>d</w:t>
            </w:r>
          </w:p>
        </w:tc>
      </w:tr>
      <w:tr w14:paraId="4B71F2A5">
        <w:tblPrEx>
          <w:tblCellMar>
            <w:top w:w="0" w:type="dxa"/>
            <w:left w:w="0" w:type="dxa"/>
            <w:bottom w:w="0" w:type="dxa"/>
            <w:right w:w="0" w:type="dxa"/>
          </w:tblCellMar>
        </w:tblPrEx>
        <w:trPr>
          <w:cantSplit/>
          <w:trHeight w:val="295" w:hRule="atLeast"/>
        </w:trPr>
        <w:tc>
          <w:tcPr>
            <w:tcW w:w="2545" w:type="dxa"/>
            <w:vMerge w:val="restart"/>
            <w:tcBorders>
              <w:top w:val="single" w:color="AEAEAE" w:sz="8" w:space="0"/>
              <w:left w:val="nil"/>
              <w:bottom w:val="single" w:color="152935" w:sz="8" w:space="0"/>
              <w:right w:val="nil"/>
            </w:tcBorders>
            <w:shd w:val="clear" w:color="auto" w:fill="E0E0E0"/>
          </w:tcPr>
          <w:p w14:paraId="0BA3D417">
            <w:pPr>
              <w:autoSpaceDE w:val="0"/>
              <w:autoSpaceDN w:val="0"/>
              <w:adjustRightInd w:val="0"/>
              <w:ind w:left="60" w:right="60"/>
              <w:rPr>
                <w:color w:val="264A60"/>
                <w:szCs w:val="20"/>
                <w:lang w:val="en-GB"/>
              </w:rPr>
            </w:pPr>
            <w:r>
              <w:rPr>
                <w:color w:val="264A60"/>
                <w:szCs w:val="20"/>
                <w:lang w:val="en-GB"/>
              </w:rPr>
              <w:t>Monte Carlo Sig. (2-tailed)</w:t>
            </w:r>
            <w:r>
              <w:rPr>
                <w:color w:val="264A60"/>
                <w:szCs w:val="20"/>
                <w:vertAlign w:val="superscript"/>
                <w:lang w:val="en-GB"/>
              </w:rPr>
              <w:t>e</w:t>
            </w:r>
          </w:p>
        </w:tc>
        <w:tc>
          <w:tcPr>
            <w:tcW w:w="3758" w:type="dxa"/>
            <w:gridSpan w:val="2"/>
            <w:tcBorders>
              <w:top w:val="single" w:color="AEAEAE" w:sz="8" w:space="0"/>
              <w:left w:val="nil"/>
              <w:bottom w:val="single" w:color="AEAEAE" w:sz="8" w:space="0"/>
              <w:right w:val="nil"/>
            </w:tcBorders>
            <w:shd w:val="clear" w:color="auto" w:fill="E0E0E0"/>
          </w:tcPr>
          <w:p w14:paraId="3551E712">
            <w:pPr>
              <w:autoSpaceDE w:val="0"/>
              <w:autoSpaceDN w:val="0"/>
              <w:adjustRightInd w:val="0"/>
              <w:ind w:left="60" w:right="60"/>
              <w:rPr>
                <w:color w:val="264A60"/>
                <w:szCs w:val="20"/>
                <w:lang w:val="en-GB"/>
              </w:rPr>
            </w:pPr>
            <w:r>
              <w:rPr>
                <w:color w:val="264A60"/>
                <w:szCs w:val="20"/>
                <w:lang w:val="en-GB"/>
              </w:rPr>
              <w:t>Sig.</w:t>
            </w:r>
          </w:p>
        </w:tc>
        <w:tc>
          <w:tcPr>
            <w:tcW w:w="1521" w:type="dxa"/>
            <w:tcBorders>
              <w:top w:val="single" w:color="AEAEAE" w:sz="8" w:space="0"/>
              <w:left w:val="nil"/>
              <w:bottom w:val="single" w:color="AEAEAE" w:sz="8" w:space="0"/>
              <w:right w:val="nil"/>
            </w:tcBorders>
            <w:shd w:val="clear" w:color="auto" w:fill="F9F9FB"/>
          </w:tcPr>
          <w:p w14:paraId="42CBD50F">
            <w:pPr>
              <w:autoSpaceDE w:val="0"/>
              <w:autoSpaceDN w:val="0"/>
              <w:adjustRightInd w:val="0"/>
              <w:ind w:left="60" w:right="60"/>
              <w:jc w:val="right"/>
              <w:rPr>
                <w:color w:val="010205"/>
                <w:szCs w:val="20"/>
                <w:lang w:val="en-GB"/>
              </w:rPr>
            </w:pPr>
            <w:r>
              <w:rPr>
                <w:color w:val="010205"/>
                <w:szCs w:val="20"/>
                <w:lang w:val="en-GB"/>
              </w:rPr>
              <w:t>.171</w:t>
            </w:r>
          </w:p>
        </w:tc>
      </w:tr>
      <w:tr w14:paraId="1A6823B4">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152935" w:sz="8" w:space="0"/>
              <w:right w:val="nil"/>
            </w:tcBorders>
            <w:shd w:val="clear" w:color="auto" w:fill="E0E0E0"/>
          </w:tcPr>
          <w:p w14:paraId="4D1C5BAD">
            <w:pPr>
              <w:autoSpaceDE w:val="0"/>
              <w:autoSpaceDN w:val="0"/>
              <w:adjustRightInd w:val="0"/>
              <w:rPr>
                <w:color w:val="010205"/>
                <w:szCs w:val="20"/>
                <w:lang w:val="en-GB"/>
              </w:rPr>
            </w:pPr>
          </w:p>
        </w:tc>
        <w:tc>
          <w:tcPr>
            <w:tcW w:w="2360" w:type="dxa"/>
            <w:vMerge w:val="restart"/>
            <w:tcBorders>
              <w:top w:val="single" w:color="AEAEAE" w:sz="8" w:space="0"/>
              <w:left w:val="nil"/>
              <w:bottom w:val="single" w:color="152935" w:sz="8" w:space="0"/>
              <w:right w:val="nil"/>
            </w:tcBorders>
            <w:shd w:val="clear" w:color="auto" w:fill="E0E0E0"/>
          </w:tcPr>
          <w:p w14:paraId="3E8C6AE7">
            <w:pPr>
              <w:autoSpaceDE w:val="0"/>
              <w:autoSpaceDN w:val="0"/>
              <w:adjustRightInd w:val="0"/>
              <w:ind w:left="60" w:right="60"/>
              <w:rPr>
                <w:color w:val="264A60"/>
                <w:szCs w:val="20"/>
                <w:lang w:val="en-GB"/>
              </w:rPr>
            </w:pPr>
            <w:r>
              <w:rPr>
                <w:color w:val="264A60"/>
                <w:szCs w:val="20"/>
                <w:lang w:val="en-GB"/>
              </w:rPr>
              <w:t>99% Confidence Interval</w:t>
            </w:r>
          </w:p>
        </w:tc>
        <w:tc>
          <w:tcPr>
            <w:tcW w:w="1397" w:type="dxa"/>
            <w:tcBorders>
              <w:top w:val="single" w:color="AEAEAE" w:sz="8" w:space="0"/>
              <w:left w:val="nil"/>
              <w:bottom w:val="single" w:color="AEAEAE" w:sz="8" w:space="0"/>
              <w:right w:val="nil"/>
            </w:tcBorders>
            <w:shd w:val="clear" w:color="auto" w:fill="E0E0E0"/>
          </w:tcPr>
          <w:p w14:paraId="0C8AF0CE">
            <w:pPr>
              <w:autoSpaceDE w:val="0"/>
              <w:autoSpaceDN w:val="0"/>
              <w:adjustRightInd w:val="0"/>
              <w:ind w:left="60" w:right="60"/>
              <w:rPr>
                <w:color w:val="264A60"/>
                <w:szCs w:val="20"/>
                <w:lang w:val="en-GB"/>
              </w:rPr>
            </w:pPr>
            <w:r>
              <w:rPr>
                <w:color w:val="264A60"/>
                <w:szCs w:val="20"/>
                <w:lang w:val="en-GB"/>
              </w:rPr>
              <w:t>Lower Bound</w:t>
            </w:r>
          </w:p>
        </w:tc>
        <w:tc>
          <w:tcPr>
            <w:tcW w:w="1521" w:type="dxa"/>
            <w:tcBorders>
              <w:top w:val="single" w:color="AEAEAE" w:sz="8" w:space="0"/>
              <w:left w:val="nil"/>
              <w:bottom w:val="single" w:color="AEAEAE" w:sz="8" w:space="0"/>
              <w:right w:val="nil"/>
            </w:tcBorders>
            <w:shd w:val="clear" w:color="auto" w:fill="F9F9FB"/>
          </w:tcPr>
          <w:p w14:paraId="10FAD2D6">
            <w:pPr>
              <w:autoSpaceDE w:val="0"/>
              <w:autoSpaceDN w:val="0"/>
              <w:adjustRightInd w:val="0"/>
              <w:ind w:left="60" w:right="60"/>
              <w:jc w:val="right"/>
              <w:rPr>
                <w:color w:val="010205"/>
                <w:szCs w:val="20"/>
                <w:lang w:val="en-GB"/>
              </w:rPr>
            </w:pPr>
            <w:r>
              <w:rPr>
                <w:color w:val="010205"/>
                <w:szCs w:val="20"/>
                <w:lang w:val="en-GB"/>
              </w:rPr>
              <w:t>.161</w:t>
            </w:r>
          </w:p>
        </w:tc>
      </w:tr>
      <w:tr w14:paraId="2BE9CAEE">
        <w:tblPrEx>
          <w:tblCellMar>
            <w:top w:w="0" w:type="dxa"/>
            <w:left w:w="0" w:type="dxa"/>
            <w:bottom w:w="0" w:type="dxa"/>
            <w:right w:w="0" w:type="dxa"/>
          </w:tblCellMar>
        </w:tblPrEx>
        <w:trPr>
          <w:cantSplit/>
          <w:trHeight w:val="151" w:hRule="atLeast"/>
        </w:trPr>
        <w:tc>
          <w:tcPr>
            <w:tcW w:w="2545" w:type="dxa"/>
            <w:vMerge w:val="continue"/>
            <w:tcBorders>
              <w:top w:val="single" w:color="AEAEAE" w:sz="8" w:space="0"/>
              <w:left w:val="nil"/>
              <w:bottom w:val="single" w:color="152935" w:sz="8" w:space="0"/>
              <w:right w:val="nil"/>
            </w:tcBorders>
            <w:shd w:val="clear" w:color="auto" w:fill="E0E0E0"/>
          </w:tcPr>
          <w:p w14:paraId="271AA896">
            <w:pPr>
              <w:autoSpaceDE w:val="0"/>
              <w:autoSpaceDN w:val="0"/>
              <w:adjustRightInd w:val="0"/>
              <w:rPr>
                <w:color w:val="010205"/>
                <w:szCs w:val="20"/>
                <w:lang w:val="en-GB"/>
              </w:rPr>
            </w:pPr>
          </w:p>
        </w:tc>
        <w:tc>
          <w:tcPr>
            <w:tcW w:w="2360" w:type="dxa"/>
            <w:vMerge w:val="continue"/>
            <w:tcBorders>
              <w:top w:val="single" w:color="AEAEAE" w:sz="8" w:space="0"/>
              <w:left w:val="nil"/>
              <w:bottom w:val="single" w:color="152935" w:sz="8" w:space="0"/>
              <w:right w:val="nil"/>
            </w:tcBorders>
            <w:shd w:val="clear" w:color="auto" w:fill="E0E0E0"/>
          </w:tcPr>
          <w:p w14:paraId="2D8BEC03">
            <w:pPr>
              <w:autoSpaceDE w:val="0"/>
              <w:autoSpaceDN w:val="0"/>
              <w:adjustRightInd w:val="0"/>
              <w:rPr>
                <w:color w:val="010205"/>
                <w:szCs w:val="20"/>
                <w:lang w:val="en-GB"/>
              </w:rPr>
            </w:pPr>
          </w:p>
        </w:tc>
        <w:tc>
          <w:tcPr>
            <w:tcW w:w="1397" w:type="dxa"/>
            <w:tcBorders>
              <w:top w:val="single" w:color="AEAEAE" w:sz="8" w:space="0"/>
              <w:left w:val="nil"/>
              <w:bottom w:val="single" w:color="152935" w:sz="8" w:space="0"/>
              <w:right w:val="nil"/>
            </w:tcBorders>
            <w:shd w:val="clear" w:color="auto" w:fill="E0E0E0"/>
          </w:tcPr>
          <w:p w14:paraId="69216088">
            <w:pPr>
              <w:autoSpaceDE w:val="0"/>
              <w:autoSpaceDN w:val="0"/>
              <w:adjustRightInd w:val="0"/>
              <w:ind w:left="60" w:right="60"/>
              <w:rPr>
                <w:color w:val="264A60"/>
                <w:szCs w:val="20"/>
                <w:lang w:val="en-GB"/>
              </w:rPr>
            </w:pPr>
            <w:r>
              <w:rPr>
                <w:color w:val="264A60"/>
                <w:szCs w:val="20"/>
                <w:lang w:val="en-GB"/>
              </w:rPr>
              <w:t>Upper Bound</w:t>
            </w:r>
          </w:p>
        </w:tc>
        <w:tc>
          <w:tcPr>
            <w:tcW w:w="1521" w:type="dxa"/>
            <w:tcBorders>
              <w:top w:val="single" w:color="AEAEAE" w:sz="8" w:space="0"/>
              <w:left w:val="nil"/>
              <w:bottom w:val="single" w:color="152935" w:sz="8" w:space="0"/>
              <w:right w:val="nil"/>
            </w:tcBorders>
            <w:shd w:val="clear" w:color="auto" w:fill="F9F9FB"/>
          </w:tcPr>
          <w:p w14:paraId="67C8820D">
            <w:pPr>
              <w:autoSpaceDE w:val="0"/>
              <w:autoSpaceDN w:val="0"/>
              <w:adjustRightInd w:val="0"/>
              <w:ind w:left="60" w:right="60"/>
              <w:jc w:val="right"/>
              <w:rPr>
                <w:color w:val="010205"/>
                <w:szCs w:val="20"/>
                <w:lang w:val="en-GB"/>
              </w:rPr>
            </w:pPr>
            <w:r>
              <w:rPr>
                <w:color w:val="010205"/>
                <w:szCs w:val="20"/>
                <w:lang w:val="en-GB"/>
              </w:rPr>
              <w:t>.181</w:t>
            </w:r>
          </w:p>
        </w:tc>
      </w:tr>
      <w:tr w14:paraId="200C3297">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62DCCCAA">
            <w:pPr>
              <w:autoSpaceDE w:val="0"/>
              <w:autoSpaceDN w:val="0"/>
              <w:adjustRightInd w:val="0"/>
              <w:ind w:left="60" w:right="60"/>
              <w:rPr>
                <w:color w:val="010205"/>
                <w:szCs w:val="20"/>
                <w:lang w:val="en-GB"/>
              </w:rPr>
            </w:pPr>
            <w:r>
              <w:rPr>
                <w:color w:val="010205"/>
                <w:szCs w:val="20"/>
                <w:lang w:val="en-GB"/>
              </w:rPr>
              <w:t>a. Test distribution is Normal.</w:t>
            </w:r>
          </w:p>
        </w:tc>
      </w:tr>
      <w:tr w14:paraId="62DCC6B1">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7E937D66">
            <w:pPr>
              <w:autoSpaceDE w:val="0"/>
              <w:autoSpaceDN w:val="0"/>
              <w:adjustRightInd w:val="0"/>
              <w:ind w:left="60" w:right="60"/>
              <w:rPr>
                <w:color w:val="010205"/>
                <w:szCs w:val="20"/>
                <w:lang w:val="en-GB"/>
              </w:rPr>
            </w:pPr>
            <w:r>
              <w:rPr>
                <w:color w:val="010205"/>
                <w:szCs w:val="20"/>
                <w:lang w:val="en-GB"/>
              </w:rPr>
              <w:t>b. Calculated from data.</w:t>
            </w:r>
          </w:p>
        </w:tc>
      </w:tr>
      <w:tr w14:paraId="613CFC99">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5F805567">
            <w:pPr>
              <w:autoSpaceDE w:val="0"/>
              <w:autoSpaceDN w:val="0"/>
              <w:adjustRightInd w:val="0"/>
              <w:ind w:left="60" w:right="60"/>
              <w:rPr>
                <w:color w:val="010205"/>
                <w:szCs w:val="20"/>
                <w:lang w:val="en-GB"/>
              </w:rPr>
            </w:pPr>
            <w:r>
              <w:rPr>
                <w:color w:val="010205"/>
                <w:szCs w:val="20"/>
                <w:lang w:val="en-GB"/>
              </w:rPr>
              <w:t>c. Lilliefors Significance Correction.</w:t>
            </w:r>
          </w:p>
        </w:tc>
      </w:tr>
      <w:tr w14:paraId="264A0A8B">
        <w:tblPrEx>
          <w:tblCellMar>
            <w:top w:w="0" w:type="dxa"/>
            <w:left w:w="0" w:type="dxa"/>
            <w:bottom w:w="0" w:type="dxa"/>
            <w:right w:w="0" w:type="dxa"/>
          </w:tblCellMar>
        </w:tblPrEx>
        <w:trPr>
          <w:cantSplit/>
          <w:trHeight w:val="274" w:hRule="atLeast"/>
        </w:trPr>
        <w:tc>
          <w:tcPr>
            <w:tcW w:w="7825" w:type="dxa"/>
            <w:gridSpan w:val="4"/>
            <w:tcBorders>
              <w:top w:val="nil"/>
              <w:left w:val="nil"/>
              <w:bottom w:val="nil"/>
              <w:right w:val="nil"/>
            </w:tcBorders>
            <w:shd w:val="clear" w:color="auto" w:fill="FFFFFF"/>
          </w:tcPr>
          <w:p w14:paraId="63522133">
            <w:pPr>
              <w:autoSpaceDE w:val="0"/>
              <w:autoSpaceDN w:val="0"/>
              <w:adjustRightInd w:val="0"/>
              <w:ind w:left="60" w:right="60"/>
              <w:rPr>
                <w:color w:val="010205"/>
                <w:szCs w:val="20"/>
                <w:lang w:val="en-GB"/>
              </w:rPr>
            </w:pPr>
            <w:r>
              <w:rPr>
                <w:color w:val="010205"/>
                <w:szCs w:val="20"/>
                <w:lang w:val="en-GB"/>
              </w:rPr>
              <w:t>d. This is a lower bound of the true significance.</w:t>
            </w:r>
          </w:p>
        </w:tc>
      </w:tr>
      <w:tr w14:paraId="2FDDBEA9">
        <w:tblPrEx>
          <w:tblCellMar>
            <w:top w:w="0" w:type="dxa"/>
            <w:left w:w="0" w:type="dxa"/>
            <w:bottom w:w="0" w:type="dxa"/>
            <w:right w:w="0" w:type="dxa"/>
          </w:tblCellMar>
        </w:tblPrEx>
        <w:trPr>
          <w:cantSplit/>
          <w:trHeight w:val="295" w:hRule="atLeast"/>
        </w:trPr>
        <w:tc>
          <w:tcPr>
            <w:tcW w:w="7825" w:type="dxa"/>
            <w:gridSpan w:val="4"/>
            <w:tcBorders>
              <w:top w:val="nil"/>
              <w:left w:val="nil"/>
              <w:bottom w:val="nil"/>
              <w:right w:val="nil"/>
            </w:tcBorders>
            <w:shd w:val="clear" w:color="auto" w:fill="FFFFFF"/>
          </w:tcPr>
          <w:p w14:paraId="09E294D4">
            <w:pPr>
              <w:autoSpaceDE w:val="0"/>
              <w:autoSpaceDN w:val="0"/>
              <w:adjustRightInd w:val="0"/>
              <w:ind w:left="60" w:right="60"/>
              <w:rPr>
                <w:color w:val="010205"/>
                <w:szCs w:val="20"/>
                <w:lang w:val="en-GB"/>
              </w:rPr>
            </w:pPr>
            <w:r>
              <w:rPr>
                <w:color w:val="010205"/>
                <w:szCs w:val="20"/>
                <w:lang w:val="en-GB"/>
              </w:rPr>
              <w:t>e. Lilliefors' method based on 10000 Monte Carlo samples with starting seed 2000000.</w:t>
            </w:r>
          </w:p>
        </w:tc>
      </w:tr>
    </w:tbl>
    <w:p w14:paraId="09D07F58">
      <w:pPr>
        <w:pStyle w:val="16"/>
        <w:spacing w:line="480" w:lineRule="auto"/>
        <w:jc w:val="both"/>
      </w:pPr>
      <w:r>
        <w:t>Sumber : Hasil Penelitian, 2025</w:t>
      </w:r>
    </w:p>
    <w:p w14:paraId="11C77997">
      <w:pPr>
        <w:autoSpaceDE w:val="0"/>
        <w:autoSpaceDN w:val="0"/>
        <w:adjustRightInd w:val="0"/>
        <w:spacing w:line="480" w:lineRule="auto"/>
        <w:ind w:firstLine="720"/>
        <w:jc w:val="both"/>
      </w:pPr>
      <w:r>
        <w:t xml:space="preserve">Pengujian normalitas data diperoleh nilai probabilitas berdasarkan nilai </w:t>
      </w:r>
      <w:r>
        <w:rPr>
          <w:i/>
        </w:rPr>
        <w:t>standardized</w:t>
      </w:r>
      <w:r>
        <w:t xml:space="preserve"> 0,05 dengan hasil uji keseluruhan variabel yaitu sebesar 0,200 dimana hasil tersebut lebih besar dari taraf signifikansi 0,05. Sehingga dapat disimpulkan bahwa uji tes normalitas pada penelitian ini adalah terdistribusi normal. Berikut ini ditampilkan hasil uji normalitas dengan menggunakan grafik</w:t>
      </w:r>
      <w:r>
        <w:rPr>
          <w:spacing w:val="1"/>
        </w:rPr>
        <w:t xml:space="preserve"> </w:t>
      </w:r>
      <w:r>
        <w:t>histogram</w:t>
      </w:r>
      <w:r>
        <w:rPr>
          <w:spacing w:val="-7"/>
        </w:rPr>
        <w:t xml:space="preserve"> </w:t>
      </w:r>
      <w:r>
        <w:t>dan</w:t>
      </w:r>
      <w:r>
        <w:rPr>
          <w:spacing w:val="-3"/>
        </w:rPr>
        <w:t xml:space="preserve"> </w:t>
      </w:r>
      <w:r>
        <w:t>plot.</w:t>
      </w:r>
    </w:p>
    <w:p w14:paraId="52A31511">
      <w:pPr>
        <w:autoSpaceDE w:val="0"/>
        <w:autoSpaceDN w:val="0"/>
        <w:adjustRightInd w:val="0"/>
        <w:jc w:val="center"/>
        <w:rPr>
          <w:b/>
          <w:bCs/>
        </w:rPr>
      </w:pPr>
    </w:p>
    <w:p w14:paraId="4CDE3130">
      <w:pPr>
        <w:autoSpaceDE w:val="0"/>
        <w:autoSpaceDN w:val="0"/>
        <w:adjustRightInd w:val="0"/>
        <w:jc w:val="center"/>
        <w:rPr>
          <w:b/>
          <w:bCs/>
        </w:rPr>
      </w:pPr>
      <w:r>
        <w:rPr>
          <w:b/>
          <w:bCs/>
        </w:rPr>
        <w:t>Gambar</w:t>
      </w:r>
      <w:r>
        <w:rPr>
          <w:b/>
          <w:bCs/>
          <w:spacing w:val="-7"/>
        </w:rPr>
        <w:t xml:space="preserve"> </w:t>
      </w:r>
      <w:r>
        <w:rPr>
          <w:b/>
          <w:bCs/>
        </w:rPr>
        <w:t>4.2</w:t>
      </w:r>
    </w:p>
    <w:p w14:paraId="6E8ADE18">
      <w:pPr>
        <w:autoSpaceDE w:val="0"/>
        <w:autoSpaceDN w:val="0"/>
        <w:adjustRightInd w:val="0"/>
        <w:jc w:val="center"/>
        <w:rPr>
          <w:b/>
          <w:bCs/>
        </w:rPr>
      </w:pPr>
      <w:r>
        <w:rPr>
          <w:b/>
          <w:bCs/>
        </w:rPr>
        <w:t>Hasil</w:t>
      </w:r>
      <w:r>
        <w:rPr>
          <w:b/>
          <w:bCs/>
          <w:spacing w:val="-4"/>
        </w:rPr>
        <w:t xml:space="preserve"> </w:t>
      </w:r>
      <w:r>
        <w:rPr>
          <w:b/>
          <w:bCs/>
        </w:rPr>
        <w:t>Uji</w:t>
      </w:r>
      <w:r>
        <w:rPr>
          <w:b/>
          <w:bCs/>
          <w:spacing w:val="-1"/>
        </w:rPr>
        <w:t xml:space="preserve"> </w:t>
      </w:r>
      <w:r>
        <w:rPr>
          <w:b/>
          <w:bCs/>
        </w:rPr>
        <w:t>Normalitas</w:t>
      </w:r>
      <w:r>
        <w:rPr>
          <w:b/>
          <w:bCs/>
          <w:spacing w:val="-2"/>
        </w:rPr>
        <w:t xml:space="preserve"> </w:t>
      </w:r>
      <w:r>
        <w:rPr>
          <w:b/>
          <w:bCs/>
        </w:rPr>
        <w:t>Histogram</w:t>
      </w:r>
    </w:p>
    <w:p w14:paraId="10518D9F">
      <w:pPr>
        <w:autoSpaceDE w:val="0"/>
        <w:autoSpaceDN w:val="0"/>
        <w:adjustRightInd w:val="0"/>
        <w:jc w:val="center"/>
        <w:rPr>
          <w:b/>
          <w:bCs/>
        </w:rPr>
      </w:pPr>
      <w:r>
        <w:rPr>
          <w:b/>
          <w:bCs/>
          <w:lang w:val="en-US" w:eastAsia="en-US"/>
        </w:rPr>
        <w:drawing>
          <wp:inline distT="0" distB="0" distL="0" distR="0">
            <wp:extent cx="4800600" cy="2298700"/>
            <wp:effectExtent l="0" t="0" r="0" b="0"/>
            <wp:docPr id="17118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21863" name="Picture 1"/>
                    <pic:cNvPicPr>
                      <a:picLocks noChangeAspect="1"/>
                    </pic:cNvPicPr>
                  </pic:nvPicPr>
                  <pic:blipFill>
                    <a:blip r:embed="rId19"/>
                    <a:stretch>
                      <a:fillRect/>
                    </a:stretch>
                  </pic:blipFill>
                  <pic:spPr>
                    <a:xfrm>
                      <a:off x="0" y="0"/>
                      <a:ext cx="4809751" cy="2303082"/>
                    </a:xfrm>
                    <a:prstGeom prst="rect">
                      <a:avLst/>
                    </a:prstGeom>
                  </pic:spPr>
                </pic:pic>
              </a:graphicData>
            </a:graphic>
          </wp:inline>
        </w:drawing>
      </w:r>
    </w:p>
    <w:p w14:paraId="4385F1C1">
      <w:pPr>
        <w:pStyle w:val="16"/>
        <w:spacing w:line="480" w:lineRule="auto"/>
        <w:ind w:firstLine="720"/>
        <w:jc w:val="both"/>
      </w:pPr>
      <w:r>
        <w:t>Sumber : Hasil Penelitian, 2025</w:t>
      </w:r>
    </w:p>
    <w:p w14:paraId="2A577882">
      <w:pPr>
        <w:autoSpaceDE w:val="0"/>
        <w:autoSpaceDN w:val="0"/>
        <w:adjustRightInd w:val="0"/>
        <w:spacing w:line="480" w:lineRule="auto"/>
        <w:ind w:firstLine="720"/>
        <w:jc w:val="both"/>
      </w:pPr>
      <w:r>
        <w:t>Tampilan</w:t>
      </w:r>
      <w:r>
        <w:rPr>
          <w:spacing w:val="1"/>
        </w:rPr>
        <w:t xml:space="preserve"> </w:t>
      </w:r>
      <w:r>
        <w:t>histogram</w:t>
      </w:r>
      <w:r>
        <w:rPr>
          <w:spacing w:val="1"/>
        </w:rPr>
        <w:t xml:space="preserve"> </w:t>
      </w:r>
      <w:r>
        <w:t>terlihat</w:t>
      </w:r>
      <w:r>
        <w:rPr>
          <w:spacing w:val="1"/>
        </w:rPr>
        <w:t xml:space="preserve"> </w:t>
      </w:r>
      <w:r>
        <w:t>bahwa</w:t>
      </w:r>
      <w:r>
        <w:rPr>
          <w:spacing w:val="1"/>
        </w:rPr>
        <w:t xml:space="preserve"> </w:t>
      </w:r>
      <w:r>
        <w:t>kurva</w:t>
      </w:r>
      <w:r>
        <w:rPr>
          <w:spacing w:val="61"/>
        </w:rPr>
        <w:t xml:space="preserve"> </w:t>
      </w:r>
      <w:r>
        <w:t>dependen</w:t>
      </w:r>
      <w:r>
        <w:rPr>
          <w:spacing w:val="1"/>
        </w:rPr>
        <w:t xml:space="preserve"> </w:t>
      </w:r>
      <w:r>
        <w:rPr>
          <w:i/>
        </w:rPr>
        <w:t>Regression</w:t>
      </w:r>
      <w:r>
        <w:rPr>
          <w:i/>
          <w:spacing w:val="1"/>
        </w:rPr>
        <w:t xml:space="preserve"> </w:t>
      </w:r>
      <w:r>
        <w:rPr>
          <w:i/>
        </w:rPr>
        <w:t>Standardized</w:t>
      </w:r>
      <w:r>
        <w:rPr>
          <w:i/>
          <w:spacing w:val="1"/>
        </w:rPr>
        <w:t xml:space="preserve"> </w:t>
      </w:r>
      <w:r>
        <w:rPr>
          <w:i/>
        </w:rPr>
        <w:t>Residual</w:t>
      </w:r>
      <w:r>
        <w:rPr>
          <w:i/>
          <w:spacing w:val="1"/>
        </w:rPr>
        <w:t xml:space="preserve"> </w:t>
      </w:r>
      <w:r>
        <w:t>membentuk</w:t>
      </w:r>
      <w:r>
        <w:rPr>
          <w:spacing w:val="1"/>
        </w:rPr>
        <w:t xml:space="preserve"> </w:t>
      </w:r>
      <w:r>
        <w:t>gambar</w:t>
      </w:r>
      <w:r>
        <w:rPr>
          <w:spacing w:val="1"/>
        </w:rPr>
        <w:t xml:space="preserve"> </w:t>
      </w:r>
      <w:r>
        <w:t>seperti</w:t>
      </w:r>
      <w:r>
        <w:rPr>
          <w:spacing w:val="1"/>
        </w:rPr>
        <w:t xml:space="preserve"> </w:t>
      </w:r>
      <w:r>
        <w:t>lonceng.</w:t>
      </w:r>
      <w:r>
        <w:rPr>
          <w:spacing w:val="1"/>
        </w:rPr>
        <w:t xml:space="preserve"> </w:t>
      </w:r>
      <w:r>
        <w:t>Oleh</w:t>
      </w:r>
      <w:r>
        <w:rPr>
          <w:spacing w:val="1"/>
        </w:rPr>
        <w:t xml:space="preserve"> </w:t>
      </w:r>
      <w:r>
        <w:t>karena</w:t>
      </w:r>
      <w:r>
        <w:rPr>
          <w:spacing w:val="1"/>
        </w:rPr>
        <w:t xml:space="preserve"> </w:t>
      </w:r>
      <w:r>
        <w:t>itu</w:t>
      </w:r>
      <w:r>
        <w:rPr>
          <w:spacing w:val="1"/>
        </w:rPr>
        <w:t xml:space="preserve"> </w:t>
      </w:r>
      <w:r>
        <w:t>berdasarkan</w:t>
      </w:r>
      <w:r>
        <w:rPr>
          <w:spacing w:val="1"/>
        </w:rPr>
        <w:t xml:space="preserve"> </w:t>
      </w:r>
      <w:r>
        <w:t>uji</w:t>
      </w:r>
      <w:r>
        <w:rPr>
          <w:spacing w:val="61"/>
        </w:rPr>
        <w:t xml:space="preserve"> </w:t>
      </w:r>
      <w:r>
        <w:t>normalitas,</w:t>
      </w:r>
      <w:r>
        <w:rPr>
          <w:spacing w:val="61"/>
        </w:rPr>
        <w:t xml:space="preserve"> </w:t>
      </w:r>
      <w:r>
        <w:t>analisis</w:t>
      </w:r>
      <w:r>
        <w:rPr>
          <w:spacing w:val="61"/>
        </w:rPr>
        <w:t xml:space="preserve"> </w:t>
      </w:r>
      <w:r>
        <w:t>regresi</w:t>
      </w:r>
      <w:r>
        <w:rPr>
          <w:spacing w:val="61"/>
        </w:rPr>
        <w:t xml:space="preserve"> </w:t>
      </w:r>
      <w:r>
        <w:t>layak</w:t>
      </w:r>
      <w:r>
        <w:rPr>
          <w:spacing w:val="61"/>
        </w:rPr>
        <w:t xml:space="preserve"> </w:t>
      </w:r>
      <w:r>
        <w:t>digunakan</w:t>
      </w:r>
      <w:r>
        <w:rPr>
          <w:spacing w:val="1"/>
        </w:rPr>
        <w:t xml:space="preserve"> </w:t>
      </w:r>
      <w:r>
        <w:t>meskipun sedikit terdapat kemiringan.</w:t>
      </w:r>
      <w:r>
        <w:rPr>
          <w:spacing w:val="1"/>
        </w:rPr>
        <w:t xml:space="preserve"> </w:t>
      </w:r>
      <w:r>
        <w:t>Hal ini juga didukung dengan hasil uji</w:t>
      </w:r>
      <w:r>
        <w:rPr>
          <w:spacing w:val="1"/>
        </w:rPr>
        <w:t xml:space="preserve"> </w:t>
      </w:r>
      <w:r>
        <w:t>normalitas</w:t>
      </w:r>
      <w:r>
        <w:rPr>
          <w:spacing w:val="16"/>
        </w:rPr>
        <w:t xml:space="preserve"> </w:t>
      </w:r>
      <w:r>
        <w:t>dengan</w:t>
      </w:r>
      <w:r>
        <w:rPr>
          <w:spacing w:val="18"/>
        </w:rPr>
        <w:t xml:space="preserve"> </w:t>
      </w:r>
      <w:r>
        <w:t>menggunakan</w:t>
      </w:r>
      <w:r>
        <w:rPr>
          <w:spacing w:val="13"/>
        </w:rPr>
        <w:t xml:space="preserve"> </w:t>
      </w:r>
      <w:r>
        <w:t>grafik</w:t>
      </w:r>
      <w:r>
        <w:rPr>
          <w:spacing w:val="18"/>
        </w:rPr>
        <w:t xml:space="preserve"> </w:t>
      </w:r>
      <w:r>
        <w:t>plot</w:t>
      </w:r>
      <w:r>
        <w:rPr>
          <w:spacing w:val="24"/>
        </w:rPr>
        <w:t xml:space="preserve"> </w:t>
      </w:r>
      <w:r>
        <w:t>yang</w:t>
      </w:r>
      <w:r>
        <w:rPr>
          <w:spacing w:val="18"/>
        </w:rPr>
        <w:t xml:space="preserve"> </w:t>
      </w:r>
      <w:r>
        <w:t>ditampilkan</w:t>
      </w:r>
      <w:r>
        <w:rPr>
          <w:spacing w:val="13"/>
        </w:rPr>
        <w:t xml:space="preserve"> </w:t>
      </w:r>
      <w:r>
        <w:t>pada</w:t>
      </w:r>
      <w:r>
        <w:rPr>
          <w:spacing w:val="17"/>
        </w:rPr>
        <w:t xml:space="preserve"> </w:t>
      </w:r>
      <w:r>
        <w:t>gambar sebagai</w:t>
      </w:r>
      <w:r>
        <w:rPr>
          <w:spacing w:val="29"/>
        </w:rPr>
        <w:t xml:space="preserve"> </w:t>
      </w:r>
      <w:r>
        <w:t>berikut:</w:t>
      </w:r>
    </w:p>
    <w:p w14:paraId="71DDA5DE">
      <w:pPr>
        <w:tabs>
          <w:tab w:val="left" w:pos="709"/>
          <w:tab w:val="left" w:pos="993"/>
        </w:tabs>
        <w:ind w:right="3"/>
        <w:jc w:val="center"/>
        <w:rPr>
          <w:b/>
          <w:lang w:val="en-US"/>
        </w:rPr>
      </w:pPr>
      <w:r>
        <w:rPr>
          <w:b/>
        </w:rPr>
        <w:t>Gambar</w:t>
      </w:r>
      <w:r>
        <w:rPr>
          <w:b/>
          <w:spacing w:val="-7"/>
        </w:rPr>
        <w:t xml:space="preserve"> </w:t>
      </w:r>
      <w:r>
        <w:rPr>
          <w:b/>
        </w:rPr>
        <w:t>4.</w:t>
      </w:r>
      <w:r>
        <w:rPr>
          <w:b/>
          <w:lang w:val="en-US"/>
        </w:rPr>
        <w:t>3</w:t>
      </w:r>
    </w:p>
    <w:p w14:paraId="1336B2FE">
      <w:pPr>
        <w:tabs>
          <w:tab w:val="left" w:pos="709"/>
          <w:tab w:val="left" w:pos="993"/>
        </w:tabs>
        <w:ind w:right="3"/>
        <w:jc w:val="center"/>
        <w:rPr>
          <w:b/>
        </w:rPr>
      </w:pPr>
      <w:r>
        <w:rPr>
          <w:b/>
        </w:rPr>
        <w:t>Hasil</w:t>
      </w:r>
      <w:r>
        <w:rPr>
          <w:b/>
          <w:spacing w:val="-4"/>
        </w:rPr>
        <w:t xml:space="preserve"> </w:t>
      </w:r>
      <w:r>
        <w:rPr>
          <w:b/>
        </w:rPr>
        <w:t>Uji</w:t>
      </w:r>
      <w:r>
        <w:rPr>
          <w:b/>
          <w:spacing w:val="-1"/>
        </w:rPr>
        <w:t xml:space="preserve"> </w:t>
      </w:r>
      <w:r>
        <w:rPr>
          <w:b/>
        </w:rPr>
        <w:t>Normalitas</w:t>
      </w:r>
      <w:r>
        <w:rPr>
          <w:b/>
          <w:spacing w:val="-2"/>
        </w:rPr>
        <w:t xml:space="preserve"> </w:t>
      </w:r>
      <w:r>
        <w:rPr>
          <w:b/>
        </w:rPr>
        <w:t>P-P Plot</w:t>
      </w:r>
    </w:p>
    <w:p w14:paraId="4F331538">
      <w:pPr>
        <w:tabs>
          <w:tab w:val="left" w:pos="709"/>
          <w:tab w:val="left" w:pos="993"/>
        </w:tabs>
        <w:ind w:right="3"/>
        <w:jc w:val="center"/>
        <w:rPr>
          <w:b/>
          <w:lang w:val="en-US"/>
        </w:rPr>
      </w:pPr>
      <w:r>
        <w:rPr>
          <w:b/>
          <w:lang w:val="en-US" w:eastAsia="en-US"/>
        </w:rPr>
        <w:drawing>
          <wp:inline distT="0" distB="0" distL="0" distR="0">
            <wp:extent cx="4173220" cy="2675255"/>
            <wp:effectExtent l="0" t="0" r="5080" b="4445"/>
            <wp:docPr id="585763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763362" name="Picture 1"/>
                    <pic:cNvPicPr>
                      <a:picLocks noChangeAspect="1"/>
                    </pic:cNvPicPr>
                  </pic:nvPicPr>
                  <pic:blipFill>
                    <a:blip r:embed="rId20"/>
                    <a:srcRect l="22206" r="22175"/>
                    <a:stretch>
                      <a:fillRect/>
                    </a:stretch>
                  </pic:blipFill>
                  <pic:spPr>
                    <a:xfrm>
                      <a:off x="0" y="0"/>
                      <a:ext cx="4236175" cy="2716062"/>
                    </a:xfrm>
                    <a:prstGeom prst="rect">
                      <a:avLst/>
                    </a:prstGeom>
                    <a:ln>
                      <a:noFill/>
                    </a:ln>
                  </pic:spPr>
                </pic:pic>
              </a:graphicData>
            </a:graphic>
          </wp:inline>
        </w:drawing>
      </w:r>
    </w:p>
    <w:p w14:paraId="7BCBFE41">
      <w:pPr>
        <w:autoSpaceDE w:val="0"/>
        <w:autoSpaceDN w:val="0"/>
        <w:adjustRightInd w:val="0"/>
        <w:spacing w:line="480" w:lineRule="auto"/>
        <w:ind w:firstLine="720"/>
        <w:jc w:val="both"/>
        <w:rPr>
          <w:lang w:val="en-GB"/>
        </w:rPr>
      </w:pPr>
      <w:r>
        <w:t>Sumber : Hasil Penelitian, 2025</w:t>
      </w:r>
    </w:p>
    <w:p w14:paraId="46A9C7CD">
      <w:pPr>
        <w:pStyle w:val="10"/>
        <w:spacing w:line="480" w:lineRule="auto"/>
        <w:ind w:right="3" w:firstLine="720"/>
        <w:jc w:val="both"/>
      </w:pPr>
      <w:r>
        <w:t>Berdasarkan</w:t>
      </w:r>
      <w:r>
        <w:rPr>
          <w:spacing w:val="1"/>
        </w:rPr>
        <w:t xml:space="preserve"> </w:t>
      </w:r>
      <w:r>
        <w:t>tampilan</w:t>
      </w:r>
      <w:r>
        <w:rPr>
          <w:spacing w:val="1"/>
        </w:rPr>
        <w:t xml:space="preserve"> </w:t>
      </w:r>
      <w:r>
        <w:t>Normal</w:t>
      </w:r>
      <w:r>
        <w:rPr>
          <w:spacing w:val="1"/>
        </w:rPr>
        <w:t xml:space="preserve"> </w:t>
      </w:r>
      <w:r>
        <w:t>P-Plot</w:t>
      </w:r>
      <w:r>
        <w:rPr>
          <w:spacing w:val="1"/>
        </w:rPr>
        <w:t xml:space="preserve"> </w:t>
      </w:r>
      <w:r>
        <w:rPr>
          <w:i/>
        </w:rPr>
        <w:t>Regression</w:t>
      </w:r>
      <w:r>
        <w:rPr>
          <w:i/>
          <w:spacing w:val="1"/>
        </w:rPr>
        <w:t xml:space="preserve"> </w:t>
      </w:r>
      <w:r>
        <w:rPr>
          <w:i/>
        </w:rPr>
        <w:t>Standardized</w:t>
      </w:r>
      <w:r>
        <w:rPr>
          <w:i/>
          <w:spacing w:val="1"/>
        </w:rPr>
        <w:t xml:space="preserve"> </w:t>
      </w:r>
      <w:r>
        <w:t>terlihat</w:t>
      </w:r>
      <w:r>
        <w:rPr>
          <w:spacing w:val="1"/>
        </w:rPr>
        <w:t xml:space="preserve"> </w:t>
      </w:r>
      <w:r>
        <w:t>bahwa titik-titik menyebar di sekitar garis diagonal. Oleh karena itu berdasarkan</w:t>
      </w:r>
      <w:r>
        <w:rPr>
          <w:spacing w:val="1"/>
        </w:rPr>
        <w:t xml:space="preserve"> </w:t>
      </w:r>
      <w:r>
        <w:t>uji normalitas, analisis regresi layak digunakan meskipun terdapat sedikit plot</w:t>
      </w:r>
      <w:r>
        <w:rPr>
          <w:spacing w:val="1"/>
        </w:rPr>
        <w:t xml:space="preserve"> </w:t>
      </w:r>
      <w:r>
        <w:t>yang</w:t>
      </w:r>
      <w:r>
        <w:rPr>
          <w:spacing w:val="5"/>
        </w:rPr>
        <w:t xml:space="preserve"> </w:t>
      </w:r>
      <w:r>
        <w:t>menyimpang</w:t>
      </w:r>
      <w:r>
        <w:rPr>
          <w:spacing w:val="2"/>
        </w:rPr>
        <w:t xml:space="preserve"> </w:t>
      </w:r>
      <w:r>
        <w:t>dan</w:t>
      </w:r>
      <w:r>
        <w:rPr>
          <w:spacing w:val="-4"/>
        </w:rPr>
        <w:t xml:space="preserve"> </w:t>
      </w:r>
      <w:r>
        <w:t>garis diagonal.</w:t>
      </w:r>
    </w:p>
    <w:p w14:paraId="20FA907F">
      <w:pPr>
        <w:pStyle w:val="10"/>
        <w:spacing w:line="480" w:lineRule="auto"/>
        <w:ind w:right="3"/>
        <w:jc w:val="both"/>
        <w:rPr>
          <w:b/>
          <w:bCs/>
        </w:rPr>
      </w:pPr>
      <w:r>
        <w:rPr>
          <w:b/>
          <w:bCs/>
        </w:rPr>
        <w:t>4.5.2</w:t>
      </w:r>
      <w:r>
        <w:rPr>
          <w:b/>
          <w:bCs/>
        </w:rPr>
        <w:tab/>
      </w:r>
      <w:r>
        <w:rPr>
          <w:b/>
          <w:bCs/>
        </w:rPr>
        <w:t>Uji</w:t>
      </w:r>
      <w:r>
        <w:rPr>
          <w:b/>
          <w:bCs/>
          <w:spacing w:val="-7"/>
        </w:rPr>
        <w:t xml:space="preserve"> </w:t>
      </w:r>
      <w:r>
        <w:rPr>
          <w:b/>
          <w:bCs/>
        </w:rPr>
        <w:t>Multikolinearitas</w:t>
      </w:r>
    </w:p>
    <w:p w14:paraId="0E5091F1">
      <w:pPr>
        <w:spacing w:line="480" w:lineRule="auto"/>
        <w:ind w:firstLine="720"/>
        <w:jc w:val="both"/>
      </w:pPr>
      <w:r>
        <w:t>Uji</w:t>
      </w:r>
      <w:r>
        <w:rPr>
          <w:spacing w:val="1"/>
        </w:rPr>
        <w:t xml:space="preserve"> </w:t>
      </w:r>
      <w:r>
        <w:t>multikolinearitas</w:t>
      </w:r>
      <w:r>
        <w:rPr>
          <w:spacing w:val="1"/>
        </w:rPr>
        <w:t xml:space="preserve"> </w:t>
      </w:r>
      <w:r>
        <w:t>bertujuan</w:t>
      </w:r>
      <w:r>
        <w:rPr>
          <w:spacing w:val="1"/>
        </w:rPr>
        <w:t xml:space="preserve"> </w:t>
      </w:r>
      <w:r>
        <w:t>untuk</w:t>
      </w:r>
      <w:r>
        <w:rPr>
          <w:spacing w:val="1"/>
        </w:rPr>
        <w:t xml:space="preserve"> </w:t>
      </w:r>
      <w:r>
        <w:t>menguji</w:t>
      </w:r>
      <w:r>
        <w:rPr>
          <w:spacing w:val="1"/>
        </w:rPr>
        <w:t xml:space="preserve"> </w:t>
      </w:r>
      <w:r>
        <w:t>apakah</w:t>
      </w:r>
      <w:r>
        <w:rPr>
          <w:spacing w:val="1"/>
        </w:rPr>
        <w:t xml:space="preserve"> </w:t>
      </w:r>
      <w:r>
        <w:t>dalam</w:t>
      </w:r>
      <w:r>
        <w:rPr>
          <w:spacing w:val="60"/>
        </w:rPr>
        <w:t xml:space="preserve"> </w:t>
      </w:r>
      <w:r>
        <w:t>metode</w:t>
      </w:r>
      <w:r>
        <w:rPr>
          <w:spacing w:val="1"/>
        </w:rPr>
        <w:t xml:space="preserve"> </w:t>
      </w:r>
      <w:r>
        <w:t>regresi</w:t>
      </w:r>
      <w:r>
        <w:rPr>
          <w:spacing w:val="16"/>
        </w:rPr>
        <w:t xml:space="preserve"> </w:t>
      </w:r>
      <w:r>
        <w:t>yang</w:t>
      </w:r>
      <w:r>
        <w:rPr>
          <w:spacing w:val="25"/>
        </w:rPr>
        <w:t xml:space="preserve"> </w:t>
      </w:r>
      <w:r>
        <w:t>terbentuk</w:t>
      </w:r>
      <w:r>
        <w:rPr>
          <w:spacing w:val="21"/>
        </w:rPr>
        <w:t xml:space="preserve"> </w:t>
      </w:r>
      <w:r>
        <w:t>ada</w:t>
      </w:r>
      <w:r>
        <w:rPr>
          <w:spacing w:val="20"/>
        </w:rPr>
        <w:t xml:space="preserve"> </w:t>
      </w:r>
      <w:r>
        <w:t>korelasi</w:t>
      </w:r>
      <w:r>
        <w:rPr>
          <w:spacing w:val="21"/>
        </w:rPr>
        <w:t xml:space="preserve"> </w:t>
      </w:r>
      <w:r>
        <w:t>yang</w:t>
      </w:r>
      <w:r>
        <w:rPr>
          <w:spacing w:val="25"/>
        </w:rPr>
        <w:t xml:space="preserve"> </w:t>
      </w:r>
      <w:r>
        <w:t>tinggi</w:t>
      </w:r>
      <w:r>
        <w:rPr>
          <w:spacing w:val="21"/>
        </w:rPr>
        <w:t xml:space="preserve"> </w:t>
      </w:r>
      <w:r>
        <w:t>atau</w:t>
      </w:r>
      <w:r>
        <w:rPr>
          <w:spacing w:val="21"/>
        </w:rPr>
        <w:t xml:space="preserve"> </w:t>
      </w:r>
      <w:r>
        <w:t>sempurna</w:t>
      </w:r>
      <w:r>
        <w:rPr>
          <w:spacing w:val="20"/>
        </w:rPr>
        <w:t xml:space="preserve"> </w:t>
      </w:r>
      <w:r>
        <w:t>di</w:t>
      </w:r>
      <w:r>
        <w:rPr>
          <w:spacing w:val="21"/>
        </w:rPr>
        <w:t xml:space="preserve"> </w:t>
      </w:r>
      <w:r>
        <w:t>antara</w:t>
      </w:r>
      <w:r>
        <w:rPr>
          <w:spacing w:val="24"/>
        </w:rPr>
        <w:t xml:space="preserve"> </w:t>
      </w:r>
      <w:r>
        <w:t>variabel bebas atau tidak. Salah satu cara melihat ada atau tidaknya gejala mulikolinearitas adalah</w:t>
      </w:r>
      <w:r>
        <w:rPr>
          <w:spacing w:val="1"/>
        </w:rPr>
        <w:t xml:space="preserve"> </w:t>
      </w:r>
      <w:r>
        <w:t xml:space="preserve">dengan melihat nilai </w:t>
      </w:r>
      <w:r>
        <w:rPr>
          <w:i/>
        </w:rPr>
        <w:t xml:space="preserve">Tolerance </w:t>
      </w:r>
      <w:r>
        <w:t xml:space="preserve">dan </w:t>
      </w:r>
      <w:r>
        <w:rPr>
          <w:i/>
        </w:rPr>
        <w:t xml:space="preserve">Variance Influerce Factor </w:t>
      </w:r>
      <w:r>
        <w:t>(VIF). Jika nilai</w:t>
      </w:r>
      <w:r>
        <w:rPr>
          <w:spacing w:val="1"/>
        </w:rPr>
        <w:t xml:space="preserve"> </w:t>
      </w:r>
      <w:r>
        <w:rPr>
          <w:i/>
        </w:rPr>
        <w:t xml:space="preserve">Tolerance </w:t>
      </w:r>
      <w:r>
        <w:t xml:space="preserve">&gt; 0,1 dan VIF &lt; 10 dapat diindikasikan bahwa tidak terjadinya multikolinearitas. Berikut adalah hasil uji multikolinieritas yang diuji menggunakan </w:t>
      </w:r>
      <w:r>
        <w:rPr>
          <w:spacing w:val="-57"/>
        </w:rPr>
        <w:t xml:space="preserve"> </w:t>
      </w:r>
      <w:r>
        <w:rPr>
          <w:i/>
        </w:rPr>
        <w:t>SPSS</w:t>
      </w:r>
      <w:r>
        <w:rPr>
          <w:i/>
          <w:spacing w:val="1"/>
        </w:rPr>
        <w:t xml:space="preserve"> </w:t>
      </w:r>
      <w:r>
        <w:rPr>
          <w:i/>
        </w:rPr>
        <w:t>versi</w:t>
      </w:r>
      <w:r>
        <w:rPr>
          <w:i/>
          <w:spacing w:val="-5"/>
        </w:rPr>
        <w:t xml:space="preserve"> </w:t>
      </w:r>
      <w:r>
        <w:rPr>
          <w:i/>
        </w:rPr>
        <w:t>29.00</w:t>
      </w:r>
      <w:r>
        <w:rPr>
          <w:spacing w:val="-3"/>
        </w:rPr>
        <w:t xml:space="preserve"> </w:t>
      </w:r>
      <w:r>
        <w:rPr>
          <w:i/>
        </w:rPr>
        <w:t>for</w:t>
      </w:r>
      <w:r>
        <w:rPr>
          <w:i/>
          <w:spacing w:val="4"/>
        </w:rPr>
        <w:t xml:space="preserve"> </w:t>
      </w:r>
      <w:r>
        <w:rPr>
          <w:i/>
        </w:rPr>
        <w:t>windows</w:t>
      </w:r>
      <w:r>
        <w:t>.</w:t>
      </w:r>
    </w:p>
    <w:p w14:paraId="2F510578">
      <w:pPr>
        <w:jc w:val="center"/>
        <w:rPr>
          <w:lang w:val="en-US"/>
        </w:rPr>
      </w:pPr>
      <w:r>
        <w:rPr>
          <w:b/>
        </w:rPr>
        <w:t>Tabel</w:t>
      </w:r>
      <w:r>
        <w:rPr>
          <w:b/>
          <w:spacing w:val="-4"/>
        </w:rPr>
        <w:t xml:space="preserve"> </w:t>
      </w:r>
      <w:r>
        <w:rPr>
          <w:b/>
        </w:rPr>
        <w:t>4.</w:t>
      </w:r>
      <w:r>
        <w:rPr>
          <w:b/>
          <w:lang w:val="en-US"/>
        </w:rPr>
        <w:t>11</w:t>
      </w:r>
    </w:p>
    <w:p w14:paraId="3CA02AAE">
      <w:pPr>
        <w:jc w:val="center"/>
        <w:rPr>
          <w:b/>
        </w:rPr>
      </w:pPr>
      <w:r>
        <w:rPr>
          <w:b/>
        </w:rPr>
        <w:t>Hasil Uji Multikolinearitas</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3C651FED">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502D4ED9">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27A03F0D">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0A4B0152">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5A5ECDAC">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1CD3F18E">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3359718E">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699E33D0">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29D15C6A">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64B4F4CC">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2B149E8C">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2ADF5B37">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04612322">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77982D8D">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40798CBA">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6B6385F5">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4530C553">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4B575C1B">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06B1A467">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443A00BC">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50933671">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001266D4">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7CA5FD73">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0D2B78D5">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4235A17C">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03A016B1">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57B493F7">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769F72EA">
            <w:pPr>
              <w:autoSpaceDE w:val="0"/>
              <w:autoSpaceDN w:val="0"/>
              <w:adjustRightInd w:val="0"/>
              <w:rPr>
                <w:sz w:val="20"/>
                <w:szCs w:val="20"/>
                <w:lang w:val="en-GB"/>
              </w:rPr>
            </w:pPr>
          </w:p>
        </w:tc>
      </w:tr>
      <w:tr w14:paraId="028FDA94">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B7A525C">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57CF1046">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1216F0BA">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53034783">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530D90F1">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6394BB67">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33942082">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7191F235">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01AB3F61">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6132DBCB">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4ED708A">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445FC79C">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4C81E8B3">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6BFECD0F">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1F45982D">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7D8FF0FA">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1F3C674">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1733F631">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3CB359B2">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3CEA3290">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231C672E">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52CF0A3C">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3F8EBBBC">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1BEE355B">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0226F1CA">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235A2698">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504EA72D">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4E388F0F">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5529B092">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3DC495DD">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13EA87BC">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18E71652">
      <w:pPr>
        <w:pStyle w:val="16"/>
        <w:spacing w:line="480" w:lineRule="auto"/>
        <w:jc w:val="both"/>
      </w:pPr>
      <w:r>
        <w:t>Sumber : Hasil Penelitian, 2025</w:t>
      </w:r>
    </w:p>
    <w:p w14:paraId="0D1CA7FD">
      <w:pPr>
        <w:spacing w:line="480" w:lineRule="auto"/>
        <w:ind w:firstLine="720"/>
        <w:jc w:val="both"/>
      </w:pPr>
      <w:r>
        <w:rPr>
          <w:bCs/>
        </w:rPr>
        <w:t>Berdasarkan tabel 4.</w:t>
      </w:r>
      <w:r>
        <w:rPr>
          <w:bCs/>
          <w:lang w:val="en-US"/>
        </w:rPr>
        <w:t>11</w:t>
      </w:r>
      <w:r>
        <w:rPr>
          <w:bCs/>
        </w:rPr>
        <w:t xml:space="preserve"> dapat </w:t>
      </w:r>
      <w:r>
        <w:t xml:space="preserve">diketahui bahwa nilai </w:t>
      </w:r>
      <w:r>
        <w:rPr>
          <w:i/>
          <w:iCs/>
        </w:rPr>
        <w:t xml:space="preserve">Tolerance </w:t>
      </w:r>
      <w:r>
        <w:rPr>
          <w:iCs/>
        </w:rPr>
        <w:t xml:space="preserve">dan </w:t>
      </w:r>
      <w:r>
        <w:rPr>
          <w:i/>
          <w:iCs/>
        </w:rPr>
        <w:t>VIF</w:t>
      </w:r>
      <w:r>
        <w:rPr>
          <w:iCs/>
        </w:rPr>
        <w:t xml:space="preserve"> </w:t>
      </w:r>
      <w:r>
        <w:t xml:space="preserve">dari variabel </w:t>
      </w:r>
      <w:r>
        <w:rPr>
          <w:lang w:val="en-US"/>
        </w:rPr>
        <w:t>pemahaman perpajakan</w:t>
      </w:r>
      <w:r>
        <w:t xml:space="preserve"> (0,534 &gt; 0,10), (1,873 &lt; 10), </w:t>
      </w:r>
      <w:r>
        <w:rPr>
          <w:lang w:val="en-US"/>
        </w:rPr>
        <w:t>kesadaran wajib pajak</w:t>
      </w:r>
      <w:r>
        <w:t xml:space="preserve"> (0,488 &gt; 0,10), (2,049 &lt; 10), </w:t>
      </w:r>
      <w:r>
        <w:rPr>
          <w:color w:val="000000" w:themeColor="text1"/>
          <w:lang w:val="en-GB"/>
          <w14:textFill>
            <w14:solidFill>
              <w14:schemeClr w14:val="tx1"/>
            </w14:solidFill>
          </w14:textFill>
        </w:rPr>
        <w:t>Penurunan Tarif Pajak PP No 23 Tahun 2018</w:t>
      </w:r>
      <w:r>
        <w:rPr>
          <w:color w:val="000000" w:themeColor="text1"/>
          <w14:textFill>
            <w14:solidFill>
              <w14:schemeClr w14:val="tx1"/>
            </w14:solidFill>
          </w14:textFill>
        </w:rPr>
        <w:t xml:space="preserve"> </w:t>
      </w:r>
      <w:r>
        <w:t>(0,649 &gt; 0,10), (1,541 &lt; 10), sehingga dapat dinyatakan bahwa tidak adanya gejala multikolinearitas antar variabel bebas dalam model regresi</w:t>
      </w:r>
      <w:r>
        <w:rPr>
          <w:bCs/>
        </w:rPr>
        <w:t>.</w:t>
      </w:r>
    </w:p>
    <w:p w14:paraId="23D9653B">
      <w:pPr>
        <w:spacing w:line="480" w:lineRule="auto"/>
        <w:jc w:val="both"/>
        <w:rPr>
          <w:b/>
          <w:lang w:val="en-US"/>
        </w:rPr>
      </w:pPr>
      <w:r>
        <w:rPr>
          <w:b/>
        </w:rPr>
        <w:t>4.</w:t>
      </w:r>
      <w:r>
        <w:rPr>
          <w:b/>
          <w:lang w:val="en-US"/>
        </w:rPr>
        <w:t>5</w:t>
      </w:r>
      <w:r>
        <w:rPr>
          <w:b/>
        </w:rPr>
        <w:t>.3</w:t>
      </w:r>
      <w:r>
        <w:rPr>
          <w:b/>
        </w:rPr>
        <w:tab/>
      </w:r>
      <w:r>
        <w:rPr>
          <w:b/>
        </w:rPr>
        <w:t>Uji Heteroskedastisitas</w:t>
      </w:r>
    </w:p>
    <w:p w14:paraId="3B166DA8">
      <w:pPr>
        <w:spacing w:line="480" w:lineRule="auto"/>
        <w:ind w:firstLine="720"/>
        <w:jc w:val="both"/>
      </w:pPr>
      <w:r>
        <w:t>Uji heteroskedastisitas merupakan salah satu uji asumsi klasik yang digunakan dalam analisis regresi untuk mengetahui ada atau tidaknya ketidaksamaan varians (heteroskedastisitas) pada residual atau galat dari suatu model regresi. Ketidaksamaan varians ini dapat menyebabkan estimasi parameter menjadi tidak efisien, sehingga hasil analisis menjadi bias dan tidak dapat diandalkan. Adapun hasil dari uji heteroskedastisitas tersebut dapat dilihat pada gambar atau output scatterplot di bawah ini, yang menunjukkan pola penyebaran residual terhadap nilai prediksi yang dihasilkan oleh model regresi.</w:t>
      </w:r>
    </w:p>
    <w:p w14:paraId="3189FA21">
      <w:pPr>
        <w:ind w:right="3"/>
        <w:jc w:val="center"/>
        <w:rPr>
          <w:b/>
          <w:lang w:val="en-US"/>
        </w:rPr>
      </w:pPr>
      <w:r>
        <w:rPr>
          <w:b/>
        </w:rPr>
        <w:t>Gambar 4.</w:t>
      </w:r>
      <w:r>
        <w:rPr>
          <w:b/>
          <w:lang w:val="en-US"/>
        </w:rPr>
        <w:t>4</w:t>
      </w:r>
    </w:p>
    <w:p w14:paraId="1BC70FAD">
      <w:pPr>
        <w:ind w:right="3"/>
        <w:jc w:val="center"/>
        <w:rPr>
          <w:b/>
        </w:rPr>
      </w:pPr>
      <w:r>
        <w:rPr>
          <w:b/>
        </w:rPr>
        <w:t>Scatterplot Uji Heteroskedastisitas</w:t>
      </w:r>
    </w:p>
    <w:p w14:paraId="3ACFAE0A">
      <w:pPr>
        <w:ind w:right="3"/>
        <w:jc w:val="center"/>
        <w:rPr>
          <w:b/>
        </w:rPr>
      </w:pPr>
      <w:r>
        <w:rPr>
          <w:b/>
          <w:lang w:val="en-US" w:eastAsia="en-US"/>
        </w:rPr>
        <w:drawing>
          <wp:inline distT="0" distB="0" distL="0" distR="0">
            <wp:extent cx="3878580" cy="2283460"/>
            <wp:effectExtent l="0" t="0" r="0" b="2540"/>
            <wp:docPr id="1431465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465775" name="Picture 1"/>
                    <pic:cNvPicPr>
                      <a:picLocks noChangeAspect="1"/>
                    </pic:cNvPicPr>
                  </pic:nvPicPr>
                  <pic:blipFill>
                    <a:blip r:embed="rId21"/>
                    <a:stretch>
                      <a:fillRect/>
                    </a:stretch>
                  </pic:blipFill>
                  <pic:spPr>
                    <a:xfrm>
                      <a:off x="0" y="0"/>
                      <a:ext cx="3906104" cy="2299839"/>
                    </a:xfrm>
                    <a:prstGeom prst="rect">
                      <a:avLst/>
                    </a:prstGeom>
                  </pic:spPr>
                </pic:pic>
              </a:graphicData>
            </a:graphic>
          </wp:inline>
        </w:drawing>
      </w:r>
    </w:p>
    <w:p w14:paraId="482F2AEB">
      <w:pPr>
        <w:spacing w:line="480" w:lineRule="auto"/>
        <w:ind w:firstLine="720"/>
        <w:jc w:val="both"/>
      </w:pPr>
      <w:r>
        <w:t>Sumber : Hasil Penelitian, 2025</w:t>
      </w:r>
    </w:p>
    <w:p w14:paraId="3F381DD5">
      <w:pPr>
        <w:spacing w:line="480" w:lineRule="auto"/>
        <w:ind w:firstLine="720"/>
        <w:jc w:val="both"/>
      </w:pPr>
      <w:r>
        <w:t>Berdasarkan Gambar 4.4, terlihat bahwa titik-titik data tersebar secara acak di sekitar sumbu Y tanpa membentuk pola tertentu, baik pola mengerucut, menyebar, maupun melengkung. Pola sebaran acak ini mengindikasikan bahwa varians dari residual bersifat konstan, sehingga dapat disimpulkan bahwa model regresi yang digunakan tidak mengalami masalah heteroskedastisitas. Dengan demikian, asumsi klasik mengenai homoskedastisitas telah terpenuhi, dan model regresi layak untuk digunakan dalam analisis lebih lanjut.</w:t>
      </w:r>
    </w:p>
    <w:p w14:paraId="688EF697">
      <w:pPr>
        <w:spacing w:line="480" w:lineRule="auto"/>
        <w:jc w:val="both"/>
      </w:pPr>
      <w:r>
        <w:rPr>
          <w:b/>
        </w:rPr>
        <w:t>4.</w:t>
      </w:r>
      <w:r>
        <w:rPr>
          <w:b/>
          <w:lang w:val="en-US"/>
        </w:rPr>
        <w:t>6</w:t>
      </w:r>
      <w:r>
        <w:rPr>
          <w:b/>
        </w:rPr>
        <w:tab/>
      </w:r>
      <w:r>
        <w:rPr>
          <w:b/>
        </w:rPr>
        <w:t>Analisis Linier Regresi Berganda</w:t>
      </w:r>
    </w:p>
    <w:p w14:paraId="064EB564">
      <w:pPr>
        <w:spacing w:line="480" w:lineRule="auto"/>
        <w:ind w:firstLine="720"/>
        <w:jc w:val="both"/>
      </w:pPr>
      <w:r>
        <w:t xml:space="preserve">Untuk menjalin hipotesis peneliti menggunakan analisis regresi linier berganda untuk mencari hubungan antar variabel bebas dengan variabel terikat melalui </w:t>
      </w:r>
      <w:r>
        <w:rPr>
          <w:lang w:val="en-US"/>
        </w:rPr>
        <w:t>Analisis Pemahaman Perpajakan, Kesadaran Wajib Pajak Dan Penurunan Tarif Pajak PP No 23 Tahun 2018 Terhadap Kepatuhan Wajib Pajak Pelaku Pada UMKM Makanan Dan Minuman Di Lubuk Pakam</w:t>
      </w:r>
      <w:r>
        <w:t>. Berdasarkan hasil pengolahan data dengan program SPSS diperoleh hasil sebagai berikut :</w:t>
      </w:r>
    </w:p>
    <w:p w14:paraId="1B7E102A">
      <w:pPr>
        <w:jc w:val="center"/>
        <w:rPr>
          <w:lang w:val="en-US"/>
        </w:rPr>
      </w:pPr>
      <w:r>
        <w:rPr>
          <w:b/>
        </w:rPr>
        <w:t>Tabel</w:t>
      </w:r>
      <w:r>
        <w:rPr>
          <w:b/>
          <w:spacing w:val="-4"/>
        </w:rPr>
        <w:t xml:space="preserve"> </w:t>
      </w:r>
      <w:r>
        <w:rPr>
          <w:b/>
        </w:rPr>
        <w:t>4.12</w:t>
      </w:r>
    </w:p>
    <w:p w14:paraId="074355A9">
      <w:pPr>
        <w:jc w:val="center"/>
        <w:rPr>
          <w:b/>
        </w:rPr>
      </w:pPr>
      <w:r>
        <w:rPr>
          <w:b/>
        </w:rPr>
        <w:t>Hasil Analisis Regresi Linear Berganda</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781B3C94">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7C7D7E95">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52E6E23A">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34B68AF0">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76A23E62">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2E5F84D0">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2FCBA26F">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58B806E9">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2BA4729C">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1753D646">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345F5E8B">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3693963E">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773FD6C2">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6881BBA4">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4E3AF5FE">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2BE5E4B8">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78979255">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3A33145B">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697D07D8">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374A47DD">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67D59B2E">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7CE6CE96">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068B011A">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37706C79">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01C0DA37">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5FF234F5">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4AFD50CB">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0D6D1067">
            <w:pPr>
              <w:autoSpaceDE w:val="0"/>
              <w:autoSpaceDN w:val="0"/>
              <w:adjustRightInd w:val="0"/>
              <w:rPr>
                <w:sz w:val="20"/>
                <w:szCs w:val="20"/>
                <w:lang w:val="en-GB"/>
              </w:rPr>
            </w:pPr>
          </w:p>
        </w:tc>
      </w:tr>
      <w:tr w14:paraId="78D28542">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0BB2178">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19FE6BDD">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4453A2C9">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46FD2247">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5CC1D3E9">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49550AC7">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0704070E">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0C7CAA5F">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1E79A678">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31C048FA">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130C8C63">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1055D1C1">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1FE71B18">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72734EB2">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44FFD5CE">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3F78D91">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022194E">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6CAA28ED">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5160E047">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6848CA66">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293AAFD2">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7609B1CD">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5622BED0">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2008996D">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2826B8C7">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54D401C8">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63480DC9">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523D5A0E">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45195A11">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5773D6B8">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1C78CD0F">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77B409E2">
      <w:pPr>
        <w:spacing w:line="480" w:lineRule="auto"/>
        <w:jc w:val="both"/>
      </w:pPr>
      <w:r>
        <w:t>Sumber : Hasil Penelitian, 2025</w:t>
      </w:r>
    </w:p>
    <w:p w14:paraId="4DBF484A">
      <w:pPr>
        <w:spacing w:line="480" w:lineRule="auto"/>
        <w:ind w:firstLine="720"/>
        <w:jc w:val="both"/>
      </w:pPr>
      <w:r>
        <w:t>Berdasarkan pada tabel 4.12 maka persamaan regresi berganda dalam penelitian ini adalah:</w:t>
      </w:r>
    </w:p>
    <w:p w14:paraId="15C83E84">
      <w:pPr>
        <w:spacing w:line="480" w:lineRule="auto"/>
        <w:jc w:val="center"/>
        <w:rPr>
          <w:lang w:val="en-US"/>
        </w:rPr>
      </w:pPr>
      <w:r>
        <w:t xml:space="preserve">Y = </w:t>
      </w:r>
      <w:r>
        <w:rPr>
          <w:lang w:val="en-US"/>
        </w:rPr>
        <w:t xml:space="preserve">5,035 </w:t>
      </w:r>
      <w:r>
        <w:t>+ 0,</w:t>
      </w:r>
      <w:r>
        <w:rPr>
          <w:lang w:val="en-US"/>
        </w:rPr>
        <w:t>207</w:t>
      </w:r>
      <w:r>
        <w:t xml:space="preserve"> X</w:t>
      </w:r>
      <w:r>
        <w:rPr>
          <w:vertAlign w:val="subscript"/>
        </w:rPr>
        <w:t>1</w:t>
      </w:r>
      <w:r>
        <w:t xml:space="preserve"> + 0,</w:t>
      </w:r>
      <w:r>
        <w:rPr>
          <w:lang w:val="en-US"/>
        </w:rPr>
        <w:t>645</w:t>
      </w:r>
      <w:r>
        <w:t xml:space="preserve"> X</w:t>
      </w:r>
      <w:r>
        <w:rPr>
          <w:vertAlign w:val="subscript"/>
        </w:rPr>
        <w:t>2</w:t>
      </w:r>
      <w:r>
        <w:t xml:space="preserve"> + 0,</w:t>
      </w:r>
      <w:r>
        <w:rPr>
          <w:lang w:val="en-US"/>
        </w:rPr>
        <w:t>394</w:t>
      </w:r>
      <w:r>
        <w:t xml:space="preserve"> X</w:t>
      </w:r>
      <w:r>
        <w:rPr>
          <w:vertAlign w:val="subscript"/>
        </w:rPr>
        <w:t>3</w:t>
      </w:r>
    </w:p>
    <w:p w14:paraId="6A7A220F">
      <w:pPr>
        <w:spacing w:line="480" w:lineRule="auto"/>
        <w:ind w:firstLine="720"/>
        <w:jc w:val="both"/>
        <w:rPr>
          <w:rStyle w:val="24"/>
        </w:rPr>
      </w:pPr>
      <w:r>
        <w:t xml:space="preserve">Pada tabel 4.12 menunjukan bahwa perhitungan diperoleh nilai konstanta (a) </w:t>
      </w:r>
      <w:r>
        <w:rPr>
          <w:lang w:val="en-US"/>
        </w:rPr>
        <w:t>5,035</w:t>
      </w:r>
      <w:r>
        <w:t>, b1 sebesar 0,</w:t>
      </w:r>
      <w:r>
        <w:rPr>
          <w:lang w:val="en-US"/>
        </w:rPr>
        <w:t>207</w:t>
      </w:r>
      <w:r>
        <w:rPr>
          <w:b/>
        </w:rPr>
        <w:t xml:space="preserve">, </w:t>
      </w:r>
      <w:r>
        <w:t>b2 sebesar 0,</w:t>
      </w:r>
      <w:r>
        <w:rPr>
          <w:lang w:val="en-US"/>
        </w:rPr>
        <w:t>645</w:t>
      </w:r>
      <w:r>
        <w:t xml:space="preserve"> dan b3 sebesar 0,</w:t>
      </w:r>
      <w:r>
        <w:rPr>
          <w:lang w:val="en-US"/>
        </w:rPr>
        <w:t>394</w:t>
      </w:r>
      <w:r>
        <w:t xml:space="preserve"> sehingga diperoleh persamaan regresi linier berganda Y = </w:t>
      </w:r>
      <w:r>
        <w:rPr>
          <w:lang w:val="en-US"/>
        </w:rPr>
        <w:t xml:space="preserve">5,035 </w:t>
      </w:r>
      <w:r>
        <w:t>+ 0,</w:t>
      </w:r>
      <w:r>
        <w:rPr>
          <w:lang w:val="en-US"/>
        </w:rPr>
        <w:t>207</w:t>
      </w:r>
      <w:r>
        <w:t xml:space="preserve"> X</w:t>
      </w:r>
      <w:r>
        <w:rPr>
          <w:vertAlign w:val="subscript"/>
        </w:rPr>
        <w:t>1</w:t>
      </w:r>
      <w:r>
        <w:t xml:space="preserve"> + 0,</w:t>
      </w:r>
      <w:r>
        <w:rPr>
          <w:lang w:val="en-US"/>
        </w:rPr>
        <w:t>645</w:t>
      </w:r>
      <w:r>
        <w:t xml:space="preserve"> X</w:t>
      </w:r>
      <w:r>
        <w:rPr>
          <w:vertAlign w:val="subscript"/>
        </w:rPr>
        <w:t xml:space="preserve">2 </w:t>
      </w:r>
      <w:r>
        <w:t>+ 0,</w:t>
      </w:r>
      <w:r>
        <w:rPr>
          <w:lang w:val="en-US"/>
        </w:rPr>
        <w:t>394</w:t>
      </w:r>
      <w:r>
        <w:t xml:space="preserve"> X</w:t>
      </w:r>
      <w:r>
        <w:rPr>
          <w:vertAlign w:val="subscript"/>
        </w:rPr>
        <w:t>3</w:t>
      </w:r>
      <w:r>
        <w:t xml:space="preserve">. </w:t>
      </w:r>
      <w:r>
        <w:rPr>
          <w:rStyle w:val="24"/>
        </w:rPr>
        <w:t>Dari persamaan regresi tersebut dapat disimpulkan bahwa :</w:t>
      </w:r>
    </w:p>
    <w:p w14:paraId="33F99726">
      <w:pPr>
        <w:spacing w:line="480" w:lineRule="auto"/>
        <w:ind w:left="284" w:hanging="284"/>
        <w:jc w:val="both"/>
        <w:rPr>
          <w:rStyle w:val="24"/>
        </w:rPr>
      </w:pPr>
      <w:r>
        <w:rPr>
          <w:rStyle w:val="24"/>
        </w:rPr>
        <w:t xml:space="preserve">1. </w:t>
      </w:r>
      <w:r>
        <w:rPr>
          <w:rStyle w:val="24"/>
        </w:rPr>
        <w:tab/>
      </w:r>
      <w:r>
        <w:rPr>
          <w:rStyle w:val="24"/>
        </w:rPr>
        <w:t xml:space="preserve">Konstanta (a) = </w:t>
      </w:r>
      <w:r>
        <w:rPr>
          <w:lang w:val="en-US"/>
        </w:rPr>
        <w:t xml:space="preserve">5,035 </w:t>
      </w:r>
      <w:r>
        <w:rPr>
          <w:rStyle w:val="24"/>
        </w:rPr>
        <w:t xml:space="preserve">artinya jika variabel </w:t>
      </w:r>
      <w:r>
        <w:rPr>
          <w:lang w:val="en-US"/>
        </w:rPr>
        <w:t>Pemahaman Perpajakan, Kesadaran Wajib Pajak Dan Penurunan Tarif Pajak PP No 23 Tahun 2018</w:t>
      </w:r>
      <w:r>
        <w:rPr>
          <w:rStyle w:val="24"/>
        </w:rPr>
        <w:t xml:space="preserve"> bernilai 0 maka </w:t>
      </w:r>
      <w:r>
        <w:rPr>
          <w:lang w:val="en-US"/>
        </w:rPr>
        <w:t>Kepatuhan Wajib Pajak</w:t>
      </w:r>
      <w:r>
        <w:rPr>
          <w:rStyle w:val="24"/>
        </w:rPr>
        <w:t xml:space="preserve"> adalah sebesar </w:t>
      </w:r>
      <w:r>
        <w:rPr>
          <w:lang w:val="en-US"/>
        </w:rPr>
        <w:t>5,035</w:t>
      </w:r>
      <w:r>
        <w:rPr>
          <w:rStyle w:val="24"/>
        </w:rPr>
        <w:t>.</w:t>
      </w:r>
    </w:p>
    <w:p w14:paraId="67FCF86F">
      <w:pPr>
        <w:spacing w:line="480" w:lineRule="auto"/>
        <w:ind w:left="284" w:hanging="284"/>
        <w:jc w:val="both"/>
        <w:rPr>
          <w:rStyle w:val="24"/>
        </w:rPr>
      </w:pPr>
      <w:r>
        <w:rPr>
          <w:rStyle w:val="24"/>
        </w:rPr>
        <w:t>2.</w:t>
      </w:r>
      <w:r>
        <w:rPr>
          <w:rStyle w:val="24"/>
        </w:rPr>
        <w:tab/>
      </w:r>
      <w:r>
        <w:rPr>
          <w:rStyle w:val="24"/>
        </w:rPr>
        <w:t xml:space="preserve">Koefisien regresi variabel </w:t>
      </w:r>
      <w:r>
        <w:rPr>
          <w:lang w:val="en-US"/>
        </w:rPr>
        <w:t>Pemahaman Perpajakan</w:t>
      </w:r>
      <w:r>
        <w:rPr>
          <w:rStyle w:val="24"/>
        </w:rPr>
        <w:t xml:space="preserve"> = </w:t>
      </w:r>
      <w:r>
        <w:t>0,</w:t>
      </w:r>
      <w:r>
        <w:rPr>
          <w:lang w:val="en-US"/>
        </w:rPr>
        <w:t>207</w:t>
      </w:r>
      <w:r>
        <w:rPr>
          <w:b/>
        </w:rPr>
        <w:t xml:space="preserve"> </w:t>
      </w:r>
      <w:r>
        <w:rPr>
          <w:rStyle w:val="24"/>
        </w:rPr>
        <w:t xml:space="preserve">artinya jika variabel </w:t>
      </w:r>
      <w:r>
        <w:rPr>
          <w:lang w:val="en-US"/>
        </w:rPr>
        <w:t>Pemahaman Perpajakan</w:t>
      </w:r>
      <w:r>
        <w:rPr>
          <w:rStyle w:val="24"/>
        </w:rPr>
        <w:t xml:space="preserve"> meningkat sebesar 1 satuan maka variabel </w:t>
      </w:r>
      <w:r>
        <w:rPr>
          <w:lang w:val="en-US"/>
        </w:rPr>
        <w:t>Kepatuhan Wajib Paja</w:t>
      </w:r>
      <w:r>
        <w:rPr>
          <w:rStyle w:val="24"/>
        </w:rPr>
        <w:t xml:space="preserve">akan meningkat </w:t>
      </w:r>
      <w:r>
        <w:t>0,</w:t>
      </w:r>
      <w:r>
        <w:rPr>
          <w:lang w:val="en-US"/>
        </w:rPr>
        <w:t>207</w:t>
      </w:r>
      <w:r>
        <w:rPr>
          <w:rStyle w:val="24"/>
        </w:rPr>
        <w:t>.</w:t>
      </w:r>
    </w:p>
    <w:p w14:paraId="06AC48A0">
      <w:pPr>
        <w:spacing w:line="480" w:lineRule="auto"/>
        <w:ind w:left="284" w:hanging="284"/>
        <w:jc w:val="both"/>
        <w:rPr>
          <w:rStyle w:val="24"/>
        </w:rPr>
      </w:pPr>
      <w:r>
        <w:rPr>
          <w:rStyle w:val="24"/>
        </w:rPr>
        <w:t>3.</w:t>
      </w:r>
      <w:r>
        <w:rPr>
          <w:rStyle w:val="24"/>
        </w:rPr>
        <w:tab/>
      </w:r>
      <w:r>
        <w:rPr>
          <w:rStyle w:val="24"/>
        </w:rPr>
        <w:t xml:space="preserve">Koefisien regresi </w:t>
      </w:r>
      <w:r>
        <w:rPr>
          <w:lang w:val="en-US"/>
        </w:rPr>
        <w:t>Kesadaran Wajib Pajak</w:t>
      </w:r>
      <w:r>
        <w:rPr>
          <w:rStyle w:val="24"/>
        </w:rPr>
        <w:t xml:space="preserve"> = </w:t>
      </w:r>
      <w:r>
        <w:t>0,</w:t>
      </w:r>
      <w:r>
        <w:rPr>
          <w:lang w:val="en-US"/>
        </w:rPr>
        <w:t>645</w:t>
      </w:r>
      <w:r>
        <w:rPr>
          <w:b/>
        </w:rPr>
        <w:t xml:space="preserve"> </w:t>
      </w:r>
      <w:r>
        <w:rPr>
          <w:rStyle w:val="24"/>
        </w:rPr>
        <w:t xml:space="preserve">artinya jika variabel </w:t>
      </w:r>
      <w:r>
        <w:rPr>
          <w:lang w:val="en-US"/>
        </w:rPr>
        <w:t>Kesadaran Wajib Pajak</w:t>
      </w:r>
      <w:r>
        <w:rPr>
          <w:rStyle w:val="24"/>
        </w:rPr>
        <w:t xml:space="preserve"> meningkat sebesar 1 satuan maka variabel </w:t>
      </w:r>
      <w:r>
        <w:rPr>
          <w:lang w:val="en-US"/>
        </w:rPr>
        <w:t>Kepatuhan Wajib Paja</w:t>
      </w:r>
      <w:r>
        <w:rPr>
          <w:rStyle w:val="24"/>
        </w:rPr>
        <w:t xml:space="preserve">akan meningkat sebesar </w:t>
      </w:r>
      <w:r>
        <w:t>0,</w:t>
      </w:r>
      <w:r>
        <w:rPr>
          <w:lang w:val="en-US"/>
        </w:rPr>
        <w:t>645</w:t>
      </w:r>
      <w:r>
        <w:rPr>
          <w:rStyle w:val="24"/>
        </w:rPr>
        <w:t>.</w:t>
      </w:r>
    </w:p>
    <w:p w14:paraId="7D6068B4">
      <w:pPr>
        <w:spacing w:line="480" w:lineRule="auto"/>
        <w:ind w:left="284" w:hanging="284"/>
        <w:jc w:val="both"/>
      </w:pPr>
      <w:r>
        <w:rPr>
          <w:rStyle w:val="24"/>
        </w:rPr>
        <w:t>4.</w:t>
      </w:r>
      <w:r>
        <w:rPr>
          <w:rStyle w:val="24"/>
        </w:rPr>
        <w:tab/>
      </w:r>
      <w:r>
        <w:rPr>
          <w:rStyle w:val="24"/>
        </w:rPr>
        <w:t xml:space="preserve">Koefisien regresi </w:t>
      </w:r>
      <w:r>
        <w:rPr>
          <w:lang w:val="en-US"/>
        </w:rPr>
        <w:t>Penurunan Tarif Pajak PP No 23 Tahun 2018</w:t>
      </w:r>
      <w:r>
        <w:rPr>
          <w:rStyle w:val="24"/>
        </w:rPr>
        <w:t xml:space="preserve">= </w:t>
      </w:r>
      <w:r>
        <w:t>0,</w:t>
      </w:r>
      <w:r>
        <w:rPr>
          <w:lang w:val="en-US"/>
        </w:rPr>
        <w:t>394</w:t>
      </w:r>
      <w:r>
        <w:rPr>
          <w:b/>
        </w:rPr>
        <w:t xml:space="preserve"> </w:t>
      </w:r>
      <w:r>
        <w:rPr>
          <w:rStyle w:val="24"/>
        </w:rPr>
        <w:t xml:space="preserve">artinya jika variabel </w:t>
      </w:r>
      <w:r>
        <w:rPr>
          <w:lang w:val="en-US"/>
        </w:rPr>
        <w:t>Penurunan Tarif Pajak PP No 23 Tahun 2018</w:t>
      </w:r>
      <w:r>
        <w:rPr>
          <w:bCs/>
          <w:iCs/>
        </w:rPr>
        <w:t xml:space="preserve"> </w:t>
      </w:r>
      <w:r>
        <w:rPr>
          <w:rStyle w:val="24"/>
        </w:rPr>
        <w:t xml:space="preserve">meningkat sebesar 1 satuan maka variabel </w:t>
      </w:r>
      <w:r>
        <w:rPr>
          <w:lang w:val="en-US"/>
        </w:rPr>
        <w:t>Kepatuhan Wajib Paja</w:t>
      </w:r>
      <w:r>
        <w:rPr>
          <w:rStyle w:val="24"/>
        </w:rPr>
        <w:t xml:space="preserve">akan meningkat sebesar </w:t>
      </w:r>
      <w:r>
        <w:t>0,</w:t>
      </w:r>
      <w:r>
        <w:rPr>
          <w:lang w:val="en-US"/>
        </w:rPr>
        <w:t>394</w:t>
      </w:r>
      <w:r>
        <w:rPr>
          <w:rStyle w:val="24"/>
        </w:rPr>
        <w:t>.</w:t>
      </w:r>
    </w:p>
    <w:p w14:paraId="4A8ED240">
      <w:pPr>
        <w:spacing w:line="480" w:lineRule="auto"/>
        <w:jc w:val="both"/>
      </w:pPr>
      <w:r>
        <w:rPr>
          <w:b/>
        </w:rPr>
        <w:t>4.</w:t>
      </w:r>
      <w:r>
        <w:rPr>
          <w:b/>
          <w:lang w:val="en-US"/>
        </w:rPr>
        <w:t>7</w:t>
      </w:r>
      <w:r>
        <w:rPr>
          <w:b/>
        </w:rPr>
        <w:tab/>
      </w:r>
      <w:r>
        <w:rPr>
          <w:b/>
        </w:rPr>
        <w:t>Uji t (Parsial)</w:t>
      </w:r>
    </w:p>
    <w:p w14:paraId="05BFB9B6">
      <w:pPr>
        <w:spacing w:line="480" w:lineRule="auto"/>
        <w:ind w:firstLine="720"/>
        <w:jc w:val="both"/>
      </w:pPr>
      <w:r>
        <w:t>Uji t (Parsial) adalah untuk melihat pengaruh variabel-variabel independen secara parsial terhadap variabel dependen. Dari hasil pengujian SPSS maka nilai uji t adalah sebagai berikut:</w:t>
      </w:r>
    </w:p>
    <w:p w14:paraId="5DAF51D1">
      <w:pPr>
        <w:spacing w:line="480" w:lineRule="auto"/>
        <w:ind w:firstLine="720"/>
        <w:jc w:val="both"/>
      </w:pPr>
    </w:p>
    <w:p w14:paraId="4BC3FE38">
      <w:pPr>
        <w:spacing w:line="480" w:lineRule="auto"/>
        <w:ind w:firstLine="720"/>
        <w:jc w:val="both"/>
      </w:pPr>
    </w:p>
    <w:p w14:paraId="223751CB">
      <w:pPr>
        <w:spacing w:line="480" w:lineRule="auto"/>
        <w:ind w:firstLine="720"/>
        <w:jc w:val="both"/>
      </w:pPr>
    </w:p>
    <w:p w14:paraId="01A5C217">
      <w:pPr>
        <w:jc w:val="center"/>
        <w:rPr>
          <w:lang w:val="en-US"/>
        </w:rPr>
      </w:pPr>
      <w:r>
        <w:rPr>
          <w:b/>
        </w:rPr>
        <w:t>Tabel 4.1</w:t>
      </w:r>
      <w:r>
        <w:rPr>
          <w:b/>
          <w:lang w:val="en-US"/>
        </w:rPr>
        <w:t>3</w:t>
      </w:r>
    </w:p>
    <w:p w14:paraId="6DADE0F7">
      <w:pPr>
        <w:jc w:val="center"/>
      </w:pPr>
      <w:r>
        <w:rPr>
          <w:b/>
        </w:rPr>
        <w:t>Uji t (Parsial)</w:t>
      </w:r>
    </w:p>
    <w:tbl>
      <w:tblPr>
        <w:tblStyle w:val="8"/>
        <w:tblW w:w="5000" w:type="pct"/>
        <w:jc w:val="center"/>
        <w:tblLayout w:type="fixed"/>
        <w:tblCellMar>
          <w:top w:w="0" w:type="dxa"/>
          <w:left w:w="0" w:type="dxa"/>
          <w:bottom w:w="0" w:type="dxa"/>
          <w:right w:w="0" w:type="dxa"/>
        </w:tblCellMar>
      </w:tblPr>
      <w:tblGrid>
        <w:gridCol w:w="510"/>
        <w:gridCol w:w="1693"/>
        <w:gridCol w:w="915"/>
        <w:gridCol w:w="919"/>
        <w:gridCol w:w="1021"/>
        <w:gridCol w:w="713"/>
        <w:gridCol w:w="713"/>
        <w:gridCol w:w="744"/>
        <w:gridCol w:w="710"/>
      </w:tblGrid>
      <w:tr w14:paraId="1BE6F9DD">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48CA38A1">
            <w:pPr>
              <w:autoSpaceDE w:val="0"/>
              <w:autoSpaceDN w:val="0"/>
              <w:adjustRightInd w:val="0"/>
              <w:ind w:left="60" w:right="60"/>
              <w:jc w:val="center"/>
              <w:rPr>
                <w:color w:val="010205"/>
                <w:sz w:val="20"/>
                <w:szCs w:val="20"/>
                <w:lang w:val="en-GB"/>
              </w:rPr>
            </w:pPr>
            <w:r>
              <w:rPr>
                <w:b/>
                <w:bCs/>
                <w:color w:val="010205"/>
                <w:sz w:val="20"/>
                <w:szCs w:val="20"/>
                <w:lang w:val="en-GB"/>
              </w:rPr>
              <w:t>Coefficients</w:t>
            </w:r>
            <w:r>
              <w:rPr>
                <w:b/>
                <w:bCs/>
                <w:color w:val="010205"/>
                <w:sz w:val="20"/>
                <w:szCs w:val="20"/>
                <w:vertAlign w:val="superscript"/>
                <w:lang w:val="en-GB"/>
              </w:rPr>
              <w:t>a</w:t>
            </w:r>
          </w:p>
        </w:tc>
      </w:tr>
      <w:tr w14:paraId="68B781C1">
        <w:tblPrEx>
          <w:tblCellMar>
            <w:top w:w="0" w:type="dxa"/>
            <w:left w:w="0" w:type="dxa"/>
            <w:bottom w:w="0" w:type="dxa"/>
            <w:right w:w="0" w:type="dxa"/>
          </w:tblCellMar>
        </w:tblPrEx>
        <w:trPr>
          <w:cantSplit/>
          <w:jc w:val="center"/>
        </w:trPr>
        <w:tc>
          <w:tcPr>
            <w:tcW w:w="2364" w:type="dxa"/>
            <w:gridSpan w:val="2"/>
            <w:vMerge w:val="restart"/>
            <w:tcBorders>
              <w:top w:val="nil"/>
              <w:left w:val="nil"/>
              <w:bottom w:val="nil"/>
              <w:right w:val="nil"/>
            </w:tcBorders>
            <w:shd w:val="clear" w:color="auto" w:fill="FFFFFF"/>
          </w:tcPr>
          <w:p w14:paraId="6BBDF064">
            <w:pPr>
              <w:autoSpaceDE w:val="0"/>
              <w:autoSpaceDN w:val="0"/>
              <w:adjustRightInd w:val="0"/>
              <w:ind w:left="60" w:right="60"/>
              <w:rPr>
                <w:color w:val="264A60"/>
                <w:sz w:val="20"/>
                <w:szCs w:val="20"/>
                <w:lang w:val="en-GB"/>
              </w:rPr>
            </w:pPr>
            <w:r>
              <w:rPr>
                <w:color w:val="264A60"/>
                <w:sz w:val="20"/>
                <w:szCs w:val="20"/>
                <w:lang w:val="en-GB"/>
              </w:rPr>
              <w:t>Model</w:t>
            </w:r>
          </w:p>
        </w:tc>
        <w:tc>
          <w:tcPr>
            <w:tcW w:w="1965" w:type="dxa"/>
            <w:gridSpan w:val="2"/>
            <w:tcBorders>
              <w:top w:val="nil"/>
              <w:left w:val="nil"/>
              <w:bottom w:val="nil"/>
              <w:right w:val="single" w:color="E0E0E0" w:sz="8" w:space="0"/>
            </w:tcBorders>
            <w:shd w:val="clear" w:color="auto" w:fill="FFFFFF"/>
          </w:tcPr>
          <w:p w14:paraId="6DF3326C">
            <w:pPr>
              <w:autoSpaceDE w:val="0"/>
              <w:autoSpaceDN w:val="0"/>
              <w:adjustRightInd w:val="0"/>
              <w:ind w:left="60" w:right="60"/>
              <w:jc w:val="center"/>
              <w:rPr>
                <w:color w:val="264A60"/>
                <w:sz w:val="20"/>
                <w:szCs w:val="20"/>
                <w:lang w:val="en-GB"/>
              </w:rPr>
            </w:pPr>
            <w:r>
              <w:rPr>
                <w:color w:val="264A60"/>
                <w:sz w:val="20"/>
                <w:szCs w:val="20"/>
                <w:lang w:val="en-GB"/>
              </w:rPr>
              <w:t>Unstandardized Coefficients</w:t>
            </w:r>
          </w:p>
        </w:tc>
        <w:tc>
          <w:tcPr>
            <w:tcW w:w="1094" w:type="dxa"/>
            <w:tcBorders>
              <w:top w:val="nil"/>
              <w:left w:val="single" w:color="E0E0E0" w:sz="8" w:space="0"/>
              <w:bottom w:val="nil"/>
              <w:right w:val="single" w:color="E0E0E0" w:sz="8" w:space="0"/>
            </w:tcBorders>
            <w:shd w:val="clear" w:color="auto" w:fill="FFFFFF"/>
          </w:tcPr>
          <w:p w14:paraId="100DE639">
            <w:pPr>
              <w:autoSpaceDE w:val="0"/>
              <w:autoSpaceDN w:val="0"/>
              <w:adjustRightInd w:val="0"/>
              <w:ind w:left="60" w:right="60"/>
              <w:jc w:val="center"/>
              <w:rPr>
                <w:color w:val="264A60"/>
                <w:sz w:val="20"/>
                <w:szCs w:val="20"/>
                <w:lang w:val="en-GB"/>
              </w:rPr>
            </w:pPr>
            <w:r>
              <w:rPr>
                <w:color w:val="264A60"/>
                <w:sz w:val="20"/>
                <w:szCs w:val="20"/>
                <w:lang w:val="en-GB"/>
              </w:rPr>
              <w:t>Standardized Coefficients</w:t>
            </w:r>
          </w:p>
        </w:tc>
        <w:tc>
          <w:tcPr>
            <w:tcW w:w="763" w:type="dxa"/>
            <w:vMerge w:val="restart"/>
            <w:tcBorders>
              <w:top w:val="nil"/>
              <w:left w:val="single" w:color="E0E0E0" w:sz="8" w:space="0"/>
              <w:bottom w:val="nil"/>
              <w:right w:val="single" w:color="E0E0E0" w:sz="8" w:space="0"/>
            </w:tcBorders>
            <w:shd w:val="clear" w:color="auto" w:fill="FFFFFF"/>
          </w:tcPr>
          <w:p w14:paraId="779028AD">
            <w:pPr>
              <w:autoSpaceDE w:val="0"/>
              <w:autoSpaceDN w:val="0"/>
              <w:adjustRightInd w:val="0"/>
              <w:ind w:left="60" w:right="60"/>
              <w:jc w:val="center"/>
              <w:rPr>
                <w:color w:val="264A60"/>
                <w:sz w:val="20"/>
                <w:szCs w:val="20"/>
                <w:lang w:val="en-GB"/>
              </w:rPr>
            </w:pPr>
            <w:r>
              <w:rPr>
                <w:color w:val="264A60"/>
                <w:sz w:val="20"/>
                <w:szCs w:val="20"/>
                <w:lang w:val="en-GB"/>
              </w:rPr>
              <w:t>t</w:t>
            </w:r>
          </w:p>
        </w:tc>
        <w:tc>
          <w:tcPr>
            <w:tcW w:w="763" w:type="dxa"/>
            <w:vMerge w:val="restart"/>
            <w:tcBorders>
              <w:top w:val="nil"/>
              <w:left w:val="single" w:color="E0E0E0" w:sz="8" w:space="0"/>
              <w:bottom w:val="nil"/>
              <w:right w:val="single" w:color="E0E0E0" w:sz="8" w:space="0"/>
            </w:tcBorders>
            <w:shd w:val="clear" w:color="auto" w:fill="FFFFFF"/>
          </w:tcPr>
          <w:p w14:paraId="799D68F1">
            <w:pPr>
              <w:autoSpaceDE w:val="0"/>
              <w:autoSpaceDN w:val="0"/>
              <w:adjustRightInd w:val="0"/>
              <w:ind w:left="60" w:right="60"/>
              <w:jc w:val="center"/>
              <w:rPr>
                <w:color w:val="264A60"/>
                <w:sz w:val="20"/>
                <w:szCs w:val="20"/>
                <w:lang w:val="en-GB"/>
              </w:rPr>
            </w:pPr>
            <w:r>
              <w:rPr>
                <w:color w:val="264A60"/>
                <w:sz w:val="20"/>
                <w:szCs w:val="20"/>
                <w:lang w:val="en-GB"/>
              </w:rPr>
              <w:t>Sig.</w:t>
            </w:r>
          </w:p>
        </w:tc>
        <w:tc>
          <w:tcPr>
            <w:tcW w:w="1556" w:type="dxa"/>
            <w:gridSpan w:val="2"/>
            <w:tcBorders>
              <w:top w:val="nil"/>
              <w:left w:val="single" w:color="E0E0E0" w:sz="8" w:space="0"/>
              <w:bottom w:val="nil"/>
              <w:right w:val="nil"/>
            </w:tcBorders>
            <w:shd w:val="clear" w:color="auto" w:fill="FFFFFF"/>
          </w:tcPr>
          <w:p w14:paraId="4DEACF57">
            <w:pPr>
              <w:autoSpaceDE w:val="0"/>
              <w:autoSpaceDN w:val="0"/>
              <w:adjustRightInd w:val="0"/>
              <w:ind w:left="60" w:right="60"/>
              <w:jc w:val="center"/>
              <w:rPr>
                <w:color w:val="264A60"/>
                <w:sz w:val="20"/>
                <w:szCs w:val="20"/>
                <w:lang w:val="en-GB"/>
              </w:rPr>
            </w:pPr>
            <w:r>
              <w:rPr>
                <w:color w:val="264A60"/>
                <w:sz w:val="20"/>
                <w:szCs w:val="20"/>
                <w:lang w:val="en-GB"/>
              </w:rPr>
              <w:t>Collinearity Statistics</w:t>
            </w:r>
          </w:p>
        </w:tc>
      </w:tr>
      <w:tr w14:paraId="66AB4718">
        <w:tblPrEx>
          <w:tblCellMar>
            <w:top w:w="0" w:type="dxa"/>
            <w:left w:w="0" w:type="dxa"/>
            <w:bottom w:w="0" w:type="dxa"/>
            <w:right w:w="0" w:type="dxa"/>
          </w:tblCellMar>
        </w:tblPrEx>
        <w:trPr>
          <w:cantSplit/>
          <w:jc w:val="center"/>
        </w:trPr>
        <w:tc>
          <w:tcPr>
            <w:tcW w:w="2364" w:type="dxa"/>
            <w:gridSpan w:val="2"/>
            <w:vMerge w:val="continue"/>
            <w:tcBorders>
              <w:top w:val="nil"/>
              <w:left w:val="nil"/>
              <w:bottom w:val="nil"/>
              <w:right w:val="nil"/>
            </w:tcBorders>
            <w:shd w:val="clear" w:color="auto" w:fill="FFFFFF"/>
          </w:tcPr>
          <w:p w14:paraId="1A56B0BF">
            <w:pPr>
              <w:autoSpaceDE w:val="0"/>
              <w:autoSpaceDN w:val="0"/>
              <w:adjustRightInd w:val="0"/>
              <w:rPr>
                <w:color w:val="264A60"/>
                <w:sz w:val="20"/>
                <w:szCs w:val="20"/>
                <w:lang w:val="en-GB"/>
              </w:rPr>
            </w:pPr>
          </w:p>
        </w:tc>
        <w:tc>
          <w:tcPr>
            <w:tcW w:w="981" w:type="dxa"/>
            <w:tcBorders>
              <w:top w:val="nil"/>
              <w:left w:val="nil"/>
              <w:bottom w:val="single" w:color="152935" w:sz="8" w:space="0"/>
              <w:right w:val="single" w:color="E0E0E0" w:sz="8" w:space="0"/>
            </w:tcBorders>
            <w:shd w:val="clear" w:color="auto" w:fill="FFFFFF"/>
          </w:tcPr>
          <w:p w14:paraId="1ADB0AF9">
            <w:pPr>
              <w:autoSpaceDE w:val="0"/>
              <w:autoSpaceDN w:val="0"/>
              <w:adjustRightInd w:val="0"/>
              <w:ind w:left="60" w:right="60"/>
              <w:jc w:val="center"/>
              <w:rPr>
                <w:color w:val="264A60"/>
                <w:sz w:val="20"/>
                <w:szCs w:val="20"/>
                <w:lang w:val="en-GB"/>
              </w:rPr>
            </w:pPr>
            <w:r>
              <w:rPr>
                <w:color w:val="264A60"/>
                <w:sz w:val="20"/>
                <w:szCs w:val="20"/>
                <w:lang w:val="en-GB"/>
              </w:rPr>
              <w:t>B</w:t>
            </w:r>
          </w:p>
        </w:tc>
        <w:tc>
          <w:tcPr>
            <w:tcW w:w="984" w:type="dxa"/>
            <w:tcBorders>
              <w:top w:val="nil"/>
              <w:left w:val="single" w:color="E0E0E0" w:sz="8" w:space="0"/>
              <w:bottom w:val="single" w:color="152935" w:sz="8" w:space="0"/>
              <w:right w:val="single" w:color="E0E0E0" w:sz="8" w:space="0"/>
            </w:tcBorders>
            <w:shd w:val="clear" w:color="auto" w:fill="FFFFFF"/>
          </w:tcPr>
          <w:p w14:paraId="1F1797FD">
            <w:pPr>
              <w:autoSpaceDE w:val="0"/>
              <w:autoSpaceDN w:val="0"/>
              <w:adjustRightInd w:val="0"/>
              <w:ind w:left="60" w:right="60"/>
              <w:jc w:val="center"/>
              <w:rPr>
                <w:color w:val="264A60"/>
                <w:sz w:val="20"/>
                <w:szCs w:val="20"/>
                <w:lang w:val="en-GB"/>
              </w:rPr>
            </w:pPr>
            <w:r>
              <w:rPr>
                <w:color w:val="264A60"/>
                <w:sz w:val="20"/>
                <w:szCs w:val="20"/>
                <w:lang w:val="en-GB"/>
              </w:rPr>
              <w:t>Std. Error</w:t>
            </w:r>
          </w:p>
        </w:tc>
        <w:tc>
          <w:tcPr>
            <w:tcW w:w="1094" w:type="dxa"/>
            <w:tcBorders>
              <w:top w:val="nil"/>
              <w:left w:val="single" w:color="E0E0E0" w:sz="8" w:space="0"/>
              <w:bottom w:val="single" w:color="152935" w:sz="8" w:space="0"/>
              <w:right w:val="single" w:color="E0E0E0" w:sz="8" w:space="0"/>
            </w:tcBorders>
            <w:shd w:val="clear" w:color="auto" w:fill="FFFFFF"/>
          </w:tcPr>
          <w:p w14:paraId="7DE15700">
            <w:pPr>
              <w:autoSpaceDE w:val="0"/>
              <w:autoSpaceDN w:val="0"/>
              <w:adjustRightInd w:val="0"/>
              <w:ind w:left="60" w:right="60"/>
              <w:jc w:val="center"/>
              <w:rPr>
                <w:color w:val="264A60"/>
                <w:sz w:val="20"/>
                <w:szCs w:val="20"/>
                <w:lang w:val="en-GB"/>
              </w:rPr>
            </w:pPr>
            <w:r>
              <w:rPr>
                <w:color w:val="264A60"/>
                <w:sz w:val="20"/>
                <w:szCs w:val="20"/>
                <w:lang w:val="en-GB"/>
              </w:rPr>
              <w:t>Beta</w:t>
            </w:r>
          </w:p>
        </w:tc>
        <w:tc>
          <w:tcPr>
            <w:tcW w:w="763" w:type="dxa"/>
            <w:vMerge w:val="continue"/>
            <w:tcBorders>
              <w:top w:val="nil"/>
              <w:left w:val="single" w:color="E0E0E0" w:sz="8" w:space="0"/>
              <w:bottom w:val="nil"/>
              <w:right w:val="single" w:color="E0E0E0" w:sz="8" w:space="0"/>
            </w:tcBorders>
            <w:shd w:val="clear" w:color="auto" w:fill="FFFFFF"/>
          </w:tcPr>
          <w:p w14:paraId="1C509E1A">
            <w:pPr>
              <w:autoSpaceDE w:val="0"/>
              <w:autoSpaceDN w:val="0"/>
              <w:adjustRightInd w:val="0"/>
              <w:rPr>
                <w:color w:val="264A60"/>
                <w:sz w:val="20"/>
                <w:szCs w:val="20"/>
                <w:lang w:val="en-GB"/>
              </w:rPr>
            </w:pPr>
          </w:p>
        </w:tc>
        <w:tc>
          <w:tcPr>
            <w:tcW w:w="763" w:type="dxa"/>
            <w:vMerge w:val="continue"/>
            <w:tcBorders>
              <w:top w:val="nil"/>
              <w:left w:val="single" w:color="E0E0E0" w:sz="8" w:space="0"/>
              <w:bottom w:val="nil"/>
              <w:right w:val="single" w:color="E0E0E0" w:sz="8" w:space="0"/>
            </w:tcBorders>
            <w:shd w:val="clear" w:color="auto" w:fill="FFFFFF"/>
          </w:tcPr>
          <w:p w14:paraId="1B3BFD3A">
            <w:pPr>
              <w:autoSpaceDE w:val="0"/>
              <w:autoSpaceDN w:val="0"/>
              <w:adjustRightInd w:val="0"/>
              <w:rPr>
                <w:color w:val="264A60"/>
                <w:sz w:val="20"/>
                <w:szCs w:val="20"/>
                <w:lang w:val="en-GB"/>
              </w:rPr>
            </w:pPr>
          </w:p>
        </w:tc>
        <w:tc>
          <w:tcPr>
            <w:tcW w:w="796" w:type="dxa"/>
            <w:tcBorders>
              <w:top w:val="nil"/>
              <w:left w:val="single" w:color="E0E0E0" w:sz="8" w:space="0"/>
              <w:bottom w:val="single" w:color="152935" w:sz="8" w:space="0"/>
              <w:right w:val="single" w:color="E0E0E0" w:sz="8" w:space="0"/>
            </w:tcBorders>
            <w:shd w:val="clear" w:color="auto" w:fill="FFFFFF"/>
          </w:tcPr>
          <w:p w14:paraId="2F4C8507">
            <w:pPr>
              <w:autoSpaceDE w:val="0"/>
              <w:autoSpaceDN w:val="0"/>
              <w:adjustRightInd w:val="0"/>
              <w:ind w:left="60" w:right="60"/>
              <w:jc w:val="center"/>
              <w:rPr>
                <w:color w:val="264A60"/>
                <w:sz w:val="20"/>
                <w:szCs w:val="20"/>
                <w:lang w:val="en-GB"/>
              </w:rPr>
            </w:pPr>
            <w:r>
              <w:rPr>
                <w:color w:val="264A60"/>
                <w:sz w:val="20"/>
                <w:szCs w:val="20"/>
                <w:lang w:val="en-GB"/>
              </w:rPr>
              <w:t>Tolerance</w:t>
            </w:r>
          </w:p>
        </w:tc>
        <w:tc>
          <w:tcPr>
            <w:tcW w:w="760" w:type="dxa"/>
            <w:tcBorders>
              <w:top w:val="nil"/>
              <w:left w:val="single" w:color="E0E0E0" w:sz="8" w:space="0"/>
              <w:bottom w:val="single" w:color="152935" w:sz="8" w:space="0"/>
              <w:right w:val="nil"/>
            </w:tcBorders>
            <w:shd w:val="clear" w:color="auto" w:fill="FFFFFF"/>
          </w:tcPr>
          <w:p w14:paraId="27C929F0">
            <w:pPr>
              <w:autoSpaceDE w:val="0"/>
              <w:autoSpaceDN w:val="0"/>
              <w:adjustRightInd w:val="0"/>
              <w:ind w:left="60" w:right="60"/>
              <w:jc w:val="center"/>
              <w:rPr>
                <w:color w:val="264A60"/>
                <w:sz w:val="20"/>
                <w:szCs w:val="20"/>
                <w:lang w:val="en-GB"/>
              </w:rPr>
            </w:pPr>
            <w:r>
              <w:rPr>
                <w:color w:val="264A60"/>
                <w:sz w:val="20"/>
                <w:szCs w:val="20"/>
                <w:lang w:val="en-GB"/>
              </w:rPr>
              <w:t>VIF</w:t>
            </w:r>
          </w:p>
        </w:tc>
      </w:tr>
      <w:tr w14:paraId="41ADDFEA">
        <w:tblPrEx>
          <w:tblCellMar>
            <w:top w:w="0" w:type="dxa"/>
            <w:left w:w="0" w:type="dxa"/>
            <w:bottom w:w="0" w:type="dxa"/>
            <w:right w:w="0" w:type="dxa"/>
          </w:tblCellMar>
        </w:tblPrEx>
        <w:trPr>
          <w:cantSplit/>
          <w:jc w:val="center"/>
        </w:trPr>
        <w:tc>
          <w:tcPr>
            <w:tcW w:w="547" w:type="dxa"/>
            <w:vMerge w:val="restart"/>
            <w:tcBorders>
              <w:top w:val="single" w:color="152935" w:sz="8" w:space="0"/>
              <w:left w:val="nil"/>
              <w:bottom w:val="single" w:color="152935" w:sz="8" w:space="0"/>
              <w:right w:val="nil"/>
            </w:tcBorders>
            <w:shd w:val="clear" w:color="auto" w:fill="E0E0E0"/>
          </w:tcPr>
          <w:p w14:paraId="312E3636">
            <w:pPr>
              <w:autoSpaceDE w:val="0"/>
              <w:autoSpaceDN w:val="0"/>
              <w:adjustRightInd w:val="0"/>
              <w:ind w:left="60" w:right="60"/>
              <w:rPr>
                <w:color w:val="264A60"/>
                <w:sz w:val="20"/>
                <w:szCs w:val="20"/>
                <w:lang w:val="en-GB"/>
              </w:rPr>
            </w:pPr>
            <w:r>
              <w:rPr>
                <w:color w:val="264A60"/>
                <w:sz w:val="20"/>
                <w:szCs w:val="20"/>
                <w:lang w:val="en-GB"/>
              </w:rPr>
              <w:t>1</w:t>
            </w:r>
          </w:p>
        </w:tc>
        <w:tc>
          <w:tcPr>
            <w:tcW w:w="1817" w:type="dxa"/>
            <w:tcBorders>
              <w:top w:val="single" w:color="152935" w:sz="8" w:space="0"/>
              <w:left w:val="nil"/>
              <w:bottom w:val="single" w:color="AEAEAE" w:sz="8" w:space="0"/>
              <w:right w:val="nil"/>
            </w:tcBorders>
            <w:shd w:val="clear" w:color="auto" w:fill="E0E0E0"/>
          </w:tcPr>
          <w:p w14:paraId="3508244F">
            <w:pPr>
              <w:autoSpaceDE w:val="0"/>
              <w:autoSpaceDN w:val="0"/>
              <w:adjustRightInd w:val="0"/>
              <w:ind w:left="60" w:right="60"/>
              <w:rPr>
                <w:color w:val="264A60"/>
                <w:sz w:val="20"/>
                <w:szCs w:val="20"/>
                <w:lang w:val="en-GB"/>
              </w:rPr>
            </w:pPr>
            <w:r>
              <w:rPr>
                <w:color w:val="264A60"/>
                <w:sz w:val="20"/>
                <w:szCs w:val="20"/>
                <w:lang w:val="en-GB"/>
              </w:rPr>
              <w:t>(Constant)</w:t>
            </w:r>
          </w:p>
        </w:tc>
        <w:tc>
          <w:tcPr>
            <w:tcW w:w="981" w:type="dxa"/>
            <w:tcBorders>
              <w:top w:val="single" w:color="152935" w:sz="8" w:space="0"/>
              <w:left w:val="nil"/>
              <w:bottom w:val="single" w:color="AEAEAE" w:sz="8" w:space="0"/>
              <w:right w:val="single" w:color="E0E0E0" w:sz="8" w:space="0"/>
            </w:tcBorders>
            <w:shd w:val="clear" w:color="auto" w:fill="F9F9FB"/>
          </w:tcPr>
          <w:p w14:paraId="0E468089">
            <w:pPr>
              <w:autoSpaceDE w:val="0"/>
              <w:autoSpaceDN w:val="0"/>
              <w:adjustRightInd w:val="0"/>
              <w:ind w:left="60" w:right="60"/>
              <w:jc w:val="right"/>
              <w:rPr>
                <w:color w:val="010205"/>
                <w:sz w:val="20"/>
                <w:szCs w:val="20"/>
                <w:lang w:val="en-GB"/>
              </w:rPr>
            </w:pPr>
            <w:r>
              <w:rPr>
                <w:color w:val="010205"/>
                <w:sz w:val="20"/>
                <w:szCs w:val="20"/>
                <w:lang w:val="en-GB"/>
              </w:rPr>
              <w:t>5.035</w:t>
            </w:r>
          </w:p>
        </w:tc>
        <w:tc>
          <w:tcPr>
            <w:tcW w:w="984" w:type="dxa"/>
            <w:tcBorders>
              <w:top w:val="single" w:color="152935" w:sz="8" w:space="0"/>
              <w:left w:val="single" w:color="E0E0E0" w:sz="8" w:space="0"/>
              <w:bottom w:val="single" w:color="AEAEAE" w:sz="8" w:space="0"/>
              <w:right w:val="single" w:color="E0E0E0" w:sz="8" w:space="0"/>
            </w:tcBorders>
            <w:shd w:val="clear" w:color="auto" w:fill="F9F9FB"/>
          </w:tcPr>
          <w:p w14:paraId="24B8B50A">
            <w:pPr>
              <w:autoSpaceDE w:val="0"/>
              <w:autoSpaceDN w:val="0"/>
              <w:adjustRightInd w:val="0"/>
              <w:ind w:left="60" w:right="60"/>
              <w:jc w:val="right"/>
              <w:rPr>
                <w:color w:val="010205"/>
                <w:sz w:val="20"/>
                <w:szCs w:val="20"/>
                <w:lang w:val="en-GB"/>
              </w:rPr>
            </w:pPr>
            <w:r>
              <w:rPr>
                <w:color w:val="010205"/>
                <w:sz w:val="20"/>
                <w:szCs w:val="20"/>
                <w:lang w:val="en-GB"/>
              </w:rPr>
              <w:t>3.365</w:t>
            </w:r>
          </w:p>
        </w:tc>
        <w:tc>
          <w:tcPr>
            <w:tcW w:w="1094" w:type="dxa"/>
            <w:tcBorders>
              <w:top w:val="single" w:color="152935" w:sz="8" w:space="0"/>
              <w:left w:val="single" w:color="E0E0E0" w:sz="8" w:space="0"/>
              <w:bottom w:val="single" w:color="AEAEAE" w:sz="8" w:space="0"/>
              <w:right w:val="single" w:color="E0E0E0" w:sz="8" w:space="0"/>
            </w:tcBorders>
            <w:shd w:val="clear" w:color="auto" w:fill="F9F9FB"/>
          </w:tcPr>
          <w:p w14:paraId="6C05EF91">
            <w:pPr>
              <w:autoSpaceDE w:val="0"/>
              <w:autoSpaceDN w:val="0"/>
              <w:adjustRightInd w:val="0"/>
              <w:rPr>
                <w:sz w:val="20"/>
                <w:szCs w:val="20"/>
                <w:lang w:val="en-GB"/>
              </w:rPr>
            </w:pP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6025E577">
            <w:pPr>
              <w:autoSpaceDE w:val="0"/>
              <w:autoSpaceDN w:val="0"/>
              <w:adjustRightInd w:val="0"/>
              <w:ind w:left="60" w:right="60"/>
              <w:jc w:val="right"/>
              <w:rPr>
                <w:color w:val="010205"/>
                <w:sz w:val="20"/>
                <w:szCs w:val="20"/>
                <w:lang w:val="en-GB"/>
              </w:rPr>
            </w:pPr>
            <w:r>
              <w:rPr>
                <w:color w:val="010205"/>
                <w:sz w:val="20"/>
                <w:szCs w:val="20"/>
                <w:lang w:val="en-GB"/>
              </w:rPr>
              <w:t>1.496</w:t>
            </w:r>
          </w:p>
        </w:tc>
        <w:tc>
          <w:tcPr>
            <w:tcW w:w="763" w:type="dxa"/>
            <w:tcBorders>
              <w:top w:val="single" w:color="152935" w:sz="8" w:space="0"/>
              <w:left w:val="single" w:color="E0E0E0" w:sz="8" w:space="0"/>
              <w:bottom w:val="single" w:color="AEAEAE" w:sz="8" w:space="0"/>
              <w:right w:val="single" w:color="E0E0E0" w:sz="8" w:space="0"/>
            </w:tcBorders>
            <w:shd w:val="clear" w:color="auto" w:fill="F9F9FB"/>
          </w:tcPr>
          <w:p w14:paraId="2FEE224C">
            <w:pPr>
              <w:autoSpaceDE w:val="0"/>
              <w:autoSpaceDN w:val="0"/>
              <w:adjustRightInd w:val="0"/>
              <w:ind w:left="60" w:right="60"/>
              <w:jc w:val="right"/>
              <w:rPr>
                <w:color w:val="010205"/>
                <w:sz w:val="20"/>
                <w:szCs w:val="20"/>
                <w:lang w:val="en-GB"/>
              </w:rPr>
            </w:pPr>
            <w:r>
              <w:rPr>
                <w:color w:val="010205"/>
                <w:sz w:val="20"/>
                <w:szCs w:val="20"/>
                <w:lang w:val="en-GB"/>
              </w:rPr>
              <w:t>.139</w:t>
            </w:r>
          </w:p>
        </w:tc>
        <w:tc>
          <w:tcPr>
            <w:tcW w:w="796" w:type="dxa"/>
            <w:tcBorders>
              <w:top w:val="single" w:color="152935" w:sz="8" w:space="0"/>
              <w:left w:val="single" w:color="E0E0E0" w:sz="8" w:space="0"/>
              <w:bottom w:val="single" w:color="AEAEAE" w:sz="8" w:space="0"/>
              <w:right w:val="single" w:color="E0E0E0" w:sz="8" w:space="0"/>
            </w:tcBorders>
            <w:shd w:val="clear" w:color="auto" w:fill="F9F9FB"/>
          </w:tcPr>
          <w:p w14:paraId="70C8DBC3">
            <w:pPr>
              <w:autoSpaceDE w:val="0"/>
              <w:autoSpaceDN w:val="0"/>
              <w:adjustRightInd w:val="0"/>
              <w:rPr>
                <w:sz w:val="20"/>
                <w:szCs w:val="20"/>
                <w:lang w:val="en-GB"/>
              </w:rPr>
            </w:pPr>
          </w:p>
        </w:tc>
        <w:tc>
          <w:tcPr>
            <w:tcW w:w="760" w:type="dxa"/>
            <w:tcBorders>
              <w:top w:val="single" w:color="152935" w:sz="8" w:space="0"/>
              <w:left w:val="single" w:color="E0E0E0" w:sz="8" w:space="0"/>
              <w:bottom w:val="single" w:color="AEAEAE" w:sz="8" w:space="0"/>
              <w:right w:val="nil"/>
            </w:tcBorders>
            <w:shd w:val="clear" w:color="auto" w:fill="F9F9FB"/>
          </w:tcPr>
          <w:p w14:paraId="7EC69AA1">
            <w:pPr>
              <w:autoSpaceDE w:val="0"/>
              <w:autoSpaceDN w:val="0"/>
              <w:adjustRightInd w:val="0"/>
              <w:rPr>
                <w:sz w:val="20"/>
                <w:szCs w:val="20"/>
                <w:lang w:val="en-GB"/>
              </w:rPr>
            </w:pPr>
          </w:p>
        </w:tc>
      </w:tr>
      <w:tr w14:paraId="1FA4178F">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68AA385">
            <w:pPr>
              <w:autoSpaceDE w:val="0"/>
              <w:autoSpaceDN w:val="0"/>
              <w:adjustRightInd w:val="0"/>
              <w:rPr>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136A10A5">
            <w:pPr>
              <w:autoSpaceDE w:val="0"/>
              <w:autoSpaceDN w:val="0"/>
              <w:adjustRightInd w:val="0"/>
              <w:ind w:left="60" w:right="60"/>
              <w:rPr>
                <w:color w:val="264A60"/>
                <w:sz w:val="20"/>
                <w:szCs w:val="20"/>
                <w:lang w:val="en-GB"/>
              </w:rPr>
            </w:pPr>
            <w:r>
              <w:rPr>
                <w:color w:val="264A60"/>
                <w:sz w:val="20"/>
                <w:szCs w:val="20"/>
                <w:lang w:val="en-GB"/>
              </w:rPr>
              <w:t>Pemahaman Perpajakan</w:t>
            </w:r>
          </w:p>
        </w:tc>
        <w:tc>
          <w:tcPr>
            <w:tcW w:w="981" w:type="dxa"/>
            <w:tcBorders>
              <w:top w:val="single" w:color="AEAEAE" w:sz="8" w:space="0"/>
              <w:left w:val="nil"/>
              <w:bottom w:val="single" w:color="AEAEAE" w:sz="8" w:space="0"/>
              <w:right w:val="single" w:color="E0E0E0" w:sz="8" w:space="0"/>
            </w:tcBorders>
            <w:shd w:val="clear" w:color="auto" w:fill="F9F9FB"/>
          </w:tcPr>
          <w:p w14:paraId="5F36AFAB">
            <w:pPr>
              <w:autoSpaceDE w:val="0"/>
              <w:autoSpaceDN w:val="0"/>
              <w:adjustRightInd w:val="0"/>
              <w:ind w:left="60" w:right="60"/>
              <w:jc w:val="right"/>
              <w:rPr>
                <w:color w:val="010205"/>
                <w:sz w:val="20"/>
                <w:szCs w:val="20"/>
                <w:lang w:val="en-GB"/>
              </w:rPr>
            </w:pPr>
            <w:r>
              <w:rPr>
                <w:color w:val="010205"/>
                <w:sz w:val="20"/>
                <w:szCs w:val="20"/>
                <w:lang w:val="en-GB"/>
              </w:rPr>
              <w:t>.207</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0BEDFFB3">
            <w:pPr>
              <w:autoSpaceDE w:val="0"/>
              <w:autoSpaceDN w:val="0"/>
              <w:adjustRightInd w:val="0"/>
              <w:ind w:left="60" w:right="60"/>
              <w:jc w:val="right"/>
              <w:rPr>
                <w:color w:val="010205"/>
                <w:sz w:val="20"/>
                <w:szCs w:val="20"/>
                <w:lang w:val="en-GB"/>
              </w:rPr>
            </w:pPr>
            <w:r>
              <w:rPr>
                <w:color w:val="010205"/>
                <w:sz w:val="20"/>
                <w:szCs w:val="20"/>
                <w:lang w:val="en-GB"/>
              </w:rPr>
              <w:t>.085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79AD6DBD">
            <w:pPr>
              <w:autoSpaceDE w:val="0"/>
              <w:autoSpaceDN w:val="0"/>
              <w:adjustRightInd w:val="0"/>
              <w:ind w:left="60" w:right="60"/>
              <w:jc w:val="right"/>
              <w:rPr>
                <w:color w:val="010205"/>
                <w:sz w:val="20"/>
                <w:szCs w:val="20"/>
                <w:lang w:val="en-GB"/>
              </w:rPr>
            </w:pPr>
            <w:r>
              <w:rPr>
                <w:color w:val="010205"/>
                <w:sz w:val="20"/>
                <w:szCs w:val="20"/>
                <w:lang w:val="en-GB"/>
              </w:rPr>
              <w:t>.245</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2B10E188">
            <w:pPr>
              <w:autoSpaceDE w:val="0"/>
              <w:autoSpaceDN w:val="0"/>
              <w:adjustRightInd w:val="0"/>
              <w:ind w:left="60" w:right="60"/>
              <w:jc w:val="right"/>
              <w:rPr>
                <w:color w:val="010205"/>
                <w:sz w:val="20"/>
                <w:szCs w:val="20"/>
                <w:lang w:val="en-GB"/>
              </w:rPr>
            </w:pPr>
            <w:r>
              <w:rPr>
                <w:color w:val="010205"/>
                <w:sz w:val="20"/>
                <w:szCs w:val="20"/>
                <w:lang w:val="en-GB"/>
              </w:rPr>
              <w:t>2.431</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68B1B81B">
            <w:pPr>
              <w:autoSpaceDE w:val="0"/>
              <w:autoSpaceDN w:val="0"/>
              <w:adjustRightInd w:val="0"/>
              <w:ind w:left="60" w:right="60"/>
              <w:jc w:val="right"/>
              <w:rPr>
                <w:color w:val="010205"/>
                <w:sz w:val="20"/>
                <w:szCs w:val="20"/>
                <w:lang w:val="en-GB"/>
              </w:rPr>
            </w:pPr>
            <w:r>
              <w:rPr>
                <w:color w:val="010205"/>
                <w:sz w:val="20"/>
                <w:szCs w:val="20"/>
                <w:lang w:val="en-GB"/>
              </w:rPr>
              <w:t>.018</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0DC32CDF">
            <w:pPr>
              <w:autoSpaceDE w:val="0"/>
              <w:autoSpaceDN w:val="0"/>
              <w:adjustRightInd w:val="0"/>
              <w:ind w:left="60" w:right="60"/>
              <w:jc w:val="right"/>
              <w:rPr>
                <w:color w:val="010205"/>
                <w:sz w:val="20"/>
                <w:szCs w:val="20"/>
                <w:lang w:val="en-GB"/>
              </w:rPr>
            </w:pPr>
            <w:r>
              <w:rPr>
                <w:color w:val="010205"/>
                <w:sz w:val="20"/>
                <w:szCs w:val="20"/>
                <w:lang w:val="en-GB"/>
              </w:rPr>
              <w:t>.534</w:t>
            </w:r>
          </w:p>
        </w:tc>
        <w:tc>
          <w:tcPr>
            <w:tcW w:w="760" w:type="dxa"/>
            <w:tcBorders>
              <w:top w:val="single" w:color="AEAEAE" w:sz="8" w:space="0"/>
              <w:left w:val="single" w:color="E0E0E0" w:sz="8" w:space="0"/>
              <w:bottom w:val="single" w:color="AEAEAE" w:sz="8" w:space="0"/>
              <w:right w:val="nil"/>
            </w:tcBorders>
            <w:shd w:val="clear" w:color="auto" w:fill="F9F9FB"/>
          </w:tcPr>
          <w:p w14:paraId="19B714FD">
            <w:pPr>
              <w:autoSpaceDE w:val="0"/>
              <w:autoSpaceDN w:val="0"/>
              <w:adjustRightInd w:val="0"/>
              <w:ind w:left="60" w:right="60"/>
              <w:jc w:val="right"/>
              <w:rPr>
                <w:color w:val="010205"/>
                <w:sz w:val="20"/>
                <w:szCs w:val="20"/>
                <w:lang w:val="en-GB"/>
              </w:rPr>
            </w:pPr>
            <w:r>
              <w:rPr>
                <w:color w:val="010205"/>
                <w:sz w:val="20"/>
                <w:szCs w:val="20"/>
                <w:lang w:val="en-GB"/>
              </w:rPr>
              <w:t>1.873</w:t>
            </w:r>
          </w:p>
        </w:tc>
      </w:tr>
      <w:tr w14:paraId="3D53D349">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26D83D5E">
            <w:pPr>
              <w:autoSpaceDE w:val="0"/>
              <w:autoSpaceDN w:val="0"/>
              <w:adjustRightInd w:val="0"/>
              <w:rPr>
                <w:color w:val="010205"/>
                <w:sz w:val="20"/>
                <w:szCs w:val="20"/>
                <w:lang w:val="en-GB"/>
              </w:rPr>
            </w:pPr>
          </w:p>
        </w:tc>
        <w:tc>
          <w:tcPr>
            <w:tcW w:w="1817" w:type="dxa"/>
            <w:tcBorders>
              <w:top w:val="single" w:color="AEAEAE" w:sz="8" w:space="0"/>
              <w:left w:val="nil"/>
              <w:bottom w:val="single" w:color="AEAEAE" w:sz="8" w:space="0"/>
              <w:right w:val="nil"/>
            </w:tcBorders>
            <w:shd w:val="clear" w:color="auto" w:fill="E0E0E0"/>
          </w:tcPr>
          <w:p w14:paraId="417E557F">
            <w:pPr>
              <w:autoSpaceDE w:val="0"/>
              <w:autoSpaceDN w:val="0"/>
              <w:adjustRightInd w:val="0"/>
              <w:ind w:left="60" w:right="60"/>
              <w:rPr>
                <w:color w:val="264A60"/>
                <w:sz w:val="20"/>
                <w:szCs w:val="20"/>
                <w:lang w:val="en-GB"/>
              </w:rPr>
            </w:pPr>
            <w:r>
              <w:rPr>
                <w:color w:val="264A60"/>
                <w:sz w:val="20"/>
                <w:szCs w:val="20"/>
                <w:lang w:val="en-GB"/>
              </w:rPr>
              <w:t>Kesadaran Wajib Pajak</w:t>
            </w:r>
          </w:p>
        </w:tc>
        <w:tc>
          <w:tcPr>
            <w:tcW w:w="981" w:type="dxa"/>
            <w:tcBorders>
              <w:top w:val="single" w:color="AEAEAE" w:sz="8" w:space="0"/>
              <w:left w:val="nil"/>
              <w:bottom w:val="single" w:color="AEAEAE" w:sz="8" w:space="0"/>
              <w:right w:val="single" w:color="E0E0E0" w:sz="8" w:space="0"/>
            </w:tcBorders>
            <w:shd w:val="clear" w:color="auto" w:fill="F9F9FB"/>
          </w:tcPr>
          <w:p w14:paraId="113BF5B9">
            <w:pPr>
              <w:autoSpaceDE w:val="0"/>
              <w:autoSpaceDN w:val="0"/>
              <w:adjustRightInd w:val="0"/>
              <w:ind w:left="60" w:right="60"/>
              <w:jc w:val="right"/>
              <w:rPr>
                <w:color w:val="010205"/>
                <w:sz w:val="20"/>
                <w:szCs w:val="20"/>
                <w:lang w:val="en-GB"/>
              </w:rPr>
            </w:pPr>
            <w:r>
              <w:rPr>
                <w:color w:val="010205"/>
                <w:sz w:val="20"/>
                <w:szCs w:val="20"/>
                <w:lang w:val="en-GB"/>
              </w:rPr>
              <w:t>.645</w:t>
            </w:r>
          </w:p>
        </w:tc>
        <w:tc>
          <w:tcPr>
            <w:tcW w:w="984" w:type="dxa"/>
            <w:tcBorders>
              <w:top w:val="single" w:color="AEAEAE" w:sz="8" w:space="0"/>
              <w:left w:val="single" w:color="E0E0E0" w:sz="8" w:space="0"/>
              <w:bottom w:val="single" w:color="AEAEAE" w:sz="8" w:space="0"/>
              <w:right w:val="single" w:color="E0E0E0" w:sz="8" w:space="0"/>
            </w:tcBorders>
            <w:shd w:val="clear" w:color="auto" w:fill="F9F9FB"/>
          </w:tcPr>
          <w:p w14:paraId="1106F8A2">
            <w:pPr>
              <w:autoSpaceDE w:val="0"/>
              <w:autoSpaceDN w:val="0"/>
              <w:adjustRightInd w:val="0"/>
              <w:ind w:left="60" w:right="60"/>
              <w:jc w:val="right"/>
              <w:rPr>
                <w:color w:val="010205"/>
                <w:sz w:val="20"/>
                <w:szCs w:val="20"/>
                <w:lang w:val="en-GB"/>
              </w:rPr>
            </w:pPr>
            <w:r>
              <w:rPr>
                <w:color w:val="010205"/>
                <w:sz w:val="20"/>
                <w:szCs w:val="20"/>
                <w:lang w:val="en-GB"/>
              </w:rPr>
              <w:t>.155</w:t>
            </w:r>
          </w:p>
        </w:tc>
        <w:tc>
          <w:tcPr>
            <w:tcW w:w="1094" w:type="dxa"/>
            <w:tcBorders>
              <w:top w:val="single" w:color="AEAEAE" w:sz="8" w:space="0"/>
              <w:left w:val="single" w:color="E0E0E0" w:sz="8" w:space="0"/>
              <w:bottom w:val="single" w:color="AEAEAE" w:sz="8" w:space="0"/>
              <w:right w:val="single" w:color="E0E0E0" w:sz="8" w:space="0"/>
            </w:tcBorders>
            <w:shd w:val="clear" w:color="auto" w:fill="F9F9FB"/>
          </w:tcPr>
          <w:p w14:paraId="5BEC5212">
            <w:pPr>
              <w:autoSpaceDE w:val="0"/>
              <w:autoSpaceDN w:val="0"/>
              <w:adjustRightInd w:val="0"/>
              <w:ind w:left="60" w:right="60"/>
              <w:jc w:val="right"/>
              <w:rPr>
                <w:color w:val="010205"/>
                <w:sz w:val="20"/>
                <w:szCs w:val="20"/>
                <w:lang w:val="en-GB"/>
              </w:rPr>
            </w:pPr>
            <w:r>
              <w:rPr>
                <w:color w:val="010205"/>
                <w:sz w:val="20"/>
                <w:szCs w:val="20"/>
                <w:lang w:val="en-GB"/>
              </w:rPr>
              <w:t>.440</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4287FB2">
            <w:pPr>
              <w:autoSpaceDE w:val="0"/>
              <w:autoSpaceDN w:val="0"/>
              <w:adjustRightInd w:val="0"/>
              <w:ind w:left="60" w:right="60"/>
              <w:jc w:val="right"/>
              <w:rPr>
                <w:color w:val="010205"/>
                <w:sz w:val="20"/>
                <w:szCs w:val="20"/>
                <w:lang w:val="en-GB"/>
              </w:rPr>
            </w:pPr>
            <w:r>
              <w:rPr>
                <w:color w:val="010205"/>
                <w:sz w:val="20"/>
                <w:szCs w:val="20"/>
                <w:lang w:val="en-GB"/>
              </w:rPr>
              <w:t>4.176</w:t>
            </w:r>
          </w:p>
        </w:tc>
        <w:tc>
          <w:tcPr>
            <w:tcW w:w="763" w:type="dxa"/>
            <w:tcBorders>
              <w:top w:val="single" w:color="AEAEAE" w:sz="8" w:space="0"/>
              <w:left w:val="single" w:color="E0E0E0" w:sz="8" w:space="0"/>
              <w:bottom w:val="single" w:color="AEAEAE" w:sz="8" w:space="0"/>
              <w:right w:val="single" w:color="E0E0E0" w:sz="8" w:space="0"/>
            </w:tcBorders>
            <w:shd w:val="clear" w:color="auto" w:fill="F9F9FB"/>
          </w:tcPr>
          <w:p w14:paraId="536C886C">
            <w:pPr>
              <w:autoSpaceDE w:val="0"/>
              <w:autoSpaceDN w:val="0"/>
              <w:adjustRightInd w:val="0"/>
              <w:ind w:left="60" w:right="60"/>
              <w:jc w:val="right"/>
              <w:rPr>
                <w:color w:val="010205"/>
                <w:sz w:val="20"/>
                <w:szCs w:val="20"/>
                <w:lang w:val="en-GB"/>
              </w:rPr>
            </w:pPr>
            <w:r>
              <w:rPr>
                <w:color w:val="010205"/>
                <w:sz w:val="20"/>
                <w:szCs w:val="20"/>
                <w:lang w:val="en-GB"/>
              </w:rPr>
              <w:t>&lt;.001</w:t>
            </w:r>
          </w:p>
        </w:tc>
        <w:tc>
          <w:tcPr>
            <w:tcW w:w="796" w:type="dxa"/>
            <w:tcBorders>
              <w:top w:val="single" w:color="AEAEAE" w:sz="8" w:space="0"/>
              <w:left w:val="single" w:color="E0E0E0" w:sz="8" w:space="0"/>
              <w:bottom w:val="single" w:color="AEAEAE" w:sz="8" w:space="0"/>
              <w:right w:val="single" w:color="E0E0E0" w:sz="8" w:space="0"/>
            </w:tcBorders>
            <w:shd w:val="clear" w:color="auto" w:fill="F9F9FB"/>
          </w:tcPr>
          <w:p w14:paraId="5A633E13">
            <w:pPr>
              <w:autoSpaceDE w:val="0"/>
              <w:autoSpaceDN w:val="0"/>
              <w:adjustRightInd w:val="0"/>
              <w:ind w:left="60" w:right="60"/>
              <w:jc w:val="right"/>
              <w:rPr>
                <w:color w:val="010205"/>
                <w:sz w:val="20"/>
                <w:szCs w:val="20"/>
                <w:lang w:val="en-GB"/>
              </w:rPr>
            </w:pPr>
            <w:r>
              <w:rPr>
                <w:color w:val="010205"/>
                <w:sz w:val="20"/>
                <w:szCs w:val="20"/>
                <w:lang w:val="en-GB"/>
              </w:rPr>
              <w:t>.488</w:t>
            </w:r>
          </w:p>
        </w:tc>
        <w:tc>
          <w:tcPr>
            <w:tcW w:w="760" w:type="dxa"/>
            <w:tcBorders>
              <w:top w:val="single" w:color="AEAEAE" w:sz="8" w:space="0"/>
              <w:left w:val="single" w:color="E0E0E0" w:sz="8" w:space="0"/>
              <w:bottom w:val="single" w:color="AEAEAE" w:sz="8" w:space="0"/>
              <w:right w:val="nil"/>
            </w:tcBorders>
            <w:shd w:val="clear" w:color="auto" w:fill="F9F9FB"/>
          </w:tcPr>
          <w:p w14:paraId="7D199E69">
            <w:pPr>
              <w:autoSpaceDE w:val="0"/>
              <w:autoSpaceDN w:val="0"/>
              <w:adjustRightInd w:val="0"/>
              <w:ind w:left="60" w:right="60"/>
              <w:jc w:val="right"/>
              <w:rPr>
                <w:color w:val="010205"/>
                <w:sz w:val="20"/>
                <w:szCs w:val="20"/>
                <w:lang w:val="en-GB"/>
              </w:rPr>
            </w:pPr>
            <w:r>
              <w:rPr>
                <w:color w:val="010205"/>
                <w:sz w:val="20"/>
                <w:szCs w:val="20"/>
                <w:lang w:val="en-GB"/>
              </w:rPr>
              <w:t>2.049</w:t>
            </w:r>
          </w:p>
        </w:tc>
      </w:tr>
      <w:tr w14:paraId="1665F6E6">
        <w:tblPrEx>
          <w:tblCellMar>
            <w:top w:w="0" w:type="dxa"/>
            <w:left w:w="0" w:type="dxa"/>
            <w:bottom w:w="0" w:type="dxa"/>
            <w:right w:w="0" w:type="dxa"/>
          </w:tblCellMar>
        </w:tblPrEx>
        <w:trPr>
          <w:cantSplit/>
          <w:jc w:val="center"/>
        </w:trPr>
        <w:tc>
          <w:tcPr>
            <w:tcW w:w="547" w:type="dxa"/>
            <w:vMerge w:val="continue"/>
            <w:tcBorders>
              <w:top w:val="single" w:color="152935" w:sz="8" w:space="0"/>
              <w:left w:val="nil"/>
              <w:bottom w:val="single" w:color="152935" w:sz="8" w:space="0"/>
              <w:right w:val="nil"/>
            </w:tcBorders>
            <w:shd w:val="clear" w:color="auto" w:fill="E0E0E0"/>
          </w:tcPr>
          <w:p w14:paraId="7F425BFF">
            <w:pPr>
              <w:autoSpaceDE w:val="0"/>
              <w:autoSpaceDN w:val="0"/>
              <w:adjustRightInd w:val="0"/>
              <w:rPr>
                <w:color w:val="010205"/>
                <w:sz w:val="20"/>
                <w:szCs w:val="20"/>
                <w:lang w:val="en-GB"/>
              </w:rPr>
            </w:pPr>
          </w:p>
        </w:tc>
        <w:tc>
          <w:tcPr>
            <w:tcW w:w="1817" w:type="dxa"/>
            <w:tcBorders>
              <w:top w:val="single" w:color="AEAEAE" w:sz="8" w:space="0"/>
              <w:left w:val="nil"/>
              <w:bottom w:val="single" w:color="152935" w:sz="8" w:space="0"/>
              <w:right w:val="nil"/>
            </w:tcBorders>
            <w:shd w:val="clear" w:color="auto" w:fill="E0E0E0"/>
          </w:tcPr>
          <w:p w14:paraId="28C9AD4F">
            <w:pPr>
              <w:autoSpaceDE w:val="0"/>
              <w:autoSpaceDN w:val="0"/>
              <w:adjustRightInd w:val="0"/>
              <w:ind w:left="60" w:right="60"/>
              <w:rPr>
                <w:color w:val="264A60"/>
                <w:sz w:val="20"/>
                <w:szCs w:val="20"/>
                <w:lang w:val="en-GB"/>
              </w:rPr>
            </w:pPr>
            <w:r>
              <w:rPr>
                <w:color w:val="264A60"/>
                <w:sz w:val="20"/>
                <w:szCs w:val="20"/>
                <w:lang w:val="en-GB"/>
              </w:rPr>
              <w:t>Penurunan Tarif Pajak PP No 23 Tahun 2018</w:t>
            </w:r>
          </w:p>
        </w:tc>
        <w:tc>
          <w:tcPr>
            <w:tcW w:w="981" w:type="dxa"/>
            <w:tcBorders>
              <w:top w:val="single" w:color="AEAEAE" w:sz="8" w:space="0"/>
              <w:left w:val="nil"/>
              <w:bottom w:val="single" w:color="152935" w:sz="8" w:space="0"/>
              <w:right w:val="single" w:color="E0E0E0" w:sz="8" w:space="0"/>
            </w:tcBorders>
            <w:shd w:val="clear" w:color="auto" w:fill="F9F9FB"/>
          </w:tcPr>
          <w:p w14:paraId="5FE0EEB6">
            <w:pPr>
              <w:autoSpaceDE w:val="0"/>
              <w:autoSpaceDN w:val="0"/>
              <w:adjustRightInd w:val="0"/>
              <w:ind w:left="60" w:right="60"/>
              <w:jc w:val="right"/>
              <w:rPr>
                <w:color w:val="010205"/>
                <w:sz w:val="20"/>
                <w:szCs w:val="20"/>
                <w:lang w:val="en-GB"/>
              </w:rPr>
            </w:pPr>
            <w:r>
              <w:rPr>
                <w:color w:val="010205"/>
                <w:sz w:val="20"/>
                <w:szCs w:val="20"/>
                <w:lang w:val="en-GB"/>
              </w:rPr>
              <w:t>.394</w:t>
            </w:r>
          </w:p>
        </w:tc>
        <w:tc>
          <w:tcPr>
            <w:tcW w:w="984" w:type="dxa"/>
            <w:tcBorders>
              <w:top w:val="single" w:color="AEAEAE" w:sz="8" w:space="0"/>
              <w:left w:val="single" w:color="E0E0E0" w:sz="8" w:space="0"/>
              <w:bottom w:val="single" w:color="152935" w:sz="8" w:space="0"/>
              <w:right w:val="single" w:color="E0E0E0" w:sz="8" w:space="0"/>
            </w:tcBorders>
            <w:shd w:val="clear" w:color="auto" w:fill="F9F9FB"/>
          </w:tcPr>
          <w:p w14:paraId="5411CB8A">
            <w:pPr>
              <w:autoSpaceDE w:val="0"/>
              <w:autoSpaceDN w:val="0"/>
              <w:adjustRightInd w:val="0"/>
              <w:ind w:left="60" w:right="60"/>
              <w:jc w:val="right"/>
              <w:rPr>
                <w:color w:val="010205"/>
                <w:sz w:val="20"/>
                <w:szCs w:val="20"/>
                <w:lang w:val="en-GB"/>
              </w:rPr>
            </w:pPr>
            <w:r>
              <w:rPr>
                <w:color w:val="010205"/>
                <w:sz w:val="20"/>
                <w:szCs w:val="20"/>
                <w:lang w:val="en-GB"/>
              </w:rPr>
              <w:t>.145</w:t>
            </w:r>
          </w:p>
        </w:tc>
        <w:tc>
          <w:tcPr>
            <w:tcW w:w="1094" w:type="dxa"/>
            <w:tcBorders>
              <w:top w:val="single" w:color="AEAEAE" w:sz="8" w:space="0"/>
              <w:left w:val="single" w:color="E0E0E0" w:sz="8" w:space="0"/>
              <w:bottom w:val="single" w:color="152935" w:sz="8" w:space="0"/>
              <w:right w:val="single" w:color="E0E0E0" w:sz="8" w:space="0"/>
            </w:tcBorders>
            <w:shd w:val="clear" w:color="auto" w:fill="F9F9FB"/>
          </w:tcPr>
          <w:p w14:paraId="131EF368">
            <w:pPr>
              <w:autoSpaceDE w:val="0"/>
              <w:autoSpaceDN w:val="0"/>
              <w:adjustRightInd w:val="0"/>
              <w:ind w:left="60" w:right="60"/>
              <w:jc w:val="right"/>
              <w:rPr>
                <w:color w:val="010205"/>
                <w:sz w:val="20"/>
                <w:szCs w:val="20"/>
                <w:lang w:val="en-GB"/>
              </w:rPr>
            </w:pPr>
            <w:r>
              <w:rPr>
                <w:color w:val="010205"/>
                <w:sz w:val="20"/>
                <w:szCs w:val="20"/>
                <w:lang w:val="en-GB"/>
              </w:rPr>
              <w:t>.248</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4CA1970E">
            <w:pPr>
              <w:autoSpaceDE w:val="0"/>
              <w:autoSpaceDN w:val="0"/>
              <w:adjustRightInd w:val="0"/>
              <w:ind w:left="60" w:right="60"/>
              <w:jc w:val="right"/>
              <w:rPr>
                <w:color w:val="010205"/>
                <w:sz w:val="20"/>
                <w:szCs w:val="20"/>
                <w:lang w:val="en-GB"/>
              </w:rPr>
            </w:pPr>
            <w:r>
              <w:rPr>
                <w:color w:val="010205"/>
                <w:sz w:val="20"/>
                <w:szCs w:val="20"/>
                <w:lang w:val="en-GB"/>
              </w:rPr>
              <w:t>2.721</w:t>
            </w:r>
          </w:p>
        </w:tc>
        <w:tc>
          <w:tcPr>
            <w:tcW w:w="763" w:type="dxa"/>
            <w:tcBorders>
              <w:top w:val="single" w:color="AEAEAE" w:sz="8" w:space="0"/>
              <w:left w:val="single" w:color="E0E0E0" w:sz="8" w:space="0"/>
              <w:bottom w:val="single" w:color="152935" w:sz="8" w:space="0"/>
              <w:right w:val="single" w:color="E0E0E0" w:sz="8" w:space="0"/>
            </w:tcBorders>
            <w:shd w:val="clear" w:color="auto" w:fill="F9F9FB"/>
          </w:tcPr>
          <w:p w14:paraId="501C6C79">
            <w:pPr>
              <w:autoSpaceDE w:val="0"/>
              <w:autoSpaceDN w:val="0"/>
              <w:adjustRightInd w:val="0"/>
              <w:ind w:left="60" w:right="60"/>
              <w:jc w:val="right"/>
              <w:rPr>
                <w:color w:val="010205"/>
                <w:sz w:val="20"/>
                <w:szCs w:val="20"/>
                <w:lang w:val="en-GB"/>
              </w:rPr>
            </w:pPr>
            <w:r>
              <w:rPr>
                <w:color w:val="010205"/>
                <w:sz w:val="20"/>
                <w:szCs w:val="20"/>
                <w:lang w:val="en-GB"/>
              </w:rPr>
              <w:t>.008</w:t>
            </w:r>
          </w:p>
        </w:tc>
        <w:tc>
          <w:tcPr>
            <w:tcW w:w="796" w:type="dxa"/>
            <w:tcBorders>
              <w:top w:val="single" w:color="AEAEAE" w:sz="8" w:space="0"/>
              <w:left w:val="single" w:color="E0E0E0" w:sz="8" w:space="0"/>
              <w:bottom w:val="single" w:color="152935" w:sz="8" w:space="0"/>
              <w:right w:val="single" w:color="E0E0E0" w:sz="8" w:space="0"/>
            </w:tcBorders>
            <w:shd w:val="clear" w:color="auto" w:fill="F9F9FB"/>
          </w:tcPr>
          <w:p w14:paraId="350FD48E">
            <w:pPr>
              <w:autoSpaceDE w:val="0"/>
              <w:autoSpaceDN w:val="0"/>
              <w:adjustRightInd w:val="0"/>
              <w:ind w:left="60" w:right="60"/>
              <w:jc w:val="right"/>
              <w:rPr>
                <w:color w:val="010205"/>
                <w:sz w:val="20"/>
                <w:szCs w:val="20"/>
                <w:lang w:val="en-GB"/>
              </w:rPr>
            </w:pPr>
            <w:r>
              <w:rPr>
                <w:color w:val="010205"/>
                <w:sz w:val="20"/>
                <w:szCs w:val="20"/>
                <w:lang w:val="en-GB"/>
              </w:rPr>
              <w:t>.649</w:t>
            </w:r>
          </w:p>
        </w:tc>
        <w:tc>
          <w:tcPr>
            <w:tcW w:w="760" w:type="dxa"/>
            <w:tcBorders>
              <w:top w:val="single" w:color="AEAEAE" w:sz="8" w:space="0"/>
              <w:left w:val="single" w:color="E0E0E0" w:sz="8" w:space="0"/>
              <w:bottom w:val="single" w:color="152935" w:sz="8" w:space="0"/>
              <w:right w:val="nil"/>
            </w:tcBorders>
            <w:shd w:val="clear" w:color="auto" w:fill="F9F9FB"/>
          </w:tcPr>
          <w:p w14:paraId="70BAC0D1">
            <w:pPr>
              <w:autoSpaceDE w:val="0"/>
              <w:autoSpaceDN w:val="0"/>
              <w:adjustRightInd w:val="0"/>
              <w:ind w:left="60" w:right="60"/>
              <w:jc w:val="right"/>
              <w:rPr>
                <w:color w:val="010205"/>
                <w:sz w:val="20"/>
                <w:szCs w:val="20"/>
                <w:lang w:val="en-GB"/>
              </w:rPr>
            </w:pPr>
            <w:r>
              <w:rPr>
                <w:color w:val="010205"/>
                <w:sz w:val="20"/>
                <w:szCs w:val="20"/>
                <w:lang w:val="en-GB"/>
              </w:rPr>
              <w:t>1.541</w:t>
            </w:r>
          </w:p>
        </w:tc>
      </w:tr>
      <w:tr w14:paraId="0ACAE0FC">
        <w:tblPrEx>
          <w:tblCellMar>
            <w:top w:w="0" w:type="dxa"/>
            <w:left w:w="0" w:type="dxa"/>
            <w:bottom w:w="0" w:type="dxa"/>
            <w:right w:w="0" w:type="dxa"/>
          </w:tblCellMar>
        </w:tblPrEx>
        <w:trPr>
          <w:cantSplit/>
          <w:jc w:val="center"/>
        </w:trPr>
        <w:tc>
          <w:tcPr>
            <w:tcW w:w="8505" w:type="dxa"/>
            <w:gridSpan w:val="9"/>
            <w:tcBorders>
              <w:top w:val="nil"/>
              <w:left w:val="nil"/>
              <w:bottom w:val="nil"/>
              <w:right w:val="nil"/>
            </w:tcBorders>
            <w:shd w:val="clear" w:color="auto" w:fill="FFFFFF"/>
          </w:tcPr>
          <w:p w14:paraId="6A16113F">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bl>
    <w:p w14:paraId="72283121">
      <w:pPr>
        <w:autoSpaceDE w:val="0"/>
        <w:autoSpaceDN w:val="0"/>
        <w:adjustRightInd w:val="0"/>
        <w:spacing w:line="480" w:lineRule="auto"/>
        <w:rPr>
          <w:lang w:val="en-GB"/>
        </w:rPr>
      </w:pPr>
      <w:r>
        <w:rPr>
          <w:lang w:val="en-GB"/>
        </w:rPr>
        <w:t>Sumber : Hasil Penelitian, 2025</w:t>
      </w:r>
    </w:p>
    <w:p w14:paraId="257FF4BB">
      <w:pPr>
        <w:spacing w:line="480" w:lineRule="auto"/>
        <w:ind w:right="3" w:firstLine="720"/>
        <w:jc w:val="both"/>
      </w:pPr>
      <w:r>
        <w:t xml:space="preserve">Berdasarkan hasil uji t </w:t>
      </w:r>
      <w:r>
        <w:rPr>
          <w:lang w:val="en-AU"/>
        </w:rPr>
        <w:t>pada Tabel 4.12</w:t>
      </w:r>
      <w:r>
        <w:t xml:space="preserve"> diperoleh nilai t tabel pada df = n-k-1 = 70-3-1 = 66 pada taraf signifikan 5% (0,05) adalah 1,9965. Maka dengan demikian untuk mengetahui secara parsial dapat disusun persamaan regresi berganda sebagai berikut:</w:t>
      </w:r>
    </w:p>
    <w:p w14:paraId="321A8698">
      <w:pPr>
        <w:numPr>
          <w:ilvl w:val="0"/>
          <w:numId w:val="9"/>
        </w:numPr>
        <w:spacing w:line="480" w:lineRule="auto"/>
        <w:ind w:left="426" w:right="3"/>
        <w:jc w:val="both"/>
      </w:pPr>
      <w:r>
        <w:t xml:space="preserve">Nilai yang diperoleh </w:t>
      </w:r>
      <w:r>
        <w:rPr>
          <w:lang w:val="en-AU"/>
        </w:rPr>
        <w:t>pada</w:t>
      </w:r>
      <w:r>
        <w:t xml:space="preserve"> </w:t>
      </w:r>
      <w:r>
        <w:rPr>
          <w:lang w:val="en-AU"/>
        </w:rPr>
        <w:t>Tabel 4.10</w:t>
      </w:r>
      <w:r>
        <w:t xml:space="preserve"> yaitu nilai t-hitung &gt; t-tabel (2,431 &gt; 1,9965) dan signifikan sebesar 0,018 lebih kecil dari 0,05 artinya pemahaman perpajakan berpengaruh positif dan signifikan terhadap kepatuhan wajib pajak</w:t>
      </w:r>
    </w:p>
    <w:p w14:paraId="6080F967">
      <w:pPr>
        <w:numPr>
          <w:ilvl w:val="0"/>
          <w:numId w:val="9"/>
        </w:numPr>
        <w:spacing w:line="480" w:lineRule="auto"/>
        <w:ind w:left="426" w:right="3"/>
        <w:jc w:val="both"/>
      </w:pPr>
      <w:r>
        <w:t xml:space="preserve">Nilai yang diperoleh </w:t>
      </w:r>
      <w:r>
        <w:rPr>
          <w:lang w:val="en-AU"/>
        </w:rPr>
        <w:t>pada</w:t>
      </w:r>
      <w:r>
        <w:t xml:space="preserve"> </w:t>
      </w:r>
      <w:r>
        <w:rPr>
          <w:lang w:val="en-AU"/>
        </w:rPr>
        <w:t>Tabel 4.10</w:t>
      </w:r>
      <w:r>
        <w:t xml:space="preserve"> yaitu nilai t-hitung &gt; t-tabel (4,176 &gt; 1,9965) dan signifikan sebesar 0,001 lebih kecil dari 0,05 artinya kesadaran wajib pajak berpengaruh positif dan signifikan terhadap kepatuhan wajib pajak</w:t>
      </w:r>
    </w:p>
    <w:p w14:paraId="2CA80BCA">
      <w:pPr>
        <w:numPr>
          <w:ilvl w:val="0"/>
          <w:numId w:val="9"/>
        </w:numPr>
        <w:spacing w:line="480" w:lineRule="auto"/>
        <w:ind w:left="426" w:right="3"/>
        <w:jc w:val="both"/>
        <w:rPr>
          <w:color w:val="000000" w:themeColor="text1"/>
          <w14:textFill>
            <w14:solidFill>
              <w14:schemeClr w14:val="tx1"/>
            </w14:solidFill>
          </w14:textFill>
        </w:rPr>
      </w:pPr>
      <w:r>
        <w:t xml:space="preserve">Nilai yang diperoleh </w:t>
      </w:r>
      <w:r>
        <w:rPr>
          <w:lang w:val="en-AU"/>
        </w:rPr>
        <w:t>pada</w:t>
      </w:r>
      <w:r>
        <w:t xml:space="preserve"> </w:t>
      </w:r>
      <w:r>
        <w:rPr>
          <w:lang w:val="en-AU"/>
        </w:rPr>
        <w:t>Tabel 4.10</w:t>
      </w:r>
      <w:r>
        <w:t xml:space="preserve"> yaitu nilai t-hitung &gt; t-tabel (2,721 &gt; 1,9965) dan signifikan sebesar 0,008 lebih </w:t>
      </w:r>
      <w:r>
        <w:rPr>
          <w:color w:val="000000" w:themeColor="text1"/>
          <w14:textFill>
            <w14:solidFill>
              <w14:schemeClr w14:val="tx1"/>
            </w14:solidFill>
          </w14:textFill>
        </w:rPr>
        <w:t xml:space="preserve">kecil dari 0,05 artinya </w:t>
      </w:r>
      <w:r>
        <w:rPr>
          <w:color w:val="000000" w:themeColor="text1"/>
          <w:lang w:val="en-GB"/>
          <w14:textFill>
            <w14:solidFill>
              <w14:schemeClr w14:val="tx1"/>
            </w14:solidFill>
          </w14:textFill>
        </w:rPr>
        <w:t xml:space="preserve">Penurunan Tarif Pajak PP No 23 Tahun 2018 </w:t>
      </w:r>
      <w:r>
        <w:rPr>
          <w:color w:val="000000" w:themeColor="text1"/>
          <w14:textFill>
            <w14:solidFill>
              <w14:schemeClr w14:val="tx1"/>
            </w14:solidFill>
          </w14:textFill>
        </w:rPr>
        <w:t>berpengaruh positif dan signifikan terhadap kepatuhan wajib pajak</w:t>
      </w:r>
    </w:p>
    <w:p w14:paraId="095B716C">
      <w:pPr>
        <w:spacing w:line="480" w:lineRule="auto"/>
        <w:jc w:val="both"/>
        <w:rPr>
          <w:b/>
        </w:rPr>
      </w:pPr>
      <w:r>
        <w:rPr>
          <w:b/>
        </w:rPr>
        <w:t>4.</w:t>
      </w:r>
      <w:r>
        <w:rPr>
          <w:b/>
          <w:lang w:val="en-US"/>
        </w:rPr>
        <w:t>8</w:t>
      </w:r>
      <w:r>
        <w:rPr>
          <w:b/>
        </w:rPr>
        <w:tab/>
      </w:r>
      <w:r>
        <w:rPr>
          <w:b/>
        </w:rPr>
        <w:t>Uji F (Simultan)</w:t>
      </w:r>
    </w:p>
    <w:p w14:paraId="296D0744">
      <w:pPr>
        <w:spacing w:line="480" w:lineRule="auto"/>
        <w:ind w:firstLine="720"/>
        <w:jc w:val="both"/>
      </w:pPr>
      <w:r>
        <w:t>Uji F (Simultan) merupakan salah satu metode analisis statistik yang digunakan untuk mengetahui apakah seluruh variabel independen yang digunakan dalam model regresi memiliki pengaruh secara simultan atau bersama-sama terhadap variabel dependen. Dengan kata lain, uji ini bertujuan untuk menguji signifikansi model regresi secara keseluruhan. Jika hasil uji F menunjukkan nilai yang signifikan, maka dapat disimpulkan bahwa setidaknya satu dari variabel independen memiliki pengaruh terhadap variabel dependen. Dalam penelitian ini, pengujian dilakukan dengan menggunakan perangkat lunak SPSS versi 29.00, yang menyajikan hasil analisis dalam bentuk tabel ANOVA. Adapun nilai F hitung dan tingkat signifikansi yang diperoleh melalui output SPSS tersebut dapat digunakan sebagai dasar dalam pengambilan keputusan untuk menerima atau menolak hipotesis nol. Hasil lengkap dari uji F ditampilkan pada tabel ANOVA berikut ini.</w:t>
      </w:r>
    </w:p>
    <w:p w14:paraId="1CD84ED0">
      <w:pPr>
        <w:jc w:val="center"/>
        <w:rPr>
          <w:b/>
          <w:lang w:val="en-US"/>
        </w:rPr>
      </w:pPr>
      <w:r>
        <w:rPr>
          <w:b/>
        </w:rPr>
        <w:t>Tabel 4.1</w:t>
      </w:r>
      <w:r>
        <w:rPr>
          <w:b/>
          <w:lang w:val="en-US"/>
        </w:rPr>
        <w:t>4</w:t>
      </w:r>
    </w:p>
    <w:p w14:paraId="7FF760A2">
      <w:pPr>
        <w:jc w:val="center"/>
        <w:rPr>
          <w:b/>
        </w:rPr>
      </w:pPr>
      <w:r>
        <w:rPr>
          <w:b/>
        </w:rPr>
        <w:t>Uji F (Simultan)</w:t>
      </w:r>
    </w:p>
    <w:tbl>
      <w:tblPr>
        <w:tblStyle w:val="8"/>
        <w:tblW w:w="8000" w:type="dxa"/>
        <w:jc w:val="center"/>
        <w:tblLayout w:type="fixed"/>
        <w:tblCellMar>
          <w:top w:w="0" w:type="dxa"/>
          <w:left w:w="0" w:type="dxa"/>
          <w:bottom w:w="0" w:type="dxa"/>
          <w:right w:w="0" w:type="dxa"/>
        </w:tblCellMar>
      </w:tblPr>
      <w:tblGrid>
        <w:gridCol w:w="757"/>
        <w:gridCol w:w="1191"/>
        <w:gridCol w:w="1516"/>
        <w:gridCol w:w="1052"/>
        <w:gridCol w:w="1377"/>
        <w:gridCol w:w="1052"/>
        <w:gridCol w:w="1055"/>
      </w:tblGrid>
      <w:tr w14:paraId="0FBD685E">
        <w:tblPrEx>
          <w:tblCellMar>
            <w:top w:w="0" w:type="dxa"/>
            <w:left w:w="0" w:type="dxa"/>
            <w:bottom w:w="0" w:type="dxa"/>
            <w:right w:w="0" w:type="dxa"/>
          </w:tblCellMar>
        </w:tblPrEx>
        <w:trPr>
          <w:cantSplit/>
          <w:trHeight w:val="264" w:hRule="atLeast"/>
          <w:jc w:val="center"/>
        </w:trPr>
        <w:tc>
          <w:tcPr>
            <w:tcW w:w="8000" w:type="dxa"/>
            <w:gridSpan w:val="7"/>
            <w:tcBorders>
              <w:top w:val="nil"/>
              <w:left w:val="nil"/>
              <w:bottom w:val="nil"/>
              <w:right w:val="nil"/>
            </w:tcBorders>
            <w:shd w:val="clear" w:color="auto" w:fill="FFFFFF"/>
            <w:vAlign w:val="center"/>
          </w:tcPr>
          <w:p w14:paraId="04DE9B73">
            <w:pPr>
              <w:autoSpaceDE w:val="0"/>
              <w:autoSpaceDN w:val="0"/>
              <w:adjustRightInd w:val="0"/>
              <w:ind w:left="60" w:right="60"/>
              <w:jc w:val="center"/>
              <w:rPr>
                <w:color w:val="010205"/>
                <w:sz w:val="20"/>
                <w:szCs w:val="20"/>
                <w:lang w:val="en-GB"/>
              </w:rPr>
            </w:pPr>
            <w:r>
              <w:rPr>
                <w:b/>
                <w:bCs/>
                <w:color w:val="010205"/>
                <w:sz w:val="20"/>
                <w:szCs w:val="20"/>
                <w:lang w:val="en-GB"/>
              </w:rPr>
              <w:t>ANOVA</w:t>
            </w:r>
            <w:r>
              <w:rPr>
                <w:b/>
                <w:bCs/>
                <w:color w:val="010205"/>
                <w:sz w:val="20"/>
                <w:szCs w:val="20"/>
                <w:vertAlign w:val="superscript"/>
                <w:lang w:val="en-GB"/>
              </w:rPr>
              <w:t>a</w:t>
            </w:r>
          </w:p>
        </w:tc>
      </w:tr>
      <w:tr w14:paraId="6DFCC311">
        <w:tblPrEx>
          <w:tblCellMar>
            <w:top w:w="0" w:type="dxa"/>
            <w:left w:w="0" w:type="dxa"/>
            <w:bottom w:w="0" w:type="dxa"/>
            <w:right w:w="0" w:type="dxa"/>
          </w:tblCellMar>
        </w:tblPrEx>
        <w:trPr>
          <w:cantSplit/>
          <w:trHeight w:val="247" w:hRule="atLeast"/>
          <w:jc w:val="center"/>
        </w:trPr>
        <w:tc>
          <w:tcPr>
            <w:tcW w:w="1948" w:type="dxa"/>
            <w:gridSpan w:val="2"/>
            <w:tcBorders>
              <w:top w:val="nil"/>
              <w:left w:val="nil"/>
              <w:bottom w:val="single" w:color="152935" w:sz="8" w:space="0"/>
              <w:right w:val="nil"/>
            </w:tcBorders>
            <w:shd w:val="clear" w:color="auto" w:fill="FFFFFF"/>
            <w:vAlign w:val="bottom"/>
          </w:tcPr>
          <w:p w14:paraId="37A2793B">
            <w:pPr>
              <w:autoSpaceDE w:val="0"/>
              <w:autoSpaceDN w:val="0"/>
              <w:adjustRightInd w:val="0"/>
              <w:ind w:left="60" w:right="60"/>
              <w:rPr>
                <w:color w:val="264A60"/>
                <w:sz w:val="20"/>
                <w:szCs w:val="20"/>
                <w:lang w:val="en-GB"/>
              </w:rPr>
            </w:pPr>
            <w:r>
              <w:rPr>
                <w:color w:val="264A60"/>
                <w:sz w:val="20"/>
                <w:szCs w:val="20"/>
                <w:lang w:val="en-GB"/>
              </w:rPr>
              <w:t>Model</w:t>
            </w:r>
          </w:p>
        </w:tc>
        <w:tc>
          <w:tcPr>
            <w:tcW w:w="1516" w:type="dxa"/>
            <w:tcBorders>
              <w:top w:val="nil"/>
              <w:left w:val="nil"/>
              <w:bottom w:val="single" w:color="152935" w:sz="8" w:space="0"/>
              <w:right w:val="single" w:color="E0E0E0" w:sz="8" w:space="0"/>
            </w:tcBorders>
            <w:shd w:val="clear" w:color="auto" w:fill="FFFFFF"/>
            <w:vAlign w:val="bottom"/>
          </w:tcPr>
          <w:p w14:paraId="6E33604D">
            <w:pPr>
              <w:autoSpaceDE w:val="0"/>
              <w:autoSpaceDN w:val="0"/>
              <w:adjustRightInd w:val="0"/>
              <w:ind w:left="60" w:right="60"/>
              <w:jc w:val="center"/>
              <w:rPr>
                <w:color w:val="264A60"/>
                <w:sz w:val="20"/>
                <w:szCs w:val="20"/>
                <w:lang w:val="en-GB"/>
              </w:rPr>
            </w:pPr>
            <w:r>
              <w:rPr>
                <w:color w:val="264A60"/>
                <w:sz w:val="20"/>
                <w:szCs w:val="20"/>
                <w:lang w:val="en-GB"/>
              </w:rPr>
              <w:t>Sum of Squares</w:t>
            </w:r>
          </w:p>
        </w:tc>
        <w:tc>
          <w:tcPr>
            <w:tcW w:w="1052" w:type="dxa"/>
            <w:tcBorders>
              <w:top w:val="nil"/>
              <w:left w:val="single" w:color="E0E0E0" w:sz="8" w:space="0"/>
              <w:bottom w:val="single" w:color="152935" w:sz="8" w:space="0"/>
              <w:right w:val="single" w:color="E0E0E0" w:sz="8" w:space="0"/>
            </w:tcBorders>
            <w:shd w:val="clear" w:color="auto" w:fill="FFFFFF"/>
            <w:vAlign w:val="bottom"/>
          </w:tcPr>
          <w:p w14:paraId="585BA7DB">
            <w:pPr>
              <w:autoSpaceDE w:val="0"/>
              <w:autoSpaceDN w:val="0"/>
              <w:adjustRightInd w:val="0"/>
              <w:ind w:left="60" w:right="60"/>
              <w:jc w:val="center"/>
              <w:rPr>
                <w:color w:val="264A60"/>
                <w:sz w:val="20"/>
                <w:szCs w:val="20"/>
                <w:lang w:val="en-GB"/>
              </w:rPr>
            </w:pPr>
            <w:r>
              <w:rPr>
                <w:color w:val="264A60"/>
                <w:sz w:val="20"/>
                <w:szCs w:val="20"/>
                <w:lang w:val="en-GB"/>
              </w:rPr>
              <w:t>df</w:t>
            </w:r>
          </w:p>
        </w:tc>
        <w:tc>
          <w:tcPr>
            <w:tcW w:w="1377" w:type="dxa"/>
            <w:tcBorders>
              <w:top w:val="nil"/>
              <w:left w:val="single" w:color="E0E0E0" w:sz="8" w:space="0"/>
              <w:bottom w:val="single" w:color="152935" w:sz="8" w:space="0"/>
              <w:right w:val="single" w:color="E0E0E0" w:sz="8" w:space="0"/>
            </w:tcBorders>
            <w:shd w:val="clear" w:color="auto" w:fill="FFFFFF"/>
            <w:vAlign w:val="bottom"/>
          </w:tcPr>
          <w:p w14:paraId="472592AA">
            <w:pPr>
              <w:autoSpaceDE w:val="0"/>
              <w:autoSpaceDN w:val="0"/>
              <w:adjustRightInd w:val="0"/>
              <w:ind w:left="60" w:right="60"/>
              <w:jc w:val="center"/>
              <w:rPr>
                <w:color w:val="264A60"/>
                <w:sz w:val="20"/>
                <w:szCs w:val="20"/>
                <w:lang w:val="en-GB"/>
              </w:rPr>
            </w:pPr>
            <w:r>
              <w:rPr>
                <w:color w:val="264A60"/>
                <w:sz w:val="20"/>
                <w:szCs w:val="20"/>
                <w:lang w:val="en-GB"/>
              </w:rPr>
              <w:t>Mean Square</w:t>
            </w:r>
          </w:p>
        </w:tc>
        <w:tc>
          <w:tcPr>
            <w:tcW w:w="1052" w:type="dxa"/>
            <w:tcBorders>
              <w:top w:val="nil"/>
              <w:left w:val="single" w:color="E0E0E0" w:sz="8" w:space="0"/>
              <w:bottom w:val="single" w:color="152935" w:sz="8" w:space="0"/>
              <w:right w:val="single" w:color="E0E0E0" w:sz="8" w:space="0"/>
            </w:tcBorders>
            <w:shd w:val="clear" w:color="auto" w:fill="FFFFFF"/>
            <w:vAlign w:val="bottom"/>
          </w:tcPr>
          <w:p w14:paraId="0770B419">
            <w:pPr>
              <w:autoSpaceDE w:val="0"/>
              <w:autoSpaceDN w:val="0"/>
              <w:adjustRightInd w:val="0"/>
              <w:ind w:left="60" w:right="60"/>
              <w:jc w:val="center"/>
              <w:rPr>
                <w:color w:val="264A60"/>
                <w:sz w:val="20"/>
                <w:szCs w:val="20"/>
                <w:lang w:val="en-GB"/>
              </w:rPr>
            </w:pPr>
            <w:r>
              <w:rPr>
                <w:color w:val="264A60"/>
                <w:sz w:val="20"/>
                <w:szCs w:val="20"/>
                <w:lang w:val="en-GB"/>
              </w:rPr>
              <w:t>F</w:t>
            </w:r>
          </w:p>
        </w:tc>
        <w:tc>
          <w:tcPr>
            <w:tcW w:w="1055" w:type="dxa"/>
            <w:tcBorders>
              <w:top w:val="nil"/>
              <w:left w:val="single" w:color="E0E0E0" w:sz="8" w:space="0"/>
              <w:bottom w:val="single" w:color="152935" w:sz="8" w:space="0"/>
              <w:right w:val="nil"/>
            </w:tcBorders>
            <w:shd w:val="clear" w:color="auto" w:fill="FFFFFF"/>
            <w:vAlign w:val="bottom"/>
          </w:tcPr>
          <w:p w14:paraId="090B73A0">
            <w:pPr>
              <w:autoSpaceDE w:val="0"/>
              <w:autoSpaceDN w:val="0"/>
              <w:adjustRightInd w:val="0"/>
              <w:ind w:left="60" w:right="60"/>
              <w:jc w:val="center"/>
              <w:rPr>
                <w:color w:val="264A60"/>
                <w:sz w:val="20"/>
                <w:szCs w:val="20"/>
                <w:lang w:val="en-GB"/>
              </w:rPr>
            </w:pPr>
            <w:r>
              <w:rPr>
                <w:color w:val="264A60"/>
                <w:sz w:val="20"/>
                <w:szCs w:val="20"/>
                <w:lang w:val="en-GB"/>
              </w:rPr>
              <w:t>Sig.</w:t>
            </w:r>
          </w:p>
        </w:tc>
      </w:tr>
      <w:tr w14:paraId="3617B4D3">
        <w:tblPrEx>
          <w:tblCellMar>
            <w:top w:w="0" w:type="dxa"/>
            <w:left w:w="0" w:type="dxa"/>
            <w:bottom w:w="0" w:type="dxa"/>
            <w:right w:w="0" w:type="dxa"/>
          </w:tblCellMar>
        </w:tblPrEx>
        <w:trPr>
          <w:cantSplit/>
          <w:trHeight w:val="264" w:hRule="atLeast"/>
          <w:jc w:val="center"/>
        </w:trPr>
        <w:tc>
          <w:tcPr>
            <w:tcW w:w="757" w:type="dxa"/>
            <w:vMerge w:val="restart"/>
            <w:tcBorders>
              <w:top w:val="single" w:color="152935" w:sz="8" w:space="0"/>
              <w:left w:val="nil"/>
              <w:bottom w:val="single" w:color="152935" w:sz="8" w:space="0"/>
              <w:right w:val="nil"/>
            </w:tcBorders>
            <w:shd w:val="clear" w:color="auto" w:fill="E0E0E0"/>
          </w:tcPr>
          <w:p w14:paraId="30C636E8">
            <w:pPr>
              <w:autoSpaceDE w:val="0"/>
              <w:autoSpaceDN w:val="0"/>
              <w:adjustRightInd w:val="0"/>
              <w:ind w:left="60" w:right="60"/>
              <w:rPr>
                <w:color w:val="264A60"/>
                <w:sz w:val="20"/>
                <w:szCs w:val="20"/>
                <w:lang w:val="en-GB"/>
              </w:rPr>
            </w:pPr>
            <w:r>
              <w:rPr>
                <w:color w:val="264A60"/>
                <w:sz w:val="20"/>
                <w:szCs w:val="20"/>
                <w:lang w:val="en-GB"/>
              </w:rPr>
              <w:t>1</w:t>
            </w:r>
          </w:p>
        </w:tc>
        <w:tc>
          <w:tcPr>
            <w:tcW w:w="1191" w:type="dxa"/>
            <w:tcBorders>
              <w:top w:val="single" w:color="152935" w:sz="8" w:space="0"/>
              <w:left w:val="nil"/>
              <w:bottom w:val="single" w:color="AEAEAE" w:sz="8" w:space="0"/>
              <w:right w:val="nil"/>
            </w:tcBorders>
            <w:shd w:val="clear" w:color="auto" w:fill="E0E0E0"/>
          </w:tcPr>
          <w:p w14:paraId="7659DDDD">
            <w:pPr>
              <w:autoSpaceDE w:val="0"/>
              <w:autoSpaceDN w:val="0"/>
              <w:adjustRightInd w:val="0"/>
              <w:ind w:left="60" w:right="60"/>
              <w:rPr>
                <w:color w:val="264A60"/>
                <w:sz w:val="20"/>
                <w:szCs w:val="20"/>
                <w:lang w:val="en-GB"/>
              </w:rPr>
            </w:pPr>
            <w:r>
              <w:rPr>
                <w:color w:val="264A60"/>
                <w:sz w:val="20"/>
                <w:szCs w:val="20"/>
                <w:lang w:val="en-GB"/>
              </w:rPr>
              <w:t>Regression</w:t>
            </w:r>
          </w:p>
        </w:tc>
        <w:tc>
          <w:tcPr>
            <w:tcW w:w="1516" w:type="dxa"/>
            <w:tcBorders>
              <w:top w:val="single" w:color="152935" w:sz="8" w:space="0"/>
              <w:left w:val="nil"/>
              <w:bottom w:val="single" w:color="AEAEAE" w:sz="8" w:space="0"/>
              <w:right w:val="single" w:color="E0E0E0" w:sz="8" w:space="0"/>
            </w:tcBorders>
            <w:shd w:val="clear" w:color="auto" w:fill="F9F9FB"/>
          </w:tcPr>
          <w:p w14:paraId="5BFAB4B6">
            <w:pPr>
              <w:autoSpaceDE w:val="0"/>
              <w:autoSpaceDN w:val="0"/>
              <w:adjustRightInd w:val="0"/>
              <w:ind w:left="60" w:right="60"/>
              <w:jc w:val="right"/>
              <w:rPr>
                <w:color w:val="010205"/>
                <w:sz w:val="20"/>
                <w:szCs w:val="20"/>
                <w:lang w:val="en-GB"/>
              </w:rPr>
            </w:pPr>
            <w:r>
              <w:rPr>
                <w:color w:val="010205"/>
                <w:sz w:val="20"/>
                <w:szCs w:val="20"/>
                <w:lang w:val="en-GB"/>
              </w:rPr>
              <w:t>786.698</w:t>
            </w:r>
          </w:p>
        </w:tc>
        <w:tc>
          <w:tcPr>
            <w:tcW w:w="1052" w:type="dxa"/>
            <w:tcBorders>
              <w:top w:val="single" w:color="152935" w:sz="8" w:space="0"/>
              <w:left w:val="single" w:color="E0E0E0" w:sz="8" w:space="0"/>
              <w:bottom w:val="single" w:color="AEAEAE" w:sz="8" w:space="0"/>
              <w:right w:val="single" w:color="E0E0E0" w:sz="8" w:space="0"/>
            </w:tcBorders>
            <w:shd w:val="clear" w:color="auto" w:fill="F9F9FB"/>
          </w:tcPr>
          <w:p w14:paraId="094C9C0C">
            <w:pPr>
              <w:autoSpaceDE w:val="0"/>
              <w:autoSpaceDN w:val="0"/>
              <w:adjustRightInd w:val="0"/>
              <w:ind w:left="60" w:right="60"/>
              <w:jc w:val="right"/>
              <w:rPr>
                <w:color w:val="010205"/>
                <w:sz w:val="20"/>
                <w:szCs w:val="20"/>
                <w:lang w:val="en-GB"/>
              </w:rPr>
            </w:pPr>
            <w:r>
              <w:rPr>
                <w:color w:val="010205"/>
                <w:sz w:val="20"/>
                <w:szCs w:val="20"/>
                <w:lang w:val="en-GB"/>
              </w:rPr>
              <w:t>3</w:t>
            </w:r>
          </w:p>
        </w:tc>
        <w:tc>
          <w:tcPr>
            <w:tcW w:w="1377" w:type="dxa"/>
            <w:tcBorders>
              <w:top w:val="single" w:color="152935" w:sz="8" w:space="0"/>
              <w:left w:val="single" w:color="E0E0E0" w:sz="8" w:space="0"/>
              <w:bottom w:val="single" w:color="AEAEAE" w:sz="8" w:space="0"/>
              <w:right w:val="single" w:color="E0E0E0" w:sz="8" w:space="0"/>
            </w:tcBorders>
            <w:shd w:val="clear" w:color="auto" w:fill="F9F9FB"/>
          </w:tcPr>
          <w:p w14:paraId="6FE44BC7">
            <w:pPr>
              <w:autoSpaceDE w:val="0"/>
              <w:autoSpaceDN w:val="0"/>
              <w:adjustRightInd w:val="0"/>
              <w:ind w:left="60" w:right="60"/>
              <w:jc w:val="right"/>
              <w:rPr>
                <w:color w:val="010205"/>
                <w:sz w:val="20"/>
                <w:szCs w:val="20"/>
                <w:lang w:val="en-GB"/>
              </w:rPr>
            </w:pPr>
            <w:r>
              <w:rPr>
                <w:color w:val="010205"/>
                <w:sz w:val="20"/>
                <w:szCs w:val="20"/>
                <w:lang w:val="en-GB"/>
              </w:rPr>
              <w:t>262.233</w:t>
            </w:r>
          </w:p>
        </w:tc>
        <w:tc>
          <w:tcPr>
            <w:tcW w:w="1052" w:type="dxa"/>
            <w:tcBorders>
              <w:top w:val="single" w:color="152935" w:sz="8" w:space="0"/>
              <w:left w:val="single" w:color="E0E0E0" w:sz="8" w:space="0"/>
              <w:bottom w:val="single" w:color="AEAEAE" w:sz="8" w:space="0"/>
              <w:right w:val="single" w:color="E0E0E0" w:sz="8" w:space="0"/>
            </w:tcBorders>
            <w:shd w:val="clear" w:color="auto" w:fill="F9F9FB"/>
          </w:tcPr>
          <w:p w14:paraId="00AAAC82">
            <w:pPr>
              <w:autoSpaceDE w:val="0"/>
              <w:autoSpaceDN w:val="0"/>
              <w:adjustRightInd w:val="0"/>
              <w:ind w:left="60" w:right="60"/>
              <w:jc w:val="right"/>
              <w:rPr>
                <w:color w:val="010205"/>
                <w:sz w:val="20"/>
                <w:szCs w:val="20"/>
                <w:lang w:val="en-GB"/>
              </w:rPr>
            </w:pPr>
            <w:r>
              <w:rPr>
                <w:color w:val="010205"/>
                <w:sz w:val="20"/>
                <w:szCs w:val="20"/>
                <w:lang w:val="en-GB"/>
              </w:rPr>
              <w:t>39.624</w:t>
            </w:r>
          </w:p>
        </w:tc>
        <w:tc>
          <w:tcPr>
            <w:tcW w:w="1055" w:type="dxa"/>
            <w:tcBorders>
              <w:top w:val="single" w:color="152935" w:sz="8" w:space="0"/>
              <w:left w:val="single" w:color="E0E0E0" w:sz="8" w:space="0"/>
              <w:bottom w:val="single" w:color="AEAEAE" w:sz="8" w:space="0"/>
              <w:right w:val="nil"/>
            </w:tcBorders>
            <w:shd w:val="clear" w:color="auto" w:fill="F9F9FB"/>
          </w:tcPr>
          <w:p w14:paraId="6B292D4A">
            <w:pPr>
              <w:autoSpaceDE w:val="0"/>
              <w:autoSpaceDN w:val="0"/>
              <w:adjustRightInd w:val="0"/>
              <w:ind w:left="60" w:right="60"/>
              <w:jc w:val="right"/>
              <w:rPr>
                <w:color w:val="010205"/>
                <w:sz w:val="20"/>
                <w:szCs w:val="20"/>
                <w:lang w:val="en-GB"/>
              </w:rPr>
            </w:pPr>
            <w:r>
              <w:rPr>
                <w:color w:val="010205"/>
                <w:sz w:val="20"/>
                <w:szCs w:val="20"/>
                <w:lang w:val="en-GB"/>
              </w:rPr>
              <w:t>&lt;.001</w:t>
            </w:r>
            <w:r>
              <w:rPr>
                <w:color w:val="010205"/>
                <w:sz w:val="20"/>
                <w:szCs w:val="20"/>
                <w:vertAlign w:val="superscript"/>
                <w:lang w:val="en-GB"/>
              </w:rPr>
              <w:t>b</w:t>
            </w:r>
          </w:p>
        </w:tc>
      </w:tr>
      <w:tr w14:paraId="61AF735C">
        <w:tblPrEx>
          <w:tblCellMar>
            <w:top w:w="0" w:type="dxa"/>
            <w:left w:w="0" w:type="dxa"/>
            <w:bottom w:w="0" w:type="dxa"/>
            <w:right w:w="0" w:type="dxa"/>
          </w:tblCellMar>
        </w:tblPrEx>
        <w:trPr>
          <w:cantSplit/>
          <w:trHeight w:val="160" w:hRule="atLeast"/>
          <w:jc w:val="center"/>
        </w:trPr>
        <w:tc>
          <w:tcPr>
            <w:tcW w:w="757" w:type="dxa"/>
            <w:vMerge w:val="continue"/>
            <w:tcBorders>
              <w:top w:val="single" w:color="152935" w:sz="8" w:space="0"/>
              <w:left w:val="nil"/>
              <w:bottom w:val="single" w:color="152935" w:sz="8" w:space="0"/>
              <w:right w:val="nil"/>
            </w:tcBorders>
            <w:shd w:val="clear" w:color="auto" w:fill="E0E0E0"/>
          </w:tcPr>
          <w:p w14:paraId="784481F2">
            <w:pPr>
              <w:autoSpaceDE w:val="0"/>
              <w:autoSpaceDN w:val="0"/>
              <w:adjustRightInd w:val="0"/>
              <w:rPr>
                <w:color w:val="010205"/>
                <w:sz w:val="20"/>
                <w:szCs w:val="20"/>
                <w:lang w:val="en-GB"/>
              </w:rPr>
            </w:pPr>
          </w:p>
        </w:tc>
        <w:tc>
          <w:tcPr>
            <w:tcW w:w="1191" w:type="dxa"/>
            <w:tcBorders>
              <w:top w:val="single" w:color="AEAEAE" w:sz="8" w:space="0"/>
              <w:left w:val="nil"/>
              <w:bottom w:val="single" w:color="AEAEAE" w:sz="8" w:space="0"/>
              <w:right w:val="nil"/>
            </w:tcBorders>
            <w:shd w:val="clear" w:color="auto" w:fill="E0E0E0"/>
          </w:tcPr>
          <w:p w14:paraId="5051B1B1">
            <w:pPr>
              <w:autoSpaceDE w:val="0"/>
              <w:autoSpaceDN w:val="0"/>
              <w:adjustRightInd w:val="0"/>
              <w:ind w:left="60" w:right="60"/>
              <w:rPr>
                <w:color w:val="264A60"/>
                <w:sz w:val="20"/>
                <w:szCs w:val="20"/>
                <w:lang w:val="en-GB"/>
              </w:rPr>
            </w:pPr>
            <w:r>
              <w:rPr>
                <w:color w:val="264A60"/>
                <w:sz w:val="20"/>
                <w:szCs w:val="20"/>
                <w:lang w:val="en-GB"/>
              </w:rPr>
              <w:t>Residual</w:t>
            </w:r>
          </w:p>
        </w:tc>
        <w:tc>
          <w:tcPr>
            <w:tcW w:w="1516" w:type="dxa"/>
            <w:tcBorders>
              <w:top w:val="single" w:color="AEAEAE" w:sz="8" w:space="0"/>
              <w:left w:val="nil"/>
              <w:bottom w:val="single" w:color="AEAEAE" w:sz="8" w:space="0"/>
              <w:right w:val="single" w:color="E0E0E0" w:sz="8" w:space="0"/>
            </w:tcBorders>
            <w:shd w:val="clear" w:color="auto" w:fill="F9F9FB"/>
          </w:tcPr>
          <w:p w14:paraId="283A8205">
            <w:pPr>
              <w:autoSpaceDE w:val="0"/>
              <w:autoSpaceDN w:val="0"/>
              <w:adjustRightInd w:val="0"/>
              <w:ind w:left="60" w:right="60"/>
              <w:jc w:val="right"/>
              <w:rPr>
                <w:color w:val="010205"/>
                <w:sz w:val="20"/>
                <w:szCs w:val="20"/>
                <w:lang w:val="en-GB"/>
              </w:rPr>
            </w:pPr>
            <w:r>
              <w:rPr>
                <w:color w:val="010205"/>
                <w:sz w:val="20"/>
                <w:szCs w:val="20"/>
                <w:lang w:val="en-GB"/>
              </w:rPr>
              <w:t>436.788</w:t>
            </w:r>
          </w:p>
        </w:tc>
        <w:tc>
          <w:tcPr>
            <w:tcW w:w="1052" w:type="dxa"/>
            <w:tcBorders>
              <w:top w:val="single" w:color="AEAEAE" w:sz="8" w:space="0"/>
              <w:left w:val="single" w:color="E0E0E0" w:sz="8" w:space="0"/>
              <w:bottom w:val="single" w:color="AEAEAE" w:sz="8" w:space="0"/>
              <w:right w:val="single" w:color="E0E0E0" w:sz="8" w:space="0"/>
            </w:tcBorders>
            <w:shd w:val="clear" w:color="auto" w:fill="F9F9FB"/>
          </w:tcPr>
          <w:p w14:paraId="78217233">
            <w:pPr>
              <w:autoSpaceDE w:val="0"/>
              <w:autoSpaceDN w:val="0"/>
              <w:adjustRightInd w:val="0"/>
              <w:ind w:left="60" w:right="60"/>
              <w:jc w:val="right"/>
              <w:rPr>
                <w:color w:val="010205"/>
                <w:sz w:val="20"/>
                <w:szCs w:val="20"/>
                <w:lang w:val="en-GB"/>
              </w:rPr>
            </w:pPr>
            <w:r>
              <w:rPr>
                <w:color w:val="010205"/>
                <w:sz w:val="20"/>
                <w:szCs w:val="20"/>
                <w:lang w:val="en-GB"/>
              </w:rPr>
              <w:t>66</w:t>
            </w:r>
          </w:p>
        </w:tc>
        <w:tc>
          <w:tcPr>
            <w:tcW w:w="1377" w:type="dxa"/>
            <w:tcBorders>
              <w:top w:val="single" w:color="AEAEAE" w:sz="8" w:space="0"/>
              <w:left w:val="single" w:color="E0E0E0" w:sz="8" w:space="0"/>
              <w:bottom w:val="single" w:color="AEAEAE" w:sz="8" w:space="0"/>
              <w:right w:val="single" w:color="E0E0E0" w:sz="8" w:space="0"/>
            </w:tcBorders>
            <w:shd w:val="clear" w:color="auto" w:fill="F9F9FB"/>
          </w:tcPr>
          <w:p w14:paraId="3A18BC5D">
            <w:pPr>
              <w:autoSpaceDE w:val="0"/>
              <w:autoSpaceDN w:val="0"/>
              <w:adjustRightInd w:val="0"/>
              <w:ind w:left="60" w:right="60"/>
              <w:jc w:val="right"/>
              <w:rPr>
                <w:color w:val="010205"/>
                <w:sz w:val="20"/>
                <w:szCs w:val="20"/>
                <w:lang w:val="en-GB"/>
              </w:rPr>
            </w:pPr>
            <w:r>
              <w:rPr>
                <w:color w:val="010205"/>
                <w:sz w:val="20"/>
                <w:szCs w:val="20"/>
                <w:lang w:val="en-GB"/>
              </w:rPr>
              <w:t>6.618</w:t>
            </w:r>
          </w:p>
        </w:tc>
        <w:tc>
          <w:tcPr>
            <w:tcW w:w="1052" w:type="dxa"/>
            <w:tcBorders>
              <w:top w:val="single" w:color="AEAEAE" w:sz="8" w:space="0"/>
              <w:left w:val="single" w:color="E0E0E0" w:sz="8" w:space="0"/>
              <w:bottom w:val="single" w:color="AEAEAE" w:sz="8" w:space="0"/>
              <w:right w:val="single" w:color="E0E0E0" w:sz="8" w:space="0"/>
            </w:tcBorders>
            <w:shd w:val="clear" w:color="auto" w:fill="F9F9FB"/>
            <w:vAlign w:val="center"/>
          </w:tcPr>
          <w:p w14:paraId="124A98DC">
            <w:pPr>
              <w:autoSpaceDE w:val="0"/>
              <w:autoSpaceDN w:val="0"/>
              <w:adjustRightInd w:val="0"/>
              <w:rPr>
                <w:sz w:val="20"/>
                <w:szCs w:val="20"/>
                <w:lang w:val="en-GB"/>
              </w:rPr>
            </w:pPr>
          </w:p>
        </w:tc>
        <w:tc>
          <w:tcPr>
            <w:tcW w:w="1055" w:type="dxa"/>
            <w:tcBorders>
              <w:top w:val="single" w:color="AEAEAE" w:sz="8" w:space="0"/>
              <w:left w:val="single" w:color="E0E0E0" w:sz="8" w:space="0"/>
              <w:bottom w:val="single" w:color="AEAEAE" w:sz="8" w:space="0"/>
              <w:right w:val="nil"/>
            </w:tcBorders>
            <w:shd w:val="clear" w:color="auto" w:fill="F9F9FB"/>
            <w:vAlign w:val="center"/>
          </w:tcPr>
          <w:p w14:paraId="6DA53E94">
            <w:pPr>
              <w:autoSpaceDE w:val="0"/>
              <w:autoSpaceDN w:val="0"/>
              <w:adjustRightInd w:val="0"/>
              <w:rPr>
                <w:sz w:val="20"/>
                <w:szCs w:val="20"/>
                <w:lang w:val="en-GB"/>
              </w:rPr>
            </w:pPr>
          </w:p>
        </w:tc>
      </w:tr>
      <w:tr w14:paraId="3EE1C7EF">
        <w:tblPrEx>
          <w:tblCellMar>
            <w:top w:w="0" w:type="dxa"/>
            <w:left w:w="0" w:type="dxa"/>
            <w:bottom w:w="0" w:type="dxa"/>
            <w:right w:w="0" w:type="dxa"/>
          </w:tblCellMar>
        </w:tblPrEx>
        <w:trPr>
          <w:cantSplit/>
          <w:trHeight w:val="160" w:hRule="atLeast"/>
          <w:jc w:val="center"/>
        </w:trPr>
        <w:tc>
          <w:tcPr>
            <w:tcW w:w="757" w:type="dxa"/>
            <w:vMerge w:val="continue"/>
            <w:tcBorders>
              <w:top w:val="single" w:color="152935" w:sz="8" w:space="0"/>
              <w:left w:val="nil"/>
              <w:bottom w:val="single" w:color="152935" w:sz="8" w:space="0"/>
              <w:right w:val="nil"/>
            </w:tcBorders>
            <w:shd w:val="clear" w:color="auto" w:fill="E0E0E0"/>
          </w:tcPr>
          <w:p w14:paraId="7FDA7C27">
            <w:pPr>
              <w:autoSpaceDE w:val="0"/>
              <w:autoSpaceDN w:val="0"/>
              <w:adjustRightInd w:val="0"/>
              <w:rPr>
                <w:sz w:val="20"/>
                <w:szCs w:val="20"/>
                <w:lang w:val="en-GB"/>
              </w:rPr>
            </w:pPr>
          </w:p>
        </w:tc>
        <w:tc>
          <w:tcPr>
            <w:tcW w:w="1191" w:type="dxa"/>
            <w:tcBorders>
              <w:top w:val="single" w:color="AEAEAE" w:sz="8" w:space="0"/>
              <w:left w:val="nil"/>
              <w:bottom w:val="single" w:color="152935" w:sz="8" w:space="0"/>
              <w:right w:val="nil"/>
            </w:tcBorders>
            <w:shd w:val="clear" w:color="auto" w:fill="E0E0E0"/>
          </w:tcPr>
          <w:p w14:paraId="73F2EF6E">
            <w:pPr>
              <w:autoSpaceDE w:val="0"/>
              <w:autoSpaceDN w:val="0"/>
              <w:adjustRightInd w:val="0"/>
              <w:ind w:left="60" w:right="60"/>
              <w:rPr>
                <w:color w:val="264A60"/>
                <w:sz w:val="20"/>
                <w:szCs w:val="20"/>
                <w:lang w:val="en-GB"/>
              </w:rPr>
            </w:pPr>
            <w:r>
              <w:rPr>
                <w:color w:val="264A60"/>
                <w:sz w:val="20"/>
                <w:szCs w:val="20"/>
                <w:lang w:val="en-GB"/>
              </w:rPr>
              <w:t>Total</w:t>
            </w:r>
          </w:p>
        </w:tc>
        <w:tc>
          <w:tcPr>
            <w:tcW w:w="1516" w:type="dxa"/>
            <w:tcBorders>
              <w:top w:val="single" w:color="AEAEAE" w:sz="8" w:space="0"/>
              <w:left w:val="nil"/>
              <w:bottom w:val="single" w:color="152935" w:sz="8" w:space="0"/>
              <w:right w:val="single" w:color="E0E0E0" w:sz="8" w:space="0"/>
            </w:tcBorders>
            <w:shd w:val="clear" w:color="auto" w:fill="F9F9FB"/>
          </w:tcPr>
          <w:p w14:paraId="4CC2401B">
            <w:pPr>
              <w:autoSpaceDE w:val="0"/>
              <w:autoSpaceDN w:val="0"/>
              <w:adjustRightInd w:val="0"/>
              <w:ind w:left="60" w:right="60"/>
              <w:jc w:val="right"/>
              <w:rPr>
                <w:color w:val="010205"/>
                <w:sz w:val="20"/>
                <w:szCs w:val="20"/>
                <w:lang w:val="en-GB"/>
              </w:rPr>
            </w:pPr>
            <w:r>
              <w:rPr>
                <w:color w:val="010205"/>
                <w:sz w:val="20"/>
                <w:szCs w:val="20"/>
                <w:lang w:val="en-GB"/>
              </w:rPr>
              <w:t>1223.486</w:t>
            </w:r>
          </w:p>
        </w:tc>
        <w:tc>
          <w:tcPr>
            <w:tcW w:w="1052" w:type="dxa"/>
            <w:tcBorders>
              <w:top w:val="single" w:color="AEAEAE" w:sz="8" w:space="0"/>
              <w:left w:val="single" w:color="E0E0E0" w:sz="8" w:space="0"/>
              <w:bottom w:val="single" w:color="152935" w:sz="8" w:space="0"/>
              <w:right w:val="single" w:color="E0E0E0" w:sz="8" w:space="0"/>
            </w:tcBorders>
            <w:shd w:val="clear" w:color="auto" w:fill="F9F9FB"/>
          </w:tcPr>
          <w:p w14:paraId="70209820">
            <w:pPr>
              <w:autoSpaceDE w:val="0"/>
              <w:autoSpaceDN w:val="0"/>
              <w:adjustRightInd w:val="0"/>
              <w:ind w:left="60" w:right="60"/>
              <w:jc w:val="right"/>
              <w:rPr>
                <w:color w:val="010205"/>
                <w:sz w:val="20"/>
                <w:szCs w:val="20"/>
                <w:lang w:val="en-GB"/>
              </w:rPr>
            </w:pPr>
            <w:r>
              <w:rPr>
                <w:color w:val="010205"/>
                <w:sz w:val="20"/>
                <w:szCs w:val="20"/>
                <w:lang w:val="en-GB"/>
              </w:rPr>
              <w:t>69</w:t>
            </w:r>
          </w:p>
        </w:tc>
        <w:tc>
          <w:tcPr>
            <w:tcW w:w="1377"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5125D147">
            <w:pPr>
              <w:autoSpaceDE w:val="0"/>
              <w:autoSpaceDN w:val="0"/>
              <w:adjustRightInd w:val="0"/>
              <w:rPr>
                <w:sz w:val="20"/>
                <w:szCs w:val="20"/>
                <w:lang w:val="en-GB"/>
              </w:rPr>
            </w:pPr>
          </w:p>
        </w:tc>
        <w:tc>
          <w:tcPr>
            <w:tcW w:w="1052" w:type="dxa"/>
            <w:tcBorders>
              <w:top w:val="single" w:color="AEAEAE" w:sz="8" w:space="0"/>
              <w:left w:val="single" w:color="E0E0E0" w:sz="8" w:space="0"/>
              <w:bottom w:val="single" w:color="152935" w:sz="8" w:space="0"/>
              <w:right w:val="single" w:color="E0E0E0" w:sz="8" w:space="0"/>
            </w:tcBorders>
            <w:shd w:val="clear" w:color="auto" w:fill="F9F9FB"/>
            <w:vAlign w:val="center"/>
          </w:tcPr>
          <w:p w14:paraId="2010907C">
            <w:pPr>
              <w:autoSpaceDE w:val="0"/>
              <w:autoSpaceDN w:val="0"/>
              <w:adjustRightInd w:val="0"/>
              <w:rPr>
                <w:sz w:val="20"/>
                <w:szCs w:val="20"/>
                <w:lang w:val="en-GB"/>
              </w:rPr>
            </w:pPr>
          </w:p>
        </w:tc>
        <w:tc>
          <w:tcPr>
            <w:tcW w:w="1055" w:type="dxa"/>
            <w:tcBorders>
              <w:top w:val="single" w:color="AEAEAE" w:sz="8" w:space="0"/>
              <w:left w:val="single" w:color="E0E0E0" w:sz="8" w:space="0"/>
              <w:bottom w:val="single" w:color="152935" w:sz="8" w:space="0"/>
              <w:right w:val="nil"/>
            </w:tcBorders>
            <w:shd w:val="clear" w:color="auto" w:fill="F9F9FB"/>
            <w:vAlign w:val="center"/>
          </w:tcPr>
          <w:p w14:paraId="57AA519D">
            <w:pPr>
              <w:autoSpaceDE w:val="0"/>
              <w:autoSpaceDN w:val="0"/>
              <w:adjustRightInd w:val="0"/>
              <w:rPr>
                <w:sz w:val="20"/>
                <w:szCs w:val="20"/>
                <w:lang w:val="en-GB"/>
              </w:rPr>
            </w:pPr>
          </w:p>
        </w:tc>
      </w:tr>
      <w:tr w14:paraId="7420403F">
        <w:tblPrEx>
          <w:tblCellMar>
            <w:top w:w="0" w:type="dxa"/>
            <w:left w:w="0" w:type="dxa"/>
            <w:bottom w:w="0" w:type="dxa"/>
            <w:right w:w="0" w:type="dxa"/>
          </w:tblCellMar>
        </w:tblPrEx>
        <w:trPr>
          <w:cantSplit/>
          <w:trHeight w:val="264" w:hRule="atLeast"/>
          <w:jc w:val="center"/>
        </w:trPr>
        <w:tc>
          <w:tcPr>
            <w:tcW w:w="8000" w:type="dxa"/>
            <w:gridSpan w:val="7"/>
            <w:tcBorders>
              <w:top w:val="nil"/>
              <w:left w:val="nil"/>
              <w:bottom w:val="nil"/>
              <w:right w:val="nil"/>
            </w:tcBorders>
            <w:shd w:val="clear" w:color="auto" w:fill="FFFFFF"/>
          </w:tcPr>
          <w:p w14:paraId="70EDB455">
            <w:pPr>
              <w:autoSpaceDE w:val="0"/>
              <w:autoSpaceDN w:val="0"/>
              <w:adjustRightInd w:val="0"/>
              <w:ind w:left="60" w:right="60"/>
              <w:rPr>
                <w:color w:val="010205"/>
                <w:sz w:val="20"/>
                <w:szCs w:val="20"/>
                <w:lang w:val="en-GB"/>
              </w:rPr>
            </w:pPr>
            <w:r>
              <w:rPr>
                <w:color w:val="010205"/>
                <w:sz w:val="20"/>
                <w:szCs w:val="20"/>
                <w:lang w:val="en-GB"/>
              </w:rPr>
              <w:t>a. Dependent Variable: Kepatuhan Wajib Pajak</w:t>
            </w:r>
          </w:p>
        </w:tc>
      </w:tr>
      <w:tr w14:paraId="6D32E0BF">
        <w:tblPrEx>
          <w:tblCellMar>
            <w:top w:w="0" w:type="dxa"/>
            <w:left w:w="0" w:type="dxa"/>
            <w:bottom w:w="0" w:type="dxa"/>
            <w:right w:w="0" w:type="dxa"/>
          </w:tblCellMar>
        </w:tblPrEx>
        <w:trPr>
          <w:cantSplit/>
          <w:trHeight w:val="512" w:hRule="atLeast"/>
          <w:jc w:val="center"/>
        </w:trPr>
        <w:tc>
          <w:tcPr>
            <w:tcW w:w="8000" w:type="dxa"/>
            <w:gridSpan w:val="7"/>
            <w:tcBorders>
              <w:top w:val="nil"/>
              <w:left w:val="nil"/>
              <w:bottom w:val="nil"/>
              <w:right w:val="nil"/>
            </w:tcBorders>
            <w:shd w:val="clear" w:color="auto" w:fill="FFFFFF"/>
          </w:tcPr>
          <w:p w14:paraId="468D9541">
            <w:pPr>
              <w:autoSpaceDE w:val="0"/>
              <w:autoSpaceDN w:val="0"/>
              <w:adjustRightInd w:val="0"/>
              <w:ind w:left="60" w:right="60"/>
              <w:rPr>
                <w:color w:val="010205"/>
                <w:sz w:val="20"/>
                <w:szCs w:val="20"/>
                <w:lang w:val="en-GB"/>
              </w:rPr>
            </w:pPr>
            <w:r>
              <w:rPr>
                <w:color w:val="010205"/>
                <w:sz w:val="20"/>
                <w:szCs w:val="20"/>
                <w:lang w:val="en-GB"/>
              </w:rPr>
              <w:t>b. Predictors: (Constant), Penurunan Tarif Pajak PP No 23 Tahun 2018, Pemahaman Perpajakan, Kesadaran Wajib Pajak</w:t>
            </w:r>
          </w:p>
        </w:tc>
      </w:tr>
    </w:tbl>
    <w:p w14:paraId="0700946E">
      <w:pPr>
        <w:autoSpaceDE w:val="0"/>
        <w:autoSpaceDN w:val="0"/>
        <w:adjustRightInd w:val="0"/>
        <w:spacing w:line="480" w:lineRule="auto"/>
        <w:jc w:val="both"/>
        <w:rPr>
          <w:lang w:val="en-GB"/>
        </w:rPr>
      </w:pPr>
      <w:r>
        <w:rPr>
          <w:lang w:val="en-GB"/>
        </w:rPr>
        <w:t>Sumber : Hasil Penelitian, 2025</w:t>
      </w:r>
    </w:p>
    <w:p w14:paraId="74B23076">
      <w:pPr>
        <w:autoSpaceDE w:val="0"/>
        <w:autoSpaceDN w:val="0"/>
        <w:adjustRightInd w:val="0"/>
        <w:spacing w:line="480" w:lineRule="auto"/>
        <w:ind w:firstLine="720"/>
        <w:jc w:val="both"/>
      </w:pPr>
      <w:r>
        <w:rPr>
          <w:bCs/>
        </w:rPr>
        <w:t>Dari Tabel 4.14 diperoleh nilai F</w:t>
      </w:r>
      <w:r>
        <w:rPr>
          <w:bCs/>
          <w:vertAlign w:val="subscript"/>
        </w:rPr>
        <w:t>hitung</w:t>
      </w:r>
      <w:r>
        <w:rPr>
          <w:bCs/>
        </w:rPr>
        <w:t xml:space="preserve"> sebesar </w:t>
      </w:r>
      <w:r>
        <w:rPr>
          <w:color w:val="010205"/>
          <w:lang w:val="en-GB"/>
        </w:rPr>
        <w:t>39,624</w:t>
      </w:r>
      <w:r>
        <w:rPr>
          <w:bCs/>
        </w:rPr>
        <w:t>. Dengan α = 5%, dk pembilang : 3, dk penyebut : 70-3</w:t>
      </w:r>
      <w:r>
        <w:rPr>
          <w:bCs/>
          <w:vertAlign w:val="subscript"/>
        </w:rPr>
        <w:t xml:space="preserve"> </w:t>
      </w:r>
      <w:r>
        <w:rPr>
          <w:bCs/>
        </w:rPr>
        <w:t>(5%; 3; 67; Ftabel 2,74) diperoleh nilai F</w:t>
      </w:r>
      <w:r>
        <w:rPr>
          <w:bCs/>
          <w:vertAlign w:val="subscript"/>
        </w:rPr>
        <w:t>tabel</w:t>
      </w:r>
      <w:r>
        <w:rPr>
          <w:bCs/>
        </w:rPr>
        <w:t xml:space="preserve"> sebesar 2,74. Dari uraian tersebut dapat diketahui bahwa F</w:t>
      </w:r>
      <w:r>
        <w:rPr>
          <w:bCs/>
          <w:vertAlign w:val="subscript"/>
        </w:rPr>
        <w:t>hitung</w:t>
      </w:r>
      <w:r>
        <w:rPr>
          <w:bCs/>
        </w:rPr>
        <w:t xml:space="preserve"> (</w:t>
      </w:r>
      <w:r>
        <w:rPr>
          <w:color w:val="010205"/>
          <w:lang w:val="en-GB"/>
        </w:rPr>
        <w:t>39,624</w:t>
      </w:r>
      <w:r>
        <w:rPr>
          <w:bCs/>
        </w:rPr>
        <w:t>) &gt; F</w:t>
      </w:r>
      <w:r>
        <w:rPr>
          <w:bCs/>
          <w:vertAlign w:val="subscript"/>
        </w:rPr>
        <w:t>tabel</w:t>
      </w:r>
      <w:r>
        <w:rPr>
          <w:bCs/>
        </w:rPr>
        <w:t xml:space="preserve"> (2,74), dan nilai signifikansi sebesar 0,001 &lt; 0,05 maka dapat disimpulkan </w:t>
      </w:r>
      <w:r>
        <w:t xml:space="preserve">variabel </w:t>
      </w:r>
      <w:r>
        <w:rPr>
          <w:lang w:val="en-US"/>
        </w:rPr>
        <w:t>pemahaman perpajakan, kesadaran wajib pajak dan penurunan tarif pajak PP No 23 Tahun 2018</w:t>
      </w:r>
      <w:r>
        <w:rPr>
          <w:rStyle w:val="24"/>
        </w:rPr>
        <w:t xml:space="preserve"> </w:t>
      </w:r>
      <w:r>
        <w:rPr>
          <w:rStyle w:val="24"/>
          <w:lang w:val="en-AU"/>
        </w:rPr>
        <w:t xml:space="preserve"> </w:t>
      </w:r>
      <w:r>
        <w:t>berpengaruh secara serentak (simultan) terhadap kepatuhan wajib pajak.</w:t>
      </w:r>
    </w:p>
    <w:p w14:paraId="41770636">
      <w:pPr>
        <w:spacing w:line="480" w:lineRule="auto"/>
        <w:ind w:right="6"/>
        <w:jc w:val="both"/>
      </w:pPr>
      <w:r>
        <w:rPr>
          <w:b/>
        </w:rPr>
        <w:t>4.9</w:t>
      </w:r>
      <w:r>
        <w:rPr>
          <w:b/>
        </w:rPr>
        <w:tab/>
      </w:r>
      <w:r>
        <w:rPr>
          <w:b/>
        </w:rPr>
        <w:t>Uji Koefisian Determinasi</w:t>
      </w:r>
    </w:p>
    <w:p w14:paraId="7835B2C8">
      <w:pPr>
        <w:autoSpaceDE w:val="0"/>
        <w:autoSpaceDN w:val="0"/>
        <w:adjustRightInd w:val="0"/>
        <w:spacing w:line="480" w:lineRule="auto"/>
        <w:ind w:firstLine="720"/>
        <w:jc w:val="both"/>
      </w:pPr>
      <w:r>
        <w:t>Koefisien determinasi (</w:t>
      </w:r>
      <w:r>
        <w:rPr>
          <w:i/>
          <w:iCs/>
        </w:rPr>
        <w:t>R Square</w:t>
      </w:r>
      <w:r>
        <w:t>) merupakan ukuran yang menunjukkan seberapa besar variabel independen mampu menjelaskan variabel dependen dalam suatu model regresi. Untuk regresi linier berganda, digunakan nilai Adjus</w:t>
      </w:r>
      <w:r>
        <w:rPr>
          <w:i/>
          <w:iCs/>
        </w:rPr>
        <w:t>ted R Square</w:t>
      </w:r>
      <w:r>
        <w:t xml:space="preserve"> karena telah disesuaikan dengan jumlah variabel bebas dalam model. Nilai </w:t>
      </w:r>
      <w:r>
        <w:rPr>
          <w:i/>
          <w:iCs/>
        </w:rPr>
        <w:t>Adjusted R Square</w:t>
      </w:r>
      <w:r>
        <w:t xml:space="preserve"> berada antara 0 hingga 1, dan dikatakan baik jika nilainya di atas 0,5. Hasil analisis koefisien determinasi dalam penelitian ini adalah:</w:t>
      </w:r>
    </w:p>
    <w:p w14:paraId="1DBCA988">
      <w:pPr>
        <w:ind w:right="6"/>
        <w:jc w:val="center"/>
        <w:rPr>
          <w:b/>
        </w:rPr>
      </w:pPr>
      <w:r>
        <w:rPr>
          <w:b/>
        </w:rPr>
        <w:t>Tabel 4.15</w:t>
      </w:r>
    </w:p>
    <w:p w14:paraId="77726736">
      <w:pPr>
        <w:ind w:right="6"/>
        <w:jc w:val="center"/>
        <w:rPr>
          <w:b/>
          <w:i/>
        </w:rPr>
      </w:pPr>
      <w:r>
        <w:rPr>
          <w:b/>
        </w:rPr>
        <w:t xml:space="preserve">Hasil Uji R </w:t>
      </w:r>
      <w:r>
        <w:rPr>
          <w:b/>
          <w:i/>
        </w:rPr>
        <w:t>Square</w:t>
      </w:r>
    </w:p>
    <w:tbl>
      <w:tblPr>
        <w:tblStyle w:val="8"/>
        <w:tblW w:w="6644" w:type="dxa"/>
        <w:jc w:val="center"/>
        <w:tblLayout w:type="fixed"/>
        <w:tblCellMar>
          <w:top w:w="0" w:type="dxa"/>
          <w:left w:w="0" w:type="dxa"/>
          <w:bottom w:w="0" w:type="dxa"/>
          <w:right w:w="0" w:type="dxa"/>
        </w:tblCellMar>
      </w:tblPr>
      <w:tblGrid>
        <w:gridCol w:w="854"/>
        <w:gridCol w:w="1186"/>
        <w:gridCol w:w="1186"/>
        <w:gridCol w:w="1709"/>
        <w:gridCol w:w="1709"/>
      </w:tblGrid>
      <w:tr w14:paraId="750BD792">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vAlign w:val="center"/>
          </w:tcPr>
          <w:p w14:paraId="607E0F42">
            <w:pPr>
              <w:autoSpaceDE w:val="0"/>
              <w:autoSpaceDN w:val="0"/>
              <w:adjustRightInd w:val="0"/>
              <w:ind w:left="60" w:right="60"/>
              <w:jc w:val="center"/>
              <w:rPr>
                <w:color w:val="010205"/>
                <w:sz w:val="20"/>
                <w:szCs w:val="20"/>
                <w:lang w:val="en-GB"/>
              </w:rPr>
            </w:pPr>
            <w:r>
              <w:rPr>
                <w:b/>
                <w:bCs/>
                <w:color w:val="010205"/>
                <w:sz w:val="20"/>
                <w:szCs w:val="20"/>
                <w:lang w:val="en-GB"/>
              </w:rPr>
              <w:t>Model Summary</w:t>
            </w:r>
            <w:r>
              <w:rPr>
                <w:b/>
                <w:bCs/>
                <w:color w:val="010205"/>
                <w:sz w:val="20"/>
                <w:szCs w:val="20"/>
                <w:vertAlign w:val="superscript"/>
                <w:lang w:val="en-GB"/>
              </w:rPr>
              <w:t>b</w:t>
            </w:r>
          </w:p>
        </w:tc>
      </w:tr>
      <w:tr w14:paraId="2EBF45E1">
        <w:tblPrEx>
          <w:tblCellMar>
            <w:top w:w="0" w:type="dxa"/>
            <w:left w:w="0" w:type="dxa"/>
            <w:bottom w:w="0" w:type="dxa"/>
            <w:right w:w="0" w:type="dxa"/>
          </w:tblCellMar>
        </w:tblPrEx>
        <w:trPr>
          <w:cantSplit/>
          <w:jc w:val="center"/>
        </w:trPr>
        <w:tc>
          <w:tcPr>
            <w:tcW w:w="854" w:type="dxa"/>
            <w:tcBorders>
              <w:top w:val="nil"/>
              <w:left w:val="nil"/>
              <w:bottom w:val="single" w:color="152935" w:sz="8" w:space="0"/>
              <w:right w:val="nil"/>
            </w:tcBorders>
            <w:shd w:val="clear" w:color="auto" w:fill="FFFFFF"/>
            <w:vAlign w:val="bottom"/>
          </w:tcPr>
          <w:p w14:paraId="1C249387">
            <w:pPr>
              <w:autoSpaceDE w:val="0"/>
              <w:autoSpaceDN w:val="0"/>
              <w:adjustRightInd w:val="0"/>
              <w:ind w:left="60" w:right="60"/>
              <w:rPr>
                <w:color w:val="264A60"/>
                <w:sz w:val="20"/>
                <w:szCs w:val="20"/>
                <w:lang w:val="en-GB"/>
              </w:rPr>
            </w:pPr>
            <w:r>
              <w:rPr>
                <w:color w:val="264A60"/>
                <w:sz w:val="20"/>
                <w:szCs w:val="20"/>
                <w:lang w:val="en-GB"/>
              </w:rPr>
              <w:t>Model</w:t>
            </w:r>
          </w:p>
        </w:tc>
        <w:tc>
          <w:tcPr>
            <w:tcW w:w="1186" w:type="dxa"/>
            <w:tcBorders>
              <w:top w:val="nil"/>
              <w:left w:val="nil"/>
              <w:bottom w:val="single" w:color="152935" w:sz="8" w:space="0"/>
              <w:right w:val="single" w:color="E0E0E0" w:sz="8" w:space="0"/>
            </w:tcBorders>
            <w:shd w:val="clear" w:color="auto" w:fill="FFFFFF"/>
            <w:vAlign w:val="bottom"/>
          </w:tcPr>
          <w:p w14:paraId="6D7ED87A">
            <w:pPr>
              <w:autoSpaceDE w:val="0"/>
              <w:autoSpaceDN w:val="0"/>
              <w:adjustRightInd w:val="0"/>
              <w:ind w:left="60" w:right="60"/>
              <w:jc w:val="center"/>
              <w:rPr>
                <w:color w:val="264A60"/>
                <w:sz w:val="20"/>
                <w:szCs w:val="20"/>
                <w:lang w:val="en-GB"/>
              </w:rPr>
            </w:pPr>
            <w:r>
              <w:rPr>
                <w:color w:val="264A60"/>
                <w:sz w:val="20"/>
                <w:szCs w:val="20"/>
                <w:lang w:val="en-GB"/>
              </w:rPr>
              <w:t>R</w:t>
            </w:r>
          </w:p>
        </w:tc>
        <w:tc>
          <w:tcPr>
            <w:tcW w:w="1186" w:type="dxa"/>
            <w:tcBorders>
              <w:top w:val="nil"/>
              <w:left w:val="single" w:color="E0E0E0" w:sz="8" w:space="0"/>
              <w:bottom w:val="single" w:color="152935" w:sz="8" w:space="0"/>
              <w:right w:val="single" w:color="E0E0E0" w:sz="8" w:space="0"/>
            </w:tcBorders>
            <w:shd w:val="clear" w:color="auto" w:fill="FFFFFF"/>
            <w:vAlign w:val="bottom"/>
          </w:tcPr>
          <w:p w14:paraId="254B9C4B">
            <w:pPr>
              <w:autoSpaceDE w:val="0"/>
              <w:autoSpaceDN w:val="0"/>
              <w:adjustRightInd w:val="0"/>
              <w:ind w:left="60" w:right="60"/>
              <w:jc w:val="center"/>
              <w:rPr>
                <w:color w:val="264A60"/>
                <w:sz w:val="20"/>
                <w:szCs w:val="20"/>
                <w:lang w:val="en-GB"/>
              </w:rPr>
            </w:pPr>
            <w:r>
              <w:rPr>
                <w:color w:val="264A60"/>
                <w:sz w:val="20"/>
                <w:szCs w:val="20"/>
                <w:lang w:val="en-GB"/>
              </w:rPr>
              <w:t>R Square</w:t>
            </w:r>
          </w:p>
        </w:tc>
        <w:tc>
          <w:tcPr>
            <w:tcW w:w="1709" w:type="dxa"/>
            <w:tcBorders>
              <w:top w:val="nil"/>
              <w:left w:val="single" w:color="E0E0E0" w:sz="8" w:space="0"/>
              <w:bottom w:val="single" w:color="152935" w:sz="8" w:space="0"/>
              <w:right w:val="single" w:color="E0E0E0" w:sz="8" w:space="0"/>
            </w:tcBorders>
            <w:shd w:val="clear" w:color="auto" w:fill="FFFFFF"/>
            <w:vAlign w:val="bottom"/>
          </w:tcPr>
          <w:p w14:paraId="40194C6E">
            <w:pPr>
              <w:autoSpaceDE w:val="0"/>
              <w:autoSpaceDN w:val="0"/>
              <w:adjustRightInd w:val="0"/>
              <w:ind w:left="60" w:right="60"/>
              <w:jc w:val="center"/>
              <w:rPr>
                <w:color w:val="264A60"/>
                <w:sz w:val="20"/>
                <w:szCs w:val="20"/>
                <w:lang w:val="en-GB"/>
              </w:rPr>
            </w:pPr>
            <w:r>
              <w:rPr>
                <w:color w:val="264A60"/>
                <w:sz w:val="20"/>
                <w:szCs w:val="20"/>
                <w:lang w:val="en-GB"/>
              </w:rPr>
              <w:t>Adjusted R Square</w:t>
            </w:r>
          </w:p>
        </w:tc>
        <w:tc>
          <w:tcPr>
            <w:tcW w:w="1709" w:type="dxa"/>
            <w:tcBorders>
              <w:top w:val="nil"/>
              <w:left w:val="single" w:color="E0E0E0" w:sz="8" w:space="0"/>
              <w:bottom w:val="single" w:color="152935" w:sz="8" w:space="0"/>
              <w:right w:val="nil"/>
            </w:tcBorders>
            <w:shd w:val="clear" w:color="auto" w:fill="FFFFFF"/>
            <w:vAlign w:val="bottom"/>
          </w:tcPr>
          <w:p w14:paraId="189B2D8E">
            <w:pPr>
              <w:autoSpaceDE w:val="0"/>
              <w:autoSpaceDN w:val="0"/>
              <w:adjustRightInd w:val="0"/>
              <w:ind w:left="60" w:right="60"/>
              <w:jc w:val="center"/>
              <w:rPr>
                <w:color w:val="264A60"/>
                <w:sz w:val="20"/>
                <w:szCs w:val="20"/>
                <w:lang w:val="en-GB"/>
              </w:rPr>
            </w:pPr>
            <w:r>
              <w:rPr>
                <w:color w:val="264A60"/>
                <w:sz w:val="20"/>
                <w:szCs w:val="20"/>
                <w:lang w:val="en-GB"/>
              </w:rPr>
              <w:t>Std. Error of the Estimate</w:t>
            </w:r>
          </w:p>
        </w:tc>
      </w:tr>
      <w:tr w14:paraId="3BF2B54A">
        <w:tblPrEx>
          <w:tblCellMar>
            <w:top w:w="0" w:type="dxa"/>
            <w:left w:w="0" w:type="dxa"/>
            <w:bottom w:w="0" w:type="dxa"/>
            <w:right w:w="0" w:type="dxa"/>
          </w:tblCellMar>
        </w:tblPrEx>
        <w:trPr>
          <w:cantSplit/>
          <w:jc w:val="center"/>
        </w:trPr>
        <w:tc>
          <w:tcPr>
            <w:tcW w:w="854" w:type="dxa"/>
            <w:tcBorders>
              <w:top w:val="single" w:color="152935" w:sz="8" w:space="0"/>
              <w:left w:val="nil"/>
              <w:bottom w:val="single" w:color="152935" w:sz="8" w:space="0"/>
              <w:right w:val="nil"/>
            </w:tcBorders>
            <w:shd w:val="clear" w:color="auto" w:fill="E0E0E0"/>
          </w:tcPr>
          <w:p w14:paraId="1C619224">
            <w:pPr>
              <w:autoSpaceDE w:val="0"/>
              <w:autoSpaceDN w:val="0"/>
              <w:adjustRightInd w:val="0"/>
              <w:ind w:left="60" w:right="60"/>
              <w:rPr>
                <w:color w:val="264A60"/>
                <w:sz w:val="20"/>
                <w:szCs w:val="20"/>
                <w:lang w:val="en-GB"/>
              </w:rPr>
            </w:pPr>
            <w:r>
              <w:rPr>
                <w:color w:val="264A60"/>
                <w:sz w:val="20"/>
                <w:szCs w:val="20"/>
                <w:lang w:val="en-GB"/>
              </w:rPr>
              <w:t>1</w:t>
            </w:r>
          </w:p>
        </w:tc>
        <w:tc>
          <w:tcPr>
            <w:tcW w:w="1186" w:type="dxa"/>
            <w:tcBorders>
              <w:top w:val="single" w:color="152935" w:sz="8" w:space="0"/>
              <w:left w:val="nil"/>
              <w:bottom w:val="single" w:color="152935" w:sz="8" w:space="0"/>
              <w:right w:val="single" w:color="E0E0E0" w:sz="8" w:space="0"/>
            </w:tcBorders>
            <w:shd w:val="clear" w:color="auto" w:fill="F9F9FB"/>
          </w:tcPr>
          <w:p w14:paraId="6E8F7EB5">
            <w:pPr>
              <w:autoSpaceDE w:val="0"/>
              <w:autoSpaceDN w:val="0"/>
              <w:adjustRightInd w:val="0"/>
              <w:ind w:left="60" w:right="60"/>
              <w:jc w:val="right"/>
              <w:rPr>
                <w:color w:val="010205"/>
                <w:sz w:val="20"/>
                <w:szCs w:val="20"/>
                <w:lang w:val="en-GB"/>
              </w:rPr>
            </w:pPr>
            <w:r>
              <w:rPr>
                <w:color w:val="010205"/>
                <w:sz w:val="20"/>
                <w:szCs w:val="20"/>
                <w:lang w:val="en-GB"/>
              </w:rPr>
              <w:t>.802</w:t>
            </w:r>
            <w:r>
              <w:rPr>
                <w:color w:val="010205"/>
                <w:sz w:val="20"/>
                <w:szCs w:val="20"/>
                <w:vertAlign w:val="superscript"/>
                <w:lang w:val="en-GB"/>
              </w:rPr>
              <w:t>a</w:t>
            </w:r>
          </w:p>
        </w:tc>
        <w:tc>
          <w:tcPr>
            <w:tcW w:w="1186" w:type="dxa"/>
            <w:tcBorders>
              <w:top w:val="single" w:color="152935" w:sz="8" w:space="0"/>
              <w:left w:val="single" w:color="E0E0E0" w:sz="8" w:space="0"/>
              <w:bottom w:val="single" w:color="152935" w:sz="8" w:space="0"/>
              <w:right w:val="single" w:color="E0E0E0" w:sz="8" w:space="0"/>
            </w:tcBorders>
            <w:shd w:val="clear" w:color="auto" w:fill="F9F9FB"/>
          </w:tcPr>
          <w:p w14:paraId="7A80AE48">
            <w:pPr>
              <w:autoSpaceDE w:val="0"/>
              <w:autoSpaceDN w:val="0"/>
              <w:adjustRightInd w:val="0"/>
              <w:ind w:left="60" w:right="60"/>
              <w:jc w:val="right"/>
              <w:rPr>
                <w:color w:val="010205"/>
                <w:sz w:val="20"/>
                <w:szCs w:val="20"/>
                <w:lang w:val="en-GB"/>
              </w:rPr>
            </w:pPr>
            <w:r>
              <w:rPr>
                <w:color w:val="010205"/>
                <w:sz w:val="20"/>
                <w:szCs w:val="20"/>
                <w:lang w:val="en-GB"/>
              </w:rPr>
              <w:t>.643</w:t>
            </w:r>
          </w:p>
        </w:tc>
        <w:tc>
          <w:tcPr>
            <w:tcW w:w="1709" w:type="dxa"/>
            <w:tcBorders>
              <w:top w:val="single" w:color="152935" w:sz="8" w:space="0"/>
              <w:left w:val="single" w:color="E0E0E0" w:sz="8" w:space="0"/>
              <w:bottom w:val="single" w:color="152935" w:sz="8" w:space="0"/>
              <w:right w:val="single" w:color="E0E0E0" w:sz="8" w:space="0"/>
            </w:tcBorders>
            <w:shd w:val="clear" w:color="auto" w:fill="F9F9FB"/>
          </w:tcPr>
          <w:p w14:paraId="003EFEE5">
            <w:pPr>
              <w:autoSpaceDE w:val="0"/>
              <w:autoSpaceDN w:val="0"/>
              <w:adjustRightInd w:val="0"/>
              <w:ind w:left="60" w:right="60"/>
              <w:jc w:val="right"/>
              <w:rPr>
                <w:color w:val="010205"/>
                <w:sz w:val="20"/>
                <w:szCs w:val="20"/>
                <w:lang w:val="en-GB"/>
              </w:rPr>
            </w:pPr>
            <w:r>
              <w:rPr>
                <w:color w:val="010205"/>
                <w:sz w:val="20"/>
                <w:szCs w:val="20"/>
                <w:lang w:val="en-GB"/>
              </w:rPr>
              <w:t>.627</w:t>
            </w:r>
          </w:p>
        </w:tc>
        <w:tc>
          <w:tcPr>
            <w:tcW w:w="1709" w:type="dxa"/>
            <w:tcBorders>
              <w:top w:val="single" w:color="152935" w:sz="8" w:space="0"/>
              <w:left w:val="single" w:color="E0E0E0" w:sz="8" w:space="0"/>
              <w:bottom w:val="single" w:color="152935" w:sz="8" w:space="0"/>
              <w:right w:val="nil"/>
            </w:tcBorders>
            <w:shd w:val="clear" w:color="auto" w:fill="F9F9FB"/>
          </w:tcPr>
          <w:p w14:paraId="548A404B">
            <w:pPr>
              <w:autoSpaceDE w:val="0"/>
              <w:autoSpaceDN w:val="0"/>
              <w:adjustRightInd w:val="0"/>
              <w:ind w:left="60" w:right="60"/>
              <w:jc w:val="right"/>
              <w:rPr>
                <w:color w:val="010205"/>
                <w:sz w:val="20"/>
                <w:szCs w:val="20"/>
                <w:lang w:val="en-GB"/>
              </w:rPr>
            </w:pPr>
            <w:r>
              <w:rPr>
                <w:color w:val="010205"/>
                <w:sz w:val="20"/>
                <w:szCs w:val="20"/>
                <w:lang w:val="en-GB"/>
              </w:rPr>
              <w:t>2.573</w:t>
            </w:r>
          </w:p>
        </w:tc>
      </w:tr>
      <w:tr w14:paraId="20BD7043">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tcPr>
          <w:p w14:paraId="17DC8516">
            <w:pPr>
              <w:autoSpaceDE w:val="0"/>
              <w:autoSpaceDN w:val="0"/>
              <w:adjustRightInd w:val="0"/>
              <w:ind w:left="60" w:right="60"/>
              <w:rPr>
                <w:color w:val="010205"/>
                <w:sz w:val="20"/>
                <w:szCs w:val="20"/>
                <w:lang w:val="en-GB"/>
              </w:rPr>
            </w:pPr>
            <w:r>
              <w:rPr>
                <w:color w:val="010205"/>
                <w:sz w:val="20"/>
                <w:szCs w:val="20"/>
                <w:lang w:val="en-GB"/>
              </w:rPr>
              <w:t>a. Predictors: (Constant), Penurunan Tarif Pajak PP No 23 Tahun 2018, Pemahaman Perpajakan, Kesadaran Wajib Pajak</w:t>
            </w:r>
          </w:p>
        </w:tc>
      </w:tr>
      <w:tr w14:paraId="21C3FC6F">
        <w:tblPrEx>
          <w:tblCellMar>
            <w:top w:w="0" w:type="dxa"/>
            <w:left w:w="0" w:type="dxa"/>
            <w:bottom w:w="0" w:type="dxa"/>
            <w:right w:w="0" w:type="dxa"/>
          </w:tblCellMar>
        </w:tblPrEx>
        <w:trPr>
          <w:cantSplit/>
          <w:jc w:val="center"/>
        </w:trPr>
        <w:tc>
          <w:tcPr>
            <w:tcW w:w="6644" w:type="dxa"/>
            <w:gridSpan w:val="5"/>
            <w:tcBorders>
              <w:top w:val="nil"/>
              <w:left w:val="nil"/>
              <w:bottom w:val="nil"/>
              <w:right w:val="nil"/>
            </w:tcBorders>
            <w:shd w:val="clear" w:color="auto" w:fill="FFFFFF"/>
          </w:tcPr>
          <w:p w14:paraId="3C53BBB1">
            <w:pPr>
              <w:autoSpaceDE w:val="0"/>
              <w:autoSpaceDN w:val="0"/>
              <w:adjustRightInd w:val="0"/>
              <w:ind w:left="60" w:right="60"/>
              <w:rPr>
                <w:color w:val="010205"/>
                <w:sz w:val="20"/>
                <w:szCs w:val="20"/>
                <w:lang w:val="en-GB"/>
              </w:rPr>
            </w:pPr>
            <w:r>
              <w:rPr>
                <w:color w:val="010205"/>
                <w:sz w:val="20"/>
                <w:szCs w:val="20"/>
                <w:lang w:val="en-GB"/>
              </w:rPr>
              <w:t>b. Dependent Variable: Kepatuhan Wajib Pajak</w:t>
            </w:r>
          </w:p>
        </w:tc>
      </w:tr>
    </w:tbl>
    <w:p w14:paraId="5244F6C0">
      <w:pPr>
        <w:spacing w:line="480" w:lineRule="auto"/>
        <w:ind w:right="3"/>
      </w:pPr>
      <w:r>
        <w:t>Sumber: Hasil Penelitian, 2025</w:t>
      </w:r>
    </w:p>
    <w:p w14:paraId="606150F1">
      <w:pPr>
        <w:spacing w:line="480" w:lineRule="auto"/>
        <w:ind w:right="3" w:firstLine="720"/>
        <w:jc w:val="both"/>
      </w:pPr>
      <w:r>
        <w:t xml:space="preserve">Berdasarkan Tabel 4.15 terlihat nilai koefisien determinasi yang sudah disesuaikan (R Square) sebesar 0,643, hal ini berarti 64,3% variabel </w:t>
      </w:r>
      <w:r>
        <w:rPr>
          <w:i/>
        </w:rPr>
        <w:t xml:space="preserve">dependen </w:t>
      </w:r>
      <w:r>
        <w:t xml:space="preserve">dapat dijelaskan oleh variabel </w:t>
      </w:r>
      <w:r>
        <w:rPr>
          <w:i/>
        </w:rPr>
        <w:t xml:space="preserve">independen </w:t>
      </w:r>
      <w:r>
        <w:t>sedangkan sisanya dijelaskan oleh variabel lain diluar variabel yang diteliti.</w:t>
      </w:r>
    </w:p>
    <w:p w14:paraId="180D62CC">
      <w:pPr>
        <w:spacing w:line="480" w:lineRule="auto"/>
        <w:ind w:right="3"/>
        <w:jc w:val="both"/>
        <w:rPr>
          <w:b/>
          <w:bCs/>
        </w:rPr>
      </w:pPr>
      <w:r>
        <w:rPr>
          <w:b/>
          <w:bCs/>
        </w:rPr>
        <w:t>4.10</w:t>
      </w:r>
      <w:r>
        <w:rPr>
          <w:b/>
          <w:bCs/>
        </w:rPr>
        <w:tab/>
      </w:r>
      <w:r>
        <w:rPr>
          <w:b/>
          <w:bCs/>
        </w:rPr>
        <w:t>Pembahasan</w:t>
      </w:r>
    </w:p>
    <w:p w14:paraId="19F35988">
      <w:pPr>
        <w:pStyle w:val="3"/>
        <w:spacing w:line="480" w:lineRule="auto"/>
        <w:ind w:left="0"/>
      </w:pPr>
      <w:r>
        <w:t xml:space="preserve">4.10.1 </w:t>
      </w:r>
      <w:r>
        <w:tab/>
      </w:r>
      <w:r>
        <w:t>Pengaruh Pemahaman Perpajakan Terhadap Kepatuhan Wajib Pajak</w:t>
      </w:r>
    </w:p>
    <w:p w14:paraId="349980E7">
      <w:pPr>
        <w:pStyle w:val="3"/>
        <w:spacing w:line="480" w:lineRule="auto"/>
        <w:ind w:left="0" w:firstLine="720"/>
        <w:rPr>
          <w:b w:val="0"/>
          <w:bCs w:val="0"/>
        </w:rPr>
      </w:pPr>
      <w:r>
        <w:rPr>
          <w:b w:val="0"/>
          <w:bCs w:val="0"/>
        </w:rPr>
        <w:t>Pemahaman perpajakan merupakan faktor kunci yang menentukan tingkat kepatuhan wajib pajak, khususnya pada UMKM makanan dan minuman di Lubuk Pakam. Pemahaman yang baik meliputi pengetahuan tentang jenis pajak, prosedur pelaporan, perhitungan pajak, hingga sanksi administrasi yang berlaku. Pelaku UMKM yang memahami regulasi perpajakan cenderung lebih percaya diri dan mampu memenuhi kewajibannya secara tepat waktu (Wijayanti &amp; Sasongko, 2021).</w:t>
      </w:r>
    </w:p>
    <w:p w14:paraId="7E9CC272">
      <w:pPr>
        <w:pStyle w:val="3"/>
        <w:spacing w:line="480" w:lineRule="auto"/>
        <w:ind w:left="0" w:firstLine="720"/>
        <w:rPr>
          <w:b w:val="0"/>
          <w:bCs w:val="0"/>
        </w:rPr>
      </w:pPr>
      <w:r>
        <w:rPr>
          <w:b w:val="0"/>
          <w:bCs w:val="0"/>
        </w:rPr>
        <w:t>Fenomena di lapangan menunjukkan adanya variasi tingkat pemahaman antar pelaku UMKM. Beberapa responden mengaku sulit memahami formulir pajak dan prosedur pelaporan SPT. Keterbatasan ini berdampak pada ketidakpatuhan, karena pelaku UMKM merasa rumit dan tidak siap untuk melaksanakan kewajiban pajak. Situasi ini menegaskan pentingnya edukasi perpajakan yang berkelanjutan dan disesuaikan dengan karakteristik UMKM. Upaya peningkatan pemahaman perpajakan dapat dilakukan melalui sosialisasi, pelatihan, dan pendampingan teknis oleh Direktorat Jenderal Pajak. Materi sosialisasi harus mudah dipahami, praktis, dan relevan dengan kebutuhan operasional UMKM. Misalnya, panduan pengisian SPT secara online, simulasi perhitungan PPh final, serta akses informasi mengenai insentif fiskal dapat meningkatkan pemahaman wajib pajak secara signifikan.</w:t>
      </w:r>
    </w:p>
    <w:p w14:paraId="4352C687">
      <w:pPr>
        <w:pStyle w:val="3"/>
        <w:spacing w:line="480" w:lineRule="auto"/>
        <w:ind w:left="0" w:firstLine="720"/>
        <w:rPr>
          <w:b w:val="0"/>
          <w:bCs w:val="0"/>
        </w:rPr>
      </w:pPr>
      <w:r>
        <w:rPr>
          <w:b w:val="0"/>
          <w:bCs w:val="0"/>
        </w:rPr>
        <w:t>Selain itu, pemahaman perpajakan yang baik juga membentuk persepsi positif wajib pajak terhadap sistem perpajakan secara keseluruhan. Ketika pelaku UMKM memahami fungsi pajak sebagai sumber pendapatan negara untuk pembangunan dan kesejahteraan masyarakat, maka muncul motivasi intrinsik untuk patuh. Kesadaran ini sejalan dengan teori Theory of Planned Behavior (Ajzen, 1991), yang menyatakan bahwa sikap dan pengetahuan memengaruhi niat berperilaku patuh.</w:t>
      </w:r>
    </w:p>
    <w:p w14:paraId="540F4D9D">
      <w:pPr>
        <w:pStyle w:val="3"/>
        <w:spacing w:line="480" w:lineRule="auto"/>
        <w:ind w:left="0" w:firstLine="720"/>
        <w:rPr>
          <w:b w:val="0"/>
          <w:bCs w:val="0"/>
        </w:rPr>
      </w:pPr>
      <w:r>
        <w:rPr>
          <w:b w:val="0"/>
          <w:bCs w:val="0"/>
        </w:rPr>
        <w:t>Penelitian terdahulu mendukung temuan ini. Meidiyustiani et al., (2022), Panjaitan (2022), dan Meutia et al., (2021) menunjukkan bahwa pemahaman perpajakan berpengaruh positif dan signifikan terhadap kepatuhan wajib pajak UMKM. Semakin tinggi pemahaman, semakin baik kepatuhan pajak yang ditunjukkan oleh pelaku UMKM.</w:t>
      </w:r>
    </w:p>
    <w:p w14:paraId="4E2774F3">
      <w:pPr>
        <w:pStyle w:val="3"/>
        <w:spacing w:line="480" w:lineRule="auto"/>
        <w:ind w:left="0"/>
      </w:pPr>
      <w:r>
        <w:t xml:space="preserve">4.10.2 </w:t>
      </w:r>
      <w:r>
        <w:tab/>
      </w:r>
      <w:r>
        <w:t>Pengaruh Kesadaran Wajib Pajak Terhadap Kepatuhan Wajib Pajak</w:t>
      </w:r>
    </w:p>
    <w:p w14:paraId="1C62400A">
      <w:pPr>
        <w:pStyle w:val="16"/>
        <w:spacing w:line="480" w:lineRule="auto"/>
        <w:ind w:firstLine="649"/>
        <w:jc w:val="both"/>
      </w:pPr>
      <w:r>
        <w:t>Kesadaran wajib pajak adalah kesadaran internal yang mendorong pelaku UMKM untuk memenuhi kewajiban perpajakan tanpa paksaan. Kesadaran ini meliputi pemahaman bahwa pajak merupakan kontribusi untuk pembangunan nasional dan bukan hanya beban finansial pribadi (Rukhayah, 2020). Pelaku UMKM yang memiliki kesadaran tinggi lebih disiplin dalam pelaporan SPT dan pembayaran pajak tepat waktu.</w:t>
      </w:r>
    </w:p>
    <w:p w14:paraId="6BDEA0B3">
      <w:pPr>
        <w:pStyle w:val="16"/>
        <w:spacing w:line="480" w:lineRule="auto"/>
        <w:ind w:firstLine="649"/>
        <w:jc w:val="both"/>
      </w:pPr>
      <w:r>
        <w:t xml:space="preserve">Faktor yang membentuk kesadaran wajib pajak termasuk persepsi manfaat pajak, kepercayaan terhadap integritas aparat pajak, dan sikap terhadap kewajiban perpajakan. Teori </w:t>
      </w:r>
      <w:r>
        <w:rPr>
          <w:i/>
          <w:iCs/>
        </w:rPr>
        <w:t>Equity Theory</w:t>
      </w:r>
      <w:r>
        <w:t xml:space="preserve"> (Adams, 1965) menjelaskan bahwa persepsi keadilan dalam pemungutan pajak memengaruhi kepatuhan; pelaku UMKM cenderung patuh ketika merasa kontribusi mereka dihargai dan digunakan untuk kepentingan bersama.</w:t>
      </w:r>
    </w:p>
    <w:p w14:paraId="3D357CF5">
      <w:pPr>
        <w:pStyle w:val="16"/>
        <w:spacing w:line="480" w:lineRule="auto"/>
        <w:ind w:firstLine="649"/>
        <w:jc w:val="both"/>
      </w:pPr>
      <w:r>
        <w:t>Upaya meningkatkan kesadaran dapat dilakukan melalui edukasi perpajakan sejak dini, kampanye kesadaran, dan transparansi pengelolaan pajak. Informasi yang jelas mengenai bagaimana pajak digunakan untuk pembangunan infrastruktur dan fasilitas publik meningkatkan motivasi wajib pajak untuk patuh. Pendekatan ini juga memanfaatkan prinsip behavioral compliance, di mana pemahaman manfaat pajak dan sikap positif terhadap otoritas perpajakan mendorong kepatuhan (Alm &amp; Torgler, 2011).</w:t>
      </w:r>
    </w:p>
    <w:p w14:paraId="234AE8BF">
      <w:pPr>
        <w:pStyle w:val="16"/>
        <w:spacing w:line="480" w:lineRule="auto"/>
        <w:ind w:firstLine="649"/>
        <w:jc w:val="both"/>
      </w:pPr>
      <w:r>
        <w:t>Kesadaran wajib pajak juga berperan sebagai penguat pengaruh pemahaman perpajakan. Pelaku UMKM yang memiliki pemahaman perpajakan sekaligus kesadaran tinggi akan lebih termotivasi untuk melaporkan dan membayar pajak secara tepat waktu. Hal ini menunjukkan bahwa aspek afektif (kesadaran) dan kognitif (pemahaman) bekerja sinergis dalam mendorong kepatuhan.</w:t>
      </w:r>
    </w:p>
    <w:p w14:paraId="19DB1E07">
      <w:pPr>
        <w:pStyle w:val="16"/>
        <w:spacing w:line="480" w:lineRule="auto"/>
        <w:ind w:firstLine="649"/>
        <w:jc w:val="both"/>
      </w:pPr>
      <w:r>
        <w:t>Penelitian terdahulu memperkuat temuan ini. Hapsari &amp; Ramayanti (2022), Madjodjo &amp; Baharuddin (2022), dan Yulitasari et al., (2023) menunjukkan bahwa kesadaran wajib pajak memiliki pengaruh signifikan terhadap kepatuhan pajak. Pelaku UMKM dengan kesadaran tinggi lebih patuh dalam memenuhi kewajiban perpajakan, terutama bila didukung dengan pemahaman yang baik tentang peraturan perpajakan.</w:t>
      </w:r>
    </w:p>
    <w:p w14:paraId="09CD837F">
      <w:pPr>
        <w:pStyle w:val="3"/>
        <w:spacing w:line="480" w:lineRule="auto"/>
        <w:ind w:left="720" w:hanging="720"/>
      </w:pPr>
      <w:r>
        <w:t xml:space="preserve">4.10.3 </w:t>
      </w:r>
      <w:r>
        <w:tab/>
      </w:r>
      <w:r>
        <w:t>Pengaruh Penurunan Tarif Pajak PP No 23 Tahun 2018 Terhadap Kepatuhan Wajib Pajak</w:t>
      </w:r>
    </w:p>
    <w:p w14:paraId="2950C0CE">
      <w:pPr>
        <w:pStyle w:val="16"/>
        <w:spacing w:line="480" w:lineRule="auto"/>
        <w:ind w:firstLine="720"/>
        <w:jc w:val="both"/>
      </w:pPr>
      <w:r>
        <w:t xml:space="preserve">Penurunan tarif PPh final dari 1% menjadi 0,5% melalui PP No. 23 Tahun 2018 terbukti memengaruhi kepatuhan UMKM di Lubuk Pakam. Insentif fiskal ini mengurangi beban pajak, memberikan kemudahan bagi pelaku UMKM untuk melaporkan dan membayar kewajibannya (Panjaitan, 2022). Hal ini sesuai dengan teori </w:t>
      </w:r>
      <w:r>
        <w:rPr>
          <w:i/>
          <w:iCs/>
        </w:rPr>
        <w:t>Behavioral Tax Compliance</w:t>
      </w:r>
      <w:r>
        <w:t>, yang menyatakan bahwa insentif fiskal meningkatkan motivasi patuh (Alm &amp; Torgler, 2011).</w:t>
      </w:r>
    </w:p>
    <w:p w14:paraId="2CAF7214">
      <w:pPr>
        <w:pStyle w:val="16"/>
        <w:spacing w:line="480" w:lineRule="auto"/>
        <w:ind w:firstLine="720"/>
        <w:jc w:val="both"/>
      </w:pPr>
      <w:r>
        <w:t>Kebijakan ini tidak hanya memengaruhi kepatuhan formal, tetapi juga material. Tarif yang lebih rendah mengurangi kecenderungan pelaku UMKM untuk menghindari pajak atau melaporkan pendapatan yang tidak sesuai kenyataan. Kebijakan ini juga meningkatkan persepsi keadilan pajak, karena pelaku UMKM merasa kemampuan finansial mereka diperhitungkan dalam penentuan tarif.</w:t>
      </w:r>
    </w:p>
    <w:p w14:paraId="2F9C7768">
      <w:pPr>
        <w:pStyle w:val="16"/>
        <w:spacing w:line="480" w:lineRule="auto"/>
        <w:ind w:firstLine="720"/>
        <w:jc w:val="both"/>
      </w:pPr>
      <w:r>
        <w:t>Meski demikian, implementasi kebijakan ini menghadapi kendala, seperti kurangnya sosialisasi, prosedur administrasi yang kompleks, dan keterbatasan pengetahuan pelaku UMKM terhadap peraturan baru. Hal ini menunjukkan bahwa insentif fiskal akan lebih efektif jika dikombinasikan dengan program edukasi dan pendampingan teknis (Fatimah &amp; Elan Nurhadi, 2024).</w:t>
      </w:r>
    </w:p>
    <w:p w14:paraId="62ED6192">
      <w:pPr>
        <w:pStyle w:val="16"/>
        <w:spacing w:line="480" w:lineRule="auto"/>
        <w:ind w:firstLine="720"/>
        <w:jc w:val="both"/>
      </w:pPr>
      <w:r>
        <w:t>Selain itu, penurunan tarif pajak juga mendorong pelaku UMKM untuk masuk dalam basis data wajib pajak, sehingga meningkatkan cakupan pajak secara keseluruhan. Pendekatan ini sejalan dengan prinsip administrasi perpajakan yang baik: kepastian hukum, keadilan, dan kemudahan administrasi.</w:t>
      </w:r>
    </w:p>
    <w:p w14:paraId="55949BE2">
      <w:pPr>
        <w:pStyle w:val="16"/>
        <w:spacing w:line="480" w:lineRule="auto"/>
        <w:ind w:firstLine="720"/>
        <w:jc w:val="both"/>
      </w:pPr>
      <w:r>
        <w:t>Penelitian terdahulu mendukung hasil ini. Meutia et al., (2021) dan Panjaitan (2022) menunjukkan bahwa kebijakan penurunan tarif pajak berpengaruh positif terhadap kepatuhan wajib pajak UMKM, dan pelaku UMKM merespons positif terhadap keringanan fiskal yang diberikan pemerintah.</w:t>
      </w:r>
    </w:p>
    <w:p w14:paraId="2CD8B42A">
      <w:pPr>
        <w:pStyle w:val="3"/>
        <w:spacing w:line="480" w:lineRule="auto"/>
        <w:ind w:left="709" w:hanging="709"/>
      </w:pPr>
      <w:r>
        <w:t xml:space="preserve">4.10.4 </w:t>
      </w:r>
      <w:r>
        <w:tab/>
      </w:r>
      <w:r>
        <w:t>Pengaruh Pemahaman Perpajakan, Kesadaran Wajib Pajak Dan Penurunan Tarif Pajak PP No 23 Tahun 2018 Terhadap Kepatuhan Wajib Pajak</w:t>
      </w:r>
    </w:p>
    <w:p w14:paraId="33B6BC45">
      <w:pPr>
        <w:pStyle w:val="16"/>
        <w:spacing w:line="480" w:lineRule="auto"/>
        <w:ind w:firstLine="567"/>
        <w:jc w:val="both"/>
      </w:pPr>
      <w:r>
        <w:t>Hasil analisis regresi berganda menunjukkan bahwa ketiga variabel pemahaman perpajakan, kesadaran wajib pajak, dan penurunan tarif pajak secara simultan berpengaruh positif dan signifikan terhadap kepatuhan UMKM, menjelaskan 64,3% variasi kepatuhan. Kesadaran wajib pajak menjadi faktor dominan, diikuti pemahaman perpajakan dan tarif pajak. Hal ini menegaskan pentingnya pendekatan holistik yang mengintegrasikan aspek kognitif, afektif, dan ekonomis.</w:t>
      </w:r>
    </w:p>
    <w:p w14:paraId="10673F7C">
      <w:pPr>
        <w:pStyle w:val="16"/>
        <w:spacing w:line="480" w:lineRule="auto"/>
        <w:ind w:firstLine="567"/>
        <w:jc w:val="both"/>
      </w:pPr>
      <w:r>
        <w:t>Pemahaman perpajakan membentuk persepsi positif terhadap sistem perpajakan, kesadaran mendorong pelaku UMKM untuk patuh, dan tarif pajak yang rendah memperkuat motivasi kepatuhan. Ketiga faktor ini saling memperkuat satu sama lain dalam menciptakan efek sinergis pada kepatuhan wajib pajak. Teori Attribution (Heider, 1958) mendukung temuan ini, di mana faktor internal (pemahaman, kesadaran) dan eksternal (tarif pajak) bersama-sama memengaruhi perilaku kepatuhan.</w:t>
      </w:r>
    </w:p>
    <w:p w14:paraId="5D8807F8">
      <w:pPr>
        <w:pStyle w:val="16"/>
        <w:spacing w:line="480" w:lineRule="auto"/>
        <w:ind w:firstLine="567"/>
        <w:jc w:val="both"/>
      </w:pPr>
      <w:r>
        <w:t xml:space="preserve">Pendekatan terpadu diperlukan agar strategi peningkatan kepatuhan UMKM efektif. Pemahaman dan kesadaran wajib pajak perlu didukung oleh sosialisasi, edukasi, dan pendampingan teknis, sementara penurunan tarif pajak harus disosialisasikan secara merata agar seluruh UMKM memanfaatkannya. Hal ini sejalan dengan teori </w:t>
      </w:r>
      <w:r>
        <w:rPr>
          <w:i/>
          <w:iCs/>
        </w:rPr>
        <w:t>Theory of Planned Behavior</w:t>
      </w:r>
      <w:r>
        <w:t xml:space="preserve"> (Ajzen, 1991) yang menekankan integrasi sikap, norma, dan kontrol perilaku.</w:t>
      </w:r>
    </w:p>
    <w:p w14:paraId="150A498E">
      <w:pPr>
        <w:pStyle w:val="16"/>
        <w:spacing w:line="480" w:lineRule="auto"/>
        <w:ind w:firstLine="567"/>
        <w:jc w:val="both"/>
      </w:pPr>
      <w:r>
        <w:t xml:space="preserve">Selain itu, kombinasi ketiga faktor ini membantu membentuk budaya patuh pajak jangka panjang. Pelaku UMKM yang memahami perpajakan, sadar akan pentingnya pajak, dan mendapat insentif fiskal akan lebih responsif terhadap perubahan regulasi, sehingga kepatuhan menjadi berkelanjutan. </w:t>
      </w:r>
    </w:p>
    <w:p w14:paraId="47F23FC3">
      <w:pPr>
        <w:pStyle w:val="16"/>
        <w:spacing w:line="480" w:lineRule="auto"/>
        <w:ind w:firstLine="567"/>
        <w:jc w:val="both"/>
      </w:pPr>
      <w:r>
        <w:t>Penelitian terdahulu mendukung temuan ini. Meidiyustiani et al., (2022), Panjaitan (2022), Hapsari &amp; Ramayanti (2022), Meutia et al., (2021), Madjodjo &amp; Baharuddin (2022), Maksumah &amp; Hamidih (2022), dan Yulitasari et al., (2023) menegaskan bahwa ketiga variabel secara simultan berpengaruh signifikan terhadap kepatuhan wajib pajak, menunjukkan pentingnya integrasi pemahaman, kesadaran, dan insentif fiskal dalam strategi peningkatan kepatuhan UMKM.</w:t>
      </w:r>
    </w:p>
    <w:p w14:paraId="1364B731"/>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Fonts w:eastAsiaTheme="majorEastAsia"/>
      </w:rPr>
      <w:id w:val="1182474623"/>
      <w:docPartObj>
        <w:docPartGallery w:val="AutoText"/>
      </w:docPartObj>
    </w:sdtPr>
    <w:sdtEndPr>
      <w:rPr>
        <w:rStyle w:val="17"/>
        <w:rFonts w:eastAsiaTheme="majorEastAsia"/>
      </w:rPr>
    </w:sdtEndPr>
    <w:sdtContent>
      <w:p w14:paraId="46B683AC">
        <w:pPr>
          <w:pStyle w:val="13"/>
          <w:framePr w:wrap="auto" w:vAnchor="text" w:hAnchor="margin" w:xAlign="center" w:y="1"/>
          <w:rPr>
            <w:rStyle w:val="17"/>
            <w:rFonts w:eastAsiaTheme="majorEastAsia"/>
          </w:rPr>
        </w:pPr>
        <w:r>
          <w:rPr>
            <w:rStyle w:val="17"/>
            <w:rFonts w:eastAsiaTheme="majorEastAsia"/>
          </w:rPr>
          <w:fldChar w:fldCharType="begin"/>
        </w:r>
        <w:r>
          <w:rPr>
            <w:rStyle w:val="17"/>
            <w:rFonts w:eastAsiaTheme="majorEastAsia"/>
          </w:rPr>
          <w:instrText xml:space="preserve"> PAGE </w:instrText>
        </w:r>
        <w:r>
          <w:rPr>
            <w:rStyle w:val="17"/>
            <w:rFonts w:eastAsiaTheme="majorEastAsia"/>
          </w:rPr>
          <w:fldChar w:fldCharType="separate"/>
        </w:r>
        <w:r>
          <w:rPr>
            <w:rStyle w:val="17"/>
            <w:rFonts w:eastAsiaTheme="majorEastAsia"/>
          </w:rPr>
          <w:t>47</w:t>
        </w:r>
        <w:r>
          <w:rPr>
            <w:rStyle w:val="17"/>
            <w:rFonts w:eastAsiaTheme="majorEastAsia"/>
          </w:rPr>
          <w:fldChar w:fldCharType="end"/>
        </w:r>
      </w:p>
    </w:sdtContent>
  </w:sdt>
  <w:p w14:paraId="2A32A892">
    <w:pPr>
      <w:pStyle w:val="13"/>
      <w:jc w:val="center"/>
    </w:pPr>
  </w:p>
  <w:p w14:paraId="46D3FDAB">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50CF4">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2B700">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3AB67">
    <w:pPr>
      <w:pStyle w:val="1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9EE30">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FBB7F">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A8B03">
    <w:pPr>
      <w:pStyle w:val="14"/>
      <w:ind w:right="360"/>
      <w:jc w:val="right"/>
    </w:pPr>
    <w:r>
      <w:rPr>
        <w:lang w:val="en-US" w:eastAsia="en-US"/>
      </w:rPr>
      <w:pict>
        <v:shape id="WordPictureWatermark4140423" o:spid="_x0000_s2081"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30922A4E">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F3B07">
    <w:pPr>
      <w:pStyle w:val="14"/>
    </w:pPr>
    <w:r>
      <w:rPr>
        <w:lang w:val="en-US" w:eastAsia="en-US"/>
      </w:rPr>
      <w:pict>
        <v:shape id="WordPictureWatermark4140422" o:spid="_x0000_s2080"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DD49B">
    <w:pPr>
      <w:pStyle w:val="14"/>
    </w:pPr>
    <w:r>
      <w:rPr>
        <w:lang w:val="en-US" w:eastAsia="en-US"/>
      </w:rPr>
      <w:pict>
        <v:shape id="WordPictureWatermark4140421" o:spid="_x0000_s2079"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6B72F">
    <w:pPr>
      <w:pStyle w:val="14"/>
    </w:pPr>
    <w:r>
      <w:rPr>
        <w:lang w:val="en-US" w:eastAsia="en-US"/>
      </w:rPr>
      <w:pict>
        <v:shape id="WordPictureWatermark4140426" o:spid="_x0000_s2084"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FAB07">
    <w:pPr>
      <w:pStyle w:val="14"/>
    </w:pPr>
    <w:r>
      <w:rPr>
        <w:lang w:val="en-US" w:eastAsia="en-US"/>
      </w:rPr>
      <w:pict>
        <v:shape id="WordPictureWatermark4140425" o:spid="_x0000_s2083"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9116">
    <w:pPr>
      <w:pStyle w:val="14"/>
    </w:pPr>
    <w:r>
      <w:rPr>
        <w:lang w:val="en-US" w:eastAsia="en-US"/>
      </w:rPr>
      <w:pict>
        <v:shape id="WordPictureWatermark4140424" o:spid="_x0000_s2082"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FD403F"/>
    <w:multiLevelType w:val="multilevel"/>
    <w:tmpl w:val="02FD403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6D67E18"/>
    <w:multiLevelType w:val="multilevel"/>
    <w:tmpl w:val="06D67E1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23B16F9B"/>
    <w:multiLevelType w:val="multilevel"/>
    <w:tmpl w:val="23B16F9B"/>
    <w:lvl w:ilvl="0" w:tentative="0">
      <w:start w:val="1"/>
      <w:numFmt w:val="decimal"/>
      <w:lvlText w:val="%1."/>
      <w:lvlJc w:val="left"/>
      <w:pPr>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
    <w:nsid w:val="24063D74"/>
    <w:multiLevelType w:val="multilevel"/>
    <w:tmpl w:val="24063D7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F84242E"/>
    <w:multiLevelType w:val="multilevel"/>
    <w:tmpl w:val="2F84242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3CC224A1"/>
    <w:multiLevelType w:val="multilevel"/>
    <w:tmpl w:val="3CC224A1"/>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EED1E29"/>
    <w:multiLevelType w:val="multilevel"/>
    <w:tmpl w:val="4EED1E29"/>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58FD21C5"/>
    <w:multiLevelType w:val="multilevel"/>
    <w:tmpl w:val="58FD21C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CC4796F"/>
    <w:multiLevelType w:val="multilevel"/>
    <w:tmpl w:val="6CC4796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5"/>
  </w:num>
  <w:num w:numId="4">
    <w:abstractNumId w:val="7"/>
  </w:num>
  <w:num w:numId="5">
    <w:abstractNumId w:val="4"/>
  </w:num>
  <w:num w:numId="6">
    <w:abstractNumId w:val="3"/>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76W3QKy/MnFbLKeOQBTuKIssMa0=" w:salt="9vjzHFZxeCUWIrxHSi7RFw=="/>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221D15"/>
    <w:rsid w:val="00512803"/>
    <w:rsid w:val="007C5CBE"/>
    <w:rsid w:val="00832F03"/>
    <w:rsid w:val="00B67DFC"/>
    <w:rsid w:val="00BC14B4"/>
    <w:rsid w:val="00FA6597"/>
    <w:rsid w:val="1B1B1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1" w:semiHidden="0" w:name="toc 3"/>
    <w:lsdException w:uiPriority="39" w:name="toc 4"/>
    <w:lsdException w:uiPriority="39" w:name="toc 5"/>
    <w:lsdException w:uiPriority="39" w:name="toc 6"/>
    <w:lsdException w:uiPriority="39" w:name="toc 7"/>
    <w:lsdException w:qFormat="1"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1"/>
    <w:basedOn w:val="1"/>
    <w:next w:val="1"/>
    <w:link w:val="30"/>
    <w:qFormat/>
    <w:uiPriority w:val="9"/>
    <w:pPr>
      <w:keepNext/>
      <w:keepLines/>
      <w:spacing w:before="24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link w:val="28"/>
    <w:unhideWhenUsed/>
    <w:qFormat/>
    <w:uiPriority w:val="99"/>
    <w:pPr>
      <w:widowControl w:val="0"/>
      <w:autoSpaceDE w:val="0"/>
      <w:autoSpaceDN w:val="0"/>
      <w:ind w:left="649"/>
      <w:jc w:val="both"/>
      <w:outlineLvl w:val="1"/>
    </w:pPr>
    <w:rPr>
      <w:b/>
      <w:bCs/>
      <w:lang w:val="ms"/>
    </w:rPr>
  </w:style>
  <w:style w:type="paragraph" w:styleId="4">
    <w:name w:val="heading 3"/>
    <w:basedOn w:val="1"/>
    <w:next w:val="1"/>
    <w:link w:val="31"/>
    <w:unhideWhenUsed/>
    <w:qFormat/>
    <w:uiPriority w:val="99"/>
    <w:pPr>
      <w:keepNext/>
      <w:keepLines/>
      <w:spacing w:before="40"/>
      <w:outlineLvl w:val="2"/>
    </w:pPr>
    <w:rPr>
      <w:rFonts w:asciiTheme="majorHAnsi" w:hAnsiTheme="majorHAnsi" w:eastAsiaTheme="majorEastAsia" w:cstheme="majorBidi"/>
      <w:color w:val="254061" w:themeColor="accent1" w:themeShade="80"/>
    </w:rPr>
  </w:style>
  <w:style w:type="paragraph" w:styleId="5">
    <w:name w:val="heading 4"/>
    <w:basedOn w:val="1"/>
    <w:next w:val="1"/>
    <w:link w:val="32"/>
    <w:semiHidden/>
    <w:unhideWhenUsed/>
    <w:qFormat/>
    <w:uiPriority w:val="9"/>
    <w:pPr>
      <w:keepNext/>
      <w:keepLines/>
      <w:spacing w:before="40"/>
      <w:outlineLvl w:val="3"/>
    </w:pPr>
    <w:rPr>
      <w:rFonts w:asciiTheme="majorHAnsi" w:hAnsiTheme="majorHAnsi" w:eastAsiaTheme="majorEastAsia" w:cstheme="majorBidi"/>
      <w:i/>
      <w:iCs/>
      <w:color w:val="376092" w:themeColor="accent1" w:themeShade="BF"/>
    </w:rPr>
  </w:style>
  <w:style w:type="paragraph" w:styleId="6">
    <w:name w:val="heading 6"/>
    <w:basedOn w:val="1"/>
    <w:next w:val="1"/>
    <w:link w:val="33"/>
    <w:semiHidden/>
    <w:unhideWhenUsed/>
    <w:qFormat/>
    <w:uiPriority w:val="9"/>
    <w:pPr>
      <w:keepNext/>
      <w:keepLines/>
      <w:spacing w:before="40"/>
      <w:outlineLvl w:val="5"/>
    </w:pPr>
    <w:rPr>
      <w:rFonts w:asciiTheme="majorHAnsi" w:hAnsiTheme="majorHAnsi" w:eastAsiaTheme="majorEastAsia" w:cstheme="majorBidi"/>
      <w:color w:val="254061" w:themeColor="accent1" w:themeShade="80"/>
    </w:rPr>
  </w:style>
  <w:style w:type="character" w:default="1" w:styleId="7">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9">
    <w:name w:val="Balloon Text"/>
    <w:basedOn w:val="1"/>
    <w:link w:val="22"/>
    <w:semiHidden/>
    <w:unhideWhenUsed/>
    <w:qFormat/>
    <w:uiPriority w:val="99"/>
    <w:rPr>
      <w:rFonts w:ascii="Tahoma" w:hAnsi="Tahoma" w:cs="Tahoma"/>
      <w:sz w:val="16"/>
      <w:szCs w:val="16"/>
    </w:rPr>
  </w:style>
  <w:style w:type="paragraph" w:styleId="10">
    <w:name w:val="Body Text"/>
    <w:basedOn w:val="1"/>
    <w:link w:val="29"/>
    <w:qFormat/>
    <w:uiPriority w:val="1"/>
    <w:pPr>
      <w:widowControl w:val="0"/>
      <w:autoSpaceDE w:val="0"/>
      <w:autoSpaceDN w:val="0"/>
    </w:pPr>
    <w:rPr>
      <w:lang w:val="ms"/>
    </w:rPr>
  </w:style>
  <w:style w:type="character" w:styleId="11">
    <w:name w:val="Emphasis"/>
    <w:basedOn w:val="7"/>
    <w:qFormat/>
    <w:uiPriority w:val="20"/>
    <w:rPr>
      <w:i/>
      <w:iCs/>
    </w:rPr>
  </w:style>
  <w:style w:type="character" w:styleId="12">
    <w:name w:val="FollowedHyperlink"/>
    <w:basedOn w:val="7"/>
    <w:semiHidden/>
    <w:unhideWhenUsed/>
    <w:qFormat/>
    <w:uiPriority w:val="99"/>
    <w:rPr>
      <w:color w:val="800080" w:themeColor="followedHyperlink"/>
      <w:u w:val="single"/>
      <w14:textFill>
        <w14:solidFill>
          <w14:schemeClr w14:val="folHlink"/>
        </w14:solidFill>
      </w14:textFill>
    </w:rPr>
  </w:style>
  <w:style w:type="paragraph" w:styleId="13">
    <w:name w:val="footer"/>
    <w:basedOn w:val="1"/>
    <w:link w:val="24"/>
    <w:unhideWhenUsed/>
    <w:qFormat/>
    <w:uiPriority w:val="99"/>
    <w:pPr>
      <w:tabs>
        <w:tab w:val="center" w:pos="4680"/>
        <w:tab w:val="right" w:pos="9360"/>
      </w:tabs>
    </w:pPr>
  </w:style>
  <w:style w:type="paragraph" w:styleId="14">
    <w:name w:val="header"/>
    <w:basedOn w:val="1"/>
    <w:link w:val="23"/>
    <w:unhideWhenUsed/>
    <w:qFormat/>
    <w:uiPriority w:val="99"/>
    <w:pPr>
      <w:tabs>
        <w:tab w:val="center" w:pos="4680"/>
        <w:tab w:val="right" w:pos="9360"/>
      </w:tabs>
    </w:pPr>
  </w:style>
  <w:style w:type="character" w:styleId="15">
    <w:name w:val="Hyperlink"/>
    <w:basedOn w:val="7"/>
    <w:unhideWhenUsed/>
    <w:qFormat/>
    <w:uiPriority w:val="99"/>
    <w:rPr>
      <w:color w:val="0000FF" w:themeColor="hyperlink"/>
      <w:u w:val="single"/>
      <w14:textFill>
        <w14:solidFill>
          <w14:schemeClr w14:val="hlink"/>
        </w14:solidFill>
      </w14:textFill>
    </w:rPr>
  </w:style>
  <w:style w:type="paragraph" w:styleId="16">
    <w:name w:val="Normal (Web)"/>
    <w:basedOn w:val="1"/>
    <w:unhideWhenUsed/>
    <w:qFormat/>
    <w:uiPriority w:val="99"/>
  </w:style>
  <w:style w:type="character" w:styleId="17">
    <w:name w:val="page number"/>
    <w:basedOn w:val="7"/>
    <w:semiHidden/>
    <w:unhideWhenUsed/>
    <w:qFormat/>
    <w:uiPriority w:val="99"/>
  </w:style>
  <w:style w:type="character" w:styleId="18">
    <w:name w:val="Strong"/>
    <w:basedOn w:val="7"/>
    <w:qFormat/>
    <w:uiPriority w:val="22"/>
    <w:rPr>
      <w:b/>
      <w:bCs/>
    </w:rPr>
  </w:style>
  <w:style w:type="table" w:styleId="1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0">
    <w:name w:val="toc 3"/>
    <w:basedOn w:val="1"/>
    <w:qFormat/>
    <w:uiPriority w:val="1"/>
    <w:pPr>
      <w:widowControl w:val="0"/>
      <w:autoSpaceDE w:val="0"/>
      <w:autoSpaceDN w:val="0"/>
      <w:spacing w:before="276"/>
      <w:ind w:left="1842" w:hanging="721"/>
    </w:pPr>
    <w:rPr>
      <w:lang w:val="ms"/>
    </w:rPr>
  </w:style>
  <w:style w:type="paragraph" w:styleId="21">
    <w:name w:val="toc 8"/>
    <w:basedOn w:val="1"/>
    <w:next w:val="1"/>
    <w:autoRedefine/>
    <w:semiHidden/>
    <w:unhideWhenUsed/>
    <w:qFormat/>
    <w:uiPriority w:val="39"/>
    <w:pPr>
      <w:spacing w:after="100"/>
      <w:ind w:left="1400"/>
    </w:pPr>
  </w:style>
  <w:style w:type="character" w:customStyle="1" w:styleId="22">
    <w:name w:val="Balloon Text Char"/>
    <w:basedOn w:val="7"/>
    <w:link w:val="9"/>
    <w:semiHidden/>
    <w:qFormat/>
    <w:uiPriority w:val="99"/>
    <w:rPr>
      <w:rFonts w:ascii="Tahoma" w:hAnsi="Tahoma" w:eastAsia="Times New Roman" w:cs="Tahoma"/>
      <w:sz w:val="16"/>
      <w:szCs w:val="16"/>
      <w:lang w:val="en-MY" w:eastAsia="en-GB"/>
    </w:rPr>
  </w:style>
  <w:style w:type="character" w:customStyle="1" w:styleId="23">
    <w:name w:val="Header Char"/>
    <w:basedOn w:val="7"/>
    <w:link w:val="14"/>
    <w:qFormat/>
    <w:uiPriority w:val="99"/>
    <w:rPr>
      <w:rFonts w:ascii="Times New Roman" w:hAnsi="Times New Roman" w:eastAsia="Times New Roman" w:cs="Times New Roman"/>
      <w:sz w:val="24"/>
      <w:szCs w:val="24"/>
      <w:lang w:val="en-MY" w:eastAsia="en-GB"/>
    </w:rPr>
  </w:style>
  <w:style w:type="character" w:customStyle="1" w:styleId="24">
    <w:name w:val="Footer Char"/>
    <w:basedOn w:val="7"/>
    <w:link w:val="13"/>
    <w:qFormat/>
    <w:uiPriority w:val="99"/>
    <w:rPr>
      <w:rFonts w:ascii="Times New Roman" w:hAnsi="Times New Roman" w:eastAsia="Times New Roman" w:cs="Times New Roman"/>
      <w:sz w:val="24"/>
      <w:szCs w:val="24"/>
      <w:lang w:val="en-MY" w:eastAsia="en-GB"/>
    </w:rPr>
  </w:style>
  <w:style w:type="paragraph" w:styleId="25">
    <w:name w:val="List Paragraph"/>
    <w:basedOn w:val="1"/>
    <w:link w:val="26"/>
    <w:qFormat/>
    <w:uiPriority w:val="1"/>
    <w:pPr>
      <w:ind w:left="720"/>
      <w:contextualSpacing/>
    </w:pPr>
  </w:style>
  <w:style w:type="character" w:customStyle="1" w:styleId="26">
    <w:name w:val="List Paragraph Char"/>
    <w:basedOn w:val="7"/>
    <w:link w:val="25"/>
    <w:qFormat/>
    <w:locked/>
    <w:uiPriority w:val="1"/>
    <w:rPr>
      <w:rFonts w:ascii="Times New Roman" w:hAnsi="Times New Roman" w:eastAsia="Times New Roman" w:cs="Times New Roman"/>
      <w:sz w:val="24"/>
      <w:szCs w:val="24"/>
      <w:lang w:val="en-MY" w:eastAsia="en-GB"/>
    </w:rPr>
  </w:style>
  <w:style w:type="table" w:customStyle="1" w:styleId="27">
    <w:name w:val="Plain Table 2"/>
    <w:basedOn w:val="8"/>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28">
    <w:name w:val="Heading 2 Char"/>
    <w:basedOn w:val="7"/>
    <w:link w:val="3"/>
    <w:qFormat/>
    <w:uiPriority w:val="9"/>
    <w:rPr>
      <w:rFonts w:ascii="Times New Roman" w:hAnsi="Times New Roman" w:eastAsia="Times New Roman" w:cs="Times New Roman"/>
      <w:b/>
      <w:bCs/>
      <w:sz w:val="24"/>
      <w:szCs w:val="24"/>
      <w:lang w:val="ms" w:eastAsia="en-GB"/>
    </w:rPr>
  </w:style>
  <w:style w:type="character" w:customStyle="1" w:styleId="29">
    <w:name w:val="Body Text Char"/>
    <w:basedOn w:val="7"/>
    <w:link w:val="10"/>
    <w:qFormat/>
    <w:uiPriority w:val="1"/>
    <w:rPr>
      <w:rFonts w:ascii="Times New Roman" w:hAnsi="Times New Roman" w:eastAsia="Times New Roman" w:cs="Times New Roman"/>
      <w:sz w:val="24"/>
      <w:szCs w:val="24"/>
      <w:lang w:val="ms" w:eastAsia="en-GB"/>
    </w:rPr>
  </w:style>
  <w:style w:type="character" w:customStyle="1" w:styleId="30">
    <w:name w:val="Heading 1 Char"/>
    <w:basedOn w:val="7"/>
    <w:link w:val="2"/>
    <w:uiPriority w:val="9"/>
    <w:rPr>
      <w:rFonts w:asciiTheme="majorHAnsi" w:hAnsiTheme="majorHAnsi" w:eastAsiaTheme="majorEastAsia" w:cstheme="majorBidi"/>
      <w:color w:val="376092" w:themeColor="accent1" w:themeShade="BF"/>
      <w:sz w:val="32"/>
      <w:szCs w:val="32"/>
      <w:lang w:val="en-MY" w:eastAsia="en-GB"/>
    </w:rPr>
  </w:style>
  <w:style w:type="character" w:customStyle="1" w:styleId="31">
    <w:name w:val="Heading 3 Char"/>
    <w:basedOn w:val="7"/>
    <w:link w:val="4"/>
    <w:qFormat/>
    <w:uiPriority w:val="99"/>
    <w:rPr>
      <w:rFonts w:asciiTheme="majorHAnsi" w:hAnsiTheme="majorHAnsi" w:eastAsiaTheme="majorEastAsia" w:cstheme="majorBidi"/>
      <w:color w:val="254061" w:themeColor="accent1" w:themeShade="80"/>
      <w:sz w:val="24"/>
      <w:szCs w:val="24"/>
      <w:lang w:val="en-MY" w:eastAsia="en-GB"/>
    </w:rPr>
  </w:style>
  <w:style w:type="character" w:customStyle="1" w:styleId="32">
    <w:name w:val="Heading 4 Char"/>
    <w:basedOn w:val="7"/>
    <w:link w:val="5"/>
    <w:semiHidden/>
    <w:qFormat/>
    <w:uiPriority w:val="9"/>
    <w:rPr>
      <w:rFonts w:asciiTheme="majorHAnsi" w:hAnsiTheme="majorHAnsi" w:eastAsiaTheme="majorEastAsia" w:cstheme="majorBidi"/>
      <w:i/>
      <w:iCs/>
      <w:color w:val="376092" w:themeColor="accent1" w:themeShade="BF"/>
      <w:sz w:val="24"/>
      <w:szCs w:val="24"/>
      <w:lang w:val="en-MY" w:eastAsia="en-GB"/>
    </w:rPr>
  </w:style>
  <w:style w:type="character" w:customStyle="1" w:styleId="33">
    <w:name w:val="Heading 6 Char"/>
    <w:basedOn w:val="7"/>
    <w:link w:val="6"/>
    <w:semiHidden/>
    <w:qFormat/>
    <w:uiPriority w:val="9"/>
    <w:rPr>
      <w:rFonts w:asciiTheme="majorHAnsi" w:hAnsiTheme="majorHAnsi" w:eastAsiaTheme="majorEastAsia" w:cstheme="majorBidi"/>
      <w:color w:val="254061" w:themeColor="accent1" w:themeShade="80"/>
      <w:sz w:val="24"/>
      <w:szCs w:val="24"/>
      <w:lang w:val="en-MY" w:eastAsia="en-GB"/>
    </w:rPr>
  </w:style>
  <w:style w:type="table" w:customStyle="1" w:styleId="34">
    <w:name w:val="Table Grid1"/>
    <w:basedOn w:val="8"/>
    <w:qFormat/>
    <w:uiPriority w:val="59"/>
    <w:pPr>
      <w:spacing w:after="0" w:line="240" w:lineRule="auto"/>
    </w:pPr>
    <w:rPr>
      <w:rFonts w:cs="Times New Roman" w:eastAsiaTheme="minorEastAsia"/>
      <w:lang w:eastAsia="ja-JP"/>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35">
    <w:name w:val="Unresolved Mention1"/>
    <w:basedOn w:val="7"/>
    <w:semiHidden/>
    <w:unhideWhenUsed/>
    <w:qFormat/>
    <w:uiPriority w:val="99"/>
    <w:rPr>
      <w:color w:val="605E5C"/>
      <w:shd w:val="clear" w:color="auto" w:fill="E1DFDD"/>
    </w:rPr>
  </w:style>
  <w:style w:type="character" w:customStyle="1" w:styleId="36">
    <w:name w:val="markedcontent"/>
    <w:basedOn w:val="7"/>
    <w:qFormat/>
    <w:uiPriority w:val="0"/>
  </w:style>
  <w:style w:type="paragraph" w:customStyle="1" w:styleId="37">
    <w:name w:val="Table Paragraph"/>
    <w:basedOn w:val="1"/>
    <w:qFormat/>
    <w:uiPriority w:val="1"/>
    <w:pPr>
      <w:widowControl w:val="0"/>
      <w:autoSpaceDE w:val="0"/>
      <w:autoSpaceDN w:val="0"/>
      <w:ind w:right="86" w:firstLine="720"/>
      <w:jc w:val="right"/>
    </w:pPr>
    <w:rPr>
      <w:lang w:val="id"/>
    </w:rPr>
  </w:style>
  <w:style w:type="paragraph" w:customStyle="1" w:styleId="38">
    <w:name w:val="msonormal"/>
    <w:basedOn w:val="1"/>
    <w:qFormat/>
    <w:uiPriority w:val="0"/>
    <w:pPr>
      <w:spacing w:before="100" w:beforeAutospacing="1" w:after="100" w:afterAutospacing="1"/>
    </w:pPr>
  </w:style>
  <w:style w:type="paragraph" w:customStyle="1" w:styleId="39">
    <w:name w:val="xl6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style>
  <w:style w:type="paragraph" w:customStyle="1" w:styleId="41">
    <w:name w:val="xl6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style>
  <w:style w:type="paragraph" w:customStyle="1" w:styleId="42">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3">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4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46">
    <w:name w:val="xl7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b/>
      <w:bCs/>
    </w:rPr>
  </w:style>
  <w:style w:type="paragraph" w:customStyle="1" w:styleId="47">
    <w:name w:val="whitespace-normal"/>
    <w:basedOn w:val="1"/>
    <w:qFormat/>
    <w:uiPriority w:val="0"/>
    <w:pPr>
      <w:spacing w:before="100" w:beforeAutospacing="1" w:after="100" w:afterAutospacing="1"/>
    </w:pPr>
  </w:style>
  <w:style w:type="paragraph" w:customStyle="1" w:styleId="48">
    <w:name w:val="xl6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color w:val="000000"/>
    </w:rPr>
  </w:style>
  <w:style w:type="paragraph" w:customStyle="1" w:styleId="49">
    <w:name w:val="xl6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000000"/>
    </w:rPr>
  </w:style>
  <w:style w:type="paragraph" w:customStyle="1" w:styleId="50">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5.tiff"/><Relationship Id="rId20" Type="http://schemas.openxmlformats.org/officeDocument/2006/relationships/image" Target="media/image4.tiff"/><Relationship Id="rId2" Type="http://schemas.openxmlformats.org/officeDocument/2006/relationships/settings" Target="settings.xml"/><Relationship Id="rId19" Type="http://schemas.openxmlformats.org/officeDocument/2006/relationships/image" Target="media/image3.tiff"/><Relationship Id="rId18" Type="http://schemas.openxmlformats.org/officeDocument/2006/relationships/image" Target="media/image2.pn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81"/>
    <customShpInfo spid="_x0000_s2080"/>
    <customShpInfo spid="_x0000_s2079"/>
    <customShpInfo spid="_x0000_s2084"/>
    <customShpInfo spid="_x0000_s2083"/>
    <customShpInfo spid="_x0000_s2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50B12B-C477-4CCF-AF1F-FF217FFC8F3C}">
  <ds:schemaRefs/>
</ds:datastoreItem>
</file>

<file path=docProps/app.xml><?xml version="1.0" encoding="utf-8"?>
<Properties xmlns="http://schemas.openxmlformats.org/officeDocument/2006/extended-properties" xmlns:vt="http://schemas.openxmlformats.org/officeDocument/2006/docPropsVTypes">
  <Template>Normal</Template>
  <Pages>42</Pages>
  <Words>7616</Words>
  <Characters>47683</Characters>
  <Lines>394</Lines>
  <Paragraphs>111</Paragraphs>
  <TotalTime>0</TotalTime>
  <ScaleCrop>false</ScaleCrop>
  <LinksUpToDate>false</LinksUpToDate>
  <CharactersWithSpaces>54083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2026-09-14T04:12:00Z</dcterms:created>
  <dc:creator>berkah-3</dc:creator>
  <cp:lastModifiedBy>Administrator</cp:lastModifiedBy>
  <dcterms:modified xsi:type="dcterms:W3CDTF">2026-09-21T04:30:16Z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C8BF9733826743E18AC49272ECEEDF94_13</vt:lpwstr>
  </property>
</Properties>
</file>