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BE7BA">
      <w:pPr>
        <w:pStyle w:val="2"/>
        <w:spacing w:before="0" w:line="480" w:lineRule="auto"/>
        <w:jc w:val="center"/>
        <w:rPr>
          <w:rFonts w:ascii="Times New Roman" w:hAnsi="Times New Roman"/>
          <w:color w:val="0D0D0D" w:themeColor="text1" w:themeTint="F2"/>
          <w:sz w:val="24"/>
          <w:szCs w:val="24"/>
          <w:lang w:val="en-U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0" w:name="_Toc193443098"/>
      <w:bookmarkStart w:id="1" w:name="_Toc195258191"/>
      <w:bookmarkStart w:id="2" w:name="_GoBack"/>
      <w:bookmarkEnd w:id="2"/>
      <w:r>
        <w:rPr>
          <w:rFonts w:ascii="Times New Roman" w:hAnsi="Times New Roman"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DAFTAR PUSTAKA</w:t>
      </w:r>
      <w:bookmarkEnd w:id="0"/>
      <w:bookmarkEnd w:id="1"/>
    </w:p>
    <w:p w14:paraId="45A6EA2F">
      <w:pPr>
        <w:ind w:left="851" w:hanging="851"/>
        <w:jc w:val="both"/>
      </w:pPr>
      <w:r>
        <w:t>Arifin, Z., &amp; Utama, F. (2020). Perlindungan Hukum Bagi Kreditur Dalam Sengketa Hutang Piutang yang Berakhir dengan Kepailitan. Jakarta: Penerbit Buku Kompas.</w:t>
      </w:r>
    </w:p>
    <w:p w14:paraId="284BBA15">
      <w:pPr>
        <w:ind w:left="851" w:hanging="851"/>
        <w:jc w:val="both"/>
      </w:pPr>
    </w:p>
    <w:p w14:paraId="1CD44E6E">
      <w:pPr>
        <w:ind w:left="851" w:hanging="851"/>
        <w:jc w:val="both"/>
      </w:pPr>
      <w:r>
        <w:t>Bank Indonesia. 2022. "Profil Lembaga Keuangan di Medan."</w:t>
      </w:r>
    </w:p>
    <w:p w14:paraId="23EF76FE">
      <w:pPr>
        <w:ind w:left="851" w:hanging="851"/>
        <w:jc w:val="both"/>
      </w:pPr>
    </w:p>
    <w:p w14:paraId="2D39F522">
      <w:pPr>
        <w:ind w:left="851" w:hanging="851"/>
        <w:jc w:val="both"/>
      </w:pPr>
      <w:r>
        <w:t>Bussani, M., &amp; Palmer, V. (Eds.). (2010). Comparative law: Law, reality and society (Vol. 27). Edward Elgar Publishing.</w:t>
      </w:r>
    </w:p>
    <w:p w14:paraId="09EA3843">
      <w:pPr>
        <w:ind w:left="851" w:hanging="851"/>
        <w:jc w:val="both"/>
      </w:pPr>
    </w:p>
    <w:p w14:paraId="18319AE2">
      <w:pPr>
        <w:ind w:left="851" w:hanging="851"/>
        <w:jc w:val="both"/>
      </w:pPr>
      <w:r>
        <w:t>Dahl, Robert A. (2001). How Democratic is the American Constitution?. New Haven, CT: Yale University Press.</w:t>
      </w:r>
    </w:p>
    <w:p w14:paraId="126CE873">
      <w:pPr>
        <w:ind w:left="851" w:hanging="851"/>
        <w:jc w:val="both"/>
      </w:pPr>
    </w:p>
    <w:p w14:paraId="2C607982">
      <w:pPr>
        <w:ind w:left="851" w:hanging="851"/>
        <w:jc w:val="both"/>
      </w:pPr>
      <w:r>
        <w:t>Davis, M. H., &amp; Virgo, G. (Eds.). (2016). European Debt Restructuring Handbook: Leading Case Studies from the Post-Lehman Cycle. Globe Law and Business.</w:t>
      </w:r>
    </w:p>
    <w:p w14:paraId="38449607">
      <w:pPr>
        <w:ind w:left="851" w:hanging="851"/>
        <w:jc w:val="both"/>
      </w:pPr>
    </w:p>
    <w:p w14:paraId="35193108">
      <w:pPr>
        <w:ind w:left="851" w:hanging="851"/>
        <w:jc w:val="both"/>
      </w:pPr>
      <w:r>
        <w:t xml:space="preserve">Direktorat Jenderal Perbendaharaan Kementerian Keuangan Republik Indonesia. (2020). Panduan Praktis Penyelesaian Kepailitan di Indonesia. Diakses dari </w:t>
      </w:r>
      <w:r>
        <w:rPr>
          <w:color w:val="0D0D0D"/>
        </w:rPr>
        <w:t xml:space="preserve"> HYPERLINK "https://www.pnbp.djpk.kemenkeu.go.id" </w:t>
      </w:r>
      <w:r>
        <w:rPr>
          <w:rStyle w:val="17"/>
          <w:color w:val="0D0D0D"/>
        </w:rPr>
        <w:t>https://www.pnbp.djpk.kemenkeu.go.id</w:t>
      </w:r>
    </w:p>
    <w:p w14:paraId="0F407DC6">
      <w:pPr>
        <w:ind w:left="851" w:hanging="851"/>
        <w:jc w:val="both"/>
      </w:pPr>
    </w:p>
    <w:p w14:paraId="29721C70">
      <w:pPr>
        <w:ind w:left="851" w:hanging="851"/>
        <w:jc w:val="both"/>
      </w:pPr>
      <w:r>
        <w:t>Dye, Thomas R. (1972). Understanding Public Policy. Englewood Cliffs, NJ: Prentice-Hall.</w:t>
      </w:r>
    </w:p>
    <w:p w14:paraId="1943CCB8">
      <w:pPr>
        <w:ind w:left="851" w:hanging="851"/>
        <w:jc w:val="both"/>
      </w:pPr>
    </w:p>
    <w:p w14:paraId="4BC4E908">
      <w:pPr>
        <w:ind w:left="851" w:hanging="851"/>
        <w:jc w:val="both"/>
      </w:pPr>
      <w:r>
        <w:t>Effendi, T. (2014). Aspek Hukum Kepailitan dan Penundaan Kewajiban Pembayaran Utang. Jakarta: Penerbit RajaGrafindo Persada.</w:t>
      </w:r>
    </w:p>
    <w:p w14:paraId="6723ADA7">
      <w:pPr>
        <w:ind w:left="851" w:hanging="851"/>
        <w:jc w:val="both"/>
      </w:pPr>
    </w:p>
    <w:p w14:paraId="1C234A0A">
      <w:pPr>
        <w:ind w:left="851" w:hanging="851"/>
        <w:jc w:val="both"/>
      </w:pPr>
      <w:r>
        <w:t>Hadjon, Philipus M. 2019. Pengantar Hukum Administrasi Indonesia. Jakarta: Sinar Grafika.</w:t>
      </w:r>
    </w:p>
    <w:p w14:paraId="75FED990">
      <w:pPr>
        <w:ind w:left="851" w:hanging="851"/>
        <w:jc w:val="both"/>
      </w:pPr>
    </w:p>
    <w:p w14:paraId="44AC4EED">
      <w:pPr>
        <w:ind w:left="851" w:hanging="851"/>
        <w:jc w:val="both"/>
      </w:pPr>
      <w:r>
        <w:t>Harahap, M. Yahya. 2007. Hukum Perseroan Terbatas. Jakarta: Sinar Grafika.</w:t>
      </w:r>
    </w:p>
    <w:p w14:paraId="3DFC828D">
      <w:pPr>
        <w:ind w:left="851" w:hanging="851"/>
        <w:jc w:val="both"/>
      </w:pPr>
    </w:p>
    <w:p w14:paraId="7D18953F">
      <w:pPr>
        <w:ind w:left="851" w:hanging="851"/>
        <w:jc w:val="both"/>
      </w:pPr>
      <w:r>
        <w:t>Harjono, I. (2015). Hukum Kepailitan dan Penundaan Kewajiban Pembayaran Utang: Panduan Praktis bagi Para Pemegang Kepentingan. Prenada Media.</w:t>
      </w:r>
    </w:p>
    <w:p w14:paraId="653DDFB0">
      <w:pPr>
        <w:ind w:left="851" w:hanging="851"/>
        <w:jc w:val="both"/>
      </w:pPr>
    </w:p>
    <w:p w14:paraId="353CA348">
      <w:pPr>
        <w:ind w:left="851" w:hanging="851"/>
        <w:jc w:val="both"/>
      </w:pPr>
      <w:r>
        <w:t>Haryono, A. (2017). Kreditur dan Kreditur dalam Hukum Perdata Indonesia. Yogyakarta: Penerbit ANDI.</w:t>
      </w:r>
    </w:p>
    <w:p w14:paraId="1174D16C">
      <w:pPr>
        <w:ind w:left="851" w:hanging="851"/>
        <w:jc w:val="both"/>
      </w:pPr>
    </w:p>
    <w:p w14:paraId="2D1EBE2C">
      <w:pPr>
        <w:ind w:left="851" w:hanging="851"/>
        <w:jc w:val="both"/>
        <w:rPr>
          <w:lang w:val="en-US"/>
        </w:rPr>
      </w:pPr>
      <w:r>
        <w:t>Jones, Mark P. (2009). Political Representation. Oxford: Oxford University Press.Kitab Undang-Undang Hukum Perdata.</w:t>
      </w:r>
    </w:p>
    <w:p w14:paraId="4FB8033A">
      <w:pPr>
        <w:ind w:left="851" w:hanging="851"/>
        <w:jc w:val="both"/>
        <w:rPr>
          <w:lang w:val="en-US"/>
        </w:rPr>
        <w:sectPr>
          <w:headerReference r:id="rId7" w:type="first"/>
          <w:footerReference r:id="rId9" w:type="first"/>
          <w:headerReference r:id="rId5" w:type="default"/>
          <w:footerReference r:id="rId8" w:type="default"/>
          <w:headerReference r:id="rId6" w:type="even"/>
          <w:pgSz w:w="11907" w:h="16840"/>
          <w:pgMar w:top="2268" w:right="1701" w:bottom="1701" w:left="2268" w:header="720" w:footer="720" w:gutter="0"/>
          <w:cols w:space="720" w:num="1"/>
        </w:sectPr>
      </w:pPr>
    </w:p>
    <w:p w14:paraId="1EC2B3F4">
      <w:pPr>
        <w:ind w:left="851" w:hanging="851"/>
        <w:jc w:val="both"/>
      </w:pPr>
      <w:r>
        <w:t>Kojima, M., &amp; Virgo, G. (Eds.). (2013). Asian Restructuring Handbook 2013: Leading Case Studies from the Post-Lehman Cycle. Globe Law and Business.</w:t>
      </w:r>
    </w:p>
    <w:p w14:paraId="74838D61">
      <w:pPr>
        <w:ind w:left="851" w:hanging="851"/>
        <w:jc w:val="both"/>
      </w:pPr>
    </w:p>
    <w:p w14:paraId="028CCBE6">
      <w:pPr>
        <w:ind w:left="851" w:hanging="851"/>
        <w:jc w:val="both"/>
      </w:pPr>
      <w:r>
        <w:t>Lehman, E. E., &amp; Rogers, J. E. (2010). Theoretical Inquiries in Law. De Gruyter.</w:t>
      </w:r>
    </w:p>
    <w:p w14:paraId="03F6597C">
      <w:pPr>
        <w:ind w:left="851" w:hanging="851"/>
        <w:jc w:val="both"/>
      </w:pPr>
      <w:r>
        <w:t>Lindgren, M. (2016). The European Insolvency Regulation: Law and Practice. Oxford University Press.</w:t>
      </w:r>
    </w:p>
    <w:p w14:paraId="7649215B">
      <w:pPr>
        <w:ind w:left="851" w:hanging="851"/>
        <w:jc w:val="both"/>
      </w:pPr>
    </w:p>
    <w:p w14:paraId="43825B71">
      <w:pPr>
        <w:ind w:left="851" w:hanging="851"/>
        <w:jc w:val="both"/>
      </w:pPr>
      <w:r>
        <w:t>Mathews, R., &amp; Telfer, D. J. (Eds.). (2017). The Globalization of Corporate Governance. Ashgate Publishing.</w:t>
      </w:r>
    </w:p>
    <w:p w14:paraId="78D66370">
      <w:pPr>
        <w:ind w:left="851" w:hanging="851"/>
        <w:jc w:val="both"/>
      </w:pPr>
    </w:p>
    <w:p w14:paraId="16D24809">
      <w:pPr>
        <w:ind w:left="851" w:hanging="851"/>
        <w:jc w:val="both"/>
      </w:pPr>
      <w:r>
        <w:t>Mertokusumo, Sudikno. 2009. Hukum Acara Perdata Indonesia. Yogyakarta: Liberty.</w:t>
      </w:r>
    </w:p>
    <w:p w14:paraId="4EFCA158">
      <w:pPr>
        <w:ind w:left="851" w:hanging="851"/>
        <w:jc w:val="both"/>
      </w:pPr>
    </w:p>
    <w:p w14:paraId="2582C9B0">
      <w:pPr>
        <w:ind w:left="851" w:hanging="851"/>
        <w:jc w:val="both"/>
      </w:pPr>
      <w:r>
        <w:t>Mertokusumo, Sudikno. 2020. Pengantar Ilmu Hukum. Jakarta: Kencana Prenada Media Group.</w:t>
      </w:r>
    </w:p>
    <w:p w14:paraId="30AD4EA7">
      <w:pPr>
        <w:ind w:left="851" w:hanging="851"/>
        <w:jc w:val="both"/>
      </w:pPr>
    </w:p>
    <w:p w14:paraId="7942AF06">
      <w:pPr>
        <w:ind w:left="851" w:hanging="851"/>
        <w:jc w:val="both"/>
      </w:pPr>
      <w:r>
        <w:t>Mokal, R. (Ed.). (2015). Corporate Finance Law: Principles and Policy. Routledge.</w:t>
      </w:r>
    </w:p>
    <w:p w14:paraId="3DB3B48A">
      <w:pPr>
        <w:ind w:left="851" w:hanging="851"/>
        <w:jc w:val="both"/>
      </w:pPr>
    </w:p>
    <w:p w14:paraId="3C42065C">
      <w:pPr>
        <w:ind w:left="851" w:hanging="851"/>
        <w:jc w:val="both"/>
      </w:pPr>
      <w:r>
        <w:t>Marlina Elisabeth Pakpahan, Perlindungan Hukum Pemberian Kredit Secara Digitalisasi Kepada Debitur Masa Perkembangan Financial Technology (Fintech), Universitas Prima Indonesia.</w:t>
      </w:r>
    </w:p>
    <w:p w14:paraId="00BDE84E">
      <w:pPr>
        <w:ind w:left="851" w:hanging="851"/>
        <w:jc w:val="both"/>
      </w:pPr>
    </w:p>
    <w:p w14:paraId="66DB3A26">
      <w:pPr>
        <w:ind w:left="851" w:hanging="851"/>
        <w:jc w:val="both"/>
      </w:pPr>
      <w:r>
        <w:t>Nasution, Az. 2004. Aspek Hukum Kepailitan dalam Hukum Dagang Indonesia. Bandung: Alumni.</w:t>
      </w:r>
    </w:p>
    <w:p w14:paraId="3670BB31">
      <w:pPr>
        <w:ind w:left="851" w:hanging="851"/>
        <w:jc w:val="both"/>
      </w:pPr>
    </w:p>
    <w:p w14:paraId="67FED493">
      <w:pPr>
        <w:ind w:left="851" w:hanging="851"/>
        <w:jc w:val="both"/>
      </w:pPr>
      <w:r>
        <w:t>Norris, Pippa. (2011). Democratic Deficit: Critical Citizens Revisited. Cambridge: Cambridge University Press.</w:t>
      </w:r>
    </w:p>
    <w:p w14:paraId="0705BEBA">
      <w:pPr>
        <w:ind w:left="851" w:hanging="851"/>
        <w:jc w:val="both"/>
      </w:pPr>
    </w:p>
    <w:p w14:paraId="37B3332B">
      <w:pPr>
        <w:ind w:left="851" w:hanging="851"/>
        <w:jc w:val="both"/>
      </w:pPr>
      <w:r>
        <w:t>Pengadilan Negeri Medan. 2022. "Laporan Tahunan Pengadilan Negeri Medan."</w:t>
      </w:r>
    </w:p>
    <w:p w14:paraId="6DA61995">
      <w:pPr>
        <w:ind w:left="851" w:hanging="131"/>
        <w:jc w:val="both"/>
      </w:pPr>
      <w:r>
        <w:t>Peraturan tentang Jaminan Fidusia.</w:t>
      </w:r>
    </w:p>
    <w:p w14:paraId="4BB914DA">
      <w:pPr>
        <w:ind w:left="851" w:hanging="851"/>
        <w:jc w:val="both"/>
      </w:pPr>
    </w:p>
    <w:p w14:paraId="5E0378FC">
      <w:pPr>
        <w:ind w:left="851" w:hanging="851"/>
        <w:jc w:val="both"/>
      </w:pPr>
      <w:r>
        <w:t>Pitkin, Hanna Fenichel. (1967). The Concept of Representation. Berkeley: University of California Press.</w:t>
      </w:r>
    </w:p>
    <w:p w14:paraId="502FEB71">
      <w:pPr>
        <w:ind w:left="851" w:hanging="851"/>
        <w:jc w:val="both"/>
      </w:pPr>
    </w:p>
    <w:p w14:paraId="662EAF77">
      <w:pPr>
        <w:ind w:left="851" w:hanging="851"/>
        <w:jc w:val="both"/>
      </w:pPr>
      <w:r>
        <w:t>Pranata, A. (2018). Hukum Perdata: Studi Kasus Penyelesaian Sengketa Kepailitan. Jakarta: Penerbit Kencana.</w:t>
      </w:r>
    </w:p>
    <w:p w14:paraId="6BA21B8A">
      <w:pPr>
        <w:ind w:left="851" w:hanging="851"/>
        <w:jc w:val="both"/>
      </w:pPr>
    </w:p>
    <w:p w14:paraId="7B71EAA9">
      <w:pPr>
        <w:ind w:left="851" w:hanging="851"/>
        <w:jc w:val="both"/>
      </w:pPr>
      <w:r>
        <w:t>Rahardjo, S. (2013). Kitab Undang-Undang Hukum Perdata: Buku Kedua tentang Barang-Barang, Utang, dan Perikatan. Jakarta: Penerbit Pradnya Paramita.</w:t>
      </w:r>
    </w:p>
    <w:p w14:paraId="06A5C911">
      <w:pPr>
        <w:ind w:left="851" w:hanging="851"/>
        <w:jc w:val="both"/>
      </w:pPr>
    </w:p>
    <w:p w14:paraId="6C20AB63">
      <w:pPr>
        <w:ind w:left="851" w:hanging="851"/>
        <w:jc w:val="both"/>
      </w:pPr>
      <w:r>
        <w:t>Ruhnke, K. (2017). Corporate Finance Law in the UK and EU. Oxford University Press.</w:t>
      </w:r>
    </w:p>
    <w:p w14:paraId="4BE63F3E">
      <w:pPr>
        <w:ind w:left="851" w:hanging="851"/>
        <w:jc w:val="both"/>
      </w:pPr>
      <w:r>
        <w:t>Salim, HS. 2010. Hukum Kontrak: Teori dan Teknik Penyusunan Kontrak. Jakarta: Sinar Grafika.</w:t>
      </w:r>
    </w:p>
    <w:p w14:paraId="77CB90BD">
      <w:pPr>
        <w:ind w:left="851" w:hanging="851"/>
        <w:jc w:val="both"/>
      </w:pPr>
    </w:p>
    <w:p w14:paraId="28708B1D">
      <w:pPr>
        <w:ind w:left="851" w:hanging="851"/>
        <w:jc w:val="both"/>
      </w:pPr>
      <w:r>
        <w:t>Sealy, L., &amp; Worthington, S. (Eds.). (2013). Cases and Materials in Company Law. Oxford University Press.</w:t>
      </w:r>
    </w:p>
    <w:p w14:paraId="74FAA77E">
      <w:pPr>
        <w:ind w:left="851" w:hanging="851"/>
        <w:jc w:val="both"/>
      </w:pPr>
    </w:p>
    <w:p w14:paraId="5D41441B">
      <w:pPr>
        <w:ind w:left="851" w:hanging="851"/>
        <w:jc w:val="both"/>
      </w:pPr>
      <w:r>
        <w:t>Siregar, A. (2019). Penyelesaian Sengketa Kepailitan di Indonesia: Tinjauan dari Perspektif Hukum Perdata. Bandung: Penerbit Alma.</w:t>
      </w:r>
    </w:p>
    <w:p w14:paraId="15F63AB6">
      <w:pPr>
        <w:ind w:left="851" w:hanging="851"/>
        <w:jc w:val="both"/>
      </w:pPr>
    </w:p>
    <w:p w14:paraId="43516531">
      <w:pPr>
        <w:ind w:left="851" w:hanging="851"/>
        <w:jc w:val="both"/>
      </w:pPr>
      <w:r>
        <w:t>Siregar, B. (2015). Teori dan Praktik Kepailitan: Studi Kasus di Kota Medan. Medan: Penerbit USU Press.</w:t>
      </w:r>
    </w:p>
    <w:p w14:paraId="58B2E33E">
      <w:pPr>
        <w:ind w:left="851" w:hanging="851"/>
        <w:jc w:val="both"/>
      </w:pPr>
    </w:p>
    <w:p w14:paraId="18A83295">
      <w:pPr>
        <w:ind w:left="851" w:hanging="851"/>
        <w:jc w:val="both"/>
      </w:pPr>
      <w:r>
        <w:t>Smith, John. (2005). Democracy and Representation. London: Routledge.</w:t>
      </w:r>
    </w:p>
    <w:p w14:paraId="5C682ABF">
      <w:pPr>
        <w:ind w:left="851" w:hanging="851"/>
        <w:jc w:val="both"/>
      </w:pPr>
    </w:p>
    <w:p w14:paraId="573832CC">
      <w:pPr>
        <w:ind w:left="851" w:hanging="851"/>
        <w:jc w:val="both"/>
      </w:pPr>
      <w:r>
        <w:t>Soekanto, S. (2012). Hukum Perdata: Pengertian, Pokok-Pokok Masalah, dan Asas-Asasnya. Jakarta: Penerbit PT. Pradnya Paramita.</w:t>
      </w:r>
    </w:p>
    <w:p w14:paraId="6E0D9C19">
      <w:pPr>
        <w:ind w:left="851" w:hanging="851"/>
        <w:jc w:val="both"/>
      </w:pPr>
    </w:p>
    <w:p w14:paraId="1938E0F5">
      <w:pPr>
        <w:ind w:left="851" w:hanging="851"/>
        <w:jc w:val="both"/>
      </w:pPr>
      <w:r>
        <w:t>Subekti, R. (2016). Pembahasan Mengenai Perlindungan Hukum Bagi Kreditur dalam Kepailitan. Surabaya: Penerbit Airlangga.</w:t>
      </w:r>
    </w:p>
    <w:p w14:paraId="5CD38326">
      <w:pPr>
        <w:ind w:left="851" w:hanging="851"/>
        <w:jc w:val="both"/>
      </w:pPr>
    </w:p>
    <w:p w14:paraId="1FDFA5F0">
      <w:pPr>
        <w:ind w:left="851" w:hanging="851"/>
        <w:jc w:val="both"/>
      </w:pPr>
      <w:r>
        <w:t>Subekti, R. 2002. Hukum Perjanjian. Jakarta: Intermasa.</w:t>
      </w:r>
    </w:p>
    <w:p w14:paraId="4CEFEB90">
      <w:pPr>
        <w:ind w:left="851" w:hanging="851"/>
        <w:jc w:val="both"/>
      </w:pPr>
    </w:p>
    <w:p w14:paraId="0F6EFD4E">
      <w:pPr>
        <w:ind w:left="851" w:hanging="851"/>
        <w:jc w:val="both"/>
      </w:pPr>
      <w:r>
        <w:t>Subekti. 2018. Pokok-Pokok Hukum Perdata. Jakarta: Intermasa.</w:t>
      </w:r>
    </w:p>
    <w:p w14:paraId="637CC15C">
      <w:pPr>
        <w:ind w:left="851" w:hanging="851"/>
        <w:jc w:val="both"/>
      </w:pPr>
    </w:p>
    <w:p w14:paraId="2F141494">
      <w:pPr>
        <w:ind w:left="851" w:hanging="851"/>
        <w:jc w:val="both"/>
      </w:pPr>
      <w:r>
        <w:t>Supriyanto, Eko. 2020. Ekonomi Kota Medan. Medan: Penerbit Universitas Sumatera Utara.</w:t>
      </w:r>
    </w:p>
    <w:p w14:paraId="074A5DB2">
      <w:pPr>
        <w:ind w:left="851" w:hanging="851"/>
        <w:jc w:val="both"/>
      </w:pPr>
    </w:p>
    <w:p w14:paraId="65464804">
      <w:pPr>
        <w:ind w:left="851" w:hanging="851"/>
        <w:jc w:val="both"/>
      </w:pPr>
      <w:r>
        <w:t>Sutan Remy, Sjahdeini. 1993. Kepailitan: Memahami Faillissementsverordening juncto Undang-Undang No. 4 Tahun 1998. Jakarta: Pustaka Utama Grafiti.</w:t>
      </w:r>
    </w:p>
    <w:p w14:paraId="1D7389FE">
      <w:pPr>
        <w:ind w:left="851" w:hanging="851"/>
        <w:jc w:val="both"/>
      </w:pPr>
    </w:p>
    <w:p w14:paraId="5977589F">
      <w:pPr>
        <w:ind w:left="851" w:hanging="851"/>
        <w:jc w:val="both"/>
      </w:pPr>
      <w:r>
        <w:t>Suhaila Zulkifli. Analisis Upaya Dan Peran Perlindungan Hukum Terhadap Kasus Peretasan Data Bank Syariah Indonesia. Fakultas Hukum, Universitas Prima Indonesia.</w:t>
      </w:r>
    </w:p>
    <w:p w14:paraId="438B03F0">
      <w:pPr>
        <w:ind w:left="851" w:hanging="851"/>
        <w:jc w:val="both"/>
      </w:pPr>
    </w:p>
    <w:p w14:paraId="26283F37">
      <w:pPr>
        <w:ind w:left="851" w:hanging="851"/>
        <w:jc w:val="both"/>
      </w:pPr>
      <w:r>
        <w:t>Undang-Undang Republik Indonesia Nomor 37 Tahun 2004 tentang Kepailitan dan Penundaan Kewajiban Pembayaran Utang.</w:t>
      </w:r>
    </w:p>
    <w:p w14:paraId="46FD3804">
      <w:pPr>
        <w:ind w:left="851" w:hanging="851"/>
        <w:jc w:val="both"/>
      </w:pPr>
    </w:p>
    <w:p w14:paraId="046CC7D5">
      <w:pPr>
        <w:ind w:left="851" w:hanging="851"/>
        <w:jc w:val="both"/>
      </w:pPr>
      <w:r>
        <w:t>Verba, Sidney, &amp; Norman H. Nie. (1972). Participation in America: Political Democracy and Social Equality. New York: Harper &amp; Row.</w:t>
      </w:r>
    </w:p>
    <w:p w14:paraId="4D7F13E2">
      <w:pPr>
        <w:ind w:left="851" w:hanging="851"/>
        <w:jc w:val="both"/>
      </w:pPr>
    </w:p>
    <w:p w14:paraId="74F2EFF2">
      <w:pPr>
        <w:ind w:left="851" w:hanging="851"/>
        <w:jc w:val="both"/>
      </w:pPr>
      <w:r>
        <w:t>Wahyu, M. 2016. Perlindungan Hukum bagi Kreditur dalam Sengketa Perjanjian Kredit dengan Jaminan Fidusia. Jakarta: Ghalia Indonesia.</w:t>
      </w:r>
    </w:p>
    <w:p w14:paraId="725B5557">
      <w:pPr>
        <w:ind w:left="851" w:hanging="851"/>
        <w:jc w:val="both"/>
      </w:pPr>
    </w:p>
    <w:p w14:paraId="6272ECD8">
      <w:pPr>
        <w:pStyle w:val="9"/>
        <w:spacing w:after="0" w:line="240" w:lineRule="auto"/>
        <w:ind w:left="851" w:hanging="851"/>
        <w:jc w:val="both"/>
        <w:rPr>
          <w:sz w:val="24"/>
          <w:szCs w:val="24"/>
        </w:rPr>
        <w:sectPr>
          <w:headerReference r:id="rId12" w:type="first"/>
          <w:headerReference r:id="rId10" w:type="default"/>
          <w:footerReference r:id="rId13" w:type="default"/>
          <w:headerReference r:id="rId11" w:type="even"/>
          <w:pgSz w:w="11907" w:h="16840"/>
          <w:pgMar w:top="2268" w:right="1701" w:bottom="1701" w:left="2268" w:header="720" w:footer="720" w:gutter="0"/>
          <w:cols w:space="720" w:num="1"/>
        </w:sectPr>
      </w:pPr>
      <w:r>
        <w:rPr>
          <w:sz w:val="24"/>
          <w:szCs w:val="24"/>
        </w:rPr>
        <w:t>Winarno, B. (2011). Jaminan Fidusia dalam Kepailitan: Penyelamatan Aset Perusahaan. Jakarta: Penerbit Sinar Grafika</w:t>
      </w:r>
    </w:p>
    <w:p w14:paraId="4A328B8B">
      <w:pPr>
        <w:pStyle w:val="9"/>
        <w:spacing w:after="0" w:line="240" w:lineRule="auto"/>
        <w:ind w:left="851" w:hanging="851"/>
        <w:jc w:val="both"/>
        <w:sectPr>
          <w:pgSz w:w="11907" w:h="16840"/>
          <w:pgMar w:top="2268" w:right="1701" w:bottom="1701" w:left="2268" w:header="720" w:footer="720" w:gutter="0"/>
          <w:cols w:space="720" w:num="1"/>
        </w:sectPr>
      </w:pPr>
      <w:r>
        <w:rPr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-627380</wp:posOffset>
            </wp:positionH>
            <wp:positionV relativeFrom="paragraph">
              <wp:posOffset>15875</wp:posOffset>
            </wp:positionV>
            <wp:extent cx="5824855" cy="8254365"/>
            <wp:effectExtent l="0" t="0" r="4445" b="0"/>
            <wp:wrapNone/>
            <wp:docPr id="6" name="Picture 6" descr="C:\Users\OPERATOR\Pictures\2025-10-09\2025-10-09 10-14-57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:\Users\OPERATOR\Pictures\2025-10-09\2025-10-09 10-14-57_0009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22596" cy="825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FF569A">
      <w:pPr>
        <w:pStyle w:val="9"/>
        <w:spacing w:after="0" w:line="240" w:lineRule="auto"/>
        <w:ind w:left="851" w:hanging="851"/>
        <w:jc w:val="both"/>
        <w:sectPr>
          <w:pgSz w:w="11907" w:h="16840"/>
          <w:pgMar w:top="2268" w:right="1701" w:bottom="1701" w:left="2268" w:header="720" w:footer="720" w:gutter="0"/>
          <w:cols w:space="720" w:num="1"/>
        </w:sectPr>
      </w:pPr>
      <w:r>
        <w:rPr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-389890</wp:posOffset>
            </wp:positionH>
            <wp:positionV relativeFrom="paragraph">
              <wp:posOffset>15875</wp:posOffset>
            </wp:positionV>
            <wp:extent cx="5783580" cy="8195945"/>
            <wp:effectExtent l="0" t="0" r="7620" b="0"/>
            <wp:wrapNone/>
            <wp:docPr id="7" name="Picture 7" descr="C:\Users\OPERATOR\Pictures\2025-10-09\2025-10-09 10-15-17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\Users\OPERATOR\Pictures\2025-10-09\2025-10-09 10-15-17_001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1197" cy="8192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70CC9D">
      <w:pPr>
        <w:pStyle w:val="9"/>
        <w:spacing w:after="0" w:line="240" w:lineRule="auto"/>
        <w:ind w:left="851" w:hanging="851"/>
        <w:jc w:val="both"/>
        <w:sectPr>
          <w:pgSz w:w="11907" w:h="16840"/>
          <w:pgMar w:top="2268" w:right="1701" w:bottom="1701" w:left="2268" w:header="720" w:footer="720" w:gutter="0"/>
          <w:cols w:space="720" w:num="1"/>
        </w:sectPr>
      </w:pPr>
      <w:r>
        <w:rPr>
          <w:lang w:val="en-US"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-254635</wp:posOffset>
            </wp:positionH>
            <wp:positionV relativeFrom="paragraph">
              <wp:posOffset>15875</wp:posOffset>
            </wp:positionV>
            <wp:extent cx="5592445" cy="7924800"/>
            <wp:effectExtent l="0" t="0" r="8255" b="0"/>
            <wp:wrapNone/>
            <wp:docPr id="8" name="Picture 8" descr="C:\Users\OPERATOR\Pictures\2025-10-09\2025-10-09 10-15-38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:\Users\OPERATOR\Pictures\2025-10-09\2025-10-09 10-15-38_001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90083" cy="7921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A895BF">
      <w:pPr>
        <w:pStyle w:val="9"/>
        <w:spacing w:after="0" w:line="240" w:lineRule="auto"/>
        <w:ind w:left="851" w:hanging="851"/>
        <w:jc w:val="both"/>
        <w:sectPr>
          <w:pgSz w:w="11907" w:h="16840"/>
          <w:pgMar w:top="2268" w:right="1701" w:bottom="1701" w:left="2268" w:header="720" w:footer="720" w:gutter="0"/>
          <w:cols w:space="720" w:num="1"/>
        </w:sectPr>
      </w:pPr>
      <w:r>
        <w:rPr>
          <w:lang w:val="en-US"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-322580</wp:posOffset>
            </wp:positionH>
            <wp:positionV relativeFrom="paragraph">
              <wp:posOffset>15875</wp:posOffset>
            </wp:positionV>
            <wp:extent cx="5759450" cy="8161655"/>
            <wp:effectExtent l="0" t="0" r="0" b="0"/>
            <wp:wrapNone/>
            <wp:docPr id="9" name="Picture 9" descr="C:\Users\OPERATOR\Pictures\2025-10-09\2025-10-09 10-16-04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\Users\OPERATOR\Pictures\2025-10-09\2025-10-09 10-16-04_001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57307" cy="815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D2CDDC">
      <w:pPr>
        <w:pStyle w:val="9"/>
        <w:spacing w:after="0" w:line="240" w:lineRule="auto"/>
        <w:ind w:left="851" w:hanging="851"/>
        <w:jc w:val="both"/>
        <w:sectPr>
          <w:pgSz w:w="11907" w:h="16840"/>
          <w:pgMar w:top="2268" w:right="1701" w:bottom="1701" w:left="2268" w:header="720" w:footer="720" w:gutter="0"/>
          <w:cols w:space="720" w:num="1"/>
        </w:sectPr>
      </w:pPr>
      <w:r>
        <w:rPr>
          <w:lang w:val="en-US"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15875</wp:posOffset>
            </wp:positionV>
            <wp:extent cx="5042535" cy="7653655"/>
            <wp:effectExtent l="0" t="0" r="5715" b="4445"/>
            <wp:wrapNone/>
            <wp:docPr id="10" name="Picture 10" descr="C:\Users\OPERATOR\Pictures\2025-10-09\2025-10-09 10-16-25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:\Users\OPERATOR\Pictures\2025-10-09\2025-10-09 10-16-25_0013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040630" cy="76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20EEE2">
      <w:pPr>
        <w:pStyle w:val="9"/>
        <w:spacing w:after="0" w:line="240" w:lineRule="auto"/>
        <w:ind w:left="851" w:hanging="851"/>
        <w:jc w:val="both"/>
        <w:sectPr>
          <w:pgSz w:w="11907" w:h="16840"/>
          <w:pgMar w:top="2268" w:right="1701" w:bottom="1701" w:left="2268" w:header="720" w:footer="720" w:gutter="0"/>
          <w:cols w:space="720" w:num="1"/>
        </w:sectPr>
      </w:pPr>
      <w:r>
        <w:rPr>
          <w:lang w:val="en-US" w:eastAsia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-525780</wp:posOffset>
            </wp:positionH>
            <wp:positionV relativeFrom="paragraph">
              <wp:posOffset>15875</wp:posOffset>
            </wp:positionV>
            <wp:extent cx="5757545" cy="8158480"/>
            <wp:effectExtent l="0" t="0" r="0" b="0"/>
            <wp:wrapNone/>
            <wp:docPr id="11" name="Picture 11" descr="C:\Users\OPERATOR\Pictures\2025-10-09\2025-10-09 10-16-47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:\Users\OPERATOR\Pictures\2025-10-09\2025-10-09 10-16-47_0014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54891" cy="815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980071">
      <w:pPr>
        <w:pStyle w:val="9"/>
        <w:spacing w:after="0" w:line="240" w:lineRule="auto"/>
        <w:ind w:left="851" w:hanging="851"/>
        <w:jc w:val="both"/>
        <w:sectPr>
          <w:pgSz w:w="11907" w:h="16840"/>
          <w:pgMar w:top="2268" w:right="1701" w:bottom="1701" w:left="2268" w:header="720" w:footer="720" w:gutter="0"/>
          <w:cols w:space="720" w:num="1"/>
        </w:sectPr>
      </w:pPr>
      <w:r>
        <w:rPr>
          <w:lang w:val="en-US" w:eastAsia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-491490</wp:posOffset>
            </wp:positionH>
            <wp:positionV relativeFrom="paragraph">
              <wp:posOffset>15875</wp:posOffset>
            </wp:positionV>
            <wp:extent cx="5711825" cy="8094345"/>
            <wp:effectExtent l="0" t="0" r="3175" b="2540"/>
            <wp:wrapNone/>
            <wp:docPr id="12" name="Picture 12" descr="C:\Users\OPERATOR\Pictures\2025-10-09\2025-10-09 10-17-05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:\Users\OPERATOR\Pictures\2025-10-09\2025-10-09 10-17-05_001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09529" cy="80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12CA1A">
      <w:pPr>
        <w:pStyle w:val="9"/>
        <w:spacing w:after="0" w:line="240" w:lineRule="auto"/>
        <w:ind w:left="851" w:hanging="851"/>
        <w:jc w:val="both"/>
        <w:sectPr>
          <w:pgSz w:w="11907" w:h="16840"/>
          <w:pgMar w:top="2268" w:right="1701" w:bottom="1701" w:left="2268" w:header="720" w:footer="720" w:gutter="0"/>
          <w:cols w:space="720" w:num="1"/>
        </w:sectPr>
      </w:pPr>
      <w:r>
        <w:rPr>
          <w:lang w:val="en-US" w:eastAsia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15875</wp:posOffset>
            </wp:positionV>
            <wp:extent cx="5791200" cy="8206740"/>
            <wp:effectExtent l="0" t="0" r="0" b="4445"/>
            <wp:wrapNone/>
            <wp:docPr id="13" name="Picture 13" descr="C:\Users\OPERATOR\Pictures\2025-10-09\2025-10-09 10-17-23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:\Users\OPERATOR\Pictures\2025-10-09\2025-10-09 10-17-23_0016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8744" cy="8202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D9CA77">
      <w:pPr>
        <w:pStyle w:val="9"/>
        <w:spacing w:after="0" w:line="240" w:lineRule="auto"/>
        <w:ind w:left="851" w:hanging="851"/>
        <w:jc w:val="both"/>
        <w:sectPr>
          <w:pgSz w:w="11907" w:h="16840"/>
          <w:pgMar w:top="2268" w:right="1701" w:bottom="1701" w:left="2268" w:header="720" w:footer="720" w:gutter="0"/>
          <w:cols w:space="720" w:num="1"/>
        </w:sectPr>
      </w:pPr>
      <w:r>
        <w:rPr>
          <w:lang w:val="en-US" w:eastAsia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-85090</wp:posOffset>
            </wp:positionH>
            <wp:positionV relativeFrom="paragraph">
              <wp:posOffset>-119380</wp:posOffset>
            </wp:positionV>
            <wp:extent cx="5855335" cy="8297545"/>
            <wp:effectExtent l="0" t="0" r="0" b="8890"/>
            <wp:wrapNone/>
            <wp:docPr id="14" name="Picture 14" descr="C:\Users\OPERATOR\Pictures\2025-10-09\2025-10-09 10-17-40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:\Users\OPERATOR\Pictures\2025-10-09\2025-10-09 10-17-40_0017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52865" cy="8293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F70FF1">
      <w:pPr>
        <w:pStyle w:val="9"/>
        <w:spacing w:after="0" w:line="240" w:lineRule="auto"/>
        <w:ind w:left="851" w:hanging="851"/>
        <w:jc w:val="both"/>
      </w:pPr>
      <w:r>
        <w:rPr>
          <w:lang w:val="en-US" w:eastAsia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-728980</wp:posOffset>
            </wp:positionH>
            <wp:positionV relativeFrom="paragraph">
              <wp:posOffset>15875</wp:posOffset>
            </wp:positionV>
            <wp:extent cx="5786755" cy="7924800"/>
            <wp:effectExtent l="0" t="0" r="5080" b="0"/>
            <wp:wrapNone/>
            <wp:docPr id="16" name="Picture 16" descr="C:\Users\OPERATOR\Pictures\2025-10-14\2025-10-14 14-11-2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:\Users\OPERATOR\Pictures\2025-10-14\2025-10-14 14-11-20_000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1899" cy="7918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F97C95"/>
    <w:sectPr>
      <w:headerReference r:id="rId16" w:type="first"/>
      <w:footerReference r:id="rId18" w:type="first"/>
      <w:headerReference r:id="rId14" w:type="default"/>
      <w:footerReference r:id="rId17" w:type="default"/>
      <w:headerReference r:id="rId15" w:type="even"/>
      <w:pgSz w:w="11907" w:h="16840"/>
      <w:pgMar w:top="2268" w:right="1701" w:bottom="1701" w:left="226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05731835"/>
      <w:docPartObj>
        <w:docPartGallery w:val="AutoText"/>
      </w:docPartObj>
    </w:sdtPr>
    <w:sdtContent>
      <w:p w14:paraId="42A544EF">
        <w:pPr>
          <w:pStyle w:val="1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59B7FE10">
    <w:pPr>
      <w:pStyle w:val="9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FCA3C">
    <w:pPr>
      <w:pStyle w:val="13"/>
      <w:jc w:val="center"/>
    </w:pPr>
    <w:r>
      <w:t xml:space="preserve"> PAGE   \* MERGEFORMAT 87</w:t>
    </w:r>
  </w:p>
  <w:p w14:paraId="4B0E11EE"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6263A">
    <w:pPr>
      <w:pStyle w:val="9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2273472"/>
      <w:docPartObj>
        <w:docPartGallery w:val="AutoText"/>
      </w:docPartObj>
    </w:sdtPr>
    <w:sdtContent>
      <w:p w14:paraId="356CCDA7">
        <w:pPr>
          <w:pStyle w:val="1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14:paraId="5DDAF374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BD285">
    <w:pPr>
      <w:pStyle w:val="13"/>
      <w:jc w:val="center"/>
    </w:pPr>
    <w:r>
      <w:t xml:space="preserve"> PAGE   \* MERGEFORMAT i</w:t>
    </w:r>
  </w:p>
  <w:p w14:paraId="600D946B">
    <w:pPr>
      <w:pStyle w:val="13"/>
    </w:pPr>
  </w:p>
  <w:p w14:paraId="4B59CCE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F1692">
    <w:pPr>
      <w:pStyle w:val="16"/>
      <w:ind w:right="360"/>
    </w:pPr>
    <w:r>
      <w:rPr>
        <w:lang w:val="en-US" w:eastAsia="en-US"/>
      </w:rPr>
      <w:pict>
        <v:shape id="WordPictureWatermark2757499" o:spid="_x0000_s2072" o:spt="75" type="#_x0000_t75" style="position:absolute;left:0pt;height:391.6pt;width:396.9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umn-300x296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095B4">
    <w:pPr>
      <w:pStyle w:val="16"/>
    </w:pPr>
    <w:r>
      <w:rPr>
        <w:lang w:val="en-US" w:eastAsia="en-US"/>
      </w:rPr>
      <w:pict>
        <v:shape id="WordPictureWatermark2757498" o:spid="_x0000_s2071" o:spt="75" type="#_x0000_t75" style="position:absolute;left:0pt;height:391.6pt;width:396.9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umn-300x296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0DF2C">
    <w:pPr>
      <w:pStyle w:val="16"/>
    </w:pPr>
    <w:r>
      <w:rPr>
        <w:lang w:val="en-US" w:eastAsia="en-US"/>
      </w:rPr>
      <w:pict>
        <v:shape id="WordPictureWatermark2757497" o:spid="_x0000_s2070" o:spt="75" type="#_x0000_t75" style="position:absolute;left:0pt;height:391.6pt;width:396.9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umn-300x296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99925483"/>
      <w:docPartObj>
        <w:docPartGallery w:val="AutoText"/>
      </w:docPartObj>
    </w:sdtPr>
    <w:sdtContent>
      <w:p w14:paraId="50B33A14">
        <w:pPr>
          <w:pStyle w:val="16"/>
          <w:jc w:val="right"/>
        </w:pPr>
        <w:r>
          <w:rPr>
            <w:lang w:val="en-US" w:eastAsia="en-US"/>
          </w:rPr>
          <w:pict>
            <v:shape id="WordPictureWatermark2757502" o:spid="_x0000_s2075" o:spt="75" type="#_x0000_t75" style="position:absolute;left:0pt;height:391.6pt;width:396.9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umn-300x296"/>
              <o:lock v:ext="edit" aspectratio="t"/>
            </v:shape>
          </w:pic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12</w:t>
        </w:r>
        <w:r>
          <w:fldChar w:fldCharType="end"/>
        </w:r>
      </w:p>
    </w:sdtContent>
  </w:sdt>
  <w:p w14:paraId="73C98BC7">
    <w:pPr>
      <w:pStyle w:val="16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8DC3F">
    <w:pPr>
      <w:pStyle w:val="16"/>
    </w:pPr>
    <w:r>
      <w:rPr>
        <w:lang w:val="en-US" w:eastAsia="en-US"/>
      </w:rPr>
      <w:pict>
        <v:shape id="WordPictureWatermark2757501" o:spid="_x0000_s2074" o:spt="75" type="#_x0000_t75" style="position:absolute;left:0pt;height:391.6pt;width:396.9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umn-300x296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44D3">
    <w:pPr>
      <w:pStyle w:val="16"/>
    </w:pPr>
    <w:r>
      <w:rPr>
        <w:lang w:val="en-US" w:eastAsia="en-US"/>
      </w:rPr>
      <w:pict>
        <v:shape id="WordPictureWatermark2757500" o:spid="_x0000_s2073" o:spt="75" type="#_x0000_t75" style="position:absolute;left:0pt;height:391.6pt;width:396.9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umn-300x296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3CEDB">
    <w:pPr>
      <w:pStyle w:val="16"/>
    </w:pPr>
    <w:r>
      <w:rPr>
        <w:lang w:val="en-US" w:eastAsia="en-US"/>
      </w:rPr>
      <w:pict>
        <v:shape id="WordPictureWatermark2757463" o:spid="_x0000_s2054" o:spt="75" type="#_x0000_t75" style="position:absolute;left:0pt;height:391.6pt;width:396.9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umn-300x296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1B2F4">
    <w:pPr>
      <w:pStyle w:val="16"/>
    </w:pPr>
    <w:r>
      <w:rPr>
        <w:lang w:val="en-US" w:eastAsia="en-US"/>
      </w:rPr>
      <w:pict>
        <v:shape id="WordPictureWatermark2757462" o:spid="_x0000_s2053" o:spt="75" type="#_x0000_t75" style="position:absolute;left:0pt;height:391.6pt;width:396.9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umn-300x296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00522">
    <w:pPr>
      <w:pStyle w:val="16"/>
    </w:pPr>
    <w:r>
      <w:rPr>
        <w:lang w:val="en-US" w:eastAsia="en-US"/>
      </w:rPr>
      <w:pict>
        <v:shape id="WordPictureWatermark2757461" o:spid="_x0000_s2052" o:spt="75" type="#_x0000_t75" style="position:absolute;left:0pt;height:391.6pt;width:396.9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umn-300x296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4/76eMlFOb8WdcxYzOnO1XRdb5c=" w:salt="DwAa9h9UooKDNua1pxhl5g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035"/>
    <w:rsid w:val="00144486"/>
    <w:rsid w:val="003F2F10"/>
    <w:rsid w:val="00410035"/>
    <w:rsid w:val="0072744F"/>
    <w:rsid w:val="008E6C00"/>
    <w:rsid w:val="00BF4666"/>
    <w:rsid w:val="00C81AC8"/>
    <w:rsid w:val="00CD40B8"/>
    <w:rsid w:val="00D61A86"/>
    <w:rsid w:val="00E04C13"/>
    <w:rsid w:val="00FE4B08"/>
    <w:rsid w:val="00FE55A0"/>
    <w:rsid w:val="5CD6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nhideWhenUsed="0" w:uiPriority="1" w:semiHidden="0" w:name="toc 4"/>
    <w:lsdException w:qFormat="1" w:uiPriority="1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qFormat="1"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id-ID" w:eastAsia="en-US" w:bidi="ar-SA"/>
    </w:rPr>
  </w:style>
  <w:style w:type="paragraph" w:styleId="2">
    <w:name w:val="heading 1"/>
    <w:basedOn w:val="1"/>
    <w:next w:val="1"/>
    <w:link w:val="29"/>
    <w:qFormat/>
    <w:uiPriority w:val="1"/>
    <w:pPr>
      <w:keepNext/>
      <w:keepLines/>
      <w:spacing w:before="480" w:line="259" w:lineRule="auto"/>
      <w:outlineLvl w:val="0"/>
    </w:pPr>
    <w:rPr>
      <w:rFonts w:ascii="Calibri Light" w:hAnsi="Calibri Light"/>
      <w:b/>
      <w:bCs/>
      <w:color w:val="2E74B5"/>
      <w:sz w:val="28"/>
      <w:szCs w:val="28"/>
      <w:lang w:val="zh-CN" w:eastAsia="zh-CN"/>
    </w:rPr>
  </w:style>
  <w:style w:type="paragraph" w:styleId="3">
    <w:name w:val="heading 2"/>
    <w:basedOn w:val="1"/>
    <w:next w:val="1"/>
    <w:link w:val="32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8"/>
    <w:unhideWhenUsed/>
    <w:qFormat/>
    <w:uiPriority w:val="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zh-CN"/>
    </w:rPr>
  </w:style>
  <w:style w:type="paragraph" w:styleId="5">
    <w:name w:val="heading 4"/>
    <w:basedOn w:val="1"/>
    <w:next w:val="1"/>
    <w:link w:val="39"/>
    <w:semiHidden/>
    <w:unhideWhenUsed/>
    <w:qFormat/>
    <w:uiPriority w:val="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3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46"/>
    <w:qFormat/>
    <w:uiPriority w:val="1"/>
    <w:pPr>
      <w:widowControl w:val="0"/>
      <w:spacing w:after="240" w:line="480" w:lineRule="auto"/>
    </w:pPr>
    <w:rPr>
      <w:sz w:val="20"/>
      <w:szCs w:val="20"/>
      <w:lang w:val="zh-CN" w:eastAsia="zh-CN"/>
    </w:rPr>
  </w:style>
  <w:style w:type="character" w:styleId="10">
    <w:name w:val="Emphasis"/>
    <w:qFormat/>
    <w:uiPriority w:val="20"/>
    <w:rPr>
      <w:i/>
      <w:iCs/>
    </w:r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paragraph" w:styleId="12">
    <w:name w:val="endnote text"/>
    <w:basedOn w:val="1"/>
    <w:link w:val="54"/>
    <w:semiHidden/>
    <w:unhideWhenUsed/>
    <w:qFormat/>
    <w:uiPriority w:val="99"/>
    <w:pPr>
      <w:spacing w:after="210" w:line="480" w:lineRule="auto"/>
      <w:ind w:left="1080" w:hanging="360"/>
      <w:jc w:val="both"/>
    </w:pPr>
    <w:rPr>
      <w:rFonts w:ascii="Calibri" w:hAnsi="Calibri" w:eastAsia="Calibri"/>
      <w:sz w:val="20"/>
      <w:szCs w:val="20"/>
      <w:lang w:val="en-US"/>
    </w:rPr>
  </w:style>
  <w:style w:type="paragraph" w:styleId="13">
    <w:name w:val="footer"/>
    <w:basedOn w:val="1"/>
    <w:link w:val="27"/>
    <w:unhideWhenUsed/>
    <w:qFormat/>
    <w:uiPriority w:val="99"/>
    <w:pPr>
      <w:tabs>
        <w:tab w:val="center" w:pos="4513"/>
        <w:tab w:val="right" w:pos="9026"/>
      </w:tabs>
    </w:pPr>
    <w:rPr>
      <w:sz w:val="20"/>
      <w:szCs w:val="20"/>
      <w:lang w:val="zh-CN" w:eastAsia="zh-CN"/>
    </w:rPr>
  </w:style>
  <w:style w:type="character" w:styleId="14">
    <w:name w:val="footnote reference"/>
    <w:unhideWhenUsed/>
    <w:qFormat/>
    <w:uiPriority w:val="99"/>
    <w:rPr>
      <w:rFonts w:cs="Times New Roman"/>
      <w:vertAlign w:val="superscript"/>
    </w:rPr>
  </w:style>
  <w:style w:type="paragraph" w:styleId="15">
    <w:name w:val="footnote text"/>
    <w:basedOn w:val="1"/>
    <w:link w:val="34"/>
    <w:unhideWhenUsed/>
    <w:qFormat/>
    <w:uiPriority w:val="99"/>
    <w:rPr>
      <w:sz w:val="20"/>
      <w:szCs w:val="20"/>
      <w:lang w:val="zh-CN" w:eastAsia="zh-CN"/>
    </w:rPr>
  </w:style>
  <w:style w:type="paragraph" w:styleId="16">
    <w:name w:val="header"/>
    <w:basedOn w:val="1"/>
    <w:link w:val="28"/>
    <w:unhideWhenUsed/>
    <w:qFormat/>
    <w:uiPriority w:val="99"/>
    <w:pPr>
      <w:tabs>
        <w:tab w:val="center" w:pos="4513"/>
        <w:tab w:val="right" w:pos="9026"/>
      </w:tabs>
    </w:pPr>
    <w:rPr>
      <w:sz w:val="20"/>
      <w:szCs w:val="20"/>
      <w:lang w:val="zh-CN" w:eastAsia="zh-CN"/>
    </w:rPr>
  </w:style>
  <w:style w:type="character" w:styleId="17">
    <w:name w:val="Hyperlink"/>
    <w:unhideWhenUsed/>
    <w:qFormat/>
    <w:uiPriority w:val="99"/>
    <w:rPr>
      <w:rFonts w:cs="Times New Roman"/>
      <w:color w:val="0000FF"/>
      <w:u w:val="single"/>
    </w:rPr>
  </w:style>
  <w:style w:type="paragraph" w:styleId="18">
    <w:name w:val="Normal (Web)"/>
    <w:basedOn w:val="1"/>
    <w:unhideWhenUsed/>
    <w:qFormat/>
    <w:uiPriority w:val="99"/>
    <w:pPr>
      <w:spacing w:before="100" w:beforeAutospacing="1" w:after="100" w:afterAutospacing="1"/>
    </w:pPr>
    <w:rPr>
      <w:lang w:val="en-US"/>
    </w:rPr>
  </w:style>
  <w:style w:type="character" w:styleId="19">
    <w:name w:val="page number"/>
    <w:semiHidden/>
    <w:unhideWhenUsed/>
    <w:qFormat/>
    <w:uiPriority w:val="99"/>
    <w:rPr>
      <w:rFonts w:cs="Times New Roman"/>
    </w:rPr>
  </w:style>
  <w:style w:type="character" w:styleId="20">
    <w:name w:val="Strong"/>
    <w:qFormat/>
    <w:uiPriority w:val="22"/>
    <w:rPr>
      <w:b/>
      <w:bCs/>
    </w:rPr>
  </w:style>
  <w:style w:type="table" w:styleId="21">
    <w:name w:val="Table Grid"/>
    <w:basedOn w:val="7"/>
    <w:qFormat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toc 1"/>
    <w:basedOn w:val="1"/>
    <w:next w:val="1"/>
    <w:autoRedefine/>
    <w:unhideWhenUsed/>
    <w:qFormat/>
    <w:uiPriority w:val="39"/>
    <w:pPr>
      <w:tabs>
        <w:tab w:val="right" w:leader="dot" w:pos="7927"/>
      </w:tabs>
      <w:spacing w:line="360" w:lineRule="auto"/>
      <w:ind w:left="1134" w:hanging="1134"/>
      <w:jc w:val="both"/>
    </w:pPr>
    <w:rPr>
      <w:b/>
      <w:color w:val="0D0D0D" w:themeColor="text1" w:themeTint="F2"/>
      <w:lang w:val="en-US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styleId="23">
    <w:name w:val="toc 2"/>
    <w:basedOn w:val="1"/>
    <w:next w:val="1"/>
    <w:autoRedefine/>
    <w:unhideWhenUsed/>
    <w:qFormat/>
    <w:uiPriority w:val="39"/>
    <w:pPr>
      <w:tabs>
        <w:tab w:val="left" w:pos="880"/>
        <w:tab w:val="left" w:pos="1760"/>
        <w:tab w:val="right" w:leader="dot" w:pos="7927"/>
      </w:tabs>
      <w:spacing w:after="100"/>
      <w:ind w:left="1560" w:hanging="426"/>
    </w:pPr>
    <w:rPr>
      <w:bCs/>
      <w:lang w:val="en-US" w:eastAsia="id-ID"/>
    </w:rPr>
  </w:style>
  <w:style w:type="paragraph" w:styleId="24">
    <w:name w:val="toc 3"/>
    <w:basedOn w:val="1"/>
    <w:next w:val="1"/>
    <w:autoRedefine/>
    <w:unhideWhenUsed/>
    <w:qFormat/>
    <w:uiPriority w:val="39"/>
    <w:pPr>
      <w:spacing w:after="100"/>
      <w:ind w:left="480"/>
    </w:pPr>
  </w:style>
  <w:style w:type="paragraph" w:styleId="25">
    <w:name w:val="toc 4"/>
    <w:basedOn w:val="1"/>
    <w:qFormat/>
    <w:uiPriority w:val="1"/>
    <w:pPr>
      <w:widowControl w:val="0"/>
      <w:autoSpaceDE w:val="0"/>
      <w:autoSpaceDN w:val="0"/>
      <w:spacing w:before="276"/>
      <w:ind w:left="3525" w:hanging="302"/>
    </w:pPr>
    <w:rPr>
      <w:lang w:val="id"/>
    </w:rPr>
  </w:style>
  <w:style w:type="paragraph" w:styleId="26">
    <w:name w:val="toc 5"/>
    <w:basedOn w:val="1"/>
    <w:next w:val="1"/>
    <w:autoRedefine/>
    <w:unhideWhenUsed/>
    <w:qFormat/>
    <w:uiPriority w:val="1"/>
    <w:pPr>
      <w:ind w:left="960"/>
    </w:pPr>
  </w:style>
  <w:style w:type="character" w:customStyle="1" w:styleId="27">
    <w:name w:val="Footer Char"/>
    <w:basedOn w:val="6"/>
    <w:link w:val="13"/>
    <w:qFormat/>
    <w:uiPriority w:val="99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28">
    <w:name w:val="Header Char"/>
    <w:basedOn w:val="6"/>
    <w:link w:val="16"/>
    <w:qFormat/>
    <w:uiPriority w:val="99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29">
    <w:name w:val="Heading 1 Char"/>
    <w:basedOn w:val="6"/>
    <w:link w:val="2"/>
    <w:qFormat/>
    <w:uiPriority w:val="1"/>
    <w:rPr>
      <w:rFonts w:ascii="Calibri Light" w:hAnsi="Calibri Light" w:eastAsia="Times New Roman" w:cs="Times New Roman"/>
      <w:b/>
      <w:bCs/>
      <w:color w:val="2E74B5"/>
      <w:sz w:val="28"/>
      <w:szCs w:val="28"/>
      <w:lang w:val="zh-CN" w:eastAsia="zh-CN"/>
    </w:rPr>
  </w:style>
  <w:style w:type="paragraph" w:customStyle="1" w:styleId="30">
    <w:name w:val="TOC Heading"/>
    <w:basedOn w:val="2"/>
    <w:next w:val="1"/>
    <w:semiHidden/>
    <w:unhideWhenUsed/>
    <w:qFormat/>
    <w:uiPriority w:val="39"/>
    <w:pPr>
      <w:spacing w:line="276" w:lineRule="auto"/>
      <w:outlineLvl w:val="9"/>
    </w:pPr>
    <w:rPr>
      <w:rFonts w:ascii="Cambria" w:hAnsi="Cambria"/>
      <w:color w:val="365F91"/>
      <w:lang w:val="en-US"/>
    </w:rPr>
  </w:style>
  <w:style w:type="character" w:customStyle="1" w:styleId="31">
    <w:name w:val="Balloon Text Char"/>
    <w:basedOn w:val="6"/>
    <w:link w:val="8"/>
    <w:semiHidden/>
    <w:qFormat/>
    <w:uiPriority w:val="99"/>
    <w:rPr>
      <w:rFonts w:ascii="Tahoma" w:hAnsi="Tahoma" w:eastAsia="Times New Roman" w:cs="Tahoma"/>
      <w:sz w:val="16"/>
      <w:szCs w:val="16"/>
      <w:lang w:val="id-ID"/>
    </w:rPr>
  </w:style>
  <w:style w:type="character" w:customStyle="1" w:styleId="32">
    <w:name w:val="Heading 2 Char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id-ID"/>
      <w14:textFill>
        <w14:solidFill>
          <w14:schemeClr w14:val="accent1"/>
        </w14:solidFill>
      </w14:textFill>
    </w:rPr>
  </w:style>
  <w:style w:type="paragraph" w:styleId="33">
    <w:name w:val="List Paragraph"/>
    <w:basedOn w:val="1"/>
    <w:link w:val="35"/>
    <w:qFormat/>
    <w:uiPriority w:val="1"/>
    <w:pPr>
      <w:ind w:left="720"/>
      <w:contextualSpacing/>
    </w:pPr>
    <w:rPr>
      <w:sz w:val="20"/>
      <w:szCs w:val="20"/>
      <w:lang w:val="zh-CN" w:eastAsia="zh-CN"/>
    </w:rPr>
  </w:style>
  <w:style w:type="character" w:customStyle="1" w:styleId="34">
    <w:name w:val="Footnote Text Char"/>
    <w:basedOn w:val="6"/>
    <w:link w:val="15"/>
    <w:qFormat/>
    <w:uiPriority w:val="99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35">
    <w:name w:val="List Paragraph Char"/>
    <w:link w:val="33"/>
    <w:qFormat/>
    <w:locked/>
    <w:uiPriority w:val="1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36">
    <w:name w:val="Body text_"/>
    <w:link w:val="37"/>
    <w:qFormat/>
    <w:locked/>
    <w:uiPriority w:val="0"/>
  </w:style>
  <w:style w:type="paragraph" w:customStyle="1" w:styleId="37">
    <w:name w:val="Body Text1"/>
    <w:basedOn w:val="1"/>
    <w:link w:val="36"/>
    <w:qFormat/>
    <w:uiPriority w:val="0"/>
    <w:pPr>
      <w:widowControl w:val="0"/>
      <w:spacing w:line="480" w:lineRule="auto"/>
      <w:ind w:firstLine="400"/>
    </w:pPr>
    <w:rPr>
      <w:rFonts w:asciiTheme="minorHAnsi" w:hAnsiTheme="minorHAnsi" w:eastAsiaTheme="minorHAnsi" w:cstheme="minorBidi"/>
      <w:sz w:val="22"/>
      <w:szCs w:val="22"/>
      <w:lang w:val="en-US"/>
    </w:rPr>
  </w:style>
  <w:style w:type="character" w:customStyle="1" w:styleId="38">
    <w:name w:val="Heading 3 Char"/>
    <w:basedOn w:val="6"/>
    <w:link w:val="4"/>
    <w:qFormat/>
    <w:uiPriority w:val="9"/>
    <w:rPr>
      <w:rFonts w:ascii="Cambria" w:hAnsi="Cambria" w:eastAsia="Times New Roman" w:cs="Times New Roman"/>
      <w:b/>
      <w:bCs/>
      <w:sz w:val="26"/>
      <w:szCs w:val="26"/>
      <w:lang w:val="id-ID" w:eastAsia="zh-CN"/>
    </w:rPr>
  </w:style>
  <w:style w:type="character" w:customStyle="1" w:styleId="39">
    <w:name w:val="Heading 4 Char"/>
    <w:basedOn w:val="6"/>
    <w:link w:val="5"/>
    <w:semiHidden/>
    <w:qFormat/>
    <w:uiPriority w:val="9"/>
    <w:rPr>
      <w:rFonts w:ascii="Calibri" w:hAnsi="Calibri" w:eastAsia="Times New Roman" w:cs="Times New Roman"/>
      <w:b/>
      <w:bCs/>
      <w:sz w:val="28"/>
      <w:szCs w:val="28"/>
      <w:lang w:val="id-ID"/>
    </w:rPr>
  </w:style>
  <w:style w:type="character" w:customStyle="1" w:styleId="40">
    <w:name w:val="Footnote_"/>
    <w:link w:val="41"/>
    <w:qFormat/>
    <w:locked/>
    <w:uiPriority w:val="0"/>
    <w:rPr>
      <w:rFonts w:cs="Times New Roman"/>
      <w:sz w:val="20"/>
      <w:szCs w:val="20"/>
    </w:rPr>
  </w:style>
  <w:style w:type="paragraph" w:customStyle="1" w:styleId="41">
    <w:name w:val="Footnote"/>
    <w:basedOn w:val="1"/>
    <w:link w:val="40"/>
    <w:qFormat/>
    <w:uiPriority w:val="0"/>
    <w:pPr>
      <w:widowControl w:val="0"/>
    </w:pPr>
    <w:rPr>
      <w:rFonts w:asciiTheme="minorHAnsi" w:hAnsiTheme="minorHAnsi" w:eastAsiaTheme="minorHAnsi"/>
      <w:sz w:val="20"/>
      <w:szCs w:val="20"/>
      <w:lang w:val="en-US"/>
    </w:rPr>
  </w:style>
  <w:style w:type="paragraph" w:customStyle="1" w:styleId="42">
    <w:name w:val="Heading #1"/>
    <w:basedOn w:val="1"/>
    <w:link w:val="43"/>
    <w:qFormat/>
    <w:uiPriority w:val="0"/>
    <w:pPr>
      <w:widowControl w:val="0"/>
      <w:spacing w:after="220" w:line="480" w:lineRule="auto"/>
      <w:outlineLvl w:val="0"/>
    </w:pPr>
    <w:rPr>
      <w:b/>
      <w:bCs/>
      <w:sz w:val="20"/>
      <w:szCs w:val="20"/>
      <w:lang w:val="zh-CN" w:eastAsia="zh-CN"/>
    </w:rPr>
  </w:style>
  <w:style w:type="character" w:customStyle="1" w:styleId="43">
    <w:name w:val="Heading #1_"/>
    <w:link w:val="42"/>
    <w:qFormat/>
    <w:locked/>
    <w:uiPriority w:val="0"/>
    <w:rPr>
      <w:rFonts w:ascii="Times New Roman" w:hAnsi="Times New Roman" w:eastAsia="Times New Roman" w:cs="Times New Roman"/>
      <w:b/>
      <w:bCs/>
      <w:sz w:val="20"/>
      <w:szCs w:val="20"/>
      <w:lang w:val="zh-CN" w:eastAsia="zh-CN"/>
    </w:rPr>
  </w:style>
  <w:style w:type="character" w:customStyle="1" w:styleId="44">
    <w:name w:val="Body text (5)_"/>
    <w:link w:val="45"/>
    <w:qFormat/>
    <w:locked/>
    <w:uiPriority w:val="0"/>
    <w:rPr>
      <w:rFonts w:cs="Times New Roman"/>
      <w:sz w:val="16"/>
      <w:szCs w:val="16"/>
    </w:rPr>
  </w:style>
  <w:style w:type="paragraph" w:customStyle="1" w:styleId="45">
    <w:name w:val="Body text (5)"/>
    <w:basedOn w:val="1"/>
    <w:link w:val="44"/>
    <w:qFormat/>
    <w:uiPriority w:val="0"/>
    <w:pPr>
      <w:widowControl w:val="0"/>
      <w:spacing w:line="218" w:lineRule="auto"/>
      <w:ind w:right="1560"/>
      <w:jc w:val="right"/>
    </w:pPr>
    <w:rPr>
      <w:rFonts w:asciiTheme="minorHAnsi" w:hAnsiTheme="minorHAnsi" w:eastAsiaTheme="minorHAnsi"/>
      <w:sz w:val="16"/>
      <w:szCs w:val="16"/>
      <w:lang w:val="en-US"/>
    </w:rPr>
  </w:style>
  <w:style w:type="character" w:customStyle="1" w:styleId="46">
    <w:name w:val="Body Text Char"/>
    <w:basedOn w:val="6"/>
    <w:link w:val="9"/>
    <w:qFormat/>
    <w:uiPriority w:val="1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47">
    <w:name w:val="Heading #4_"/>
    <w:link w:val="48"/>
    <w:qFormat/>
    <w:uiPriority w:val="0"/>
    <w:rPr>
      <w:b/>
      <w:bCs/>
    </w:rPr>
  </w:style>
  <w:style w:type="paragraph" w:customStyle="1" w:styleId="48">
    <w:name w:val="Heading #4"/>
    <w:basedOn w:val="1"/>
    <w:link w:val="47"/>
    <w:qFormat/>
    <w:uiPriority w:val="0"/>
    <w:pPr>
      <w:widowControl w:val="0"/>
      <w:spacing w:line="480" w:lineRule="auto"/>
      <w:outlineLvl w:val="3"/>
    </w:pPr>
    <w:rPr>
      <w:rFonts w:asciiTheme="minorHAnsi" w:hAnsiTheme="minorHAnsi" w:eastAsiaTheme="minorHAnsi" w:cstheme="minorBidi"/>
      <w:b/>
      <w:bCs/>
      <w:sz w:val="22"/>
      <w:szCs w:val="22"/>
      <w:lang w:val="en-US"/>
    </w:rPr>
  </w:style>
  <w:style w:type="character" w:customStyle="1" w:styleId="49">
    <w:name w:val="Body text (3)_"/>
    <w:link w:val="50"/>
    <w:qFormat/>
    <w:uiPriority w:val="0"/>
    <w:rPr>
      <w:b/>
      <w:bCs/>
      <w:sz w:val="28"/>
      <w:szCs w:val="28"/>
    </w:rPr>
  </w:style>
  <w:style w:type="paragraph" w:customStyle="1" w:styleId="50">
    <w:name w:val="Body text (3)"/>
    <w:basedOn w:val="1"/>
    <w:link w:val="49"/>
    <w:qFormat/>
    <w:uiPriority w:val="0"/>
    <w:pPr>
      <w:widowControl w:val="0"/>
      <w:spacing w:line="235" w:lineRule="auto"/>
      <w:ind w:firstLine="40"/>
    </w:pPr>
    <w:rPr>
      <w:rFonts w:asciiTheme="minorHAnsi" w:hAnsiTheme="minorHAnsi" w:eastAsiaTheme="minorHAnsi" w:cstheme="minorBidi"/>
      <w:b/>
      <w:bCs/>
      <w:sz w:val="28"/>
      <w:szCs w:val="28"/>
      <w:lang w:val="en-US"/>
    </w:rPr>
  </w:style>
  <w:style w:type="paragraph" w:styleId="51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id-ID" w:eastAsia="en-US" w:bidi="ar-SA"/>
    </w:rPr>
  </w:style>
  <w:style w:type="character" w:customStyle="1" w:styleId="52">
    <w:name w:val="Header or footer (2)_"/>
    <w:link w:val="53"/>
    <w:qFormat/>
    <w:uiPriority w:val="0"/>
  </w:style>
  <w:style w:type="paragraph" w:customStyle="1" w:styleId="53">
    <w:name w:val="Header or footer (2)"/>
    <w:basedOn w:val="1"/>
    <w:link w:val="52"/>
    <w:qFormat/>
    <w:uiPriority w:val="0"/>
    <w:pPr>
      <w:widowControl w:val="0"/>
    </w:pPr>
    <w:rPr>
      <w:rFonts w:asciiTheme="minorHAnsi" w:hAnsiTheme="minorHAnsi" w:eastAsiaTheme="minorHAnsi" w:cstheme="minorBidi"/>
      <w:sz w:val="22"/>
      <w:szCs w:val="22"/>
      <w:lang w:val="en-US"/>
    </w:rPr>
  </w:style>
  <w:style w:type="character" w:customStyle="1" w:styleId="54">
    <w:name w:val="Endnote Text Char"/>
    <w:basedOn w:val="6"/>
    <w:link w:val="12"/>
    <w:semiHidden/>
    <w:qFormat/>
    <w:uiPriority w:val="99"/>
    <w:rPr>
      <w:rFonts w:ascii="Calibri" w:hAnsi="Calibri" w:eastAsia="Calibri" w:cs="Times New Roman"/>
      <w:sz w:val="20"/>
      <w:szCs w:val="20"/>
    </w:rPr>
  </w:style>
  <w:style w:type="paragraph" w:customStyle="1" w:styleId="55">
    <w:name w:val="Table Paragraph"/>
    <w:basedOn w:val="1"/>
    <w:qFormat/>
    <w:uiPriority w:val="1"/>
    <w:pPr>
      <w:widowControl w:val="0"/>
      <w:autoSpaceDE w:val="0"/>
      <w:autoSpaceDN w:val="0"/>
    </w:pPr>
    <w:rPr>
      <w:sz w:val="22"/>
      <w:szCs w:val="22"/>
      <w:lang w:val="i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footnotes" Target="footnotes.xml"/><Relationship Id="rId29" Type="http://schemas.openxmlformats.org/officeDocument/2006/relationships/image" Target="media/image11.jpeg"/><Relationship Id="rId28" Type="http://schemas.openxmlformats.org/officeDocument/2006/relationships/image" Target="media/image10.jpeg"/><Relationship Id="rId27" Type="http://schemas.openxmlformats.org/officeDocument/2006/relationships/image" Target="media/image9.jpeg"/><Relationship Id="rId26" Type="http://schemas.openxmlformats.org/officeDocument/2006/relationships/image" Target="media/image8.jpeg"/><Relationship Id="rId25" Type="http://schemas.openxmlformats.org/officeDocument/2006/relationships/image" Target="media/image7.jpeg"/><Relationship Id="rId24" Type="http://schemas.openxmlformats.org/officeDocument/2006/relationships/image" Target="media/image6.jpeg"/><Relationship Id="rId23" Type="http://schemas.openxmlformats.org/officeDocument/2006/relationships/image" Target="media/image5.jpeg"/><Relationship Id="rId22" Type="http://schemas.openxmlformats.org/officeDocument/2006/relationships/image" Target="media/image4.jpeg"/><Relationship Id="rId21" Type="http://schemas.openxmlformats.org/officeDocument/2006/relationships/image" Target="media/image3.jpeg"/><Relationship Id="rId20" Type="http://schemas.openxmlformats.org/officeDocument/2006/relationships/image" Target="media/image2.jpeg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5.xml"/><Relationship Id="rId17" Type="http://schemas.openxmlformats.org/officeDocument/2006/relationships/footer" Target="footer4.xml"/><Relationship Id="rId16" Type="http://schemas.openxmlformats.org/officeDocument/2006/relationships/header" Target="header9.xml"/><Relationship Id="rId15" Type="http://schemas.openxmlformats.org/officeDocument/2006/relationships/header" Target="header8.xml"/><Relationship Id="rId14" Type="http://schemas.openxmlformats.org/officeDocument/2006/relationships/header" Target="header7.xml"/><Relationship Id="rId13" Type="http://schemas.openxmlformats.org/officeDocument/2006/relationships/footer" Target="footer3.xml"/><Relationship Id="rId12" Type="http://schemas.openxmlformats.org/officeDocument/2006/relationships/header" Target="header6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72"/>
    <customShpInfo spid="_x0000_s2071"/>
    <customShpInfo spid="_x0000_s2070"/>
    <customShpInfo spid="_x0000_s2075"/>
    <customShpInfo spid="_x0000_s2074"/>
    <customShpInfo spid="_x0000_s2073"/>
    <customShpInfo spid="_x0000_s2054"/>
    <customShpInfo spid="_x0000_s2053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633</Words>
  <Characters>4333</Characters>
  <Lines>35</Lines>
  <Paragraphs>10</Paragraphs>
  <TotalTime>0</TotalTime>
  <ScaleCrop>false</ScaleCrop>
  <LinksUpToDate>false</LinksUpToDate>
  <CharactersWithSpaces>4921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2025-10-14T07:16:00Z</dcterms:created>
  <dc:creator>OPERATOR</dc:creator>
  <cp:lastModifiedBy>Administrator</cp:lastModifiedBy>
  <dcterms:modified xsi:type="dcterms:W3CDTF">2026-09-21T07:58:37Z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DAEF5BF3DE944D40858C43D8B024DE93_13</vt:lpwstr>
  </property>
</Properties>
</file>