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4078E">
      <w:pPr>
        <w:spacing w:after="0"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BAB II </w:t>
      </w:r>
    </w:p>
    <w:p w14:paraId="21978B48">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KAJIAN PUSTAKA</w:t>
      </w:r>
    </w:p>
    <w:p w14:paraId="23573621">
      <w:pPr>
        <w:spacing w:after="0" w:line="240" w:lineRule="auto"/>
        <w:jc w:val="center"/>
        <w:rPr>
          <w:rFonts w:ascii="Times New Roman" w:hAnsi="Times New Roman" w:cs="Times New Roman"/>
          <w:sz w:val="24"/>
          <w:szCs w:val="24"/>
        </w:rPr>
      </w:pPr>
    </w:p>
    <w:p w14:paraId="557F3B3F">
      <w:pPr>
        <w:pStyle w:val="23"/>
        <w:numPr>
          <w:ilvl w:val="0"/>
          <w:numId w:val="1"/>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GAMBARAN UMUM TENTANG PENEGAKAN HUKUM</w:t>
      </w:r>
    </w:p>
    <w:p w14:paraId="3D3732DB">
      <w:pPr>
        <w:pStyle w:val="23"/>
        <w:numPr>
          <w:ilvl w:val="0"/>
          <w:numId w:val="2"/>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Pengertian Penegakan Hukum</w:t>
      </w:r>
    </w:p>
    <w:p w14:paraId="2C0C905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Sebelum membahas lebih jauh mengenai penegakan hukum, ada baiknya apabila kita memahami terlebih dulu arti atau makna dari hukum itu sendiri. Menurut pendapat Sudikno Mertokusumo, hukum merupakan keseluruhan kumpulan peraturan atau kaidah dalam kehidupan bersama, yang di dalamnya terdapat peraturan tentang tingkah laku yang berlaku dalam kehidupan bersama dan dapat dipaksakan disertai dengan suatu sanksi. Pendapat ini menunjukkan sifat memaksa dari hukum sehingga wajib untuk diterapkan dalam kehidupan masyarakat</w:t>
      </w:r>
      <w:r>
        <w:rPr>
          <w:rStyle w:val="15"/>
          <w:rFonts w:ascii="Times New Roman" w:hAnsi="Times New Roman" w:cs="Times New Roman"/>
          <w:sz w:val="24"/>
          <w:szCs w:val="24"/>
        </w:rPr>
        <w:footnoteReference w:id="0"/>
      </w:r>
      <w:r>
        <w:rPr>
          <w:rFonts w:ascii="Times New Roman" w:hAnsi="Times New Roman" w:cs="Times New Roman"/>
          <w:sz w:val="24"/>
          <w:szCs w:val="24"/>
        </w:rPr>
        <w:t>.</w:t>
      </w:r>
    </w:p>
    <w:p w14:paraId="3FD777A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pendapat Mochtar Kusumaatmadja dalam buku yang ditulis oleh Yuhelson, hukum tidak hanya diartikan sebagai seperangkat kaidah dan asas-asas yang mengatur kehidupan manusia dalam masyarakat melainkan hukum mencakup juga lembaga dan proses yang diperlukan untuk mewujudkan hukum dalam kenyataan. Hukum juga mempunyai berbagai makna yang telah dipaparkan oleh para ahli. Pada awalnya hukum hanya dipahami sebagai hukum yang muncul secara serta merta (</w:t>
      </w:r>
      <w:r>
        <w:rPr>
          <w:rFonts w:ascii="Times New Roman" w:hAnsi="Times New Roman" w:cs="Times New Roman"/>
          <w:i/>
          <w:iCs/>
          <w:sz w:val="24"/>
          <w:szCs w:val="24"/>
        </w:rPr>
        <w:t>interactional law</w:t>
      </w:r>
      <w:r>
        <w:rPr>
          <w:rFonts w:ascii="Times New Roman" w:hAnsi="Times New Roman" w:cs="Times New Roman"/>
          <w:sz w:val="24"/>
          <w:szCs w:val="24"/>
        </w:rPr>
        <w:t>)</w:t>
      </w:r>
      <w:r>
        <w:rPr>
          <w:rStyle w:val="15"/>
          <w:rFonts w:ascii="Times New Roman" w:hAnsi="Times New Roman" w:cs="Times New Roman"/>
          <w:sz w:val="24"/>
          <w:szCs w:val="24"/>
        </w:rPr>
        <w:footnoteReference w:id="1"/>
      </w:r>
      <w:r>
        <w:rPr>
          <w:rFonts w:ascii="Times New Roman" w:hAnsi="Times New Roman" w:cs="Times New Roman"/>
          <w:sz w:val="24"/>
          <w:szCs w:val="24"/>
        </w:rPr>
        <w:t>.</w:t>
      </w:r>
    </w:p>
    <w:p w14:paraId="67EE0D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Seiring dengan perkembangan zaman, maka telah terjadi pergeseran terhadap makna hukum sehingga dikenal juga istilah hukum sebagai teks, dalam hal ini hukum hanya diartikan sebagai peraturan yang sengaja dibuat dan dapat dijumpai dalam teks atau perundangundangan (</w:t>
      </w:r>
      <w:r>
        <w:rPr>
          <w:rFonts w:ascii="Times New Roman" w:hAnsi="Times New Roman" w:cs="Times New Roman"/>
          <w:i/>
          <w:iCs/>
          <w:sz w:val="24"/>
          <w:szCs w:val="24"/>
        </w:rPr>
        <w:t>legislated law</w:t>
      </w:r>
      <w:r>
        <w:rPr>
          <w:rFonts w:ascii="Times New Roman" w:hAnsi="Times New Roman" w:cs="Times New Roman"/>
          <w:sz w:val="24"/>
          <w:szCs w:val="24"/>
        </w:rPr>
        <w:t>). Proses mengenal hukum sebagai teks menurut pendapat Satjipto Rahardjo dianggap sebagai sebuah proses yang menyempit, hal ini dikarenakan hukum yang didasarkan hanya pada teks memiliki kecenderungan kuat untuk menerapkan hukum secara kaku dan regimentatif. Proses berhukum yang seperti ini dapat menimbulkan permasalahan besar khususnya yang berkaitan dengan keadilan</w:t>
      </w:r>
      <w:r>
        <w:rPr>
          <w:rStyle w:val="15"/>
          <w:rFonts w:ascii="Times New Roman" w:hAnsi="Times New Roman" w:cs="Times New Roman"/>
          <w:sz w:val="24"/>
          <w:szCs w:val="24"/>
        </w:rPr>
        <w:footnoteReference w:id="2"/>
      </w:r>
      <w:r>
        <w:rPr>
          <w:rFonts w:ascii="Times New Roman" w:hAnsi="Times New Roman" w:cs="Times New Roman"/>
          <w:sz w:val="24"/>
          <w:szCs w:val="24"/>
        </w:rPr>
        <w:t xml:space="preserve">. </w:t>
      </w:r>
    </w:p>
    <w:p w14:paraId="1D0B9B2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Sebagai upaya untuk mengatasi kekakuan hukum maka muncullah gagasan makna hukum dan masyarakat. Hukum dan masyarakat bermakna bahwa agar dapat memahami hukum dengan baik maka hukum tersebut tidak boleh dilepaskan dari masyarakat tempat hukum berada dan bekerja. Hubungan yang erat antara hukum dan masyarakat juga terjadi karena hukum sendiri dapat ditemukan dalam gagasan, tradisi, nilai, dan tujuan yang ada dalam masyarakat.</w:t>
      </w:r>
    </w:p>
    <w:p w14:paraId="614166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juga dapat dimaknai sebagai perilaku. Makna hukum sebagai perilaku mengartikan hukum bukan hanya sebagai bentuk peraturan tertulis melainkan hukum juga dapat diartikan sebagai perilaku masyarakat. Dalam hal ini sangat diperlukan adanya perubahan dalam memaknai konsep hukum, sehingga hukum tidak hanya dimaknai sebagai peraturan melainkan dapat dimaknai juga sebagai perilaku.</w:t>
      </w:r>
    </w:p>
    <w:p w14:paraId="4024F80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pendapat Roscoe Pound, hukum juga dapat dimaknai sebagai </w:t>
      </w:r>
      <w:r>
        <w:rPr>
          <w:rFonts w:ascii="Times New Roman" w:hAnsi="Times New Roman" w:cs="Times New Roman"/>
          <w:i/>
          <w:iCs/>
          <w:sz w:val="24"/>
          <w:szCs w:val="24"/>
        </w:rPr>
        <w:t xml:space="preserve">social control </w:t>
      </w:r>
      <w:r>
        <w:rPr>
          <w:rFonts w:ascii="Times New Roman" w:hAnsi="Times New Roman" w:cs="Times New Roman"/>
          <w:sz w:val="24"/>
          <w:szCs w:val="24"/>
        </w:rPr>
        <w:t xml:space="preserve">dan </w:t>
      </w:r>
      <w:r>
        <w:rPr>
          <w:rFonts w:ascii="Times New Roman" w:hAnsi="Times New Roman" w:cs="Times New Roman"/>
          <w:i/>
          <w:iCs/>
          <w:sz w:val="24"/>
          <w:szCs w:val="24"/>
        </w:rPr>
        <w:t>social engineering</w:t>
      </w:r>
      <w:r>
        <w:rPr>
          <w:rFonts w:ascii="Times New Roman" w:hAnsi="Times New Roman" w:cs="Times New Roman"/>
          <w:sz w:val="24"/>
          <w:szCs w:val="24"/>
        </w:rPr>
        <w:t xml:space="preserve">. Makna hukum sebagai </w:t>
      </w:r>
      <w:r>
        <w:rPr>
          <w:rFonts w:ascii="Times New Roman" w:hAnsi="Times New Roman" w:cs="Times New Roman"/>
          <w:i/>
          <w:iCs/>
          <w:sz w:val="24"/>
          <w:szCs w:val="24"/>
        </w:rPr>
        <w:t xml:space="preserve">social control </w:t>
      </w:r>
      <w:r>
        <w:rPr>
          <w:rFonts w:ascii="Times New Roman" w:hAnsi="Times New Roman" w:cs="Times New Roman"/>
          <w:sz w:val="24"/>
          <w:szCs w:val="24"/>
        </w:rPr>
        <w:t xml:space="preserve">diartikan bahwa hukum dapat menjadi sarana untuk mengontrol masyarakat sehingga dapat mewujudkan perilaku yang benar dalam kehidupan masyarakat. Sedangkan makna hukum sebagai </w:t>
      </w:r>
      <w:r>
        <w:rPr>
          <w:rFonts w:ascii="Times New Roman" w:hAnsi="Times New Roman" w:cs="Times New Roman"/>
          <w:i/>
          <w:iCs/>
          <w:sz w:val="24"/>
          <w:szCs w:val="24"/>
        </w:rPr>
        <w:t xml:space="preserve">social engineering </w:t>
      </w:r>
      <w:r>
        <w:rPr>
          <w:rFonts w:ascii="Times New Roman" w:hAnsi="Times New Roman" w:cs="Times New Roman"/>
          <w:sz w:val="24"/>
          <w:szCs w:val="24"/>
        </w:rPr>
        <w:t>diartikan bahwa hukum dapat menjadi sarana untuk mengatur dan menggerakkan perubahan dalam masyarakat</w:t>
      </w:r>
      <w:r>
        <w:rPr>
          <w:rStyle w:val="15"/>
          <w:rFonts w:ascii="Times New Roman" w:hAnsi="Times New Roman" w:cs="Times New Roman"/>
          <w:sz w:val="24"/>
          <w:szCs w:val="24"/>
        </w:rPr>
        <w:footnoteReference w:id="3"/>
      </w:r>
      <w:r>
        <w:rPr>
          <w:rFonts w:ascii="Times New Roman" w:hAnsi="Times New Roman" w:cs="Times New Roman"/>
          <w:sz w:val="24"/>
          <w:szCs w:val="24"/>
        </w:rPr>
        <w:t>.</w:t>
      </w:r>
    </w:p>
    <w:p w14:paraId="0EA5642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dengan makna hukum yang telah dijabarkan sebelumnya, maka Satjipto Rahardjo juga mengemukakan pendapatnya bahwa hukum termasuk juga berkaitan dengan penegakannya tidak bisa bersifat steril dan mengisolasi diri dari perubahan yang ada</w:t>
      </w:r>
      <w:r>
        <w:rPr>
          <w:rStyle w:val="15"/>
          <w:rFonts w:ascii="Times New Roman" w:hAnsi="Times New Roman" w:cs="Times New Roman"/>
          <w:sz w:val="24"/>
          <w:szCs w:val="24"/>
        </w:rPr>
        <w:footnoteReference w:id="4"/>
      </w:r>
      <w:r>
        <w:rPr>
          <w:rFonts w:ascii="Times New Roman" w:hAnsi="Times New Roman" w:cs="Times New Roman"/>
          <w:sz w:val="24"/>
          <w:szCs w:val="24"/>
        </w:rPr>
        <w:t>. Hukum pada dasarnya harus memberikan pencerahan terhadap masyarakat, oleh karena itu hukum dituntut harus bersifat progresif karena hukum dibentuk untuk manusia bukan manusia untuk hukum. Salah satu cara untuk mewujudkan atau menerapkan hukum dalam kehidupan masyarakat adalah melalui penegakan hukum.</w:t>
      </w:r>
    </w:p>
    <w:p w14:paraId="214D85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merupakan bagian dari legal sistem yang tidak dapat dipisahkan dengan substansi hukun (</w:t>
      </w:r>
      <w:r>
        <w:rPr>
          <w:rFonts w:ascii="Times New Roman" w:hAnsi="Times New Roman" w:cs="Times New Roman"/>
          <w:i/>
          <w:iCs/>
          <w:sz w:val="24"/>
          <w:szCs w:val="24"/>
        </w:rPr>
        <w:t>legal substance</w:t>
      </w:r>
      <w:r>
        <w:rPr>
          <w:rFonts w:ascii="Times New Roman" w:hAnsi="Times New Roman" w:cs="Times New Roman"/>
          <w:sz w:val="24"/>
          <w:szCs w:val="24"/>
        </w:rPr>
        <w:t>) dan budaya hukum (</w:t>
      </w:r>
      <w:r>
        <w:rPr>
          <w:rFonts w:ascii="Times New Roman" w:hAnsi="Times New Roman" w:cs="Times New Roman"/>
          <w:i/>
          <w:iCs/>
          <w:sz w:val="24"/>
          <w:szCs w:val="24"/>
        </w:rPr>
        <w:t>legal culture</w:t>
      </w:r>
      <w:r>
        <w:rPr>
          <w:rFonts w:ascii="Times New Roman" w:hAnsi="Times New Roman" w:cs="Times New Roman"/>
          <w:sz w:val="24"/>
          <w:szCs w:val="24"/>
        </w:rPr>
        <w:t xml:space="preserve">). Hukum ialah sebagai gejala sosioempiris yang dikaji ke dalam variabel independen memberikan </w:t>
      </w:r>
      <w:r>
        <w:rPr>
          <w:rFonts w:ascii="Times New Roman" w:hAnsi="Times New Roman" w:cs="Times New Roman"/>
          <w:i/>
          <w:iCs/>
          <w:sz w:val="24"/>
          <w:szCs w:val="24"/>
        </w:rPr>
        <w:t>impact</w:t>
      </w:r>
      <w:r>
        <w:rPr>
          <w:rFonts w:ascii="Times New Roman" w:hAnsi="Times New Roman" w:cs="Times New Roman"/>
          <w:sz w:val="24"/>
          <w:szCs w:val="24"/>
        </w:rPr>
        <w:t xml:space="preserve"> pada berbagai kehidupan. Aspek-aspek kehidupan sosial ini yang menjadi independent variabel maka dikaji secara </w:t>
      </w:r>
      <w:r>
        <w:rPr>
          <w:rFonts w:ascii="Times New Roman" w:hAnsi="Times New Roman" w:cs="Times New Roman"/>
          <w:i/>
          <w:iCs/>
          <w:sz w:val="24"/>
          <w:szCs w:val="24"/>
        </w:rPr>
        <w:t xml:space="preserve">law in action </w:t>
      </w:r>
      <w:r>
        <w:rPr>
          <w:rFonts w:ascii="Times New Roman" w:hAnsi="Times New Roman" w:cs="Times New Roman"/>
          <w:sz w:val="24"/>
          <w:szCs w:val="24"/>
        </w:rPr>
        <w:t xml:space="preserve">serta </w:t>
      </w:r>
      <w:r>
        <w:rPr>
          <w:rFonts w:ascii="Times New Roman" w:hAnsi="Times New Roman" w:cs="Times New Roman"/>
          <w:i/>
          <w:iCs/>
          <w:sz w:val="24"/>
          <w:szCs w:val="24"/>
        </w:rPr>
        <w:t>legal impact</w:t>
      </w:r>
      <w:r>
        <w:rPr>
          <w:rFonts w:ascii="Times New Roman" w:hAnsi="Times New Roman" w:cs="Times New Roman"/>
          <w:sz w:val="24"/>
          <w:szCs w:val="24"/>
        </w:rPr>
        <w:t>. Mengkaji hukum sebagai independent variabel termasuk kajian hukum dan masyarakat (</w:t>
      </w:r>
      <w:r>
        <w:rPr>
          <w:rFonts w:ascii="Times New Roman" w:hAnsi="Times New Roman" w:cs="Times New Roman"/>
          <w:i/>
          <w:iCs/>
          <w:sz w:val="24"/>
          <w:szCs w:val="24"/>
        </w:rPr>
        <w:t>law and society</w:t>
      </w:r>
      <w:r>
        <w:rPr>
          <w:rFonts w:ascii="Times New Roman" w:hAnsi="Times New Roman" w:cs="Times New Roman"/>
          <w:sz w:val="24"/>
          <w:szCs w:val="24"/>
        </w:rPr>
        <w:t>)</w:t>
      </w:r>
      <w:r>
        <w:rPr>
          <w:rStyle w:val="15"/>
          <w:rFonts w:ascii="Times New Roman" w:hAnsi="Times New Roman" w:cs="Times New Roman"/>
          <w:sz w:val="24"/>
          <w:szCs w:val="24"/>
        </w:rPr>
        <w:footnoteReference w:id="5"/>
      </w:r>
      <w:r>
        <w:rPr>
          <w:rFonts w:ascii="Times New Roman" w:hAnsi="Times New Roman" w:cs="Times New Roman"/>
          <w:sz w:val="24"/>
          <w:szCs w:val="24"/>
        </w:rPr>
        <w:t>.</w:t>
      </w:r>
    </w:p>
    <w:p w14:paraId="5E56B2E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dan penegakan hukum merupakan sebagian faktor penegakan hukum yang tidak bisa diabaikan karena jika diabaikan akan menyebabkan tidak tercapainya penegakan hukum yang diharapkan. Penegakan hukum merupakan aktualisasi dari aturan hukum yang masih berada dalam tahap cita-cita, dan diwujudkan secara nyata dalam kehidupan masyarakat sesuai dengan cita-cita atau tujuan hukum itu sendiri</w:t>
      </w:r>
      <w:r>
        <w:rPr>
          <w:rStyle w:val="15"/>
          <w:rFonts w:ascii="Times New Roman" w:hAnsi="Times New Roman" w:cs="Times New Roman"/>
          <w:sz w:val="24"/>
          <w:szCs w:val="24"/>
        </w:rPr>
        <w:footnoteReference w:id="6"/>
      </w:r>
      <w:r>
        <w:rPr>
          <w:rFonts w:ascii="Times New Roman" w:hAnsi="Times New Roman" w:cs="Times New Roman"/>
          <w:sz w:val="24"/>
          <w:szCs w:val="24"/>
        </w:rPr>
        <w:t>.</w:t>
      </w:r>
    </w:p>
    <w:p w14:paraId="5525AA8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menurut Notie Handhaving Milleurecht adalah pengawasan dan penerapan (atau dengan ancaman) penggunaan instrumen administratif, kepidanaan dan keperdataan untuk mencapai penataan ketentuan hukum dan peraturan yang berlaku umum dan individu</w:t>
      </w:r>
      <w:r>
        <w:rPr>
          <w:rStyle w:val="15"/>
          <w:rFonts w:ascii="Times New Roman" w:hAnsi="Times New Roman" w:cs="Times New Roman"/>
          <w:sz w:val="24"/>
          <w:szCs w:val="24"/>
        </w:rPr>
        <w:footnoteReference w:id="7"/>
      </w:r>
      <w:r>
        <w:rPr>
          <w:rFonts w:ascii="Times New Roman" w:hAnsi="Times New Roman" w:cs="Times New Roman"/>
          <w:sz w:val="24"/>
          <w:szCs w:val="24"/>
        </w:rPr>
        <w:t xml:space="preserve">. </w:t>
      </w:r>
    </w:p>
    <w:p w14:paraId="771E995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Negara Indonesia adalah negara hukum. Hal ini ditegaskan dalam pasal 1 ayat (3) Undang-undang Dasar Tahun 1945. Norma ini  bermakna bahwa di dalam Negara Kesatuan Republik Indonesia, hukum merupakan urat nadi seluruh aspek kehidupan. Hukum mempunyai posisi strategis dan dominan dalam kehidupan masyarakat berbangsa dan bernegara. Menurut Didi Nazmi Yunas negara hukum adalah negara yang memiliki konstitusi dan berdasarkan konstitusi tersebut negara memuat sistem ketatanegaraan negara tersebut</w:t>
      </w:r>
      <w:r>
        <w:rPr>
          <w:rStyle w:val="15"/>
          <w:rFonts w:ascii="Times New Roman" w:hAnsi="Times New Roman" w:cs="Times New Roman"/>
          <w:sz w:val="24"/>
          <w:szCs w:val="24"/>
        </w:rPr>
        <w:footnoteReference w:id="8"/>
      </w:r>
      <w:r>
        <w:rPr>
          <w:rFonts w:ascii="Times New Roman" w:hAnsi="Times New Roman" w:cs="Times New Roman"/>
          <w:sz w:val="24"/>
          <w:szCs w:val="24"/>
        </w:rPr>
        <w:t>.</w:t>
      </w:r>
    </w:p>
    <w:p w14:paraId="37FBD0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Indonesia untuk menunjukkan ciri khas Indonesia maka penambahan atribut pancasila, sehingga menjadi negara hukum pancasila. Hal ini mengandung arti menempatkan sistem dalam idealisme tertentu yang bersifat final, dinamis, dan selalu mencari tujuan-tujuan ideal berlandaskan ideologi Pancasila. Mewujudkan prinsip-prinsip negara hukum, diperlukan baik norma-norma hukum atau peraturan perundang-undangan, juga aparatur pengemban dan penegak hukum yang profesional, berintegritas, dan disiplin yang didukung oleh sarana dan prasarana hukum serta perilaku hukum masyarakat. Sejalan dengan itu sesuai apa yang diungkapkan L. M Friedmen sistem hukum itu tersusun dari substansi hukum, struktur hukum, budaya hukum</w:t>
      </w:r>
      <w:r>
        <w:rPr>
          <w:rStyle w:val="15"/>
          <w:rFonts w:ascii="Times New Roman" w:hAnsi="Times New Roman" w:cs="Times New Roman"/>
          <w:sz w:val="24"/>
          <w:szCs w:val="24"/>
        </w:rPr>
        <w:footnoteReference w:id="9"/>
      </w:r>
      <w:r>
        <w:rPr>
          <w:rFonts w:ascii="Times New Roman" w:hAnsi="Times New Roman" w:cs="Times New Roman"/>
          <w:sz w:val="24"/>
          <w:szCs w:val="24"/>
        </w:rPr>
        <w:t>.</w:t>
      </w:r>
    </w:p>
    <w:p w14:paraId="4E534DF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Salah satu cara untuk mewujudkan atau menerapkan hukum dalam kehidupan masyarakat adalah melalui penegakan hukum. Menurut pendapat Satjipto Rahardjo, penegakan hukum diartikan sebagai pelaksanaan hukum secara konkrit dalam kehidupan masyarakat sehari-hari</w:t>
      </w:r>
      <w:r>
        <w:rPr>
          <w:rStyle w:val="15"/>
          <w:rFonts w:ascii="Times New Roman" w:hAnsi="Times New Roman" w:cs="Times New Roman"/>
          <w:sz w:val="24"/>
          <w:szCs w:val="24"/>
        </w:rPr>
        <w:footnoteReference w:id="10"/>
      </w:r>
      <w:r>
        <w:rPr>
          <w:rFonts w:ascii="Times New Roman" w:hAnsi="Times New Roman" w:cs="Times New Roman"/>
          <w:sz w:val="24"/>
          <w:szCs w:val="24"/>
        </w:rPr>
        <w:t xml:space="preserve">. Ini berarti hukum tidak hanya berfungsi sebagai sebuah produk hukum tapi juga harus dapat berfungsi dengan baik dan optimal dalam kehidupan masyarakat. Selanjutnya, penegakan hukum juga diartikan sebagai proses untuk mewujudkan keinginan hukum menjadi kenyataan dalam kehidupan masyarakat. </w:t>
      </w:r>
    </w:p>
    <w:p w14:paraId="60C4224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sendiri telah bermula pada saat sebuah peraturan hukum dibuat. Dalam hal ini, perumusan pikiran pembentuk hukum yang dituangkan dalam peraturan hukum juga dapat menjadi penentu pelaksanaan penegakan hukum. Selanjutnya, yang menjadi puncak dari penegakan hukum terletak pada pelaksanaan aturan hukum oleh apparat penegak hukum</w:t>
      </w:r>
      <w:r>
        <w:rPr>
          <w:rStyle w:val="15"/>
          <w:rFonts w:ascii="Times New Roman" w:hAnsi="Times New Roman" w:cs="Times New Roman"/>
          <w:sz w:val="24"/>
          <w:szCs w:val="24"/>
        </w:rPr>
        <w:footnoteReference w:id="11"/>
      </w:r>
      <w:r>
        <w:rPr>
          <w:rFonts w:ascii="Times New Roman" w:hAnsi="Times New Roman" w:cs="Times New Roman"/>
          <w:sz w:val="24"/>
          <w:szCs w:val="24"/>
        </w:rPr>
        <w:t>.</w:t>
      </w:r>
    </w:p>
    <w:p w14:paraId="7B1304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pendapat Satjipto Rahardjo, keberhasilan maupun kegagalan penegakan hukum juga sebenarnya sudah dimulai sejak peraturan hukum tersebut dibuat</w:t>
      </w:r>
      <w:r>
        <w:rPr>
          <w:rStyle w:val="15"/>
          <w:rFonts w:ascii="Times New Roman" w:hAnsi="Times New Roman" w:cs="Times New Roman"/>
          <w:sz w:val="24"/>
          <w:szCs w:val="24"/>
        </w:rPr>
        <w:footnoteReference w:id="12"/>
      </w:r>
      <w:r>
        <w:rPr>
          <w:rFonts w:ascii="Times New Roman" w:hAnsi="Times New Roman" w:cs="Times New Roman"/>
          <w:sz w:val="24"/>
          <w:szCs w:val="24"/>
        </w:rPr>
        <w:t xml:space="preserve">. Sebagai contoh, apabila lembaga legislatif membuat sebuah peraturan yang sulit dilaksanakan dalam masyarakat, maka sebenarnya sejak saat itu peraturan yang dibuat telah gagal untuk diterapkan dalam kehidupan masyarakat. Penegakan hukum juga bukanlah merupakan suatu kegiatan yang berdiri sendiri melainkan mempunyai hubungan timbal balik yang erat dengan masyarakatnya. Hal ini dikarenakan masyarakat menjadi salah satu faktor yang dapat menentukan terwujudnya penegakan hukum secara baik ataupun dapat menjadi hambatan sehingga penegakan hukum tidak dapat dijalankan atau kurang dapat dijalankan dengan baik. </w:t>
      </w:r>
    </w:p>
    <w:p w14:paraId="2B9BF79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Satjipto Rahardjo dalam bukunya juga telah memperkenalkan penegakan hukum progresif. Maksud dari penegakan hukum progresif adalah para penegak hukum harus berani mengubah strategi dan caracara penegakan hukum konvensional menjadi progresif dan luar biasa. Hal ini dikarenakan selama ini penegakan hukum hanya dilakukan secara legalistik dan kaku saja tanpa mempertimbangkan apa yang dibutuhkan oleh masyarakat oleh karena itu penegakan hukum yang progresif harus mampu juga untuk melihat dan mencari jalan keluar terhadap kebutuhan dan permasalahan yang dihadapi oleh masyarakat</w:t>
      </w:r>
      <w:r>
        <w:rPr>
          <w:rStyle w:val="15"/>
          <w:rFonts w:ascii="Times New Roman" w:hAnsi="Times New Roman" w:cs="Times New Roman"/>
          <w:sz w:val="24"/>
          <w:szCs w:val="24"/>
        </w:rPr>
        <w:footnoteReference w:id="13"/>
      </w:r>
      <w:r>
        <w:rPr>
          <w:rFonts w:ascii="Times New Roman" w:hAnsi="Times New Roman" w:cs="Times New Roman"/>
          <w:sz w:val="24"/>
          <w:szCs w:val="24"/>
        </w:rPr>
        <w:t xml:space="preserve">. </w:t>
      </w:r>
    </w:p>
    <w:p w14:paraId="05001C0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Soedarto, penegakan hukum ialah perhatian dan penggarapan terhadap perbuatan melawan hukum yang mungkin terjadi atau telah terjadi. Penegakan hukum ialah tidak lain sebagai upaya untuk mewujudkan atau menerapkan ketentuan hukum ke dalam peristiwa-peristiwa yang nyata, jika berhadapan dengan hukum pidana, maka penegakan hukum pidana berarti upaya untuk mewujudkan atau menerapkan hukum pidana itu ke dalam perbuatan konkrit. Penegakan hukum pidana demikian dapat juga dilihat sebagai Upaya penanggulangan kejahatan</w:t>
      </w:r>
      <w:r>
        <w:rPr>
          <w:rStyle w:val="15"/>
          <w:rFonts w:ascii="Times New Roman" w:hAnsi="Times New Roman" w:cs="Times New Roman"/>
          <w:sz w:val="24"/>
          <w:szCs w:val="24"/>
        </w:rPr>
        <w:footnoteReference w:id="14"/>
      </w:r>
      <w:r>
        <w:rPr>
          <w:rFonts w:ascii="Times New Roman" w:hAnsi="Times New Roman" w:cs="Times New Roman"/>
          <w:sz w:val="24"/>
          <w:szCs w:val="24"/>
        </w:rPr>
        <w:t>.</w:t>
      </w:r>
    </w:p>
    <w:p w14:paraId="413C25C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yang sebenarnya pada kegiatan menyerasikan nilai-nilai yang terjabar di dalam kaidah-kaidah yang mantab, mengejawantah sikap tindakan sebagai rangkaian penjabaran nilai tahap akhir untuk menciptakan, memelihara, mempertahankan kedamaiaan pergaulan kehidupan masyarakat</w:t>
      </w:r>
      <w:r>
        <w:rPr>
          <w:rStyle w:val="15"/>
          <w:rFonts w:ascii="Times New Roman" w:hAnsi="Times New Roman" w:cs="Times New Roman"/>
          <w:sz w:val="24"/>
          <w:szCs w:val="24"/>
        </w:rPr>
        <w:footnoteReference w:id="15"/>
      </w:r>
      <w:r>
        <w:rPr>
          <w:rFonts w:ascii="Times New Roman" w:hAnsi="Times New Roman" w:cs="Times New Roman"/>
          <w:sz w:val="24"/>
          <w:szCs w:val="24"/>
        </w:rPr>
        <w:t xml:space="preserve">. Penegakan hukum sangat ditentukan oleh aspek moral dan etika dari aparat penegakan hukum itu sendiri. Aspek moral dan etika dalam penegakan hukum pidana merupakan sesuatu hal yang berkaitan dengan penegakan hukum pidana dalam sistem peradilan pidana. </w:t>
      </w:r>
    </w:p>
    <w:p w14:paraId="772FDD3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Kebijakan dalam upaya penanggulangan kejahatan dengan hukum pidana pada hakikatnya juga merupakan bagian dari usaha penegakan hukum (khususnya penegakan hukum pidana). Penegakan hukum pidana tidak bisa dilepaskan dari kebijakan yang dibuat oleh negara dalam rangka menegakkan aturan demi terwujudnya kemaslahatan bersama, sehingga dengan demikian, penegakan hukum pidana sering juga dikatakan sebagai bagian dari penegakan hukum (</w:t>
      </w:r>
      <w:r>
        <w:rPr>
          <w:rFonts w:ascii="Times New Roman" w:hAnsi="Times New Roman" w:cs="Times New Roman"/>
          <w:i/>
          <w:iCs/>
          <w:sz w:val="24"/>
          <w:szCs w:val="24"/>
        </w:rPr>
        <w:t>law enfocement policy</w:t>
      </w:r>
      <w:r>
        <w:rPr>
          <w:rFonts w:ascii="Times New Roman" w:hAnsi="Times New Roman" w:cs="Times New Roman"/>
          <w:sz w:val="24"/>
          <w:szCs w:val="24"/>
        </w:rPr>
        <w:t>)</w:t>
      </w:r>
      <w:r>
        <w:rPr>
          <w:rStyle w:val="15"/>
          <w:rFonts w:ascii="Times New Roman" w:hAnsi="Times New Roman" w:cs="Times New Roman"/>
          <w:sz w:val="24"/>
          <w:szCs w:val="24"/>
        </w:rPr>
        <w:footnoteReference w:id="16"/>
      </w:r>
      <w:r>
        <w:rPr>
          <w:rFonts w:ascii="Times New Roman" w:hAnsi="Times New Roman" w:cs="Times New Roman"/>
          <w:sz w:val="24"/>
          <w:szCs w:val="24"/>
        </w:rPr>
        <w:t xml:space="preserve">. </w:t>
      </w:r>
    </w:p>
    <w:p w14:paraId="4E52EC7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Banyak kalangan menilai bahwa masyarakat Indonesia pada umumnya tidak merasa keberatan dan tidak merasa terbebani dengan adanya kebijakan penanggulangan kejahatan melalui sarana hukum pidana, meskipun sifat dari hukum pidana lebih menekankan aspek represif dari pada preventif. Sikap bangsa Indonesia dalam menerima kebijakan ini terlihat dari praktik perumusan dan penetapan perundang-undangan oleh wakil-wakil rakyat selama ini yang menunjukkan bahwa penggunaan hukum pidana merupakan bagian dari kebijakan atau politik hukum yang dianut di Indonesia. Penggunaan hukum pidana dianggap sebagai hal yang wajar dan normal, seolah-olah eksistensinya tidak lagi dipersoalkan, namun demikian, yang menjadi masalah adalah garis-garis kebijakan atau pendekatan bagaimanakah yang sebaiknya ditempuh dalam menggunakan hukum pidana itu. </w:t>
      </w:r>
    </w:p>
    <w:p w14:paraId="673370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Soedarto, apabila hukum pidana hendak digunakan seharusnya terlebih dahulu dilihat hubungannya dengan keseluruhan politik hukum pidana atau </w:t>
      </w:r>
      <w:r>
        <w:rPr>
          <w:rFonts w:ascii="Times New Roman" w:hAnsi="Times New Roman" w:cs="Times New Roman"/>
          <w:i/>
          <w:iCs/>
          <w:sz w:val="24"/>
          <w:szCs w:val="24"/>
        </w:rPr>
        <w:t xml:space="preserve">social defence planning </w:t>
      </w:r>
      <w:r>
        <w:rPr>
          <w:rFonts w:ascii="Times New Roman" w:hAnsi="Times New Roman" w:cs="Times New Roman"/>
          <w:sz w:val="24"/>
          <w:szCs w:val="24"/>
        </w:rPr>
        <w:t>yang merupakan bagian integral dari rencana pembangunan nasional. Politik hukum pidana merupakan pengaturan atau penyusunan secara rasional usaha-usaha pengendalian kejahatan oleh masyarakat. Tujuan akhir dari kebijakan hukum pidana ialah “perlindungan masyarakat” untuk mencapai tujuan utama berupa “kebahagiaan warga masyarakat” (</w:t>
      </w:r>
      <w:r>
        <w:rPr>
          <w:rFonts w:ascii="Times New Roman" w:hAnsi="Times New Roman" w:cs="Times New Roman"/>
          <w:i/>
          <w:iCs/>
          <w:sz w:val="24"/>
          <w:szCs w:val="24"/>
        </w:rPr>
        <w:t>happiness of the citizens</w:t>
      </w:r>
      <w:r>
        <w:rPr>
          <w:rFonts w:ascii="Times New Roman" w:hAnsi="Times New Roman" w:cs="Times New Roman"/>
          <w:sz w:val="24"/>
          <w:szCs w:val="24"/>
        </w:rPr>
        <w:t>), “kehidupan kultural yang sehat dan menyegarkan” (</w:t>
      </w:r>
      <w:r>
        <w:rPr>
          <w:rFonts w:ascii="Times New Roman" w:hAnsi="Times New Roman" w:cs="Times New Roman"/>
          <w:i/>
          <w:iCs/>
          <w:sz w:val="24"/>
          <w:szCs w:val="24"/>
        </w:rPr>
        <w:t>a wholesome and</w:t>
      </w:r>
      <w:r>
        <w:rPr>
          <w:rFonts w:ascii="Times New Roman" w:hAnsi="Times New Roman" w:cs="Times New Roman"/>
          <w:sz w:val="24"/>
          <w:szCs w:val="24"/>
        </w:rPr>
        <w:t xml:space="preserve"> </w:t>
      </w:r>
      <w:r>
        <w:rPr>
          <w:rFonts w:ascii="Times New Roman" w:hAnsi="Times New Roman" w:cs="Times New Roman"/>
          <w:i/>
          <w:iCs/>
          <w:sz w:val="24"/>
          <w:szCs w:val="24"/>
        </w:rPr>
        <w:t>cultural living</w:t>
      </w:r>
      <w:r>
        <w:rPr>
          <w:rFonts w:ascii="Times New Roman" w:hAnsi="Times New Roman" w:cs="Times New Roman"/>
          <w:sz w:val="24"/>
          <w:szCs w:val="24"/>
        </w:rPr>
        <w:t>), “kesejahteraan masyarakat” (</w:t>
      </w:r>
      <w:r>
        <w:rPr>
          <w:rFonts w:ascii="Times New Roman" w:hAnsi="Times New Roman" w:cs="Times New Roman"/>
          <w:i/>
          <w:iCs/>
          <w:sz w:val="24"/>
          <w:szCs w:val="24"/>
        </w:rPr>
        <w:t>social welfare</w:t>
      </w:r>
      <w:r>
        <w:rPr>
          <w:rFonts w:ascii="Times New Roman" w:hAnsi="Times New Roman" w:cs="Times New Roman"/>
          <w:sz w:val="24"/>
          <w:szCs w:val="24"/>
        </w:rPr>
        <w:t>), dan untuk mencapai “keseimbangan” (</w:t>
      </w:r>
      <w:r>
        <w:rPr>
          <w:rFonts w:ascii="Times New Roman" w:hAnsi="Times New Roman" w:cs="Times New Roman"/>
          <w:i/>
          <w:iCs/>
          <w:sz w:val="24"/>
          <w:szCs w:val="24"/>
        </w:rPr>
        <w:t>equality</w:t>
      </w:r>
      <w:r>
        <w:rPr>
          <w:rFonts w:ascii="Times New Roman" w:hAnsi="Times New Roman" w:cs="Times New Roman"/>
          <w:sz w:val="24"/>
          <w:szCs w:val="24"/>
        </w:rPr>
        <w:t>)</w:t>
      </w:r>
      <w:r>
        <w:rPr>
          <w:rStyle w:val="15"/>
          <w:rFonts w:ascii="Times New Roman" w:hAnsi="Times New Roman" w:cs="Times New Roman"/>
          <w:sz w:val="24"/>
          <w:szCs w:val="24"/>
        </w:rPr>
        <w:footnoteReference w:id="17"/>
      </w:r>
      <w:r>
        <w:rPr>
          <w:rFonts w:ascii="Times New Roman" w:hAnsi="Times New Roman" w:cs="Times New Roman"/>
          <w:sz w:val="24"/>
          <w:szCs w:val="24"/>
        </w:rPr>
        <w:t>.</w:t>
      </w:r>
    </w:p>
    <w:p w14:paraId="2F9FC8D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Elemen dasar dari penegakan hukum pidana seharusnya merupakan proses penemuan fakta yang tidak memihak (</w:t>
      </w:r>
      <w:r>
        <w:rPr>
          <w:rFonts w:ascii="Times New Roman" w:hAnsi="Times New Roman" w:cs="Times New Roman"/>
          <w:i/>
          <w:iCs/>
          <w:sz w:val="24"/>
          <w:szCs w:val="24"/>
        </w:rPr>
        <w:t>impartial</w:t>
      </w:r>
      <w:r>
        <w:rPr>
          <w:rFonts w:ascii="Times New Roman" w:hAnsi="Times New Roman" w:cs="Times New Roman"/>
          <w:sz w:val="24"/>
          <w:szCs w:val="24"/>
        </w:rPr>
        <w:t>) dan patuh dengan resolusi atau pemecahan masalah yang harus dilakukan secara adil (</w:t>
      </w:r>
      <w:r>
        <w:rPr>
          <w:rFonts w:ascii="Times New Roman" w:hAnsi="Times New Roman" w:cs="Times New Roman"/>
          <w:i/>
          <w:iCs/>
          <w:sz w:val="24"/>
          <w:szCs w:val="24"/>
        </w:rPr>
        <w:t>fair</w:t>
      </w:r>
      <w:r>
        <w:rPr>
          <w:rFonts w:ascii="Times New Roman" w:hAnsi="Times New Roman" w:cs="Times New Roman"/>
          <w:sz w:val="24"/>
          <w:szCs w:val="24"/>
        </w:rPr>
        <w:t>) dan patut (</w:t>
      </w:r>
      <w:r>
        <w:rPr>
          <w:rFonts w:ascii="Times New Roman" w:hAnsi="Times New Roman" w:cs="Times New Roman"/>
          <w:i/>
          <w:iCs/>
          <w:sz w:val="24"/>
          <w:szCs w:val="24"/>
        </w:rPr>
        <w:t>equitable</w:t>
      </w:r>
      <w:r>
        <w:rPr>
          <w:rFonts w:ascii="Times New Roman" w:hAnsi="Times New Roman" w:cs="Times New Roman"/>
          <w:sz w:val="24"/>
          <w:szCs w:val="24"/>
        </w:rPr>
        <w:t>). Keadilan  harus mencakup kejujuran (</w:t>
      </w:r>
      <w:r>
        <w:rPr>
          <w:rFonts w:ascii="Times New Roman" w:hAnsi="Times New Roman" w:cs="Times New Roman"/>
          <w:i/>
          <w:iCs/>
          <w:sz w:val="24"/>
          <w:szCs w:val="24"/>
        </w:rPr>
        <w:t>fairness</w:t>
      </w:r>
      <w:r>
        <w:rPr>
          <w:rFonts w:ascii="Times New Roman" w:hAnsi="Times New Roman" w:cs="Times New Roman"/>
          <w:sz w:val="24"/>
          <w:szCs w:val="24"/>
        </w:rPr>
        <w:t>), tidak memihak (</w:t>
      </w:r>
      <w:r>
        <w:rPr>
          <w:rFonts w:ascii="Times New Roman" w:hAnsi="Times New Roman" w:cs="Times New Roman"/>
          <w:i/>
          <w:iCs/>
          <w:sz w:val="24"/>
          <w:szCs w:val="24"/>
        </w:rPr>
        <w:t>impartiality</w:t>
      </w:r>
      <w:r>
        <w:rPr>
          <w:rFonts w:ascii="Times New Roman" w:hAnsi="Times New Roman" w:cs="Times New Roman"/>
          <w:sz w:val="24"/>
          <w:szCs w:val="24"/>
        </w:rPr>
        <w:t>), serta pemberian sanksi dan hadiah yang patut (</w:t>
      </w:r>
      <w:r>
        <w:rPr>
          <w:rFonts w:ascii="Times New Roman" w:hAnsi="Times New Roman" w:cs="Times New Roman"/>
          <w:i/>
          <w:iCs/>
          <w:sz w:val="24"/>
          <w:szCs w:val="24"/>
        </w:rPr>
        <w:t>appropriate reward and</w:t>
      </w:r>
      <w:r>
        <w:rPr>
          <w:rFonts w:ascii="Times New Roman" w:hAnsi="Times New Roman" w:cs="Times New Roman"/>
          <w:sz w:val="24"/>
          <w:szCs w:val="24"/>
        </w:rPr>
        <w:t xml:space="preserve"> </w:t>
      </w:r>
      <w:r>
        <w:rPr>
          <w:rFonts w:ascii="Times New Roman" w:hAnsi="Times New Roman" w:cs="Times New Roman"/>
          <w:i/>
          <w:iCs/>
          <w:sz w:val="24"/>
          <w:szCs w:val="24"/>
        </w:rPr>
        <w:t>punishment</w:t>
      </w:r>
      <w:r>
        <w:rPr>
          <w:rFonts w:ascii="Times New Roman" w:hAnsi="Times New Roman" w:cs="Times New Roman"/>
          <w:sz w:val="24"/>
          <w:szCs w:val="24"/>
        </w:rPr>
        <w:t>)</w:t>
      </w:r>
      <w:r>
        <w:rPr>
          <w:rStyle w:val="15"/>
          <w:rFonts w:ascii="Times New Roman" w:hAnsi="Times New Roman" w:cs="Times New Roman"/>
          <w:sz w:val="24"/>
          <w:szCs w:val="24"/>
        </w:rPr>
        <w:footnoteReference w:id="18"/>
      </w:r>
      <w:r>
        <w:rPr>
          <w:rFonts w:ascii="Times New Roman" w:hAnsi="Times New Roman" w:cs="Times New Roman"/>
          <w:sz w:val="24"/>
          <w:szCs w:val="24"/>
        </w:rPr>
        <w:t>.</w:t>
      </w:r>
    </w:p>
    <w:p w14:paraId="2DCAD61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Penegakan hukum pidana selalu bersentuhan dengan moral dan etika, dengan empat alasan sebagai berikut: </w:t>
      </w:r>
      <w:r>
        <w:rPr>
          <w:rFonts w:ascii="Times New Roman" w:hAnsi="Times New Roman" w:cs="Times New Roman"/>
          <w:i/>
          <w:iCs/>
          <w:sz w:val="24"/>
          <w:szCs w:val="24"/>
        </w:rPr>
        <w:t>pertama</w:t>
      </w:r>
      <w:r>
        <w:rPr>
          <w:rFonts w:ascii="Times New Roman" w:hAnsi="Times New Roman" w:cs="Times New Roman"/>
          <w:sz w:val="24"/>
          <w:szCs w:val="24"/>
        </w:rPr>
        <w:t>, sistem peradilan pidana secara khas melibatkan penggunaan paksaan atau kekerasan, dengan kemungkinan terjadinya kesempatan untuk menyalahgunakan kekuasaan (</w:t>
      </w:r>
      <w:r>
        <w:rPr>
          <w:rFonts w:ascii="Times New Roman" w:hAnsi="Times New Roman" w:cs="Times New Roman"/>
          <w:i/>
          <w:iCs/>
          <w:sz w:val="24"/>
          <w:szCs w:val="24"/>
        </w:rPr>
        <w:t>abuse of power</w:t>
      </w:r>
      <w:r>
        <w:rPr>
          <w:rFonts w:ascii="Times New Roman" w:hAnsi="Times New Roman" w:cs="Times New Roman"/>
          <w:sz w:val="24"/>
          <w:szCs w:val="24"/>
        </w:rPr>
        <w:t xml:space="preserve">). </w:t>
      </w:r>
      <w:r>
        <w:rPr>
          <w:rFonts w:ascii="Times New Roman" w:hAnsi="Times New Roman" w:cs="Times New Roman"/>
          <w:i/>
          <w:iCs/>
          <w:sz w:val="24"/>
          <w:szCs w:val="24"/>
        </w:rPr>
        <w:t>Kedua</w:t>
      </w:r>
      <w:r>
        <w:rPr>
          <w:rFonts w:ascii="Times New Roman" w:hAnsi="Times New Roman" w:cs="Times New Roman"/>
          <w:sz w:val="24"/>
          <w:szCs w:val="24"/>
        </w:rPr>
        <w:t xml:space="preserve">, hampir semua profesional dalam penegakan hukum pidana merupakan pegawai pemerintah yang memiliki kewajiban khusus terhadap publik yang dilayani. </w:t>
      </w:r>
      <w:r>
        <w:rPr>
          <w:rFonts w:ascii="Times New Roman" w:hAnsi="Times New Roman" w:cs="Times New Roman"/>
          <w:i/>
          <w:iCs/>
          <w:sz w:val="24"/>
          <w:szCs w:val="24"/>
        </w:rPr>
        <w:t>Ketiga</w:t>
      </w:r>
      <w:r>
        <w:rPr>
          <w:rFonts w:ascii="Times New Roman" w:hAnsi="Times New Roman" w:cs="Times New Roman"/>
          <w:sz w:val="24"/>
          <w:szCs w:val="24"/>
        </w:rPr>
        <w:t xml:space="preserve">, bagi setiap orang, etika dapat digunakan sebagai alat guna membantu memecahan dilema etis yang dihadapi seseorang di dalam kehidupan profesionalnya. </w:t>
      </w:r>
      <w:r>
        <w:rPr>
          <w:rFonts w:ascii="Times New Roman" w:hAnsi="Times New Roman" w:cs="Times New Roman"/>
          <w:i/>
          <w:iCs/>
          <w:sz w:val="24"/>
          <w:szCs w:val="24"/>
        </w:rPr>
        <w:t>Keempat</w:t>
      </w:r>
      <w:r>
        <w:rPr>
          <w:rFonts w:ascii="Times New Roman" w:hAnsi="Times New Roman" w:cs="Times New Roman"/>
          <w:sz w:val="24"/>
          <w:szCs w:val="24"/>
        </w:rPr>
        <w:t xml:space="preserve">, dalam kehidupan profesi sering dikatakan bahwa </w:t>
      </w:r>
      <w:r>
        <w:rPr>
          <w:rFonts w:ascii="Times New Roman" w:hAnsi="Times New Roman" w:cs="Times New Roman"/>
          <w:i/>
          <w:iCs/>
          <w:sz w:val="24"/>
          <w:szCs w:val="24"/>
        </w:rPr>
        <w:t>a set of ethical requirements are as part of its meaning</w:t>
      </w:r>
      <w:r>
        <w:rPr>
          <w:rStyle w:val="15"/>
          <w:rFonts w:ascii="Times New Roman" w:hAnsi="Times New Roman" w:cs="Times New Roman"/>
          <w:sz w:val="24"/>
          <w:szCs w:val="24"/>
        </w:rPr>
        <w:footnoteReference w:id="19"/>
      </w:r>
      <w:r>
        <w:rPr>
          <w:rFonts w:ascii="Times New Roman" w:hAnsi="Times New Roman" w:cs="Times New Roman"/>
          <w:sz w:val="24"/>
          <w:szCs w:val="24"/>
        </w:rPr>
        <w:t>.</w:t>
      </w:r>
    </w:p>
    <w:p w14:paraId="4991BC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Penegakan hukum pidana terdiri dari dua tahap. Pertama, penegakan hukum pidana </w:t>
      </w:r>
      <w:r>
        <w:rPr>
          <w:rFonts w:ascii="Times New Roman" w:hAnsi="Times New Roman" w:cs="Times New Roman"/>
          <w:i/>
          <w:iCs/>
          <w:sz w:val="24"/>
          <w:szCs w:val="24"/>
        </w:rPr>
        <w:t xml:space="preserve">in abstracto </w:t>
      </w:r>
      <w:r>
        <w:rPr>
          <w:rFonts w:ascii="Times New Roman" w:hAnsi="Times New Roman" w:cs="Times New Roman"/>
          <w:sz w:val="24"/>
          <w:szCs w:val="24"/>
        </w:rPr>
        <w:t xml:space="preserve">dan kedua penegakan hukum pidana </w:t>
      </w:r>
      <w:r>
        <w:rPr>
          <w:rFonts w:ascii="Times New Roman" w:hAnsi="Times New Roman" w:cs="Times New Roman"/>
          <w:i/>
          <w:iCs/>
          <w:sz w:val="24"/>
          <w:szCs w:val="24"/>
        </w:rPr>
        <w:t>in concreto</w:t>
      </w:r>
      <w:r>
        <w:rPr>
          <w:rFonts w:ascii="Times New Roman" w:hAnsi="Times New Roman" w:cs="Times New Roman"/>
          <w:sz w:val="24"/>
          <w:szCs w:val="24"/>
        </w:rPr>
        <w:t xml:space="preserve">. Penegakan hukum pidana </w:t>
      </w:r>
      <w:r>
        <w:rPr>
          <w:rFonts w:ascii="Times New Roman" w:hAnsi="Times New Roman" w:cs="Times New Roman"/>
          <w:i/>
          <w:iCs/>
          <w:sz w:val="24"/>
          <w:szCs w:val="24"/>
        </w:rPr>
        <w:t xml:space="preserve">in abstracto </w:t>
      </w:r>
      <w:r>
        <w:rPr>
          <w:rFonts w:ascii="Times New Roman" w:hAnsi="Times New Roman" w:cs="Times New Roman"/>
          <w:sz w:val="24"/>
          <w:szCs w:val="24"/>
        </w:rPr>
        <w:t xml:space="preserve">merupakan tahap pembuatan/perumusan (formulasi) undang-undang oleh badan legislatif, yang dapat disebut tahap legislasi. Penegakan hukum pidana </w:t>
      </w:r>
      <w:r>
        <w:rPr>
          <w:rFonts w:ascii="Times New Roman" w:hAnsi="Times New Roman" w:cs="Times New Roman"/>
          <w:i/>
          <w:iCs/>
          <w:sz w:val="24"/>
          <w:szCs w:val="24"/>
        </w:rPr>
        <w:t xml:space="preserve">in concreto </w:t>
      </w:r>
      <w:r>
        <w:rPr>
          <w:rFonts w:ascii="Times New Roman" w:hAnsi="Times New Roman" w:cs="Times New Roman"/>
          <w:sz w:val="24"/>
          <w:szCs w:val="24"/>
        </w:rPr>
        <w:t>terdiri dari tahap penerapan/aplikasi dan pelaksanaan undang-undang oleh aparat penegak hukum, yang dapat disebut tahap judisial dan tahap eksekusi</w:t>
      </w:r>
      <w:r>
        <w:rPr>
          <w:rStyle w:val="15"/>
          <w:rFonts w:ascii="Times New Roman" w:hAnsi="Times New Roman" w:cs="Times New Roman"/>
          <w:sz w:val="24"/>
          <w:szCs w:val="24"/>
        </w:rPr>
        <w:footnoteReference w:id="20"/>
      </w:r>
      <w:r>
        <w:rPr>
          <w:rFonts w:ascii="Times New Roman" w:hAnsi="Times New Roman" w:cs="Times New Roman"/>
          <w:sz w:val="24"/>
          <w:szCs w:val="24"/>
        </w:rPr>
        <w:t xml:space="preserve">. Penegakan hukum pidana bertujuan untuk menciptakan kedamaian dalam pergaulan hidup. Secara Konsepsional penegakan hukum adalah kegiatan menyerasikan hubungan nilai-nilai yang terjabarkan di dalam kaidah-kaidah yang mantap dan mengejawantah dan sikap tindak sebagai rangkaian penjabaran nilai tahap akhir, untuk menciptakan, memelihara dan mempertahankan kedamaian pergaulan hidup. </w:t>
      </w:r>
    </w:p>
    <w:p w14:paraId="483E6C8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pendapat Satjipto Rahardjo, keberhasilan maupun kegagalan penegakan hukum juga sebenarnya sudah dimulai sejak peraturan hukum tersebut dibuat. Sebagai contoh, apabila Lembaga legislatif membuat sebuah peraturan yang sulit dilaksanakan dalam masyarakat, maka sebenarnya sejak saat itu peraturan yang dibuat telah gagal untuk diterapkan dalam kehidupan masyarakat</w:t>
      </w:r>
      <w:r>
        <w:rPr>
          <w:rStyle w:val="15"/>
          <w:rFonts w:ascii="Times New Roman" w:hAnsi="Times New Roman" w:cs="Times New Roman"/>
          <w:sz w:val="24"/>
          <w:szCs w:val="24"/>
        </w:rPr>
        <w:footnoteReference w:id="21"/>
      </w:r>
      <w:r>
        <w:rPr>
          <w:rFonts w:ascii="Times New Roman" w:hAnsi="Times New Roman" w:cs="Times New Roman"/>
          <w:sz w:val="24"/>
          <w:szCs w:val="24"/>
        </w:rPr>
        <w:t>.</w:t>
      </w:r>
    </w:p>
    <w:p w14:paraId="1C0037B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Penegakan hukum juga bukanlah merupakan suatu kegiatan yang berdiri sendiri melainkan mempunyai hubungan timbal balik yang erat dengan masyarakatnya. Hal ini dikarenakan masyarakat menjadi salah satu faktor yang dapat menentukan terwujudnya penegakan hukum secara baik ataupun dapat menjadi hambatan sehingga penegakan hukum tidak dapat dijalankan atau kurang dapat dijalankan dengan baik. </w:t>
      </w:r>
    </w:p>
    <w:p w14:paraId="792433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Satjipto Rahardjo dalam bukunya juga telah memperkenalkan penegakan hukum progresif. Maksud dari penegakan hukum progresif adalah harus berani mengubah strategi dan cara-cara penegakan hukum konvensional menjadi progresif dan luar biasa, hal ini dikarenakan selama ini penegakan hukum hanya dilakukan secara legalistik dan kaku saja tanpa mempertimbangkan apa yang dibutuhkan oleh masyarakat oleh karena itu penegakan hukum yang progresif harus mampu juga untuk melihat dan mencari jalan keluar terhadap kebutuhan dan permasalahan yang dihadapi oleh masyarakat</w:t>
      </w:r>
      <w:r>
        <w:rPr>
          <w:rStyle w:val="15"/>
          <w:rFonts w:ascii="Times New Roman" w:hAnsi="Times New Roman" w:cs="Times New Roman"/>
          <w:sz w:val="24"/>
          <w:szCs w:val="24"/>
        </w:rPr>
        <w:footnoteReference w:id="22"/>
      </w:r>
      <w:r>
        <w:rPr>
          <w:rFonts w:ascii="Times New Roman" w:hAnsi="Times New Roman" w:cs="Times New Roman"/>
          <w:sz w:val="24"/>
          <w:szCs w:val="24"/>
        </w:rPr>
        <w:t>.</w:t>
      </w:r>
    </w:p>
    <w:p w14:paraId="6787BC5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pendapat Soerjono Soekanto sebagaimana yang dikutip oleh Agus Riyanto, masalah yang biasa terjadi dalam penegakan hukum mempunyai keterkaitan juga dengan faktor-faktor yang mempengaruhi penegakan hukum. Faktor-faktor tersebut adalah sebagai berikut</w:t>
      </w:r>
      <w:r>
        <w:rPr>
          <w:rStyle w:val="15"/>
          <w:rFonts w:ascii="Times New Roman" w:hAnsi="Times New Roman" w:cs="Times New Roman"/>
          <w:sz w:val="24"/>
          <w:szCs w:val="24"/>
        </w:rPr>
        <w:footnoteReference w:id="23"/>
      </w:r>
      <w:r>
        <w:rPr>
          <w:rFonts w:ascii="Times New Roman" w:hAnsi="Times New Roman" w:cs="Times New Roman"/>
          <w:sz w:val="24"/>
          <w:szCs w:val="24"/>
        </w:rPr>
        <w:t>:</w:t>
      </w:r>
    </w:p>
    <w:p w14:paraId="666D11AA">
      <w:pPr>
        <w:pStyle w:val="23"/>
        <w:numPr>
          <w:ilvl w:val="0"/>
          <w:numId w:val="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Hukum</w:t>
      </w:r>
    </w:p>
    <w:p w14:paraId="489B3AC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yang dimaksudkan di sini adalah peraturan tertulis yang berlaku umum dan dibuat oleh Pemerintah. Permasalahan penegakan hukum yang berkaitan dengan faktor hukum biasanya disebabkan karena tidak diikutinya asas-asas berlakunya hukum tersebut, belum ada peraturan pelaksana untuk menerapkan aturan yang lebih tinggi, serta terdapat beberapa kata dalam aturan yang tidak jelas sehingga dapat mengakibatkan perbedaan dalam penafsiran maupun dalam penerapannya.</w:t>
      </w:r>
    </w:p>
    <w:p w14:paraId="5CDAA169">
      <w:pPr>
        <w:pStyle w:val="23"/>
        <w:numPr>
          <w:ilvl w:val="0"/>
          <w:numId w:val="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Penegak Hukum</w:t>
      </w:r>
    </w:p>
    <w:p w14:paraId="00A97E6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Penegak hukum yang dimaksud adalah pihak-pihak yang langsung maupun tidak langsung terlibat dalam penegakan hukum. Permasalahan penegakan hukum yang berkaitan dengan faktor penegak hukum biasanya terjadi karena rendahnya kualitas penegak hukum, tidak diindahkannya prinsip </w:t>
      </w:r>
      <w:r>
        <w:rPr>
          <w:rFonts w:ascii="Times New Roman" w:hAnsi="Times New Roman" w:cs="Times New Roman"/>
          <w:i/>
          <w:iCs/>
          <w:sz w:val="24"/>
          <w:szCs w:val="24"/>
        </w:rPr>
        <w:t>the right man in the right place</w:t>
      </w:r>
      <w:r>
        <w:rPr>
          <w:rFonts w:ascii="Times New Roman" w:hAnsi="Times New Roman" w:cs="Times New Roman"/>
          <w:sz w:val="24"/>
          <w:szCs w:val="24"/>
        </w:rPr>
        <w:t xml:space="preserve">, rendahnya komitmen penegak hukum terhadap penegakan hukum, tidak adanya mekanisme penegakan hukum yang terintegrasi, kuatnya pengaruh dan intervensi politik dan kekuasaan ke dalam bidang penegakan hukum khususnya kepada aparat penegak hukum, adanya korupsi dan </w:t>
      </w:r>
      <w:r>
        <w:rPr>
          <w:rFonts w:ascii="Times New Roman" w:hAnsi="Times New Roman" w:cs="Times New Roman"/>
          <w:i/>
          <w:iCs/>
          <w:sz w:val="24"/>
          <w:szCs w:val="24"/>
        </w:rPr>
        <w:t xml:space="preserve">organized crime </w:t>
      </w:r>
      <w:r>
        <w:rPr>
          <w:rFonts w:ascii="Times New Roman" w:hAnsi="Times New Roman" w:cs="Times New Roman"/>
          <w:sz w:val="24"/>
          <w:szCs w:val="24"/>
        </w:rPr>
        <w:t>antara anggota penegak hukum, dan kurangnya koordinasi di antara penegak hukum baik pada tataran teoritis dan kaidah maupun dalam Tingkat operasionalnya.</w:t>
      </w:r>
    </w:p>
    <w:p w14:paraId="3F8A055E">
      <w:pPr>
        <w:pStyle w:val="23"/>
        <w:numPr>
          <w:ilvl w:val="0"/>
          <w:numId w:val="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Sarana atau Fasilitas</w:t>
      </w:r>
    </w:p>
    <w:p w14:paraId="63B99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Sarana atau fasilitas juga sangat berpengaruh terhadap pelaksanaan penegakan hukum. Hal ini dikarenakan tanpa adanya sarana atau fasilitas yang memadai, maka tidaklah mudah penegakan hukum berlangsung dengan baik. Sarana atau fasilitas tersebut antara lain mencakup tenaga manusia yang berpendidikan tinggi dan terampil, organisasi yang baik, peralatan yang cukup memadai, dan kondisi keuangan yang cukup. Apabila sarana-sarana tersebut tidak dipenuhi, maka akan sulit untuk melaksanakan penegakan hukum.</w:t>
      </w:r>
    </w:p>
    <w:p w14:paraId="29A6F8E1">
      <w:pPr>
        <w:pStyle w:val="23"/>
        <w:numPr>
          <w:ilvl w:val="0"/>
          <w:numId w:val="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Masyarakat</w:t>
      </w:r>
    </w:p>
    <w:p w14:paraId="79C34FE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Negara Indonesia terdiri dari masyarakat yang majemuk. Hal ini mengharuskan para penegak hukum untuk mengenal stratifikasi sosial atau pelapisan masyarakat yang ada dalam suatu lingkungan beserta tatanan status atau kedudukan dan peranan yang ada. Selain itu penegak hukum juga perlu mengetahui dan memahami mengenai lembagalembaga sosial yang hidup dan masih dihargai oleh sebagian besar masyarakat yang ada. Apabila penegak hukum telah mengetahui dan memahami hal-hal tersebut, maka dapat memudahkan penegak hukum untuk mengidentifikasikan nilai-nilai dan norma-norma atau kaidah-kaidah yang berlaku di lingkungan tersebut sehingga penegakan hukum dapat berjalan dengan optimal.</w:t>
      </w:r>
    </w:p>
    <w:p w14:paraId="36FF0AD8">
      <w:pPr>
        <w:pStyle w:val="23"/>
        <w:numPr>
          <w:ilvl w:val="0"/>
          <w:numId w:val="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Faktor Kebudayaan</w:t>
      </w:r>
    </w:p>
    <w:p w14:paraId="1861FA0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Kebudayaan mencakup nilai-nilai yang mendasari hukum yang berlaku, nilai-nilai mana yang merupakan konsepsi-konsepsi abstrak mengenai apa saja yang dianggap baik dan apa yang dianggap buruk. Pada dasarnya, faktor kebudayaan memiliki kemiripan dengan faktor masyarakat. Namun di dalam faktor kebudayaan lebih ditekankan mengenai masalah sistem nilai-nilai yang ada di tengahnya masyarakat. </w:t>
      </w:r>
    </w:p>
    <w:p w14:paraId="479E32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Faktor-faktor yang telah dijelaskan tersebut dalam kenyataannya harus saling berkaitan antara satu dengan lainnya sehingga dapat mewujudkan penegakan hukum yang baik dan optimal. Hal ini dikarenakan apabila salah satu faktor tidak terpenuhi maka dapat mempengaruhi juga faktor lainnya dan pada akhirnya mengakibatkan penegakan hukum tidak dapat berjalan secara optimal.</w:t>
      </w:r>
    </w:p>
    <w:p w14:paraId="3AE2B84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Jimly Asshiddiqie juga mengemukakan pendapatnya mengenai penegakan hukum, menurutnya penegakan hukum adalah proses yang dilakukan sebagai upaya untuk menegakkan atau menjalankan fungsi norma-norma hukum secara nyata sebagai pedoman perilaku dalam lalu lintas atau hubungan-hubungan hukum dalam kehidupan bermasyarakat dan bernegara. Selain itu, Jimly Asshiddiqie juga berpendapat bahwa penegakan hukum dapat ditinjau berdasarkan subjek maupun objeknya</w:t>
      </w:r>
      <w:r>
        <w:rPr>
          <w:rStyle w:val="15"/>
          <w:rFonts w:ascii="Times New Roman" w:hAnsi="Times New Roman" w:cs="Times New Roman"/>
          <w:sz w:val="24"/>
          <w:szCs w:val="24"/>
        </w:rPr>
        <w:footnoteReference w:id="24"/>
      </w:r>
      <w:r>
        <w:rPr>
          <w:rFonts w:ascii="Times New Roman" w:hAnsi="Times New Roman" w:cs="Times New Roman"/>
          <w:sz w:val="24"/>
          <w:szCs w:val="24"/>
        </w:rPr>
        <w:t>.</w:t>
      </w:r>
    </w:p>
    <w:p w14:paraId="0637F2B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subjeknya, penegakan hukum dibedakan menjadi penegakan hukum dalam arti luas dan dalam arti sempit. Penegakan hukum dalam arti luas berdasarkan subjek diartikan sebagai proses penegakkan hukum yang akan melibatkan semua subjek hukum dalam setiap hubungan hukum. Siapa saja yang menjalankan aturan hukum dengan mendasarkan diri pada norma aturan hukum yang berlaku maka dapat diartikan bahwa ia telah menegakkan hukum, sedangkan penegakan hukum dalam arti sempit berdasarkan subjek diartikan sebagai upaya aparatur penegakan hukum tertentu yang mempunyai tugas dan kewenangan untuk menjamin dan memastikan bahwa suatu aturan hukum berjalan sebagaimana seharusnya. Berdasarkan objeknya maka penegakan hukum juga dibedakan menjadi penegakan hukum dalam arti luas dan dalam arti sempit.</w:t>
      </w:r>
    </w:p>
    <w:p w14:paraId="20721B6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dalam arti luas berdasarkan objek diartikan sebagai penegakan hukum yang mencakup pada nilai-nilai yang telah diatur dalam aturan formal dan tertulis maupun nilai-nilai tidak tertulis yang hidup dan ditemukan dalam bermasyarakat, sedangkan penegakan hukum dalam arti sempit berdasarkan objek diartikan sebagai penegakkan hukum yang hanya didasarkan pada peraturan yang formal dan tertulis saja. Dalam konteks penelitian ini akan fokus pada penegakan hukum berdasarkan objek dalam arti sempit dan salah satu unsur yang akan dibahas adalah mengenai peraturan-peraturan yang menjadi landasan hukum dari topik penelitian.</w:t>
      </w:r>
    </w:p>
    <w:p w14:paraId="450A1AC4">
      <w:pPr>
        <w:pStyle w:val="23"/>
        <w:numPr>
          <w:ilvl w:val="0"/>
          <w:numId w:val="2"/>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Jenis-Jenis Penegakan Hukum</w:t>
      </w:r>
    </w:p>
    <w:p w14:paraId="1BE02506">
      <w:pPr>
        <w:pStyle w:val="23"/>
        <w:numPr>
          <w:ilvl w:val="0"/>
          <w:numId w:val="4"/>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Kepolisian </w:t>
      </w:r>
    </w:p>
    <w:p w14:paraId="4A8252B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Kepolisian adalah salah satu fungsi pemerintah dibidang penegakan hukum, perlindungan dan pelayanan masyarakat serta pembimbing masyarakat dalam rangka terjaminnya tertib dan tegaknya hukum serta terbinanya ketentraman masyarakat guna terwujudnya keamanan dan ketertiban masyarakat</w:t>
      </w:r>
      <w:r>
        <w:rPr>
          <w:rStyle w:val="15"/>
          <w:rFonts w:ascii="Times New Roman" w:hAnsi="Times New Roman" w:cs="Times New Roman"/>
          <w:sz w:val="24"/>
          <w:szCs w:val="24"/>
        </w:rPr>
        <w:footnoteReference w:id="25"/>
      </w:r>
      <w:r>
        <w:rPr>
          <w:rFonts w:ascii="Times New Roman" w:hAnsi="Times New Roman" w:cs="Times New Roman"/>
          <w:sz w:val="24"/>
          <w:szCs w:val="24"/>
        </w:rPr>
        <w:t>. Polisi sebenarnya berasal dari kata Yunani yaitu Politeia. Kata ini pada mulanya dipergunakan untuk menyebut “orang yang menjadi warga negara dari kota Athena”, kemudian seiring berjalannya waktu pengertian itu berkembang luas menjadi “kota” dan dipakai untuk menyebut “semua usaha kota” dalam konteks bagian dari suatu pemerintahan</w:t>
      </w:r>
      <w:r>
        <w:rPr>
          <w:rStyle w:val="15"/>
          <w:rFonts w:ascii="Times New Roman" w:hAnsi="Times New Roman" w:cs="Times New Roman"/>
          <w:sz w:val="24"/>
          <w:szCs w:val="24"/>
        </w:rPr>
        <w:footnoteReference w:id="26"/>
      </w:r>
      <w:r>
        <w:rPr>
          <w:rFonts w:ascii="Times New Roman" w:hAnsi="Times New Roman" w:cs="Times New Roman"/>
          <w:sz w:val="24"/>
          <w:szCs w:val="24"/>
        </w:rPr>
        <w:t xml:space="preserve">. </w:t>
      </w:r>
    </w:p>
    <w:p w14:paraId="02F8E07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Polisi sebenarnya berasal dari kata Yunani yaitu </w:t>
      </w:r>
      <w:r>
        <w:rPr>
          <w:rFonts w:ascii="Times New Roman" w:hAnsi="Times New Roman" w:cs="Times New Roman"/>
          <w:i/>
          <w:iCs/>
          <w:sz w:val="24"/>
          <w:szCs w:val="24"/>
        </w:rPr>
        <w:t>Politeia</w:t>
      </w:r>
      <w:r>
        <w:rPr>
          <w:rFonts w:ascii="Times New Roman" w:hAnsi="Times New Roman" w:cs="Times New Roman"/>
          <w:sz w:val="24"/>
          <w:szCs w:val="24"/>
        </w:rPr>
        <w:t>. Kata ini pada mulanya dipergunakan untuk menyebut “orang yang menjadi warga negara dari kota Athena”, kemudian seiring berjalannya waktu pengertian itu berkembang luas menjadi “kota” dan dipakai untuk menyebut “semua usaha kota”dalam konteks bagian dari suatu pemerintahan</w:t>
      </w:r>
      <w:r>
        <w:rPr>
          <w:rStyle w:val="15"/>
          <w:rFonts w:ascii="Times New Roman" w:hAnsi="Times New Roman" w:cs="Times New Roman"/>
          <w:sz w:val="24"/>
          <w:szCs w:val="24"/>
        </w:rPr>
        <w:footnoteReference w:id="27"/>
      </w:r>
      <w:r>
        <w:rPr>
          <w:rFonts w:ascii="Times New Roman" w:hAnsi="Times New Roman" w:cs="Times New Roman"/>
          <w:sz w:val="24"/>
          <w:szCs w:val="24"/>
        </w:rPr>
        <w:t xml:space="preserve">. Polisi mengandung arti sebagai organ dan fungsi, yakni sebagai organ pemerintah dengan tugas mengawasi, jika perlu menggunakan paksaan agar yang diperintah menjalankan badan tidak melakukan larangan-larangan perintah. </w:t>
      </w:r>
    </w:p>
    <w:p w14:paraId="2DCAD1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Pengertian Kepolisian juga dimuat dalam Undang-Undang Nomor 2 Tahun 2002 Tentang Kepolisian Republik Indonesia pada Pasal 1 Angka 1 yang berbunyi “Kepolisian adalah segala hal ihwal yang berkaitan dengan fungsi dan lembaga polisi sesuai dengan peraturan perundang-undangan”. Istilah Kepolisian dalam Pasal 1 Angka 1 tersebut di atas mengandung dua pengertian yakni fungsi polisi dan lembaga polisi</w:t>
      </w:r>
      <w:r>
        <w:rPr>
          <w:rStyle w:val="15"/>
          <w:rFonts w:ascii="Times New Roman" w:hAnsi="Times New Roman" w:cs="Times New Roman"/>
          <w:sz w:val="24"/>
          <w:szCs w:val="24"/>
        </w:rPr>
        <w:footnoteReference w:id="28"/>
      </w:r>
      <w:r>
        <w:rPr>
          <w:rFonts w:ascii="Times New Roman" w:hAnsi="Times New Roman" w:cs="Times New Roman"/>
          <w:sz w:val="24"/>
          <w:szCs w:val="24"/>
        </w:rPr>
        <w:t xml:space="preserve">. Menurut Undang-Undang No. 2 Tahun 2002 tentang Kepolisian Republik Indonesia pada Pasal 1 di sebutkan bahwa: </w:t>
      </w:r>
    </w:p>
    <w:p w14:paraId="0F8ECA80">
      <w:pPr>
        <w:spacing w:after="0" w:line="480" w:lineRule="auto"/>
        <w:jc w:val="both"/>
        <w:rPr>
          <w:rFonts w:ascii="Times New Roman" w:hAnsi="Times New Roman" w:cs="Times New Roman"/>
          <w:sz w:val="24"/>
          <w:szCs w:val="24"/>
        </w:rPr>
      </w:pPr>
    </w:p>
    <w:p w14:paraId="24AA7A75">
      <w:pPr>
        <w:pStyle w:val="23"/>
        <w:numPr>
          <w:ilvl w:val="0"/>
          <w:numId w:val="5"/>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Kepolisian adalah segala hal ihwal yang berkaitan dengan fungsi dan lembaga polisi sesuai dengan peraturan perundang-undangan. </w:t>
      </w:r>
    </w:p>
    <w:p w14:paraId="0005BE35">
      <w:pPr>
        <w:pStyle w:val="23"/>
        <w:numPr>
          <w:ilvl w:val="0"/>
          <w:numId w:val="5"/>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Anggota Kepolisian Negara Republik Indonesia adalah pegawai negeri pada Kepolisian Negara Republik Indonesia. </w:t>
      </w:r>
    </w:p>
    <w:p w14:paraId="5FE58D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Hoegeng, yakni polisi merupakan lembaga resmi yang diberi mandat untuk memelihara ketertiban umum, perlindungan orang serta segala sesuatu yang dimilikinya dari keadaan bahaya atau gangguan umum serta tindakan-tindakan melanggar hukum. Menurut Konerto, mempunyai pandangan tersendiri mengenai pengertian Polisi dalam pengertian sehari-hari yang tidak menghubungkan dengan pemerintahan negara. “Polisi merupakan petugas atau pejabat karna dalam seharihari mereka berkiprah dan berhadapan langsung dengan masyarakat. Pada mulanya Polisi berarti orang yang kuat dan dapat menjaga keamanan dan keselamatan anggota kelompoknya. Polisi sudah harus dibedakan dengan masyarakat biasa, agar rakyat jelas kepada merekalah rakyat dapat meminta perlindungan, dapat mengadukan pengeluhan, dan seterusnya</w:t>
      </w:r>
      <w:r>
        <w:rPr>
          <w:rStyle w:val="15"/>
          <w:rFonts w:ascii="Times New Roman" w:hAnsi="Times New Roman" w:cs="Times New Roman"/>
          <w:sz w:val="24"/>
          <w:szCs w:val="24"/>
        </w:rPr>
        <w:footnoteReference w:id="29"/>
      </w:r>
      <w:r>
        <w:rPr>
          <w:rFonts w:ascii="Times New Roman" w:hAnsi="Times New Roman" w:cs="Times New Roman"/>
          <w:sz w:val="24"/>
          <w:szCs w:val="24"/>
        </w:rPr>
        <w:t xml:space="preserve">. </w:t>
      </w:r>
    </w:p>
    <w:p w14:paraId="4CEA430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Selanjutnya mengenai pengertian Kepolisian menurut Van Vollenhoven dalam bukunya “</w:t>
      </w:r>
      <w:r>
        <w:rPr>
          <w:rFonts w:ascii="Times New Roman" w:hAnsi="Times New Roman" w:cs="Times New Roman"/>
          <w:i/>
          <w:iCs/>
          <w:sz w:val="24"/>
          <w:szCs w:val="24"/>
        </w:rPr>
        <w:t>Politie Overzee</w:t>
      </w:r>
      <w:r>
        <w:rPr>
          <w:rFonts w:ascii="Times New Roman" w:hAnsi="Times New Roman" w:cs="Times New Roman"/>
          <w:sz w:val="24"/>
          <w:szCs w:val="24"/>
        </w:rPr>
        <w:t>” pengertian “Politie” meliputi organ-organ pemerintah yang berwenang dan berkewajiban untuk mengusahakan pengawasan dan pemaksaan jika diperlukan, agar yang diperintah untuk berbuat atau tidak berbuat menurut kewajiban masing-masing. Makna Polisi mengandung arti sebagai oragan dan fungsi, yakni sebagai organ pemerintah dengan tugas mengawasi, jika perlu menggunakan paksaan supaya yang diperintah menjalakan dan tidak melakukan larangan-larangan perintah</w:t>
      </w:r>
      <w:r>
        <w:rPr>
          <w:rStyle w:val="15"/>
          <w:rFonts w:ascii="Times New Roman" w:hAnsi="Times New Roman" w:cs="Times New Roman"/>
          <w:sz w:val="24"/>
          <w:szCs w:val="24"/>
        </w:rPr>
        <w:footnoteReference w:id="30"/>
      </w:r>
      <w:r>
        <w:rPr>
          <w:rFonts w:ascii="Times New Roman" w:hAnsi="Times New Roman" w:cs="Times New Roman"/>
          <w:sz w:val="24"/>
          <w:szCs w:val="24"/>
        </w:rPr>
        <w:t>.</w:t>
      </w:r>
    </w:p>
    <w:p w14:paraId="1B6B8B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Selanjutnya istilah “Kepolisian” sebagai organ dan fungsi yang disebutkan dari pengertian di atas. Sebagai organ yakni suatu lembaga pemerintah yang terorganisasi dan terstruktur dalam ketatanegaraan yang oleh undang-undang diberi tugas dan wewenang dan tanggung jawab untuk menyelenggarakan kepolisian. Fungsi menunjuk pada tugas dan wewenang yang diberikan oleh Undang-Undang yakni fungsi preventif dan fungsi represif. Fungsi preventif melalui pemberian perlindungan, pengayoman, dan pelayanan kepada masyarakat, dan fungsi represif dalam rangka penegakan hukum. Pelaksanaan fungsi preventif dan represif dari kepolisian dilakukan dalam rangka memelihara keamanan, ketertiban dan ketentraman dalam masyarakat, yang pada gilirannya dapat menjamin kelangsungan, kelestarian masyarakat itu sendiri. </w:t>
      </w:r>
    </w:p>
    <w:p w14:paraId="005DAA42">
      <w:pPr>
        <w:pStyle w:val="23"/>
        <w:numPr>
          <w:ilvl w:val="0"/>
          <w:numId w:val="6"/>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Tugas Pokok dan Wewenang Kepolisian </w:t>
      </w:r>
    </w:p>
    <w:p w14:paraId="43B0EA5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Kepolisian sebagai fungsi juga diatur pada Undang-Undang Nomor 2 Tahun 2002 Tentang Kepolisian Republik Indonesia pada Pasal 2 yang berbunyi “fungsi Kepolisian adalah salah satu fungsi pemerintahan negara di bidang pemeliharaan keamanan dan ketertiban masyarakat, penegakan hukum, perlindungan, pengayoman, dan pelayanan pada masyarakat”. Fungsi sebagai aparat penegakan hukum polisi wajib memahami asas-asas hukum yang digunakan sebagai bahan pertimbangan dalam pelaksanaan tugas, yaitu sebagai berikut:</w:t>
      </w:r>
    </w:p>
    <w:p w14:paraId="0B59DF36">
      <w:pPr>
        <w:pStyle w:val="23"/>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Asas legalitas, dalam melaksanakan tugasnya sebagai penegak hukum wajib tunduk pada hukum. </w:t>
      </w:r>
    </w:p>
    <w:p w14:paraId="08A5F8EF">
      <w:pPr>
        <w:pStyle w:val="23"/>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Asas kewajiban, merupakan kewajiban polisi dalam menangani permasalahan dalam masyarakat yang bersifat diskresi, karena belum diatur dalam hukum. </w:t>
      </w:r>
    </w:p>
    <w:p w14:paraId="114B8E0B">
      <w:pPr>
        <w:pStyle w:val="23"/>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Asas partisipasi, dalam rangka mengamankan lingkungan masyarakat Polisi mengkoordinasikan pengamanan Swakarsa untuk mewujudkan ketaatan hukum dikalangan masyarakat. </w:t>
      </w:r>
    </w:p>
    <w:p w14:paraId="5E812D49">
      <w:pPr>
        <w:pStyle w:val="23"/>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Asas Preventif, selalu mengedepankan tindakan pencegah dari pada tindakan penindakan (represif) kepada masyarakat. </w:t>
      </w:r>
    </w:p>
    <w:p w14:paraId="5DB53272">
      <w:pPr>
        <w:pStyle w:val="23"/>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Asas subsidiaritas, melakukan tugas instansi lain agar tidak menimbulkan permasalahan yang lebih besar sebelum ditangani oleh instansi yang membidangi</w:t>
      </w:r>
      <w:r>
        <w:rPr>
          <w:rStyle w:val="15"/>
          <w:rFonts w:ascii="Times New Roman" w:hAnsi="Times New Roman" w:cs="Times New Roman"/>
          <w:sz w:val="24"/>
          <w:szCs w:val="24"/>
        </w:rPr>
        <w:footnoteReference w:id="31"/>
      </w:r>
      <w:r>
        <w:rPr>
          <w:rFonts w:ascii="Times New Roman" w:hAnsi="Times New Roman" w:cs="Times New Roman"/>
          <w:sz w:val="24"/>
          <w:szCs w:val="24"/>
        </w:rPr>
        <w:t xml:space="preserve">. </w:t>
      </w:r>
    </w:p>
    <w:p w14:paraId="432E6BB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Berdasarkan asas-asas hukum tersebut di atas, maka fungsi Polisi berdasarkan Undang-Undang Nomor 2 Tahun 2002 telah diubah citranya dari citra polisi yang dulunya antogonis menjadi polisi protagonis. </w:t>
      </w:r>
    </w:p>
    <w:p w14:paraId="392736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Penjelasan dari fungsi di atas maka kepolisian mempunyai tugas dan wewenang dalam melakukan pekerjaannya sebagai lembaga negara yang diatur pada Pasal 13, Pasal 14, Pasal 15 dan Pasal 16: </w:t>
      </w:r>
    </w:p>
    <w:p w14:paraId="1B89083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Pasal 13 Undang-undang Nomor 2 Tahun 2002 Tentang Kepolisian Republik Indonesia berbunyi: </w:t>
      </w:r>
    </w:p>
    <w:p w14:paraId="0FB25E7C">
      <w:pPr>
        <w:pStyle w:val="23"/>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Memelihara keamanan dan ketertiban masyarakat; </w:t>
      </w:r>
    </w:p>
    <w:p w14:paraId="7A90AD2C">
      <w:pPr>
        <w:pStyle w:val="23"/>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Menegakkan hukum; dan </w:t>
      </w:r>
    </w:p>
    <w:p w14:paraId="5D6A8A86">
      <w:pPr>
        <w:pStyle w:val="23"/>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Memberikan perlindungan, pengayoman, dan pelayanan kepada masyarakat </w:t>
      </w:r>
    </w:p>
    <w:p w14:paraId="29D45A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Pasal 14 Undang-undang Nomor 2 Tahun 2002 Tentang Kepolisian Republik Indonesia berbunyi: Dalam melaksanakan tugas pokok sebagaimana dimaksud dalam Pasal 13, Kepolisian Negara Republik Indonesia bertugas : </w:t>
      </w:r>
    </w:p>
    <w:p w14:paraId="3AB208B3">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melaksanakan pengaturan, penjagaan, pengawalan, dan patroli terhadap kegiatan masyarakat dan pemerintah sesuai kebutuhan; </w:t>
      </w:r>
    </w:p>
    <w:p w14:paraId="2F941FA4">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menyelenggarakan segala kegiatan dalam menjamin keamanan, ketertiban,dan kelancaran lalu lintas di jalan; </w:t>
      </w:r>
    </w:p>
    <w:p w14:paraId="2F5AF4B2">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membina masyarakat untuk meningkatkan partisipasi masyarakat, kesadaran hukum masyarakat serta ketaatan warga masyarakat terhadap hukum dan peraturan perundang-undangan; </w:t>
      </w:r>
    </w:p>
    <w:p w14:paraId="06A7C7CB">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turut serta dalam pembinaan hukum nasional; </w:t>
      </w:r>
    </w:p>
    <w:p w14:paraId="77982E11">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memelihara ketertiban dan menjamin keamanan umum; </w:t>
      </w:r>
    </w:p>
    <w:p w14:paraId="71CA27E6">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koordinasi, pengawasan, dan pembinaan teknis terhadap kepolisian khusus, penyidik pegawai negeri sipil, dan bentuk-bentuk pengamanan swakarsa; </w:t>
      </w:r>
    </w:p>
    <w:p w14:paraId="1A75F40D">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penyelidikan dan penyidikan terhadap semua tindak pidana sesuai dengan hukum acara pidana dan peraturan perundang-undangan lainnya; </w:t>
      </w:r>
    </w:p>
    <w:p w14:paraId="016797EA">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menyelenggarakan identifikasi kepolisian, kedokteran kepolisian, laboratorium forensik dan psikologi kepolisian untuk kepentingan tugas kepolisian; </w:t>
      </w:r>
    </w:p>
    <w:p w14:paraId="7AD9894B">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melindungi keselamatan jiwa raga, harta benda, masyarakat, dan lingkungan hidup dari gangguan ketertiban dan/atau bencana termasuk memberikan bantuan dan pertolongan dengan menjunjung tinggi hak asasi manusia; </w:t>
      </w:r>
    </w:p>
    <w:p w14:paraId="1AEE5653">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melayani kepentingan warga masyarakat untuk sementara sebelum ditangani oleh instansi dan/atau pihak yang berwenang; </w:t>
      </w:r>
    </w:p>
    <w:p w14:paraId="0383683C">
      <w:pPr>
        <w:pStyle w:val="23"/>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memberikan pelayanan kepada masyarakat sesuai dengan kepentingannya dalam lingkup tugas kepolisian; </w:t>
      </w:r>
    </w:p>
    <w:p w14:paraId="70C1D69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Pasal 15 Undang-undang Nomor 2 Tahun 2002 Tentang Kepolisian Republik Indonesia berbunyi: Dalam rangka menyelenggarakan tugas sebagaimana dimaksud dalam Pasal 13 dan 14 Kepolisian Negara Republik Indonesia secara umum berwenang: </w:t>
      </w:r>
    </w:p>
    <w:p w14:paraId="6149D66B">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menerima laporan dan/atau pengaduan; </w:t>
      </w:r>
    </w:p>
    <w:p w14:paraId="59AA9E7D">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membantu menyelesaikan perselisihan warga masyarakat yang dapat mengganggu ketertiban umum; </w:t>
      </w:r>
    </w:p>
    <w:p w14:paraId="3D118809">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mencegah dan menanggulangi tumbuhnya penyakit masyarakat; </w:t>
      </w:r>
    </w:p>
    <w:p w14:paraId="156801F3">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mengawasi aliran yang dapat menimbulkan perpecahan atau mengancam persatuan dan kesatuan bangsa; </w:t>
      </w:r>
    </w:p>
    <w:p w14:paraId="1B8C83DB">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mengeluarkan peraturan kepolisian dalam lingkup kewenangan administratif kepolisian; </w:t>
      </w:r>
    </w:p>
    <w:p w14:paraId="15C70E23">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melaksanakan pemeriksaan khusus sebagai bagian dari tindakan kepolisian dalam rangka pencegahan; </w:t>
      </w:r>
    </w:p>
    <w:p w14:paraId="66ACA0D8">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tindakan pertama di tempat kejadian; </w:t>
      </w:r>
    </w:p>
    <w:p w14:paraId="650189CE">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mengambil sidik jari dan identitas lainnya serta memotret seseorang; </w:t>
      </w:r>
    </w:p>
    <w:p w14:paraId="6170A47B">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mencari keterangan dan barang bukti; </w:t>
      </w:r>
    </w:p>
    <w:p w14:paraId="196966FE">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menyelenggarakan Pusat Informasi Kriminal Nasional; </w:t>
      </w:r>
    </w:p>
    <w:p w14:paraId="7D0AD3B6">
      <w:pPr>
        <w:pStyle w:val="23"/>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mengeluarkan surat izin dan/atau surat keterangan yang diperlukan dalam rangka pelayanan masyarakat; </w:t>
      </w:r>
    </w:p>
    <w:p w14:paraId="4747B8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Pasal 16 Undang-undang Nomor 2 Tahun 2002 Tentang Kepolisian Republik Indonesia berbunyi: Dalam rangka menyelenggarakan tugas sebagaimana dimaksud dalam Pasal 13 dan 14 dibidang proses pidana, Kepolisian Negara Republik Indonesia berwenang untuk : </w:t>
      </w:r>
    </w:p>
    <w:p w14:paraId="4E92D9B3">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penangkapan, penahanan, penggeledahan, dan penyitaan; </w:t>
      </w:r>
    </w:p>
    <w:p w14:paraId="28E86434">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melarang setiap orang meninggalkan atau memasuki tempat kejadian perkara untuk kepentingan penyidikan; </w:t>
      </w:r>
    </w:p>
    <w:p w14:paraId="23F7AF95">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membawa dan menghadapkan orang kepada penyidik dalam rangka penyidikan; </w:t>
      </w:r>
    </w:p>
    <w:p w14:paraId="207B0116">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menyuruh berhenti orang yang dicurigai dan menanyakan serta memeriksa tanda pengenal diri; </w:t>
      </w:r>
    </w:p>
    <w:p w14:paraId="16D76F9F">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pemeriksaan dan penyitaan surat; </w:t>
      </w:r>
    </w:p>
    <w:p w14:paraId="09492BCD">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memanggil orang untuk didengar dan diperiksa sebagai tersangka atau saksi; </w:t>
      </w:r>
    </w:p>
    <w:p w14:paraId="765CB5B3">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mendatangkan orang ahli yang diperlukan dalam hubungannya dengan pemeriksaan perkara; </w:t>
      </w:r>
    </w:p>
    <w:p w14:paraId="73F65085">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mengadakan penghentian penyidikan; </w:t>
      </w:r>
    </w:p>
    <w:p w14:paraId="09DA347E">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menyerahkan berkas perkara kepada penuntut umum; </w:t>
      </w:r>
    </w:p>
    <w:p w14:paraId="359EE3A9">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mengajukan permintaan secara langsung kepada pejabat imigrasi yang berwenang di tempat pemeriksaan imigrasi dalam keadaan mendesak atau mendadak untuk mencegah atau menangkal orang yang disangka melakukan tindak pidana; </w:t>
      </w:r>
    </w:p>
    <w:p w14:paraId="612C9D4C">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memberi petunjuk dan bantuan penyidikan kepada penyidik pegawai negeri sipil serta menerima hasil penyidikan penyidik pegawai negeri sipil untuk diserahkan kepada penuntut umum; dan </w:t>
      </w:r>
    </w:p>
    <w:p w14:paraId="26B1DE09">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mengadakan tindakan lain menurut hukum yang bertanggung jawab. </w:t>
      </w:r>
    </w:p>
    <w:p w14:paraId="1775033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Tindakan lain sebagaimana dimaksud dalam ayat (1) huruf l adalah tindakan penyelidikan dan penyidikan yang dilaksanakan jika memenuhi syarat sebagai berikut : </w:t>
      </w:r>
    </w:p>
    <w:p w14:paraId="7448BB02">
      <w:pPr>
        <w:pStyle w:val="23"/>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tidak bertentangan dengan suatu aturan hukum; </w:t>
      </w:r>
    </w:p>
    <w:p w14:paraId="1F07D065">
      <w:pPr>
        <w:pStyle w:val="23"/>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selaras dengan kewajiban hukum yang mengharuskan tindakan tersebut dilakukan; </w:t>
      </w:r>
    </w:p>
    <w:p w14:paraId="52DC6FC7">
      <w:pPr>
        <w:pStyle w:val="23"/>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harus patut, masuk akal, dan termasuk dalam lingkungan jabatannya; </w:t>
      </w:r>
    </w:p>
    <w:p w14:paraId="735B82F1">
      <w:pPr>
        <w:pStyle w:val="23"/>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pertimbangan yang layak berdasarkan keadaan yang memaksa; dan </w:t>
      </w:r>
    </w:p>
    <w:p w14:paraId="50E447AC">
      <w:pPr>
        <w:pStyle w:val="23"/>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menghormati hak asasi manusia. </w:t>
      </w:r>
    </w:p>
    <w:p w14:paraId="24FFA493">
      <w:pPr>
        <w:pStyle w:val="23"/>
        <w:numPr>
          <w:ilvl w:val="0"/>
          <w:numId w:val="4"/>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Kejaksaan</w:t>
      </w:r>
    </w:p>
    <w:p w14:paraId="3A46D23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Kejaksaan adalah lembaga negara yang melaksanakan kekuasaan negara, khususnya di bidang penuntutan. Sebagai badan yang berwenang dalam penegakan hukum dan keadilan, Kejaksaan dipimpin oleh Jaksa Agung yang dipilih oleh dan bertanggung jawab kepada Presiden. Kejaksaan Agung, Kejaksaan Tinggi, dan Kejaksaan Negeri merupakan kekuasaan negara khususnya dibidang penuntutan, dimana semuanya merupakan satu kesatuan yang utuh yang tidak dapat dipisahkan.</w:t>
      </w:r>
    </w:p>
    <w:p w14:paraId="292BEC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Mengacu pada Undang-Undang No. 16 Tahun 2004 yang menggantikan UU No. 5 Tahun 1991 tentang Kejaksaan R.I., Kejaksaan sebagai salah satu lembaga penegak hukum dituntut untuk lebih berperan dalam menegakkan supremasi hukum, perlindungan kepentingan umum, penegakan hak asasi manusia, serta pemberantasan Korupsi, Kolusi, dan Nepotisme (KKN). Di dalam UU Kejaksaan yang baru ini, Kejaksaan RI sebagai lembaga negara yang melaksanakan kekuasaan negara di bidang penuntutan harus melaksanakan fungsi, tugas, dan wewenangnya secara merdeka, terlepas dari pengaruh kekuasaan pemerintah dan pengaruh kekuasaan lainnya (Pasal 2 ayat 2 Undang-Undang Nomor 16 Tahun 2004).</w:t>
      </w:r>
    </w:p>
    <w:p w14:paraId="27FB14F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Dalam menjalankan tugas dan wewenangnya, Kejaksaan dipimpin oleh Jaksa Agung yang membawahi enam Jaksa Agung Muda serta 31 Kepala Kejaksaan Tinggi pada tiap provinsi. UU No. 16 Tahun 2004 tentang Kejaksaan Republik Indonesia juga mengisyaratkan bahwa lembaga Kejaksaan berada pada posisi sentral dengan peran strategis dalam pemantapan ketahanan bangsa. Karena Kejaksaan berada diporos dan menjadi filter antara proses penyidikan dan proses pemeriksaan di persidangan serta juga sebagai pelaksana penetapan dan keputusan pengadilan. Sehingga, Lembaga Kejaksaan sebagai pengendali proses perkara (</w:t>
      </w:r>
      <w:r>
        <w:rPr>
          <w:rFonts w:ascii="Times New Roman" w:hAnsi="Times New Roman" w:cs="Times New Roman"/>
          <w:i/>
          <w:iCs/>
          <w:sz w:val="24"/>
          <w:szCs w:val="24"/>
        </w:rPr>
        <w:t>Dominus Litis</w:t>
      </w:r>
      <w:r>
        <w:rPr>
          <w:rFonts w:ascii="Times New Roman" w:hAnsi="Times New Roman" w:cs="Times New Roman"/>
          <w:sz w:val="24"/>
          <w:szCs w:val="24"/>
        </w:rPr>
        <w:t>), karena hanya institusi Kejaksaan yang dapat menentukan apakah suatu kasus dapat diajukan ke Pengadilan atau tidak berdasarkan alat bukti yang sah menurut Hukum Acara Pidana.</w:t>
      </w:r>
    </w:p>
    <w:p w14:paraId="1A9496A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Kejaksaan juga merupakan satu-satunya instansi pelaksana putusan pidana (</w:t>
      </w:r>
      <w:r>
        <w:rPr>
          <w:rFonts w:ascii="Times New Roman" w:hAnsi="Times New Roman" w:cs="Times New Roman"/>
          <w:i/>
          <w:iCs/>
          <w:sz w:val="24"/>
          <w:szCs w:val="24"/>
        </w:rPr>
        <w:t>executive ambtenaar</w:t>
      </w:r>
      <w:r>
        <w:rPr>
          <w:rFonts w:ascii="Times New Roman" w:hAnsi="Times New Roman" w:cs="Times New Roman"/>
          <w:sz w:val="24"/>
          <w:szCs w:val="24"/>
        </w:rPr>
        <w:t>). Selain berperan dalam perkara pidana, Kejaksaan juga memiliki peran lain dalam Hukum Perdata dan Tata Usaha Negara, yaitu dapat mewakili Pemerintah dalam Perkara Perdata dan Tata Usaha Negara sebagai Jaksa Pengacara Negara. Jaksa sebagai pelaksana kewenangan tersebut diberi wewenang sebagai Penuntut Umum serta melaksanakan putusan pengadilan, dan wewen</w:t>
      </w:r>
    </w:p>
    <w:p w14:paraId="3C213E0F">
      <w:pPr>
        <w:spacing w:after="0" w:line="480" w:lineRule="auto"/>
        <w:jc w:val="both"/>
        <w:rPr>
          <w:rFonts w:ascii="Times New Roman" w:hAnsi="Times New Roman" w:cs="Times New Roman"/>
          <w:b/>
          <w:bCs/>
          <w:sz w:val="24"/>
          <w:szCs w:val="24"/>
        </w:rPr>
      </w:pPr>
    </w:p>
    <w:p w14:paraId="543A84B3">
      <w:pPr>
        <w:pStyle w:val="23"/>
        <w:numPr>
          <w:ilvl w:val="0"/>
          <w:numId w:val="4"/>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Hakim</w:t>
      </w:r>
    </w:p>
    <w:p w14:paraId="2AE9D34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Hakim adalah pejabat peradilan negara yang diberi wewenang oleh undang-undang untuk mengadili (Pasal 1 butir 8 KUHAP). Sedangkan istilah hakim artinya orang yang mengadili perkara dalam pengadilan atau Mahkamah; Hakim juga berarti pengadilan, jika orang berkata “perkaranya telah diserahkan kepada Hakim”. Kekuasaan kehakiman adalah kekuasaan negara yang merdeka untuk menyelenggarakan peradilan guna menegakkan hukum dan keadilan berdasarkan Pancasila, demi terselengaranya negara hukum Republik Indonesia (Pasal 24 UUD 1945 dan Pasal 1 UUD No.48/2009). Berhakim berarti minta diadili perkaranya; menghakimi artinya berlaku sebagai hakim terhadap seseorang; kehakiman artinya urusan hukum dan pengadilan, adakalanya istilah hakim dipakai terhadap seseorang budiman, ahli, dan orang yang bijaksana. </w:t>
      </w:r>
    </w:p>
    <w:p w14:paraId="1D28B69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di dalam menjalankan tugas dan fungsinya wajib menjaga kemandirian peradilan. Segala campur tangan dalam urusan peradilan oleh pihak lain di luar kekuasaan kehakiman dilarang, kecuali dalam hal-hal sebagaimana dimaksud dalam Undang-Undang Dasar Negara Republik Indonesia Tahun 1945. Setiap orang yang dengan sengaja melanggar ketentuan peraturan perundang-undangan (Pasal 3 Undang-Undang No.48 Tahun 2009).</w:t>
      </w:r>
    </w:p>
    <w:p w14:paraId="2615FF4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Hakim tidak boleh menolak untuk memeriksa perkara (mengadili), mengadili adalah serangkaian tindakan hakim untuk menerima, memeriksa dan memutus perkara pidana berdasarkan asas bebas, jujur dan tidak memihak di siding pengadilan dalam hal dan menurut cara yang diatur dalam undang-undang ini (Pasal 1 Ayat (9) KUHAP). Ia tidak boleh menolak perkara dengan alasan tidak ada aturan hukumnya atau aturan hukumnya kurang jelas. Oleh karena hakim itu dianggap mengetahui hukum maka jika aturan hukum tidak ada ia harus menggalinya dengan ilmu pengetahuan hukum, jika aturan hukum kurang jelas maka ia harus menafsirkan dan jika tidak ada aturan hukum tertulis ia dapat menggunakan hukum adat. </w:t>
      </w:r>
    </w:p>
    <w:p w14:paraId="1963A60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sebagai pejabat negara dan penegak hukum, wajib menggali, mengikuti, dan memahami nilai-nilai hukum dan rasa keadilan yang hidup dalam masyarakat. Hakim dan hakim konstitusi harus memiliki integritas dan kepribadian yang tidak tercela, jujur, adil profesional, dan berpengalaman di bidang hukum. Hakim dan hakim konstitusi wajib menaati Kode Etik dan Pedoman Perilaku Hakim (Pasal 5 Undang-Undang No.48 Tahun 2009).</w:t>
      </w:r>
    </w:p>
    <w:p w14:paraId="5A36A0D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Seorang hakim wajib mengundurkan diri dari persidangan apabila terikat hubungan keluarga sedarah atau semenda sampai derajat ketiga, atau hubungan suami atau istri meskipun telah bercerai dengan pihak yang diadili atau advokat. Seorang hakim atau panitera wajib mengundurkan diri dari persidangan apabila ia</w:t>
      </w:r>
    </w:p>
    <w:p w14:paraId="0D54046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mempunyai kepentingan langsung atau tidak langsung dengan perkara yang sedang diperiksa, baik atas kehendaknya sendiri maupun atas permintaan pihak yang berperkara. (pasal 17 Ayat (3-5) Undang-Undang No.48 Tahun 2009). </w:t>
      </w:r>
    </w:p>
    <w:p w14:paraId="652E3BC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ketua dalam memeriksa perkara di sidang pengadilan harus menggunakan bahasa Indonesia yang dapat dimengerti oleh para penggugat dan tergugat atau terdakwa dan saksi (Pasal 153 KUHP). Di dalam praktik adakalanya hakim menggunakan bahasa daerah, jika yang bersangkutan masih kurang paham terhadap apa yang diucapkannya atau ditanyakan hakim.</w:t>
      </w:r>
    </w:p>
    <w:p w14:paraId="3A3AF07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ketua membuka sidang dengan menyatakan terbuka untuk umum, kecuali perkara mengenai kesusilaan atau terdakwanya anak-anak. Jika hakim dalam memeriksa perkara menggunakan bahasa yang tidak dimengerti oleh terdakwa atau saksi dan mereka tidak bebas memberikan jawaban, dapat berakibat putusan batal demi hukum.</w:t>
      </w:r>
    </w:p>
    <w:p w14:paraId="38731FD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Hakim berbeda dengan pejabat-pejabat lain, ia harus benar-benar menguasai hukum sesuai dengan sistem yang dianut di Indonesia dalam pemeriksaan di sidang pengadilan. Hakim harus aktif bertanya dan memberi kesempatan kepada ihak terdakwa yang diwakili oleh Penasihat Hukum untuk bertanya kepada saksi-saksi, begitu pula Penuntut Umum. Semua itu dimaksudkan untuk menemukan kebenaran materil dan pada akhirnya hakimlah yang bertanggungjawab atas segala yang diputuskannya</w:t>
      </w:r>
      <w:r>
        <w:rPr>
          <w:rStyle w:val="15"/>
          <w:rFonts w:ascii="Times New Roman" w:hAnsi="Times New Roman" w:cs="Times New Roman"/>
          <w:sz w:val="24"/>
          <w:szCs w:val="24"/>
        </w:rPr>
        <w:footnoteReference w:id="32"/>
      </w:r>
      <w:r>
        <w:rPr>
          <w:rFonts w:ascii="Times New Roman" w:hAnsi="Times New Roman" w:cs="Times New Roman"/>
          <w:sz w:val="24"/>
          <w:szCs w:val="24"/>
        </w:rPr>
        <w:t>.</w:t>
      </w:r>
    </w:p>
    <w:p w14:paraId="734DCFB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Ada lima hal menjadi tanggung jawab hakim yaitu:</w:t>
      </w:r>
    </w:p>
    <w:p w14:paraId="7AE63095">
      <w:pPr>
        <w:pStyle w:val="23"/>
        <w:numPr>
          <w:ilvl w:val="0"/>
          <w:numId w:val="1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Justisialis Hukum; yang dimaksud justisialis adalah mengadilkan. Jadi putusan Hakim yang dalam praktiknya memperhitungkan kemanfaatan doel matigheid perlu di-adilkan. Makna dari hukum de zin van het recht terletak dalam gerechtigheid keadilan. Tiap putusan yang diambil dan dijatuhkan dan berjiwa keadilan, sebab itu adalah tanggung jawab jurist yang terletak dalam justisialisasi daripada hukum.</w:t>
      </w:r>
    </w:p>
    <w:p w14:paraId="5498270A">
      <w:pPr>
        <w:pStyle w:val="23"/>
        <w:numPr>
          <w:ilvl w:val="0"/>
          <w:numId w:val="1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Penjiwaan Hukum; dalam berhukum recht doen tidak boleh merosot menjadi suatu adat yang hampa tanpa jiwa, melainkan senantiasa diresapi oleh jiwa untuk berhukum. Jadi hakim harus memperkuat hukum dan harus tampak sebagai pembela hukum dalam memberi putusan.</w:t>
      </w:r>
    </w:p>
    <w:p w14:paraId="28219E50">
      <w:pPr>
        <w:pStyle w:val="23"/>
        <w:numPr>
          <w:ilvl w:val="0"/>
          <w:numId w:val="1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Pengintegrasian Hukum; hukum perlu senantiasa sadar bahwa hukum dalam kasus tertentu merupakan ungkapan daripada hukum pada umumnya. Oleh karena itu putusan Hakim pada kasus tertentu tidak hanya perlu diadakan dan dijiwakan melainkan perlu diintegrasikan dalam sistem hukum yang sedang berkembang oleh perundang-undangan, peradilan dan kebiasaan. Perlu dijaga supaya putusan hukum dapat diintegrasikan dalam hukum positif sehingga semua usaha berhukum senantiasa menuju ke pemulihan pada posisi asli restitutio in integrum.</w:t>
      </w:r>
    </w:p>
    <w:p w14:paraId="1185F8B1">
      <w:pPr>
        <w:pStyle w:val="23"/>
        <w:numPr>
          <w:ilvl w:val="0"/>
          <w:numId w:val="1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Totalitas Hukum; maksudnya menempatkan hukum keputusan Hakim dalam keseluruhan kenyataan. Hakim melihat dari dua segi hukum, di bawah ia melihat kenyataan ekonomis dan sosial, sebaliknya di atas Hakim melihat dari segi moral dan religi yang menuntut nilai-nilai kebaikan dan kesucian. Kedua tuntutan itu perlu dipertimbangkan oleh Hakim dalam keputusan hukumnya, di saat itu juga segi social-ekonomis menuntut pada Hakim agar keputusannya memperhitungkan situasi dan pengaruh kenyataan sosial-ekonomis.</w:t>
      </w:r>
    </w:p>
    <w:p w14:paraId="4414EF53">
      <w:pPr>
        <w:pStyle w:val="23"/>
        <w:numPr>
          <w:ilvl w:val="0"/>
          <w:numId w:val="1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Personalisasi Hukum; personalisasi hukum ini mengkhususkan keputusan pada personal (kepribadian) dari para pihak yang mencari keadilan dalam proses</w:t>
      </w:r>
      <w:r>
        <w:rPr>
          <w:rStyle w:val="15"/>
          <w:rFonts w:ascii="Times New Roman" w:hAnsi="Times New Roman" w:cs="Times New Roman"/>
          <w:sz w:val="24"/>
          <w:szCs w:val="24"/>
        </w:rPr>
        <w:footnoteReference w:id="33"/>
      </w:r>
      <w:r>
        <w:rPr>
          <w:rFonts w:ascii="Times New Roman" w:hAnsi="Times New Roman" w:cs="Times New Roman"/>
          <w:sz w:val="24"/>
          <w:szCs w:val="24"/>
        </w:rPr>
        <w:t xml:space="preserve">. </w:t>
      </w:r>
    </w:p>
    <w:p w14:paraId="5DDA2F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Perlu diingat dan disadari bahwa mereka yang berperkara adalah manusia yang berpribadi yang mempunyai keluhuran. Dalam personalisasi hukum ini memunculkan tanggung jawab hakim sebagai pengayom (pelindung), di sini hakim dipanggil untuk bisa memberikan pengayoman kepada manusia-manusia yang wajib dipandangnya sebagai pribadi yang mencari keadilan. </w:t>
      </w:r>
    </w:p>
    <w:p w14:paraId="6DAC1CE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Ketika hakim dihadapkan oleh suatu perkara, dalam dirinya berlangsung suatu proses pemikiran untuk kemudian memberikan keputusannya mengenai hal-hal sebagai berikut: </w:t>
      </w:r>
    </w:p>
    <w:p w14:paraId="656E8DDF">
      <w:pPr>
        <w:pStyle w:val="23"/>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Keputusan mengenai peristiwanya, yaitu apakah terdakwa telah melakukan perbuatan yang telah dituduhkan kepadanya.</w:t>
      </w:r>
    </w:p>
    <w:p w14:paraId="7F053AE4">
      <w:pPr>
        <w:pStyle w:val="23"/>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Keputusan mengenai hukumnya, yaitu apakah perbuatan yang dilakukan terdakwa itu merupakan suatu tindak pidana dan apakah terdakwa bersalah serta dapat dipidana.</w:t>
      </w:r>
    </w:p>
    <w:p w14:paraId="55ACED73">
      <w:pPr>
        <w:pStyle w:val="23"/>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Keputusan mengenai pidananya, yaitu terdakwa memang dapat dipidana. Sebelum menjatuhkan putusan, hakim akan menilai dengan arif dan bijaksana serta penuh kecermatan kekuatan pembuktian dari memeriksa dan kesaksian dalam sidang pengadilan (Pasal 188 Ayat (3) KUHAP), sesudah itu hakim akan mengadakan musyawarah terakhir untuk mengambil keputusan yang didasarkan atas surat dakwaan dan didasarkan atas surat dakwaan dan segala sesuatu yang telah terbukti dalam pemeriksaan sidang</w:t>
      </w:r>
      <w:r>
        <w:rPr>
          <w:rStyle w:val="15"/>
          <w:rFonts w:ascii="Times New Roman" w:hAnsi="Times New Roman" w:cs="Times New Roman"/>
          <w:sz w:val="24"/>
          <w:szCs w:val="24"/>
        </w:rPr>
        <w:footnoteReference w:id="34"/>
      </w:r>
      <w:r>
        <w:rPr>
          <w:rFonts w:ascii="Times New Roman" w:hAnsi="Times New Roman" w:cs="Times New Roman"/>
          <w:sz w:val="24"/>
          <w:szCs w:val="24"/>
        </w:rPr>
        <w:t>.</w:t>
      </w:r>
    </w:p>
    <w:p w14:paraId="47998555">
      <w:pPr>
        <w:pStyle w:val="23"/>
        <w:numPr>
          <w:ilvl w:val="0"/>
          <w:numId w:val="4"/>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Advokat</w:t>
      </w:r>
    </w:p>
    <w:p w14:paraId="736A5FF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Advokat, menurut Undang-Undang No. 18 Tahun 2003, adalah seseorang yang berprofesi memberikan jasa hukum, baik di dalam maupun di luar pengadilan, yang memenuhi persyaratan undang-undang tersebut. Prof. Subekti mendefinisikan advokat sebagai pembela dan penasihat, sementara pengacara adalah ahli hukum acara yang mengajukan perkara ke pengadilan dan mewakili pihak-pihak yang berperkara. Kata advokat juga memiliki akar etimologi dari kata Latin "advocatus" yang berarti "seseorang yang membantu atau membela orang lain</w:t>
      </w:r>
    </w:p>
    <w:p w14:paraId="2DB87EA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Pengertian advokat secara bahasa, berasal dari bahasa latin yaitu</w:t>
      </w:r>
      <w:r>
        <w:rPr>
          <w:rFonts w:ascii="Times New Roman" w:hAnsi="Times New Roman" w:cs="Times New Roman"/>
          <w:i/>
          <w:iCs/>
          <w:sz w:val="24"/>
          <w:szCs w:val="24"/>
        </w:rPr>
        <w:t xml:space="preserve">advocare, </w:t>
      </w:r>
      <w:r>
        <w:rPr>
          <w:rFonts w:ascii="Times New Roman" w:hAnsi="Times New Roman" w:cs="Times New Roman"/>
          <w:sz w:val="24"/>
          <w:szCs w:val="24"/>
        </w:rPr>
        <w:t xml:space="preserve">yang berarti </w:t>
      </w:r>
      <w:r>
        <w:rPr>
          <w:rFonts w:ascii="Times New Roman" w:hAnsi="Times New Roman" w:cs="Times New Roman"/>
          <w:i/>
          <w:iCs/>
          <w:sz w:val="24"/>
          <w:szCs w:val="24"/>
        </w:rPr>
        <w:t xml:space="preserve">to defend </w:t>
      </w:r>
      <w:r>
        <w:rPr>
          <w:rFonts w:ascii="Times New Roman" w:hAnsi="Times New Roman" w:cs="Times New Roman"/>
          <w:sz w:val="24"/>
          <w:szCs w:val="24"/>
        </w:rPr>
        <w:t xml:space="preserve">(mempertahankan), </w:t>
      </w:r>
      <w:r>
        <w:rPr>
          <w:rFonts w:ascii="Times New Roman" w:hAnsi="Times New Roman" w:cs="Times New Roman"/>
          <w:i/>
          <w:iCs/>
          <w:sz w:val="24"/>
          <w:szCs w:val="24"/>
        </w:rPr>
        <w:t xml:space="preserve">to call to ones said </w:t>
      </w:r>
      <w:r>
        <w:rPr>
          <w:rFonts w:ascii="Times New Roman" w:hAnsi="Times New Roman" w:cs="Times New Roman"/>
          <w:sz w:val="24"/>
          <w:szCs w:val="24"/>
        </w:rPr>
        <w:t xml:space="preserve">(memanggil seseorang untuk mengatakan sesuatu), </w:t>
      </w:r>
      <w:r>
        <w:rPr>
          <w:rFonts w:ascii="Times New Roman" w:hAnsi="Times New Roman" w:cs="Times New Roman"/>
          <w:i/>
          <w:iCs/>
          <w:sz w:val="24"/>
          <w:szCs w:val="24"/>
        </w:rPr>
        <w:t xml:space="preserve">to vouch or to warrant </w:t>
      </w:r>
      <w:r>
        <w:rPr>
          <w:rFonts w:ascii="Times New Roman" w:hAnsi="Times New Roman" w:cs="Times New Roman"/>
          <w:sz w:val="24"/>
          <w:szCs w:val="24"/>
        </w:rPr>
        <w:t xml:space="preserve">(menjamin). Dalam bahasa Inggris, pengertian advokat diungkapakan dengan kata </w:t>
      </w:r>
      <w:r>
        <w:rPr>
          <w:rFonts w:ascii="Times New Roman" w:hAnsi="Times New Roman" w:cs="Times New Roman"/>
          <w:i/>
          <w:iCs/>
          <w:sz w:val="24"/>
          <w:szCs w:val="24"/>
        </w:rPr>
        <w:t>advocate</w:t>
      </w:r>
      <w:r>
        <w:rPr>
          <w:rFonts w:ascii="Times New Roman" w:hAnsi="Times New Roman" w:cs="Times New Roman"/>
          <w:sz w:val="24"/>
          <w:szCs w:val="24"/>
        </w:rPr>
        <w:t xml:space="preserve">, yang berarti: </w:t>
      </w:r>
      <w:r>
        <w:rPr>
          <w:rFonts w:ascii="Times New Roman" w:hAnsi="Times New Roman" w:cs="Times New Roman"/>
          <w:i/>
          <w:iCs/>
          <w:sz w:val="24"/>
          <w:szCs w:val="24"/>
        </w:rPr>
        <w:t xml:space="preserve">to defend by argument </w:t>
      </w:r>
      <w:r>
        <w:rPr>
          <w:rFonts w:ascii="Times New Roman" w:hAnsi="Times New Roman" w:cs="Times New Roman"/>
          <w:sz w:val="24"/>
          <w:szCs w:val="24"/>
        </w:rPr>
        <w:t xml:space="preserve">(mempertahankan dengan argumentasi), </w:t>
      </w:r>
      <w:r>
        <w:rPr>
          <w:rFonts w:ascii="Times New Roman" w:hAnsi="Times New Roman" w:cs="Times New Roman"/>
          <w:i/>
          <w:iCs/>
          <w:sz w:val="24"/>
          <w:szCs w:val="24"/>
        </w:rPr>
        <w:t>to support</w:t>
      </w:r>
      <w:r>
        <w:rPr>
          <w:rFonts w:ascii="Times New Roman" w:hAnsi="Times New Roman" w:cs="Times New Roman"/>
          <w:sz w:val="24"/>
          <w:szCs w:val="24"/>
        </w:rPr>
        <w:t xml:space="preserve">(mendukung), </w:t>
      </w:r>
      <w:r>
        <w:rPr>
          <w:rFonts w:ascii="Times New Roman" w:hAnsi="Times New Roman" w:cs="Times New Roman"/>
          <w:i/>
          <w:iCs/>
          <w:sz w:val="24"/>
          <w:szCs w:val="24"/>
        </w:rPr>
        <w:t xml:space="preserve">indicate or recommend publicly </w:t>
      </w:r>
      <w:r>
        <w:rPr>
          <w:rFonts w:ascii="Times New Roman" w:hAnsi="Times New Roman" w:cs="Times New Roman"/>
          <w:sz w:val="24"/>
          <w:szCs w:val="24"/>
        </w:rPr>
        <w:t xml:space="preserve">(menandai adanya atau merekomendasikan di depan umum). </w:t>
      </w:r>
    </w:p>
    <w:p w14:paraId="44AC36A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Advokat dalam bahasa Inggris disebut dengan </w:t>
      </w:r>
      <w:r>
        <w:rPr>
          <w:rFonts w:ascii="Times New Roman" w:hAnsi="Times New Roman" w:cs="Times New Roman"/>
          <w:i/>
          <w:iCs/>
          <w:sz w:val="24"/>
          <w:szCs w:val="24"/>
        </w:rPr>
        <w:t xml:space="preserve">advocate </w:t>
      </w:r>
      <w:r>
        <w:rPr>
          <w:rFonts w:ascii="Times New Roman" w:hAnsi="Times New Roman" w:cs="Times New Roman"/>
          <w:sz w:val="24"/>
          <w:szCs w:val="24"/>
        </w:rPr>
        <w:t xml:space="preserve">adalah </w:t>
      </w:r>
      <w:r>
        <w:rPr>
          <w:rFonts w:ascii="Times New Roman" w:hAnsi="Times New Roman" w:cs="Times New Roman"/>
          <w:i/>
          <w:iCs/>
          <w:sz w:val="24"/>
          <w:szCs w:val="24"/>
        </w:rPr>
        <w:t xml:space="preserve">person who does this professionally in a court of law, </w:t>
      </w:r>
      <w:r>
        <w:rPr>
          <w:rFonts w:ascii="Times New Roman" w:hAnsi="Times New Roman" w:cs="Times New Roman"/>
          <w:sz w:val="24"/>
          <w:szCs w:val="24"/>
        </w:rPr>
        <w:t xml:space="preserve">yang berarti seorang yang berprofesi sebagai seorang ahli hukum di Pengadilan. Dalam bahasan Belanda kata </w:t>
      </w:r>
      <w:r>
        <w:rPr>
          <w:rFonts w:ascii="Times New Roman" w:hAnsi="Times New Roman" w:cs="Times New Roman"/>
          <w:i/>
          <w:iCs/>
          <w:sz w:val="24"/>
          <w:szCs w:val="24"/>
        </w:rPr>
        <w:t xml:space="preserve">advocaat </w:t>
      </w:r>
      <w:r>
        <w:rPr>
          <w:rFonts w:ascii="Times New Roman" w:hAnsi="Times New Roman" w:cs="Times New Roman"/>
          <w:sz w:val="24"/>
          <w:szCs w:val="24"/>
        </w:rPr>
        <w:t xml:space="preserve">berarti </w:t>
      </w:r>
      <w:r>
        <w:rPr>
          <w:rFonts w:ascii="Times New Roman" w:hAnsi="Times New Roman" w:cs="Times New Roman"/>
          <w:i/>
          <w:iCs/>
          <w:sz w:val="24"/>
          <w:szCs w:val="24"/>
        </w:rPr>
        <w:t xml:space="preserve">procereur </w:t>
      </w:r>
      <w:r>
        <w:rPr>
          <w:rFonts w:ascii="Times New Roman" w:hAnsi="Times New Roman" w:cs="Times New Roman"/>
          <w:sz w:val="24"/>
          <w:szCs w:val="24"/>
        </w:rPr>
        <w:t xml:space="preserve">artinya pengacara, sedangkan dalam bahasa Perancis, </w:t>
      </w:r>
      <w:r>
        <w:rPr>
          <w:rFonts w:ascii="Times New Roman" w:hAnsi="Times New Roman" w:cs="Times New Roman"/>
          <w:i/>
          <w:iCs/>
          <w:sz w:val="24"/>
          <w:szCs w:val="24"/>
        </w:rPr>
        <w:t xml:space="preserve">advocat </w:t>
      </w:r>
      <w:r>
        <w:rPr>
          <w:rFonts w:ascii="Times New Roman" w:hAnsi="Times New Roman" w:cs="Times New Roman"/>
          <w:sz w:val="24"/>
          <w:szCs w:val="24"/>
        </w:rPr>
        <w:t xml:space="preserve">berarti </w:t>
      </w:r>
      <w:r>
        <w:rPr>
          <w:rFonts w:ascii="Times New Roman" w:hAnsi="Times New Roman" w:cs="Times New Roman"/>
          <w:i/>
          <w:iCs/>
          <w:sz w:val="24"/>
          <w:szCs w:val="24"/>
        </w:rPr>
        <w:t xml:space="preserve">barrister </w:t>
      </w:r>
      <w:r>
        <w:rPr>
          <w:rFonts w:ascii="Times New Roman" w:hAnsi="Times New Roman" w:cs="Times New Roman"/>
          <w:sz w:val="24"/>
          <w:szCs w:val="24"/>
        </w:rPr>
        <w:t xml:space="preserve">atau </w:t>
      </w:r>
      <w:r>
        <w:rPr>
          <w:rFonts w:ascii="Times New Roman" w:hAnsi="Times New Roman" w:cs="Times New Roman"/>
          <w:i/>
          <w:iCs/>
          <w:sz w:val="24"/>
          <w:szCs w:val="24"/>
        </w:rPr>
        <w:t xml:space="preserve">counsel, pleader </w:t>
      </w:r>
      <w:r>
        <w:rPr>
          <w:rFonts w:ascii="Times New Roman" w:hAnsi="Times New Roman" w:cs="Times New Roman"/>
          <w:sz w:val="24"/>
          <w:szCs w:val="24"/>
        </w:rPr>
        <w:t xml:space="preserve">yang mana dalam bahasa Inggris kesemua kata tersebut merujuk pada provesi yang beraktivitas di Pengadilan. </w:t>
      </w:r>
    </w:p>
    <w:p w14:paraId="2D92A3A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Profesi pada hakekatnya adalah pekerjaan tetap yang berwujud karya pelayanan yang dijalankan dengan penguasaan dan penerapan pengetahuan di bidang ilmu tertentu yang pengembangannya dihayati sebagai panggilan hidup dan pelaksanaannya terikat pada nilai-nilai tertentu yang dilandasi semangat pengabdian terhadap sesama manusia demi kepentingan umum serta berakar pada penghormatan dan upaya menjunjung tinggi martabat manusia</w:t>
      </w:r>
      <w:r>
        <w:rPr>
          <w:rStyle w:val="15"/>
          <w:rFonts w:ascii="Times New Roman" w:hAnsi="Times New Roman" w:cs="Times New Roman"/>
          <w:sz w:val="24"/>
          <w:szCs w:val="24"/>
        </w:rPr>
        <w:footnoteReference w:id="35"/>
      </w:r>
      <w:r>
        <w:rPr>
          <w:rFonts w:ascii="Times New Roman" w:hAnsi="Times New Roman" w:cs="Times New Roman"/>
          <w:sz w:val="24"/>
          <w:szCs w:val="24"/>
        </w:rPr>
        <w:t xml:space="preserve">. </w:t>
      </w:r>
    </w:p>
    <w:p w14:paraId="64E7677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Istilah kuasa hukum, pengacara bahkan juga sering disebut pembela yang mewakili atau mendampingi pihak-pihak yang mencari keadilan. Dalam bahasa Arab pengacara disebut mahami. Kata ini merupakan derivasi dari kata hima yaitu pembelaan yang dilakukan oleh seseorang atau perlindungan seorang kuasa hukum terhadap kliennya di depan sidang pengadilan. Menurut </w:t>
      </w:r>
      <w:r>
        <w:rPr>
          <w:rFonts w:ascii="Times New Roman" w:hAnsi="Times New Roman" w:cs="Times New Roman"/>
          <w:i/>
          <w:iCs/>
          <w:sz w:val="24"/>
          <w:szCs w:val="24"/>
        </w:rPr>
        <w:t xml:space="preserve">Balck’s Law Dictionary </w:t>
      </w:r>
      <w:r>
        <w:rPr>
          <w:rFonts w:ascii="Times New Roman" w:hAnsi="Times New Roman" w:cs="Times New Roman"/>
          <w:sz w:val="24"/>
          <w:szCs w:val="24"/>
        </w:rPr>
        <w:t xml:space="preserve">pengertian advokat adalah </w:t>
      </w:r>
      <w:r>
        <w:rPr>
          <w:rFonts w:ascii="Times New Roman" w:hAnsi="Times New Roman" w:cs="Times New Roman"/>
          <w:i/>
          <w:iCs/>
          <w:sz w:val="24"/>
          <w:szCs w:val="24"/>
        </w:rPr>
        <w:t xml:space="preserve">To speak in favour of or defend by argument </w:t>
      </w:r>
      <w:r>
        <w:rPr>
          <w:rFonts w:ascii="Times New Roman" w:hAnsi="Times New Roman" w:cs="Times New Roman"/>
          <w:sz w:val="24"/>
          <w:szCs w:val="24"/>
        </w:rPr>
        <w:t xml:space="preserve">(berbicara untuk keuntungan dari atau membela dengan argumentasi untuk seseorang), sedangkan orang yang berprofesi sebagai advokat adalah </w:t>
      </w:r>
      <w:r>
        <w:rPr>
          <w:rFonts w:ascii="Times New Roman" w:hAnsi="Times New Roman" w:cs="Times New Roman"/>
          <w:i/>
          <w:iCs/>
          <w:sz w:val="24"/>
          <w:szCs w:val="24"/>
        </w:rPr>
        <w:t xml:space="preserve">one who assists, defend, or pleads for another. Who renders legal edvice and aid, plead the cause of another before a court or a tribunal, a counselor </w:t>
      </w:r>
      <w:r>
        <w:rPr>
          <w:rFonts w:ascii="Times New Roman" w:hAnsi="Times New Roman" w:cs="Times New Roman"/>
          <w:sz w:val="24"/>
          <w:szCs w:val="24"/>
        </w:rPr>
        <w:t>(seseorang yang membantu, mempertahankan, atau membela untuk orang lain. Seseorang yang memberikan nasehat hukum dan bantuan membela kepentingan orang lain di muka pengadilan atau sidang, seorang konsultan)</w:t>
      </w:r>
      <w:r>
        <w:rPr>
          <w:rStyle w:val="15"/>
          <w:rFonts w:ascii="Times New Roman" w:hAnsi="Times New Roman" w:cs="Times New Roman"/>
          <w:sz w:val="24"/>
          <w:szCs w:val="24"/>
        </w:rPr>
        <w:footnoteReference w:id="36"/>
      </w:r>
      <w:r>
        <w:rPr>
          <w:rFonts w:ascii="Times New Roman" w:hAnsi="Times New Roman" w:cs="Times New Roman"/>
          <w:sz w:val="24"/>
          <w:szCs w:val="24"/>
        </w:rPr>
        <w:t xml:space="preserve">. </w:t>
      </w:r>
    </w:p>
    <w:p w14:paraId="2AD54FD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Dalam kamus hukum, pengertian advokat diartikan sebagai pembela, seorang (ahli hukum) yang pekerjaannya mengajukan dan membela perkara di dalam atau di luar sidang pengadilan. Sedangkan menurut Undang-Undang No. 18 Tahun 2003 tentang Advokat, Advokat Indonesia pasal 1 ayat 1 menerangkan bahwa advokat adalah orang yang berprofesi memberi jasa hukum, baik di dalam maupun di luar pengadilan yang memenuhi persyaratan berdasarkan undang-undang ini. </w:t>
      </w:r>
    </w:p>
    <w:p w14:paraId="27BA07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Pengertian advokat secara istilah, adalah seorang yang melaksanakan kegiatan advokasi yaitu suatu kegiatan atau upaya yang dilakukan seseorang atau kelompok orang untuk memfasilitasi dan memperjuangkan hak-hak, maupun kewajiban klien seseorang atau kelompok berdasarkan aturan yang berlaku</w:t>
      </w:r>
      <w:r>
        <w:rPr>
          <w:rStyle w:val="15"/>
          <w:rFonts w:ascii="Times New Roman" w:hAnsi="Times New Roman" w:cs="Times New Roman"/>
          <w:sz w:val="24"/>
          <w:szCs w:val="24"/>
        </w:rPr>
        <w:footnoteReference w:id="37"/>
      </w:r>
      <w:r>
        <w:rPr>
          <w:rFonts w:ascii="Times New Roman" w:hAnsi="Times New Roman" w:cs="Times New Roman"/>
          <w:sz w:val="24"/>
          <w:szCs w:val="24"/>
        </w:rPr>
        <w:t xml:space="preserve">. Berdasarkan pada Pasal 1 Dalam Undang-Undang No. 18 Tahun 2003 tentang Advokat, yang dimaksud dengan Advokat adalah orang yang berprofesi memberi jasa hukum, baik di dalam maupun di luar pengadilan yang memenuhi persyaratan berdasarkan ketentuan Undang-Undang ini. </w:t>
      </w:r>
    </w:p>
    <w:p w14:paraId="40966A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Luhut M.P menerangkan di dalam bukunya yang berjudul, </w:t>
      </w:r>
      <w:r>
        <w:rPr>
          <w:rFonts w:ascii="Times New Roman" w:hAnsi="Times New Roman" w:cs="Times New Roman"/>
          <w:i/>
          <w:iCs/>
          <w:sz w:val="24"/>
          <w:szCs w:val="24"/>
        </w:rPr>
        <w:t xml:space="preserve">Advokat dan Contempt of Court, </w:t>
      </w:r>
      <w:r>
        <w:rPr>
          <w:rFonts w:ascii="Times New Roman" w:hAnsi="Times New Roman" w:cs="Times New Roman"/>
          <w:sz w:val="24"/>
          <w:szCs w:val="24"/>
        </w:rPr>
        <w:t xml:space="preserve">kata advocaat (Belanda) yakni seorang yang telah resmi diangkat untuk menjalankan profesinya setelah memperoleh gelar </w:t>
      </w:r>
      <w:r>
        <w:rPr>
          <w:rFonts w:ascii="Times New Roman" w:hAnsi="Times New Roman" w:cs="Times New Roman"/>
          <w:i/>
          <w:iCs/>
          <w:sz w:val="24"/>
          <w:szCs w:val="24"/>
        </w:rPr>
        <w:t>mester in de rechten (Mr)</w:t>
      </w:r>
      <w:r>
        <w:rPr>
          <w:rFonts w:ascii="Times New Roman" w:hAnsi="Times New Roman" w:cs="Times New Roman"/>
          <w:sz w:val="24"/>
          <w:szCs w:val="24"/>
        </w:rPr>
        <w:t xml:space="preserve">. Secara historis advokat termasuk salah satu profesi tertua dan dalam perjalananya, profesi ini bahkan dinamai sebagai </w:t>
      </w:r>
      <w:r>
        <w:rPr>
          <w:rFonts w:ascii="Times New Roman" w:hAnsi="Times New Roman" w:cs="Times New Roman"/>
          <w:i/>
          <w:iCs/>
          <w:sz w:val="24"/>
          <w:szCs w:val="24"/>
        </w:rPr>
        <w:t xml:space="preserve">officum nobile, </w:t>
      </w:r>
      <w:r>
        <w:rPr>
          <w:rFonts w:ascii="Times New Roman" w:hAnsi="Times New Roman" w:cs="Times New Roman"/>
          <w:sz w:val="24"/>
          <w:szCs w:val="24"/>
        </w:rPr>
        <w:t xml:space="preserve">jabatan yang mulia. Dalam buku lain kata </w:t>
      </w:r>
      <w:r>
        <w:rPr>
          <w:rFonts w:ascii="Times New Roman" w:hAnsi="Times New Roman" w:cs="Times New Roman"/>
          <w:i/>
          <w:iCs/>
          <w:sz w:val="24"/>
          <w:szCs w:val="24"/>
        </w:rPr>
        <w:t xml:space="preserve">advocates </w:t>
      </w:r>
      <w:r>
        <w:rPr>
          <w:rFonts w:ascii="Times New Roman" w:hAnsi="Times New Roman" w:cs="Times New Roman"/>
          <w:sz w:val="24"/>
          <w:szCs w:val="24"/>
        </w:rPr>
        <w:t>(latin) mengandung arti seorang ahli hukum yang memberikan pertolongn atau bantuan dalam soal-soal hukum. Dimana pertolongan atau bantuan ini bersifat memberi nasehat-nasehat sebagai jasa yang baik, yang kemudian perkembanganya dapat diminta oleh siapapun yang memerlukan, serta membutuhkannya untuk membantu beracara dalam hukum</w:t>
      </w:r>
      <w:r>
        <w:rPr>
          <w:rStyle w:val="15"/>
          <w:rFonts w:ascii="Times New Roman" w:hAnsi="Times New Roman" w:cs="Times New Roman"/>
          <w:sz w:val="24"/>
          <w:szCs w:val="24"/>
        </w:rPr>
        <w:footnoteReference w:id="38"/>
      </w:r>
      <w:r>
        <w:rPr>
          <w:rFonts w:ascii="Times New Roman" w:hAnsi="Times New Roman" w:cs="Times New Roman"/>
          <w:sz w:val="24"/>
          <w:szCs w:val="24"/>
        </w:rPr>
        <w:t>.</w:t>
      </w:r>
    </w:p>
    <w:p w14:paraId="24C5991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Begitu juga di dalam kamus umum bahasa Indonesia terbitan PN Balai Pustaka, 1976, disebutkan bahwa advokat adalah pengacara atau ahli hukum yang berwenang bertindak sebagai penasehat atau pembela perkara dalam pengadilan18.Pada zaman Belanda kata advokat selalu bersamaan penyebutannya dengan </w:t>
      </w:r>
      <w:r>
        <w:rPr>
          <w:rFonts w:ascii="Times New Roman" w:hAnsi="Times New Roman" w:cs="Times New Roman"/>
          <w:i/>
          <w:iCs/>
          <w:sz w:val="24"/>
          <w:szCs w:val="24"/>
        </w:rPr>
        <w:t xml:space="preserve">prosureur </w:t>
      </w:r>
      <w:r>
        <w:rPr>
          <w:rFonts w:ascii="Times New Roman" w:hAnsi="Times New Roman" w:cs="Times New Roman"/>
          <w:sz w:val="24"/>
          <w:szCs w:val="24"/>
        </w:rPr>
        <w:t xml:space="preserve">(pengacara), tetapi menurut Subekti, ia membedakan istilah advokat dengan </w:t>
      </w:r>
      <w:r>
        <w:rPr>
          <w:rFonts w:ascii="Times New Roman" w:hAnsi="Times New Roman" w:cs="Times New Roman"/>
          <w:i/>
          <w:iCs/>
          <w:sz w:val="24"/>
          <w:szCs w:val="24"/>
        </w:rPr>
        <w:t>prosureur</w:t>
      </w:r>
      <w:r>
        <w:rPr>
          <w:rFonts w:ascii="Times New Roman" w:hAnsi="Times New Roman" w:cs="Times New Roman"/>
          <w:sz w:val="24"/>
          <w:szCs w:val="24"/>
        </w:rPr>
        <w:t xml:space="preserve">. Menurutnya advokat adalah seorang pembela dan penasehat, sedangkan </w:t>
      </w:r>
      <w:r>
        <w:rPr>
          <w:rFonts w:ascii="Times New Roman" w:hAnsi="Times New Roman" w:cs="Times New Roman"/>
          <w:i/>
          <w:iCs/>
          <w:sz w:val="24"/>
          <w:szCs w:val="24"/>
        </w:rPr>
        <w:t xml:space="preserve">prosereur </w:t>
      </w:r>
      <w:r>
        <w:rPr>
          <w:rFonts w:ascii="Times New Roman" w:hAnsi="Times New Roman" w:cs="Times New Roman"/>
          <w:sz w:val="24"/>
          <w:szCs w:val="24"/>
        </w:rPr>
        <w:t xml:space="preserve">adalah seorang ahli hukum acara yang memberikan jasa-jasa dalam mengajukan perkara ke Pengadilan dan mewakili orang-orang yang berperkara di muka Pengadilan. </w:t>
      </w:r>
    </w:p>
    <w:p w14:paraId="76E8C38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Pada zaman kerajaan Romawi peranan advokat hanya memberikan nasehat-nasehat, sedangkan yang bertindak sebagai pembicaranya adalah yang dinamakan Patronus – </w:t>
      </w:r>
      <w:r>
        <w:rPr>
          <w:rFonts w:ascii="Times New Roman" w:hAnsi="Times New Roman" w:cs="Times New Roman"/>
          <w:i/>
          <w:iCs/>
          <w:sz w:val="24"/>
          <w:szCs w:val="24"/>
        </w:rPr>
        <w:t>Prosureur</w:t>
      </w:r>
      <w:r>
        <w:rPr>
          <w:rFonts w:ascii="Times New Roman" w:hAnsi="Times New Roman" w:cs="Times New Roman"/>
          <w:sz w:val="24"/>
          <w:szCs w:val="24"/>
        </w:rPr>
        <w:t xml:space="preserve">. Dalam prakteknya yang bertindak dalam beracara di dalam hukum hanyalah seorang advokat sebagai seorang </w:t>
      </w:r>
      <w:r>
        <w:rPr>
          <w:rFonts w:ascii="Times New Roman" w:hAnsi="Times New Roman" w:cs="Times New Roman"/>
          <w:i/>
          <w:iCs/>
          <w:sz w:val="24"/>
          <w:szCs w:val="24"/>
        </w:rPr>
        <w:t xml:space="preserve">yurist </w:t>
      </w:r>
      <w:r>
        <w:rPr>
          <w:rFonts w:ascii="Times New Roman" w:hAnsi="Times New Roman" w:cs="Times New Roman"/>
          <w:sz w:val="24"/>
          <w:szCs w:val="24"/>
        </w:rPr>
        <w:t xml:space="preserve">dan tidak boleh </w:t>
      </w:r>
      <w:r>
        <w:rPr>
          <w:rFonts w:ascii="Times New Roman" w:hAnsi="Times New Roman" w:cs="Times New Roman"/>
          <w:i/>
          <w:iCs/>
          <w:sz w:val="24"/>
          <w:szCs w:val="24"/>
        </w:rPr>
        <w:t>prosureur</w:t>
      </w:r>
      <w:r>
        <w:rPr>
          <w:rFonts w:ascii="Times New Roman" w:hAnsi="Times New Roman" w:cs="Times New Roman"/>
          <w:sz w:val="24"/>
          <w:szCs w:val="24"/>
        </w:rPr>
        <w:t xml:space="preserve">. Adapun mengenai kata </w:t>
      </w:r>
      <w:r>
        <w:rPr>
          <w:rFonts w:ascii="Times New Roman" w:hAnsi="Times New Roman" w:cs="Times New Roman"/>
          <w:i/>
          <w:iCs/>
          <w:sz w:val="24"/>
          <w:szCs w:val="24"/>
        </w:rPr>
        <w:t xml:space="preserve">prosureur </w:t>
      </w:r>
      <w:r>
        <w:rPr>
          <w:rFonts w:ascii="Times New Roman" w:hAnsi="Times New Roman" w:cs="Times New Roman"/>
          <w:sz w:val="24"/>
          <w:szCs w:val="24"/>
        </w:rPr>
        <w:t>berasal dari bahasa latin yaitu “</w:t>
      </w:r>
      <w:r>
        <w:rPr>
          <w:rFonts w:ascii="Times New Roman" w:hAnsi="Times New Roman" w:cs="Times New Roman"/>
          <w:i/>
          <w:iCs/>
          <w:sz w:val="24"/>
          <w:szCs w:val="24"/>
        </w:rPr>
        <w:t>Pro-curo</w:t>
      </w:r>
      <w:r>
        <w:rPr>
          <w:rFonts w:ascii="Times New Roman" w:hAnsi="Times New Roman" w:cs="Times New Roman"/>
          <w:sz w:val="24"/>
          <w:szCs w:val="24"/>
        </w:rPr>
        <w:t xml:space="preserve">” artinya “wakil”sehingga semenjak tahun 1979 istilah tersebut dipersatukan menjadi </w:t>
      </w:r>
      <w:r>
        <w:rPr>
          <w:rFonts w:ascii="Times New Roman" w:hAnsi="Times New Roman" w:cs="Times New Roman"/>
          <w:i/>
          <w:iCs/>
          <w:sz w:val="24"/>
          <w:szCs w:val="24"/>
        </w:rPr>
        <w:t xml:space="preserve">advocaat-prosureur. </w:t>
      </w:r>
      <w:r>
        <w:rPr>
          <w:rFonts w:ascii="Times New Roman" w:hAnsi="Times New Roman" w:cs="Times New Roman"/>
          <w:sz w:val="24"/>
          <w:szCs w:val="24"/>
        </w:rPr>
        <w:t xml:space="preserve">Dalam artian seorang </w:t>
      </w:r>
      <w:r>
        <w:rPr>
          <w:rFonts w:ascii="Times New Roman" w:hAnsi="Times New Roman" w:cs="Times New Roman"/>
          <w:i/>
          <w:iCs/>
          <w:sz w:val="24"/>
          <w:szCs w:val="24"/>
        </w:rPr>
        <w:t xml:space="preserve">advocaat </w:t>
      </w:r>
      <w:r>
        <w:rPr>
          <w:rFonts w:ascii="Times New Roman" w:hAnsi="Times New Roman" w:cs="Times New Roman"/>
          <w:sz w:val="24"/>
          <w:szCs w:val="24"/>
        </w:rPr>
        <w:t xml:space="preserve">adalah otomatis menjadi </w:t>
      </w:r>
      <w:r>
        <w:rPr>
          <w:rFonts w:ascii="Times New Roman" w:hAnsi="Times New Roman" w:cs="Times New Roman"/>
          <w:i/>
          <w:iCs/>
          <w:sz w:val="24"/>
          <w:szCs w:val="24"/>
        </w:rPr>
        <w:t>prosureur</w:t>
      </w:r>
      <w:r>
        <w:rPr>
          <w:rFonts w:ascii="Times New Roman" w:hAnsi="Times New Roman" w:cs="Times New Roman"/>
          <w:sz w:val="24"/>
          <w:szCs w:val="24"/>
        </w:rPr>
        <w:t xml:space="preserve">, namun sebaliknya tidak setiap </w:t>
      </w:r>
      <w:r>
        <w:rPr>
          <w:rFonts w:ascii="Times New Roman" w:hAnsi="Times New Roman" w:cs="Times New Roman"/>
          <w:i/>
          <w:iCs/>
          <w:sz w:val="24"/>
          <w:szCs w:val="24"/>
        </w:rPr>
        <w:t xml:space="preserve">prosureur </w:t>
      </w:r>
      <w:r>
        <w:rPr>
          <w:rFonts w:ascii="Times New Roman" w:hAnsi="Times New Roman" w:cs="Times New Roman"/>
          <w:sz w:val="24"/>
          <w:szCs w:val="24"/>
        </w:rPr>
        <w:t xml:space="preserve">otomatis menjadi </w:t>
      </w:r>
      <w:r>
        <w:rPr>
          <w:rFonts w:ascii="Times New Roman" w:hAnsi="Times New Roman" w:cs="Times New Roman"/>
          <w:i/>
          <w:iCs/>
          <w:sz w:val="24"/>
          <w:szCs w:val="24"/>
        </w:rPr>
        <w:t>advocaat20</w:t>
      </w:r>
      <w:r>
        <w:rPr>
          <w:rFonts w:ascii="Times New Roman" w:hAnsi="Times New Roman" w:cs="Times New Roman"/>
          <w:sz w:val="24"/>
          <w:szCs w:val="24"/>
        </w:rPr>
        <w:t xml:space="preserve">, di Indonesia memaknai kata </w:t>
      </w:r>
      <w:r>
        <w:rPr>
          <w:rFonts w:ascii="Times New Roman" w:hAnsi="Times New Roman" w:cs="Times New Roman"/>
          <w:i/>
          <w:iCs/>
          <w:sz w:val="24"/>
          <w:szCs w:val="24"/>
        </w:rPr>
        <w:t xml:space="preserve">advocaat-prosureur </w:t>
      </w:r>
      <w:r>
        <w:rPr>
          <w:rFonts w:ascii="Times New Roman" w:hAnsi="Times New Roman" w:cs="Times New Roman"/>
          <w:sz w:val="24"/>
          <w:szCs w:val="24"/>
        </w:rPr>
        <w:t>yang sudah dibakukan menjadi satu nama yaitu advokat yang mana nantinya advokat ini dapat beracara di Pengadilan maupun di luar Pengadilan (</w:t>
      </w:r>
      <w:r>
        <w:rPr>
          <w:rFonts w:ascii="Times New Roman" w:hAnsi="Times New Roman" w:cs="Times New Roman"/>
          <w:i/>
          <w:iCs/>
          <w:sz w:val="24"/>
          <w:szCs w:val="24"/>
        </w:rPr>
        <w:t xml:space="preserve">litigasi </w:t>
      </w:r>
      <w:r>
        <w:rPr>
          <w:rFonts w:ascii="Times New Roman" w:hAnsi="Times New Roman" w:cs="Times New Roman"/>
          <w:sz w:val="24"/>
          <w:szCs w:val="24"/>
        </w:rPr>
        <w:t xml:space="preserve">dan </w:t>
      </w:r>
      <w:r>
        <w:rPr>
          <w:rFonts w:ascii="Times New Roman" w:hAnsi="Times New Roman" w:cs="Times New Roman"/>
          <w:i/>
          <w:iCs/>
          <w:sz w:val="24"/>
          <w:szCs w:val="24"/>
        </w:rPr>
        <w:t>nonlitigasi</w:t>
      </w:r>
      <w:r>
        <w:rPr>
          <w:rFonts w:ascii="Times New Roman" w:hAnsi="Times New Roman" w:cs="Times New Roman"/>
          <w:sz w:val="24"/>
          <w:szCs w:val="24"/>
        </w:rPr>
        <w:t xml:space="preserve">). Advokat ini identik dengan pengacara harus dalam artian pengacara yang lulusan sarjana hukum, ahli hukum seorang </w:t>
      </w:r>
      <w:r>
        <w:rPr>
          <w:rFonts w:ascii="Times New Roman" w:hAnsi="Times New Roman" w:cs="Times New Roman"/>
          <w:i/>
          <w:iCs/>
          <w:sz w:val="24"/>
          <w:szCs w:val="24"/>
        </w:rPr>
        <w:t>yurist</w:t>
      </w:r>
      <w:r>
        <w:rPr>
          <w:rFonts w:ascii="Times New Roman" w:hAnsi="Times New Roman" w:cs="Times New Roman"/>
          <w:sz w:val="24"/>
          <w:szCs w:val="24"/>
        </w:rPr>
        <w:t>, otomatis ini untuk membedakan antara pengacara yang bukan ahli hukum</w:t>
      </w:r>
      <w:r>
        <w:rPr>
          <w:rStyle w:val="15"/>
          <w:rFonts w:ascii="Times New Roman" w:hAnsi="Times New Roman" w:cs="Times New Roman"/>
          <w:sz w:val="24"/>
          <w:szCs w:val="24"/>
        </w:rPr>
        <w:footnoteReference w:id="39"/>
      </w:r>
      <w:r>
        <w:rPr>
          <w:rFonts w:ascii="Times New Roman" w:hAnsi="Times New Roman" w:cs="Times New Roman"/>
          <w:sz w:val="24"/>
          <w:szCs w:val="24"/>
        </w:rPr>
        <w:t xml:space="preserve">. </w:t>
      </w:r>
    </w:p>
    <w:p w14:paraId="7EED90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Konsep bantuan hukum pada masa sekarang ini telah dihubungkan dengan cita-cita negara kesejahteraan (</w:t>
      </w:r>
      <w:r>
        <w:rPr>
          <w:rFonts w:ascii="Times New Roman" w:hAnsi="Times New Roman" w:cs="Times New Roman"/>
          <w:i/>
          <w:iCs/>
          <w:sz w:val="24"/>
          <w:szCs w:val="24"/>
        </w:rPr>
        <w:t>welfare state</w:t>
      </w:r>
      <w:r>
        <w:rPr>
          <w:rFonts w:ascii="Times New Roman" w:hAnsi="Times New Roman" w:cs="Times New Roman"/>
          <w:sz w:val="24"/>
          <w:szCs w:val="24"/>
        </w:rPr>
        <w:t>), sehingga hampirsetiap pemerintahan dewasa ini membantu program bantuan hukum sebagai bagian dari program, serta fasilitas kesejahteraan dan keadilan sosial. “Keberadaan advokat ini dikalangan masyarakat masih menganggap bahwa para mereka merupakan orang yang membela orang-orang yang salah”</w:t>
      </w:r>
      <w:r>
        <w:rPr>
          <w:rStyle w:val="15"/>
          <w:rFonts w:ascii="Times New Roman" w:hAnsi="Times New Roman" w:cs="Times New Roman"/>
          <w:sz w:val="24"/>
          <w:szCs w:val="24"/>
        </w:rPr>
        <w:footnoteReference w:id="40"/>
      </w:r>
      <w:r>
        <w:rPr>
          <w:rFonts w:ascii="Times New Roman" w:hAnsi="Times New Roman" w:cs="Times New Roman"/>
          <w:sz w:val="24"/>
          <w:szCs w:val="24"/>
        </w:rPr>
        <w:t>. Padahal tidak seperti itu, advokat memiliki kode etik atau aturan bagi para advokat dalam melakukan praktek pemberian bantuan hukum.</w:t>
      </w:r>
    </w:p>
    <w:p w14:paraId="4FDAF8F8">
      <w:pPr>
        <w:spacing w:after="0" w:line="240" w:lineRule="auto"/>
        <w:jc w:val="both"/>
        <w:rPr>
          <w:rFonts w:ascii="Times New Roman" w:hAnsi="Times New Roman" w:cs="Times New Roman"/>
          <w:sz w:val="24"/>
          <w:szCs w:val="24"/>
        </w:rPr>
      </w:pPr>
    </w:p>
    <w:p w14:paraId="2045DB92">
      <w:pPr>
        <w:rPr>
          <w:rFonts w:ascii="Times New Roman" w:hAnsi="Times New Roman" w:cs="Times New Roman"/>
          <w:b/>
          <w:bCs/>
          <w:sz w:val="24"/>
          <w:szCs w:val="24"/>
        </w:rPr>
      </w:pPr>
      <w:r>
        <w:rPr>
          <w:rFonts w:ascii="Times New Roman" w:hAnsi="Times New Roman" w:cs="Times New Roman"/>
          <w:b/>
          <w:bCs/>
          <w:sz w:val="24"/>
          <w:szCs w:val="24"/>
        </w:rPr>
        <w:br w:type="page"/>
      </w:r>
    </w:p>
    <w:p w14:paraId="57172CB6">
      <w:pPr>
        <w:pStyle w:val="23"/>
        <w:numPr>
          <w:ilvl w:val="0"/>
          <w:numId w:val="1"/>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GAMBARAN UMUM TENTANG PREMANISME</w:t>
      </w:r>
    </w:p>
    <w:p w14:paraId="51421434">
      <w:pPr>
        <w:pStyle w:val="23"/>
        <w:numPr>
          <w:ilvl w:val="0"/>
          <w:numId w:val="15"/>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Pengertian Premanisme </w:t>
      </w:r>
    </w:p>
    <w:p w14:paraId="6AF6079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Mengenai pengertian premanisme belum banyak literature yang membahas secara jelas menguraikan tentang pengertian premanisme tersebut, akan tetapi untuk merumuskan pengertian premanisme ini yang harus diperhatikan adalah dari segi kejahatannya, jika perbuatan tersebut berupa kejahatan yang membuat resah, tidak aman dan merugi pada masyarakat maka perbuatan itu masuk kedalam kategori premanisme sehingga dapat dipandang sebagai tindak pidana. </w:t>
      </w:r>
    </w:p>
    <w:p w14:paraId="55F4A6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sejarawan Universitas Indonesia (UI) J.J Rijal menyebutkan istilah premanisme dalam Bahasa Belanda Vreiman “Orang Bebas” artinya Orang yang tidak mengabdi pada struktural birokrasi VOC sebagai perusahaan multinasional kala itu. J.J Rijal juga menyebutkan mereka ini adalah pedagang bebas sehingga disebut sebagai Vreiman “Orang Bebas”. tapi di akhir tahun 1970-an, muncul Organisasi Preman Sadar, Preman Sadar ini merupakan kumpulan para pelaku kejahatan yang baru keluar dari penjara</w:t>
      </w:r>
      <w:r>
        <w:rPr>
          <w:rStyle w:val="15"/>
          <w:rFonts w:ascii="Times New Roman" w:hAnsi="Times New Roman" w:cs="Times New Roman"/>
          <w:sz w:val="24"/>
          <w:szCs w:val="24"/>
        </w:rPr>
        <w:footnoteReference w:id="41"/>
      </w:r>
      <w:r>
        <w:rPr>
          <w:rFonts w:ascii="Times New Roman" w:hAnsi="Times New Roman" w:cs="Times New Roman"/>
          <w:sz w:val="24"/>
          <w:szCs w:val="24"/>
        </w:rPr>
        <w:t>.</w:t>
      </w:r>
    </w:p>
    <w:p w14:paraId="669EB0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Makaampoh mengatakan, premanisme adalah perilaku yang menimbulkan tindak pidana yang dapat mengganggu keamanan dan ketertiban masyarakat. Perilaku premanisme dan kejahatan jalanan merupakan masalah sosial yang berawal dari sikap mental masyarakat yang kurang siap menerima pekerjaan yang dianggap kurang bergengsi. Premanisme di Indonesia sudah ada sejak jaman penjajahan kolonial Belanda, selain bertindak main hakim sendiri, para pelaku premanisme juga telah memanfaatkan beberapa jawara lokal untuk melakukan tindakan premanisme tingkat bawah yang pada umumnya melakukan kejahatan jalanan (</w:t>
      </w:r>
      <w:r>
        <w:rPr>
          <w:rFonts w:ascii="Times New Roman" w:hAnsi="Times New Roman" w:cs="Times New Roman"/>
          <w:i/>
          <w:iCs/>
          <w:sz w:val="24"/>
          <w:szCs w:val="24"/>
        </w:rPr>
        <w:t>street crime</w:t>
      </w:r>
      <w:r>
        <w:rPr>
          <w:rFonts w:ascii="Times New Roman" w:hAnsi="Times New Roman" w:cs="Times New Roman"/>
          <w:sz w:val="24"/>
          <w:szCs w:val="24"/>
        </w:rPr>
        <w:t>) seperti pencurian dengan ancaman kekerasan (Pasal 365 KUHP), pemerasan (368 KUHP), pemerkosaan (285 KUHP), penganiayaan (351 KUHP), melakukan tindak kekerasan terhadap orang atau barang dimuka umum (170 KUHP) bahkan juga sampai melakukan pembunuhan (338 KUHP) ataupun pembunuhan berencana (340 KUHP), perilaku Mabuk dimuka umum (492 KUHP),yang tentunya dapat mengganggu ketertiban umum serta menimbulkan keresahan di masyarakat</w:t>
      </w:r>
      <w:r>
        <w:rPr>
          <w:rStyle w:val="15"/>
          <w:rFonts w:ascii="Times New Roman" w:hAnsi="Times New Roman" w:cs="Times New Roman"/>
          <w:sz w:val="24"/>
          <w:szCs w:val="24"/>
        </w:rPr>
        <w:footnoteReference w:id="42"/>
      </w:r>
      <w:r>
        <w:rPr>
          <w:rFonts w:ascii="Times New Roman" w:hAnsi="Times New Roman" w:cs="Times New Roman"/>
          <w:sz w:val="24"/>
          <w:szCs w:val="24"/>
        </w:rPr>
        <w:t>.</w:t>
      </w:r>
    </w:p>
    <w:p w14:paraId="5FF8B0B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Definisi Premanisme sendiri tidak dapat di temukan secara baku pada perundang-undangan yang ada, melainkan premanisme sering dianalogikan sebagai individu atau sekelompok orang yang melakukan tindakan-tindakan yang merugikan dan mengganggu kepentingan umum, seperti pemerasan, pengancaman, penganiayaan, tawuran, membuat orang lain merasa takut, mabuk dimuka umum. Hal ini seringkali kita jumpai dalam kehidupan sehari-hari, pada jalan-jalan tertentu yang cukup sepi terkadang terjadi pemerasan secara paksa dengan menggunakan ancaman maupun kekerasan yang dilakukan oleh orang-orang tertentu pada umumnya berwajah seram dan memiliki tattoo pada bagian tubuhnya atau yang seringkali disebut dengan istilah pemalakan, kemudian pada tempat-tempat parkir kendaraan bermotor yang tidak resmi, yang terkadang memaksa orang untuk membayar lebih dari ketentuan ongkos parkir yang berlaku, belum lagi pada pedagang-pedagang di pasar atau warung-warung tradisional dan toko yang harus membayar uang “keamanan” yang sebenarnya terdengar janggal karena sebenarnya mereka membayar uang keamanan agar merasa aman dari orang-orang yang meminta uang tersebut, selain preman-preman dijalan ada juga preman-preman yang dikelola sebagai jasa keamanan di tempat-tempat hiburan, diskotik, kafe-kafe maupun tempat-tempat prostitusi, yang seringkali memicu terjadinya perkelahian antar kelompok maupun golongan preman yang berasal dari satu suku tertentu dengan suku yang lain dan dapat memicu terjadinya konflik</w:t>
      </w:r>
      <w:r>
        <w:rPr>
          <w:rStyle w:val="15"/>
          <w:rFonts w:ascii="Times New Roman" w:hAnsi="Times New Roman" w:cs="Times New Roman"/>
          <w:sz w:val="24"/>
          <w:szCs w:val="24"/>
        </w:rPr>
        <w:footnoteReference w:id="43"/>
      </w:r>
      <w:r>
        <w:rPr>
          <w:rFonts w:ascii="Times New Roman" w:hAnsi="Times New Roman" w:cs="Times New Roman"/>
          <w:sz w:val="24"/>
          <w:szCs w:val="24"/>
        </w:rPr>
        <w:t xml:space="preserve">. </w:t>
      </w:r>
    </w:p>
    <w:p w14:paraId="35E253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Kehadiran preman atau jago telah sejak dulu hingga sekarang ikut mewarnai retakan-retakan historis negeri ini. Ia sudah muncul pada zaman kerajaan-kerajaan kuno di tanah Jawa, periode kolonialisme, sampai pasca kemerdekaan. Menarik untuk membicarakan fenomena jago, preman, mafia, dan sebutan sejenis lainnya dalam sejarah Indonesia. Selain adanya institusi-institusi resmi, kehadiran kelompok ‘abu-abu’ tersebut sering kali ikut serta dalam dinamika perkembangan politik di republik ini. Akan sangatlah sulit bila kita memukul rata fenomena preman di Indonesia sebagai parasit yang harus dimusnahkan karena dalam realitasnya mereka juga dibutuhkan dan digunakan oleh segelintir anggota masyarakat</w:t>
      </w:r>
      <w:r>
        <w:rPr>
          <w:rStyle w:val="15"/>
          <w:rFonts w:ascii="Times New Roman" w:hAnsi="Times New Roman" w:cs="Times New Roman"/>
          <w:sz w:val="24"/>
          <w:szCs w:val="24"/>
        </w:rPr>
        <w:footnoteReference w:id="44"/>
      </w:r>
      <w:r>
        <w:rPr>
          <w:rFonts w:ascii="Times New Roman" w:hAnsi="Times New Roman" w:cs="Times New Roman"/>
          <w:sz w:val="24"/>
          <w:szCs w:val="24"/>
        </w:rPr>
        <w:t xml:space="preserve">. </w:t>
      </w:r>
    </w:p>
    <w:p w14:paraId="61C5C91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Kelompok preman dan jago biasa dimanfaatkan pula oleh berbagai kekuatan politik seperti partai peserta pemilihan umum. Demi menjaring massa atau untuk kebutuhan ‘keamanan’ tak segan partai politik (politisi lokal) memasukkan mereka dalam salah satu sayap organisasinya seperti satgas (satuan tugas) yang berbau militeristik. Bahkan dewasa ini banyak ditemui perkumpulan preman yang berkedok organisasi masyarakat, kepemudaan, atau profesi dengan acap kali ditengarai bermuara pada salah satu partai. Sebagaimana kita tahu bahwa salah satu hal yang fundamental dalam modernisasi ialah pelembagaan atau institusionalisasi kekuasaan. Namun dengan adanya pengaruh jaringan kelompok preman, jago, atau mafia menyebabkan distorsi dalam pelembagaan politik karena mengarah kepada negara bayangan atau </w:t>
      </w:r>
      <w:r>
        <w:rPr>
          <w:rFonts w:ascii="Times New Roman" w:hAnsi="Times New Roman" w:cs="Times New Roman"/>
          <w:i/>
          <w:iCs/>
          <w:sz w:val="24"/>
          <w:szCs w:val="24"/>
        </w:rPr>
        <w:t>shadow state</w:t>
      </w:r>
      <w:r>
        <w:rPr>
          <w:rStyle w:val="15"/>
          <w:rFonts w:ascii="Times New Roman" w:hAnsi="Times New Roman" w:cs="Times New Roman"/>
          <w:sz w:val="24"/>
          <w:szCs w:val="24"/>
        </w:rPr>
        <w:footnoteReference w:id="45"/>
      </w:r>
      <w:r>
        <w:rPr>
          <w:rFonts w:ascii="Times New Roman" w:hAnsi="Times New Roman" w:cs="Times New Roman"/>
          <w:sz w:val="24"/>
          <w:szCs w:val="24"/>
        </w:rPr>
        <w:t>.</w:t>
      </w:r>
    </w:p>
    <w:p w14:paraId="3898CFF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Secara etimologis 'premanisme' mungkin dipungut dari kosakata Belanda </w:t>
      </w:r>
      <w:r>
        <w:rPr>
          <w:rFonts w:ascii="Times New Roman" w:hAnsi="Times New Roman" w:cs="Times New Roman"/>
          <w:i/>
          <w:iCs/>
          <w:sz w:val="24"/>
          <w:szCs w:val="24"/>
        </w:rPr>
        <w:t xml:space="preserve">virjeman </w:t>
      </w:r>
      <w:r>
        <w:rPr>
          <w:rFonts w:ascii="Times New Roman" w:hAnsi="Times New Roman" w:cs="Times New Roman"/>
          <w:sz w:val="24"/>
          <w:szCs w:val="24"/>
        </w:rPr>
        <w:t xml:space="preserve">atau Inggris free (bebas) dan </w:t>
      </w:r>
      <w:r>
        <w:rPr>
          <w:rFonts w:ascii="Times New Roman" w:hAnsi="Times New Roman" w:cs="Times New Roman"/>
          <w:i/>
          <w:iCs/>
          <w:sz w:val="24"/>
          <w:szCs w:val="24"/>
        </w:rPr>
        <w:t xml:space="preserve">man </w:t>
      </w:r>
      <w:r>
        <w:rPr>
          <w:rFonts w:ascii="Times New Roman" w:hAnsi="Times New Roman" w:cs="Times New Roman"/>
          <w:sz w:val="24"/>
          <w:szCs w:val="24"/>
        </w:rPr>
        <w:t>(lelaki atau orang) yang terjemahannya orang bebas, tidak terikat. Semula freeman ini berkonotasi positif, diperuntukkan kepada orang-orang yang hidup secara bebas (merdeka), tidak pegawai negeri, juga tidak terikat dengan struktur apa pun, namun tidak mengganggu atau menyusahkan kehidupan orang lain. Kemudian kelompok preman ini membentuk komunitasnya sendiri, sehingga jadi semacam kekuatan (</w:t>
      </w:r>
      <w:r>
        <w:rPr>
          <w:rFonts w:ascii="Times New Roman" w:hAnsi="Times New Roman" w:cs="Times New Roman"/>
          <w:i/>
          <w:iCs/>
          <w:sz w:val="24"/>
          <w:szCs w:val="24"/>
        </w:rPr>
        <w:t>people power</w:t>
      </w:r>
      <w:r>
        <w:rPr>
          <w:rFonts w:ascii="Times New Roman" w:hAnsi="Times New Roman" w:cs="Times New Roman"/>
          <w:sz w:val="24"/>
          <w:szCs w:val="24"/>
        </w:rPr>
        <w:t xml:space="preserve">). Lama kelamaan komunitas preman itu makin besar dan kuat serta berlindung atas nama organisasi pemuda. Tidak jarang pula, dalam rangka perebutan proyek serta lahan: parkir, pasar, dan lain sebagainya, sesama organisasi pemuda yang berbeda nama dan lambang saling baku hantam. </w:t>
      </w:r>
    </w:p>
    <w:p w14:paraId="6641A76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Indonesia pada Undang-Undang Dasar Republik Indonesia 1945 pasa 1 ayat 3 menyebutkan bahwa sebagai Negara Hukum. Negara hukum adalah negara yang komposisinya diatur oleh hukum sehingga semua kekuasaan pemerintah didasarkan pada hukum, rakyat tidak boleh bertindak sewenang-wenang sesuai dengan kehendak mereka sendiri, yang bertentangan dengan hukum. Premanisme adalah perilaku yang meresahkan serta dapat mengganggu keamanan dan ketertiban masyarakat. Premanisme adalah tindak pidana kekerasan dan juga diatur dengan sangat jelas dalam KUHP yang diatur dalam Pasal 89 KUHP, (Pasal 365 KUHP), pemerasan (Pasal 368 KUHP), pemerkosaan (Pasal 285 KUHP), penganiayaan (Pasal 351 KUHP), kerusakan barang (Pasal 460 KUHP) yang tentu saja dapat mengganggu ketertiban umum dan menimbulkan keresahan di masyarakat. </w:t>
      </w:r>
    </w:p>
    <w:p w14:paraId="3EB98A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Preman sangat identik dengan dunia kriminal dan kekerasan, karena memang kegiatan preman tidak lepas dari kedua hal tersebut. Beberapa contoh aksi premanisme antara lain preman di terminal bus yang memungut pungutan liar (pungli) dari sopir-sopir, yang bila ditolak akan berpengaruh terhadap keselamatan sopir dan kendaraannya yang melewati terminal dan preman di pasar yang memungut pungutan liar dari lapak-lapak kaki lima, yang bila ditolak akan berpengaruh terhadap rusaknya lapak yang bersangkutan. Hal ini menyebabkan preman di Indonesia makin lama makin sukar diberantas karena ekonomi yang semakin memburuk. </w:t>
      </w:r>
    </w:p>
    <w:p w14:paraId="3D2457C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Kepolisian dalam hal ini berkaitan dengan fungsinya sebagai pengayom masyarakat mempunyai peran yang sangat besar dalam upaya penanggulangan terhadap premanisme. Pihak kepolisian yang begitu dekat dengan masyarakat diharapkan mampu mengambil tindakan yang tepat dalam menyikapi fenomena-fenomena premanisme di masyarakat. Dalam mencapai tujuan itu hukum diterapkan guna membagi antara hak dengan kewajiban antar perorangan di dalam masyarakat, membagi wewenang dan mengatur cara pemecahan permasalahan berkaitan dengan hukum serta sebagai upaya untuk memelihara kepastian hukum tersebut. Maka kepolisian sangat diperlukan untuk itu, dengan berpedoman pada peraturan Perundang-Undangan yang ada dan berlaku serta pedoman pelaksanaan polri yang telah diatur dalam Undang-Undang Republik Indonesia Nomor 2 Tahun 2002 tentang Kepolisian Negara Republik Indonesia</w:t>
      </w:r>
      <w:r>
        <w:rPr>
          <w:rStyle w:val="15"/>
          <w:rFonts w:ascii="Times New Roman" w:hAnsi="Times New Roman" w:cs="Times New Roman"/>
          <w:sz w:val="24"/>
          <w:szCs w:val="24"/>
        </w:rPr>
        <w:footnoteReference w:id="46"/>
      </w:r>
      <w:r>
        <w:rPr>
          <w:rFonts w:ascii="Times New Roman" w:hAnsi="Times New Roman" w:cs="Times New Roman"/>
          <w:sz w:val="24"/>
          <w:szCs w:val="24"/>
        </w:rPr>
        <w:t xml:space="preserve">. </w:t>
      </w:r>
    </w:p>
    <w:p w14:paraId="5721076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Dengan demikian, disimpulkan bahwa preman adalah individu atau kelompok yang tidak memiliki penghasilan tetap atau pekerjaan yang stabil. Mereka bergantung pada dukungan dari orang-orang yang terpengaruh oleh keberadaan mereka, karena mereka tidak bekerja dan harus bertahan hidup. Awalnya, mereka melakukan segala cara untuk mencari uang, tetapi mereka melihat ada orang-orang yang penakut dan dapat dimintai uang. Mereka juga menggunakan kekerasan fisik untuk memaksa orang tersebut memenuhi permintaan mereka. Sikap dan tindakan semacam itu disebut sebagai premanisme. Hal ini digunakan sebagai penutup untuk mencapai kekuasaan ekonomi dengan memanfaatkan pendekatan premanisme. </w:t>
      </w:r>
    </w:p>
    <w:p w14:paraId="6EE3D1A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Premanisme sebagai satu tindak pidana yang melanggar substansi norma hukum memiliki berbagai macam bentuknya. </w:t>
      </w:r>
      <w:r>
        <w:rPr>
          <w:rFonts w:ascii="Times New Roman" w:hAnsi="Times New Roman" w:cs="Times New Roman"/>
          <w:i/>
          <w:iCs/>
          <w:sz w:val="24"/>
          <w:szCs w:val="24"/>
        </w:rPr>
        <w:t xml:space="preserve">Police Watch </w:t>
      </w:r>
      <w:r>
        <w:rPr>
          <w:rFonts w:ascii="Times New Roman" w:hAnsi="Times New Roman" w:cs="Times New Roman"/>
          <w:sz w:val="24"/>
          <w:szCs w:val="24"/>
        </w:rPr>
        <w:t xml:space="preserve">sendiri memberikan kalsifikasi terhadap macam-macam premanisme sebagai berikut: </w:t>
      </w:r>
    </w:p>
    <w:p w14:paraId="20FEE7B7">
      <w:pPr>
        <w:pStyle w:val="23"/>
        <w:numPr>
          <w:ilvl w:val="0"/>
          <w:numId w:val="16"/>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individu yang tidak terorganisasi. Mereka beroperasi sendiri atau dalam kelompok kecil, namun tanpa adanya struktur formal dan hubungan yang jelas. Preman dalam kategori ini biasanya bergerak dan beraksi sendirian dengan menggunakan modus yang seringkali rahasia. </w:t>
      </w:r>
    </w:p>
    <w:p w14:paraId="047F16B7">
      <w:pPr>
        <w:pStyle w:val="23"/>
        <w:numPr>
          <w:ilvl w:val="0"/>
          <w:numId w:val="16"/>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yang memiliki pimpinan dan mempunyai daerah kekuasaan. Dalam kata ini, preman-preman pasar seperti di pasar besar pada umumnya </w:t>
      </w:r>
    </w:p>
    <w:p w14:paraId="6CF639D8">
      <w:pPr>
        <w:pStyle w:val="23"/>
        <w:numPr>
          <w:ilvl w:val="0"/>
          <w:numId w:val="16"/>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terorganisasi, anggota yang menyetorkan uang kepada pimpinan. </w:t>
      </w:r>
    </w:p>
    <w:p w14:paraId="683502C4">
      <w:pPr>
        <w:pStyle w:val="23"/>
        <w:numPr>
          <w:ilvl w:val="0"/>
          <w:numId w:val="16"/>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berkelompok, dengan menggunakan bendera berorganisasi. </w:t>
      </w:r>
    </w:p>
    <w:p w14:paraId="21BFD26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Preman jenis ini termasuk dalam kategori preman berdasi yang beroperasi di wilayah kejahatan tingkat menengah hingga tinggi, mencakup lingkup politik, birokrasi, dan dunia kejahatan bisnis kelas atas. Dalam operasinya, banyak di antara mereka mendapatkan dukungan dari aparat keamanan. Mereka beroperasi dengan cepat dan sulit dijangkau oleh hukum, karena mereka mampu mempengaruhi aparat penegak hukum melalui berbagai cara yang tidak legal</w:t>
      </w:r>
      <w:r>
        <w:rPr>
          <w:rStyle w:val="15"/>
          <w:rFonts w:ascii="Times New Roman" w:hAnsi="Times New Roman" w:cs="Times New Roman"/>
          <w:sz w:val="24"/>
          <w:szCs w:val="24"/>
        </w:rPr>
        <w:footnoteReference w:id="47"/>
      </w:r>
      <w:r>
        <w:rPr>
          <w:rFonts w:ascii="Times New Roman" w:hAnsi="Times New Roman" w:cs="Times New Roman"/>
          <w:sz w:val="24"/>
          <w:szCs w:val="24"/>
        </w:rPr>
        <w:t xml:space="preserve">. </w:t>
      </w:r>
    </w:p>
    <w:p w14:paraId="47C1E2B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Azwar Hasan, jika dilihat dari tingkatannya, terdapat empat kategori preman yang ada dan berkembang dalam masyarakat : </w:t>
      </w:r>
    </w:p>
    <w:p w14:paraId="1BB161D2">
      <w:pPr>
        <w:pStyle w:val="23"/>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tingkat bawah </w:t>
      </w:r>
    </w:p>
    <w:p w14:paraId="3E90C1D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Umumnya memiliki penampilan yang tidak terawat, memiliki tato, dan rambut panjang. Mereka sering terlibat dalam kegiatan kriminal ringan seperti pemalakan, pemerasan, dan melakukan ancaman terhadap korban. </w:t>
      </w:r>
    </w:p>
    <w:p w14:paraId="06E1F1AC">
      <w:pPr>
        <w:pStyle w:val="23"/>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tingkat menengah </w:t>
      </w:r>
    </w:p>
    <w:p w14:paraId="14894DC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Mereka yang berpenampilan lebih teratur dan memiliki tingkat pendidikan yang memadai seringkali bekerja melalui organisasi yang secara formal ilegal. Mereka menggunakan metode-metode yang kasar dan kejam dalam menjalankan tugas mereka, bahkan lebih kejam daripada preman pada umumnya karena mereka merasa beroperasi secara legal. Contohnya adalah </w:t>
      </w:r>
      <w:r>
        <w:rPr>
          <w:rFonts w:ascii="Times New Roman" w:hAnsi="Times New Roman" w:cs="Times New Roman"/>
          <w:i/>
          <w:iCs/>
          <w:sz w:val="24"/>
          <w:szCs w:val="24"/>
        </w:rPr>
        <w:t xml:space="preserve">Agency Debt Collector </w:t>
      </w:r>
      <w:r>
        <w:rPr>
          <w:rFonts w:ascii="Times New Roman" w:hAnsi="Times New Roman" w:cs="Times New Roman"/>
          <w:sz w:val="24"/>
          <w:szCs w:val="24"/>
        </w:rPr>
        <w:t xml:space="preserve">yang dipekerjakan oleh lembaga perbankan untuk menagih pembayaran hutang dari nasabah yang menunggak, serta perusahaan </w:t>
      </w:r>
      <w:r>
        <w:rPr>
          <w:rFonts w:ascii="Times New Roman" w:hAnsi="Times New Roman" w:cs="Times New Roman"/>
          <w:i/>
          <w:iCs/>
          <w:sz w:val="24"/>
          <w:szCs w:val="24"/>
        </w:rPr>
        <w:t xml:space="preserve">leasing </w:t>
      </w:r>
      <w:r>
        <w:rPr>
          <w:rFonts w:ascii="Times New Roman" w:hAnsi="Times New Roman" w:cs="Times New Roman"/>
          <w:sz w:val="24"/>
          <w:szCs w:val="24"/>
        </w:rPr>
        <w:t xml:space="preserve">yang menggunakan tindakan tidak manusiawi dalam menarik jaminan seperti mobil atau motor. </w:t>
      </w:r>
    </w:p>
    <w:p w14:paraId="7EF57605">
      <w:pPr>
        <w:pStyle w:val="23"/>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tingkat atas </w:t>
      </w:r>
    </w:p>
    <w:p w14:paraId="24B8CF0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Kelompok organisasi yang terafiliasi dengan partai politik atau organisasi massa, bahkan menggunakan kedok agama tertentu. Mereka disewa untuk melindungi kepentingan pemberi sewa. Mereka seringkali terlibat dalam tindakan kekerasan yang melanggar hukum. </w:t>
      </w:r>
    </w:p>
    <w:p w14:paraId="663E65D4">
      <w:pPr>
        <w:pStyle w:val="23"/>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Preman tingkat elit </w:t>
      </w:r>
    </w:p>
    <w:p w14:paraId="5F4DC69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Oknum aparat yang menjadi backing perilaku premanisme, mereka biasanya tidak nampak perilakunya karena mereka adalah actor intelektual premanisme</w:t>
      </w:r>
      <w:r>
        <w:rPr>
          <w:rStyle w:val="15"/>
          <w:rFonts w:ascii="Times New Roman" w:hAnsi="Times New Roman" w:cs="Times New Roman"/>
          <w:sz w:val="24"/>
          <w:szCs w:val="24"/>
        </w:rPr>
        <w:footnoteReference w:id="48"/>
      </w:r>
      <w:r>
        <w:rPr>
          <w:rFonts w:ascii="Times New Roman" w:hAnsi="Times New Roman" w:cs="Times New Roman"/>
          <w:sz w:val="24"/>
          <w:szCs w:val="24"/>
        </w:rPr>
        <w:t xml:space="preserve">. </w:t>
      </w:r>
    </w:p>
    <w:p w14:paraId="12C058F6">
      <w:pPr>
        <w:pStyle w:val="23"/>
        <w:numPr>
          <w:ilvl w:val="0"/>
          <w:numId w:val="15"/>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Dasar Hukum Pemberantasan Premanisme </w:t>
      </w:r>
    </w:p>
    <w:p w14:paraId="3ADE722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Fenomena preman di Indonesia mulai berkembang pada saat ekonomi semakin sulit dan angka pengangguran semakin tinggi. Akibatnya kelompok masyarakat usia kerja mulai mencari cara untuk mendapatkan penghasilan, biasanya melalui pemerasan dalam bentuk penyediaan jasa yang sebenarnya tidak dibutuhkan. Preman sangat identik dengan dunia kriminal dan kekerasan karena memang kegiatan preman tidak lepas dari kedua hal tersebut. Adapun contohnya yaitu sebagai berikut: </w:t>
      </w:r>
    </w:p>
    <w:p w14:paraId="6D3185F6">
      <w:pPr>
        <w:pStyle w:val="23"/>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Preman di terminal bus yang memungut pungutan liar dari sopir-sopir, yang bila ditolak akan berpengaruh terhadap keselamatan sopir dan kendaraannya yang melewati terminal; </w:t>
      </w:r>
    </w:p>
    <w:p w14:paraId="783235D0">
      <w:pPr>
        <w:pStyle w:val="23"/>
        <w:numPr>
          <w:ilvl w:val="0"/>
          <w:numId w:val="1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Preman di pasar yang memungut pungutan liar dari lapak-lapak kaki lima, yang bila ditolak akan berpengaruh terhadap rusaknya lapak yang bersangkutan. </w:t>
      </w:r>
    </w:p>
    <w:p w14:paraId="6D795F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Perilaku preman jika dikaitkan dengan unsur pidana maka perlu dilihat mengenai batasan pengertian tentang hukum pidana. Hukum pidana adalah keseluruhan aturan ketentuan hukum mengenai perbuatan-perbuatan yang dapat dihukum dan aturan pidananya. Untuk itu dalam perkembangannya apa saja hal-hal yang ada dalam premanisme dengan ketentuan pidana. Pasal-pasal yang ada di KUHP yang cenderung disangkakan sebagai tindak pidana premanisme serta 1 (satu) tindak pidana seperti yang dirumuskan pada Undang-Undang Darurat Nomor 12 Tahun 1951. Adapun tindak pidana tersebut adalah sebagai berikut: </w:t>
      </w:r>
    </w:p>
    <w:p w14:paraId="2C094786">
      <w:pPr>
        <w:pStyle w:val="23"/>
        <w:numPr>
          <w:ilvl w:val="0"/>
          <w:numId w:val="1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Pasal 170 Kitab Undang-Undang Hukum Pidana (KUHP) </w:t>
      </w:r>
    </w:p>
    <w:p w14:paraId="4936E92C">
      <w:pPr>
        <w:pStyle w:val="23"/>
        <w:numPr>
          <w:ilvl w:val="0"/>
          <w:numId w:val="2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Barang siapa dengan terang-terangan dan dengan tenaga bersama menggunakan kekerasan terhadap orang atau barang, diancam dengan pidana penjara paling lama lima tahun enam bulan. </w:t>
      </w:r>
    </w:p>
    <w:p w14:paraId="19D53DB9">
      <w:pPr>
        <w:pStyle w:val="23"/>
        <w:numPr>
          <w:ilvl w:val="0"/>
          <w:numId w:val="2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Yang bersalah diancam: </w:t>
      </w:r>
    </w:p>
    <w:p w14:paraId="2E9D9EFD">
      <w:pPr>
        <w:pStyle w:val="23"/>
        <w:numPr>
          <w:ilvl w:val="0"/>
          <w:numId w:val="21"/>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dengan pidana penjara paling lama tujuh tahun, jika ia dengan sengaja menghancurkan barang atau jika kekerasan yang digunakan mengakibatkan luka-luka; </w:t>
      </w:r>
    </w:p>
    <w:p w14:paraId="2294245E">
      <w:pPr>
        <w:pStyle w:val="23"/>
        <w:numPr>
          <w:ilvl w:val="0"/>
          <w:numId w:val="21"/>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dengan pidana penjara paling lama sembilan tahun, jika kekerasan mengakibatkan luka berat; </w:t>
      </w:r>
    </w:p>
    <w:p w14:paraId="32314337">
      <w:pPr>
        <w:pStyle w:val="23"/>
        <w:numPr>
          <w:ilvl w:val="0"/>
          <w:numId w:val="21"/>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dengan pidana penjara paling lama dua belas tahun, jika kekerasan mengakibatkan maut. </w:t>
      </w:r>
    </w:p>
    <w:p w14:paraId="3E828333">
      <w:pPr>
        <w:pStyle w:val="23"/>
        <w:numPr>
          <w:ilvl w:val="0"/>
          <w:numId w:val="2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Pasal 89 tidak diterapkan</w:t>
      </w:r>
      <w:r>
        <w:rPr>
          <w:rStyle w:val="15"/>
          <w:rFonts w:ascii="Times New Roman" w:hAnsi="Times New Roman" w:cs="Times New Roman"/>
          <w:sz w:val="24"/>
          <w:szCs w:val="24"/>
        </w:rPr>
        <w:footnoteReference w:id="49"/>
      </w:r>
      <w:r>
        <w:rPr>
          <w:rFonts w:ascii="Times New Roman" w:hAnsi="Times New Roman" w:cs="Times New Roman"/>
          <w:sz w:val="24"/>
          <w:szCs w:val="24"/>
        </w:rPr>
        <w:t>.</w:t>
      </w:r>
    </w:p>
    <w:p w14:paraId="63DE1156">
      <w:pPr>
        <w:pStyle w:val="23"/>
        <w:numPr>
          <w:ilvl w:val="0"/>
          <w:numId w:val="1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Pasal 303 Kitab Undang-Undang Hukum Pidana (KUHP) </w:t>
      </w:r>
    </w:p>
    <w:p w14:paraId="21BF40C9">
      <w:pPr>
        <w:pStyle w:val="23"/>
        <w:numPr>
          <w:ilvl w:val="0"/>
          <w:numId w:val="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Diancam dengan pidana penjara paling lama sepuluh tahun atau pidana denda paling banyak dua puluh lima juta rupiah, barang siapa tanpa mendapat izin: </w:t>
      </w:r>
    </w:p>
    <w:p w14:paraId="21EF844D">
      <w:pPr>
        <w:pStyle w:val="23"/>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dengan sengaja menawarkan atau memberikan kesempatan untuk permainan judi dan menjadikannya sebagai pencarian, atau dengan sengaja turut serta dalam suatu perusahaan untuk itu;</w:t>
      </w:r>
    </w:p>
    <w:p w14:paraId="4DD9F07E">
      <w:pPr>
        <w:pStyle w:val="23"/>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dengan sengaja menawarkan atau memberi kesempatan kepada khalayak umum untuk bermain judi atau dengan sengaja turut serta dalam perusahaan untuk itu, dengan tidak peduli apakah untuk menggunakan kesempatan adanya sesuatu syarat atau dipenuhinya sesuatu tata-cara; </w:t>
      </w:r>
    </w:p>
    <w:p w14:paraId="12FEB694">
      <w:pPr>
        <w:pStyle w:val="23"/>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menjadikan turut serta pada permainan judi sebagai pemain. </w:t>
      </w:r>
    </w:p>
    <w:p w14:paraId="4ED73148">
      <w:pPr>
        <w:pStyle w:val="23"/>
        <w:numPr>
          <w:ilvl w:val="0"/>
          <w:numId w:val="2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Kalau yang bersalah melakukan kejahatan tersebut dalam menjalankan pencariannya, maka dapat dicabut haknya untuk menjalankan pencarian itu.</w:t>
      </w:r>
    </w:p>
    <w:p w14:paraId="30329F0C">
      <w:pPr>
        <w:pStyle w:val="23"/>
        <w:numPr>
          <w:ilvl w:val="0"/>
          <w:numId w:val="2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Permainan judi di sini adalah tiap-tiap permainan, di mana pada umumnya kemungkinan mendapat untung bergantung pada peruntungan belaka, juga karena pemainnya lebih terlatih atau lebih mahir. Di dalamnya termasuk segala pertaruhan tentang keputusan perlombaan atau permainan lain-lainnya yang tidak diadakan antara mereka yang turut berlomba atau bermain, demikian juga segala pertaruhan lainnya.</w:t>
      </w:r>
    </w:p>
    <w:p w14:paraId="221E9770">
      <w:pPr>
        <w:pStyle w:val="23"/>
        <w:numPr>
          <w:ilvl w:val="0"/>
          <w:numId w:val="1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Pasal 336 Kitab Undang-Undang Hukum Pidana (KUHP) </w:t>
      </w:r>
    </w:p>
    <w:p w14:paraId="689B4005">
      <w:pPr>
        <w:pStyle w:val="23"/>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Diancam dengan pidana penjara paling lama dua tahun delapan bulan, barang siapa mengancam dengan kekerasan terhadap orang atau barang secara terang-terangan dengan tenaga bersama, dengan suatu kejahatan yang menimbulkan bahaya umum bagi keamanan orang atau barang, dengan perkosaan atau perbuatan yang melanggar kehormatan kesusilaan, dengan sesuatu kejahatan terhadap nyawa, dengan penganiayaan berat atau dengan pembakaran.</w:t>
      </w:r>
    </w:p>
    <w:p w14:paraId="10F14C59">
      <w:pPr>
        <w:pStyle w:val="23"/>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Bilamana ancaman dilakukan secara tertulis dan dengan syarat tertentu, maka dikenakan pidana penjara paling lama lima tahun. </w:t>
      </w:r>
    </w:p>
    <w:p w14:paraId="6E5DF630">
      <w:pPr>
        <w:pStyle w:val="23"/>
        <w:numPr>
          <w:ilvl w:val="0"/>
          <w:numId w:val="1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Pasal 368 Kitab Undang-Undang Hukum Pidana (KUHP)</w:t>
      </w:r>
    </w:p>
    <w:p w14:paraId="26DEE319">
      <w:pPr>
        <w:pStyle w:val="23"/>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Barang siapa dengan maksud untuk menguntungkan diri sendiri atau orang lain secara melawan hukum, memaksa seorang dengan kekerasan atau ancaman kekerasan untuk memberikan barang sesuatu, yang seluruhnya atau sebagian adalah kepunyaan orang itu atau orang lain, atau supaya membuat hutang maupun menghapuskan piutang, diancam karena pemerasan dengan pidana penjara paling lama sembilan tahun. </w:t>
      </w:r>
    </w:p>
    <w:p w14:paraId="0173FCB2">
      <w:pPr>
        <w:pStyle w:val="23"/>
        <w:numPr>
          <w:ilvl w:val="0"/>
          <w:numId w:val="2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Ketentuan Pasal 365 ayat kedua, ketiga, dan keempat berlaku bagi kejahatan ini. </w:t>
      </w:r>
    </w:p>
    <w:p w14:paraId="760A65DB">
      <w:pPr>
        <w:spacing w:after="0" w:line="480" w:lineRule="auto"/>
        <w:jc w:val="both"/>
        <w:rPr>
          <w:rFonts w:ascii="Times New Roman" w:hAnsi="Times New Roman" w:cs="Times New Roman"/>
          <w:sz w:val="24"/>
          <w:szCs w:val="24"/>
        </w:rPr>
      </w:pPr>
    </w:p>
    <w:p w14:paraId="7662FF5E">
      <w:pPr>
        <w:pStyle w:val="23"/>
        <w:numPr>
          <w:ilvl w:val="0"/>
          <w:numId w:val="1"/>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GAMBARAN UMUM TENTANG BRIMOB KOMP II BATALYON A</w:t>
      </w:r>
    </w:p>
    <w:p w14:paraId="10F65FF3">
      <w:pPr>
        <w:pStyle w:val="23"/>
        <w:numPr>
          <w:ilvl w:val="0"/>
          <w:numId w:val="26"/>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Pengertian Brimob Komp II Batalyon A</w:t>
      </w:r>
    </w:p>
    <w:p w14:paraId="059DD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Pada tahun 1980 rencana Pembangunan Mako Kompi dan asrama. Bulan Maret tahun 1980 dilaksanakan Pembangunan Mako Kompi dan asrama yang diprakarsai oleh Menhankam Panglima ABRI M. Yusuf. Sewaktu hendak diresmikan sama Kapolri Jenderal Awaludin Jamin, awal Kompi ini berdiri sebutannya Kompi Pemantapan dan kemudian dirumah menjadi Kompi 5127 Satbrimob Dak-II/SU.</w:t>
      </w:r>
    </w:p>
    <w:p w14:paraId="08D6CB9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Bulan Maret tahun 1982, Mako Kompii dan asrama mulai ditempati personal dan aktivitas mulai berjalan dengan baik. Kapolri tidak mau meresmikan Mako Kompi dan asrama karena pembangunannya tidak sesuai dengan apa yang dijanjikan. Komandan Kompi pertama kali adalah Kapten Pol. Jhonny Wainal Usman. Tahun 1988 Kompi 5127 Satbrimob Dak-II/SU berubah menjadi Kompi 2 Batalyon-A Satbrimob Polda Sumut (berdasarkan Surat Perintah Kapolda Sumut  NO.POL.:SPRIN/206/IX/1998. </w:t>
      </w:r>
    </w:p>
    <w:p w14:paraId="0AA91E0C">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Tanggal 23 November 1998 tentang Pelaksanaan Validasi Sat Brimob Dit Samapta Polda Sumut Menjadi Sat Brimob Daerah Sumatera Utara. Adapun nama-nama pejabat Komandan Kompii 2 Batalyon A Satbrimob Polda Sumut dari awal berdirinya yaitu:</w:t>
      </w:r>
    </w:p>
    <w:p w14:paraId="738EF7FF">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JHONNY WAINAL USMAN (1982-1984)</w:t>
      </w:r>
    </w:p>
    <w:p w14:paraId="5BD5A42C">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SUYONO (1984-1986)</w:t>
      </w:r>
    </w:p>
    <w:p w14:paraId="21076BF0">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H. LUMBAN TOBING (1986-1987)</w:t>
      </w:r>
    </w:p>
    <w:p w14:paraId="3F3EA225">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LETTU POL SOEKIRNO (1987-1989)</w:t>
      </w:r>
    </w:p>
    <w:p w14:paraId="6CCA10E2">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URIP (1989-1992)</w:t>
      </w:r>
    </w:p>
    <w:p w14:paraId="37CA2949">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HANTAS SIMANJUNTAK (1992-1995)</w:t>
      </w:r>
    </w:p>
    <w:p w14:paraId="18B71CA3">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JODI HERIYADI (1995-1996)</w:t>
      </w:r>
    </w:p>
    <w:p w14:paraId="378C1286">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DJAMALUDDIN SIREGAR (1996-1999)</w:t>
      </w:r>
    </w:p>
    <w:p w14:paraId="2671A695">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SETIA M. PANJAITAN (1999-2001)</w:t>
      </w:r>
    </w:p>
    <w:p w14:paraId="68117326">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ALISMAN NAINGGOLAN (2001)</w:t>
      </w:r>
    </w:p>
    <w:p w14:paraId="0DDAFFA0">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KAPTEN POL BINSAR ARITONANG (2001-2002)</w:t>
      </w:r>
    </w:p>
    <w:p w14:paraId="4E47099B">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LILIK ZULHAIR, S.H. (2002-2003)</w:t>
      </w:r>
    </w:p>
    <w:p w14:paraId="1E5EBCCD">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IPTU BUDI WARDIMAN (2003-2004)</w:t>
      </w:r>
    </w:p>
    <w:p w14:paraId="212C7C23">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BUDI SATRIO, S.I.K (2004-2005)</w:t>
      </w:r>
    </w:p>
    <w:p w14:paraId="1FCD00AE">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HARDI CHAN (2005)</w:t>
      </w:r>
    </w:p>
    <w:p w14:paraId="7C3A830B">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ADARMA SINAGA, S.I.K (2005-2006)</w:t>
      </w:r>
    </w:p>
    <w:p w14:paraId="3AE0EB00">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YENGKI DESWANDI, SH (2006-2008)</w:t>
      </w:r>
    </w:p>
    <w:p w14:paraId="1FC5C458">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SUTOYO (2008-2010)</w:t>
      </w:r>
    </w:p>
    <w:p w14:paraId="5F07C158">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ENDRA BUDIANTO (2010-2013)</w:t>
      </w:r>
    </w:p>
    <w:p w14:paraId="57757EEA">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RUBBY NANDA, SH (2013-2016)</w:t>
      </w:r>
    </w:p>
    <w:p w14:paraId="1C32835A">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NURWAKID (2016-2019)</w:t>
      </w:r>
    </w:p>
    <w:p w14:paraId="77EAC86F">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MUHAMMAD REZA, S.I.K (2019-2021)</w:t>
      </w:r>
    </w:p>
    <w:p w14:paraId="1181CDA1">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IPTU PANDU HIKMA WINATA BATUBARA, STK, SIK. (PEBRUARINOVEMBER 2021)</w:t>
      </w:r>
    </w:p>
    <w:p w14:paraId="78A70F25">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ADI AGENG RISMOKO, S.I.K (2022-2023)</w:t>
      </w:r>
    </w:p>
    <w:p w14:paraId="6FB65A5A">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ALEXIUS CHESLAUS, S.I.K (JANUARI-OKTOBER 2023)</w:t>
      </w:r>
    </w:p>
    <w:p w14:paraId="0DDF432A">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MUHAMMAD FAISAL (OKTOBER 2023-JULI 2024)</w:t>
      </w:r>
    </w:p>
    <w:p w14:paraId="2C58688C">
      <w:pPr>
        <w:pStyle w:val="23"/>
        <w:numPr>
          <w:ilvl w:val="0"/>
          <w:numId w:val="27"/>
        </w:numPr>
        <w:spacing w:after="0" w:line="480" w:lineRule="auto"/>
        <w:rPr>
          <w:rFonts w:ascii="Times New Roman" w:hAnsi="Times New Roman" w:cs="Times New Roman"/>
          <w:sz w:val="24"/>
          <w:szCs w:val="24"/>
        </w:rPr>
      </w:pPr>
      <w:r>
        <w:rPr>
          <w:rFonts w:ascii="Times New Roman" w:hAnsi="Times New Roman" w:cs="Times New Roman"/>
          <w:sz w:val="24"/>
          <w:szCs w:val="24"/>
        </w:rPr>
        <w:t>AKP ALWI BUDI UTOMO (JULI 2024-SEKARANG)</w:t>
      </w:r>
    </w:p>
    <w:p w14:paraId="26E03820">
      <w:pPr>
        <w:pStyle w:val="23"/>
        <w:spacing w:after="0" w:line="480" w:lineRule="auto"/>
        <w:ind w:left="360"/>
        <w:jc w:val="both"/>
        <w:rPr>
          <w:rFonts w:ascii="Times New Roman" w:hAnsi="Times New Roman" w:cs="Times New Roman"/>
          <w:b/>
          <w:bCs/>
          <w:sz w:val="24"/>
          <w:szCs w:val="24"/>
        </w:rPr>
      </w:pPr>
    </w:p>
    <w:p w14:paraId="03C47F55">
      <w:pPr>
        <w:pStyle w:val="23"/>
        <w:numPr>
          <w:ilvl w:val="0"/>
          <w:numId w:val="26"/>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Peraturan Tentang Brimob Komp II Batalyon A</w:t>
      </w:r>
    </w:p>
    <w:p w14:paraId="0C44900B">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Diera reformasi, Polri mendapatkan dukungan publik yang begitu luas, ditandai dengan keputusan politik memisahkan Polri dari institusi dan garis komando TNI pada 1 April 1999. Keputusan tersebut ditetapkan dalam Tap MPR/VI/2000 tentang pemisahan ABRI (TNI dan Polri) serta Tap MPR/VII/2000 tentang peran kedua lembaga tersebut dengan menempatkan TNI di bawah Departemen Pertahanan, khusus Polri berada langsung di bawah Presiden. Tindak lanjut dari keluarnya kedua Tap MPR tersebut adalah dikeluarkannya UU No. 2 Tahun 2002 Tentang Kepolisian Negara Republik Indonesia dan UU No. 3 Tahun 2002 Tentang Pertahanan Negara, yang berkaitan juga dengan peran dan posisi TNI dalam peran perbantuannya pada Polri.</w:t>
      </w:r>
    </w:p>
    <w:p w14:paraId="615DF99D">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Setelah disahkannya Undang-Undang Nomor 2 Tahun 2002 tentang Kepolisian Negara Republik Indonesia, secara resmi polisi memisahkan diri dari tubuh TNI dan menjadi Polisi Sipil. Perjalanan reformasi Polri secara garis besar dijelaskan bahwa Polri memiliki fungsi pemerintahan negara yang bertujuan dan berperan untuk mewujudkan keamanan dalam negeri yang meliputi terpeliharanya keamanan dan ketertiban masyarakat, menjunjung tinggi hak asasi manusia (HAM) serta menegakkan hukum guna terpeliharanya keamanan dalam negeri dalam kultur Polisi sipil.  </w:t>
      </w:r>
    </w:p>
    <w:p w14:paraId="34D1CE55">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Korps Brimob Polri sebagai bagian integral Polri juga memiliki tugas pokok dan fungsi untuk melaksanakan dan menggerakkan kekuatan Brimob Polri dalam menanggulangi gangguan Kamtibmas berkadar tinggi, utamanya kerusuhan massa, kejahatan terorganisasi bersenjata api, bom, bahan kimia, biologi dan radioaktif yang pelaksanaan tugas Brimob tersebut dilandaskan atas fungsi Brimob Polri sebagai satuan pamungkas Polri (Striking Force) yang memiliki kemampuan spesifik penanggulangan keamanan dalam negeri yang berkadar tinggi dan penyelamatan masyarakat yang didukung oleh personel terlatih dan memiliki kepemimpinan yang solid, peralatan dan perlengkapan dengan teknologi modern. Sedangkan peran Brimob Polri dalam organisasi adalah melakukan maneuver, baik secara individual atau dalam kelompok dengan daya gerak, daya tembak dan daya sergap untuk membatasi ruang gerak, melumpuhkan, menangkap para pelaku kejahatan beserta saksi dan barang bukti dengan cara : membantu, melengkapi, melindungi, memperkuat dan menggantikan satuan kepolisian yang ada.</w:t>
      </w:r>
    </w:p>
    <w:p w14:paraId="19A91F6F">
      <w:pPr>
        <w:spacing w:after="0" w:line="48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Brimob Polri ditugaskan menjaga keamanan dalam negeri dari ancaman kejahatan yang berintensitas tinggi. Keberhasilan Korps Brimob Polri dalam menanggulangi ancaman Kamtibmas di Indonesia, tidak terlepas adanya dukungan dari masyarakat bangsa dan negara yang menginginkan rasa aman dan nyaman tercipta di negeri ini. Korps Brimob Polri juga memiliki kemampuan Search and Rescue (SAR) yang digunakan dalam tugas-tugas kemanusiaan dalam membantu dan mengevakuasi korban bencana alam yang terjadi di Indonesia.</w:t>
      </w:r>
    </w:p>
    <w:p w14:paraId="4EE5C53C"/>
    <w:sectPr>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0">
    <w:p>
      <w:pPr>
        <w:spacing w:before="0" w:after="0" w:line="259" w:lineRule="auto"/>
      </w:pPr>
      <w:r>
        <w:separator/>
      </w:r>
    </w:p>
  </w:footnote>
  <w:footnote w:type="continuationSeparator" w:id="101">
    <w:p>
      <w:pPr>
        <w:spacing w:before="0" w:after="0" w:line="259" w:lineRule="auto"/>
      </w:pPr>
      <w:r>
        <w:continuationSeparator/>
      </w:r>
    </w:p>
  </w:footnote>
  <w:footnote w:id="0">
    <w:p w14:paraId="00DF6C8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Sudikno Mertokusumo, Mengenal Hukum Suatu Pengantar, (Yogyakarta: Cahaya Atma Pustaka, 2010), hal. 49.</w:t>
      </w:r>
    </w:p>
  </w:footnote>
  <w:footnote w:id="1">
    <w:p w14:paraId="091EE8F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Yuhelson, Pengantar Ilmu Hukum, (Gorontalo: Ideas Publishing, 2017), hal. 6.</w:t>
      </w:r>
    </w:p>
    <w:p w14:paraId="55560275">
      <w:pPr>
        <w:pStyle w:val="16"/>
        <w:rPr>
          <w:rFonts w:ascii="Times New Roman" w:hAnsi="Times New Roman" w:cs="Times New Roman"/>
        </w:rPr>
      </w:pPr>
    </w:p>
  </w:footnote>
  <w:footnote w:id="2">
    <w:p w14:paraId="5EF7C62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Yuhelson, ibid, (Gorontalo: Ideas Publishing, 2017), hal. 10-14.</w:t>
      </w:r>
    </w:p>
    <w:p w14:paraId="6AE15F53">
      <w:pPr>
        <w:pStyle w:val="16"/>
        <w:rPr>
          <w:rFonts w:ascii="Times New Roman" w:hAnsi="Times New Roman" w:cs="Times New Roman"/>
        </w:rPr>
      </w:pPr>
    </w:p>
  </w:footnote>
  <w:footnote w:id="3">
    <w:p w14:paraId="28E3D579">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Zainuddin, Sosiologi Hukum, (Jakarta: Sinar Grafika, 20025), hal. 25.</w:t>
      </w:r>
    </w:p>
  </w:footnote>
  <w:footnote w:id="4">
    <w:p w14:paraId="3DBB720D">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Satjipto Rahardjo, Ilmu Hukum, (Bandung: Citra Adtya, 2008), hal. 23.</w:t>
      </w:r>
    </w:p>
  </w:footnote>
  <w:footnote w:id="5">
    <w:p w14:paraId="411991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Siswanto Sunarso, Wawasan Penegakan Hukum Di Indonesia, (Bandung: Citra Aditya Bakti, 2005), hal. 110.</w:t>
      </w:r>
    </w:p>
  </w:footnote>
  <w:footnote w:id="6">
    <w:p w14:paraId="4A80032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Siswanto Sunarso, ibid, (Bandung: Citra Aditya Bakti, 2005), hal. 111.</w:t>
      </w:r>
    </w:p>
  </w:footnote>
  <w:footnote w:id="7">
    <w:p w14:paraId="4A7688B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10 Andi Hamzah dikutip dalam Supriadi, Suatu Pengantar Hukum Lingungan Indonesia,</w:t>
      </w:r>
    </w:p>
    <w:p w14:paraId="511444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(Jakarta: Sinar Grafika, 2010), hal. 267.</w:t>
      </w:r>
    </w:p>
  </w:footnote>
  <w:footnote w:id="8">
    <w:p w14:paraId="1EB61EC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Didi Nazmi Yunas, Konsep Negara Hukum, (Padang: Angkasa Raya, 2008), hal. 17.</w:t>
      </w:r>
    </w:p>
  </w:footnote>
  <w:footnote w:id="9">
    <w:p w14:paraId="554A11E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Marwan Effendy, Kejaksaan Republik Indonesia Posisi Dan Fungsinya Dari Persfektif</w:t>
      </w:r>
    </w:p>
    <w:p w14:paraId="09587CA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Hukum, (Jakarta: Gramedia, 2009), hal. 12.</w:t>
      </w:r>
    </w:p>
  </w:footnote>
  <w:footnote w:id="10">
    <w:p w14:paraId="4E39EC5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Satjipto Rahardjo, ibid, (Bandung: Citra Adtya, 2008), hal. 191.</w:t>
      </w:r>
    </w:p>
  </w:footnote>
  <w:footnote w:id="11">
    <w:p w14:paraId="50284D0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Satjipto Rahardjo, Penegakan Hukum Suatu Tinjauan Sosiologis, (Yogyakarta: Genta Publishing, 2009), hal. 24.</w:t>
      </w:r>
    </w:p>
  </w:footnote>
  <w:footnote w:id="12">
    <w:p w14:paraId="5551C1B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Satjipto Rahardjo, ibid, (Yogyakarta: Genta Publishing, 2009), hal. 29.</w:t>
      </w:r>
    </w:p>
    <w:p w14:paraId="78DDDDC5">
      <w:pPr>
        <w:pStyle w:val="16"/>
        <w:rPr>
          <w:rFonts w:ascii="Times New Roman" w:hAnsi="Times New Roman" w:cs="Times New Roman"/>
        </w:rPr>
      </w:pPr>
    </w:p>
  </w:footnote>
  <w:footnote w:id="13">
    <w:p w14:paraId="512FE8E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Satjipto Rahardjo, op.cit, (Yogyakarta: Genta Publishing, 2009), hal. 73.</w:t>
      </w:r>
    </w:p>
  </w:footnote>
  <w:footnote w:id="14">
    <w:p w14:paraId="17F3E06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Rusli Muhammad, Kemandirian Pengadilan Indonesia, (Yogyakarta: FH UII Press, 2010), hal. 146.</w:t>
      </w:r>
    </w:p>
  </w:footnote>
  <w:footnote w:id="15">
    <w:p w14:paraId="590A173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Isrok dan Rizki Emil Birham, Citizen lawsuit, (Malang: UB Press, 2010), hal. 62.</w:t>
      </w:r>
    </w:p>
  </w:footnote>
  <w:footnote w:id="16">
    <w:p w14:paraId="26A182A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Fachry Bey, “Sejarah Viktimologi”, Prosiding Pelatihan Viktimologi Indonesia, Fakultas</w:t>
      </w:r>
    </w:p>
    <w:p w14:paraId="41E33F9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Hukum, Universitas Jenderal Soedirman, 2016.</w:t>
      </w:r>
    </w:p>
    <w:p w14:paraId="0E87B183">
      <w:pPr>
        <w:pStyle w:val="16"/>
        <w:rPr>
          <w:rFonts w:ascii="Times New Roman" w:hAnsi="Times New Roman" w:cs="Times New Roman"/>
        </w:rPr>
      </w:pPr>
    </w:p>
  </w:footnote>
  <w:footnote w:id="17">
    <w:p w14:paraId="48C51CF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Siswanto Sunarso, Viktimologi dalam Sistem Peradilan Pidana, (Jakarta: Sinar Grafika, 2016), hal. 83-84.</w:t>
      </w:r>
    </w:p>
  </w:footnote>
  <w:footnote w:id="18">
    <w:p w14:paraId="3F6400E2">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Siswanto Sunarso, ibid, (Jakarta: Sinar Grafika, 2016), hal. 85.</w:t>
      </w:r>
    </w:p>
  </w:footnote>
  <w:footnote w:id="19">
    <w:p w14:paraId="771CDF0A">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Siswanto Sunarso, op.cit, (Jakarta: Sinar Grafika, 2016), hal. 87.</w:t>
      </w:r>
    </w:p>
  </w:footnote>
  <w:footnote w:id="20">
    <w:p w14:paraId="71BC78D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Barda Nawawi Arief, Beberapa Aspek Penegakan dan Pengembangan Hukum Pidana, (Bandung: Citra Aditya Bakti, 2009), hal. 13.</w:t>
      </w:r>
    </w:p>
    <w:p w14:paraId="34851015">
      <w:pPr>
        <w:pStyle w:val="16"/>
        <w:rPr>
          <w:rFonts w:ascii="Times New Roman" w:hAnsi="Times New Roman" w:cs="Times New Roman"/>
        </w:rPr>
      </w:pPr>
    </w:p>
  </w:footnote>
  <w:footnote w:id="21">
    <w:p w14:paraId="0CA2058B">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Satjipto Rahardjo, op.cit, (Bandung: Citra Adtya, 2008), hal. 24.</w:t>
      </w:r>
    </w:p>
  </w:footnote>
  <w:footnote w:id="22">
    <w:p w14:paraId="16653D83">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Satjipto Rahardjo, op.cit, (Bandung: Citra Adtya, 2008), hal. 29.</w:t>
      </w:r>
    </w:p>
    <w:p w14:paraId="2683F442">
      <w:pPr>
        <w:pStyle w:val="16"/>
        <w:rPr>
          <w:rFonts w:ascii="Times New Roman" w:hAnsi="Times New Roman" w:cs="Times New Roman"/>
        </w:rPr>
      </w:pPr>
    </w:p>
  </w:footnote>
  <w:footnote w:id="23">
    <w:p w14:paraId="48C407A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Agus Riyanto, Penegakan Hukum, Masalahnya Apa?, Binus University, Business Law,</w:t>
      </w:r>
    </w:p>
    <w:p w14:paraId="2E19557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https://business-law.binus.ac.id/2018/12/26/penegakan-hukum-masalahnya-apa/, diakses tanggal</w:t>
      </w:r>
    </w:p>
    <w:p w14:paraId="620A43E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 Januari 2025.</w:t>
      </w:r>
    </w:p>
    <w:p w14:paraId="78D6C110">
      <w:pPr>
        <w:pStyle w:val="16"/>
        <w:rPr>
          <w:rFonts w:ascii="Times New Roman" w:hAnsi="Times New Roman" w:cs="Times New Roman"/>
        </w:rPr>
      </w:pPr>
    </w:p>
  </w:footnote>
  <w:footnote w:id="24">
    <w:p w14:paraId="799F57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Achmad Ali, Menguak Teori hukum dan Teori Peradilan, (Jakarta: Kencana Prenada Group, 2012), hal. 243.</w:t>
      </w:r>
    </w:p>
    <w:p w14:paraId="5770EF44">
      <w:pPr>
        <w:spacing w:after="0" w:line="240" w:lineRule="auto"/>
        <w:jc w:val="both"/>
        <w:rPr>
          <w:rFonts w:ascii="Times New Roman" w:hAnsi="Times New Roman" w:cs="Times New Roman"/>
          <w:sz w:val="20"/>
          <w:szCs w:val="20"/>
        </w:rPr>
      </w:pPr>
    </w:p>
  </w:footnote>
  <w:footnote w:id="25">
    <w:p w14:paraId="25823D28">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R. Abdussalam, Penegakan Hukum Di Lapangan Oleh POLRI. (Jakarta: Dinas Hukum POLRI, 2017), hal 20.</w:t>
      </w:r>
    </w:p>
  </w:footnote>
  <w:footnote w:id="26">
    <w:p w14:paraId="500AE46F">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http://www.HukumOnline.com/hg/narasi/2004/04/21/nrs,20040421-01,id.html, diakses pada 21 April 2025, pukul 18:00 WIB</w:t>
      </w:r>
    </w:p>
  </w:footnote>
  <w:footnote w:id="27">
    <w:p w14:paraId="1CA4023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http://kbbi.web.id/polisi, diakses pada tanggal 21 April, pukul 18:00 WIB. </w:t>
      </w:r>
    </w:p>
  </w:footnote>
  <w:footnote w:id="28">
    <w:p w14:paraId="71B5CD08">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Pudi Rahardi, Hukum Kepolisian Kemandirian Profesionalisme dan Reformasi POLRI, (Surabaya: Laksbang Grafika, 2014), hal 55</w:t>
      </w:r>
    </w:p>
  </w:footnote>
  <w:footnote w:id="29">
    <w:p w14:paraId="0DE30D21">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Jimly Asshiddiqie, Perkembangan Dan Konsolidasi Lembaga Negara Pasca Reformasi, (Jakarta: Sinar Grafika, 2010), hal 200</w:t>
      </w:r>
    </w:p>
  </w:footnote>
  <w:footnote w:id="30">
    <w:p w14:paraId="2545B601">
      <w:pPr>
        <w:pStyle w:val="16"/>
        <w:rPr>
          <w:rFonts w:ascii="Times New Roman" w:hAnsi="Times New Roman" w:cs="Times New Roman"/>
        </w:rPr>
      </w:pPr>
      <w:r>
        <w:tab/>
      </w:r>
      <w:r>
        <w:rPr>
          <w:rStyle w:val="15"/>
          <w:rFonts w:ascii="Times New Roman" w:hAnsi="Times New Roman" w:cs="Times New Roman"/>
        </w:rPr>
        <w:footnoteRef/>
      </w:r>
      <w:r>
        <w:rPr>
          <w:rFonts w:ascii="Times New Roman" w:hAnsi="Times New Roman" w:cs="Times New Roman"/>
        </w:rPr>
        <w:t xml:space="preserve"> Jimly Asshiddiqie, </w:t>
      </w:r>
      <w:r>
        <w:rPr>
          <w:rFonts w:ascii="Times New Roman" w:hAnsi="Times New Roman" w:cs="Times New Roman"/>
          <w:i/>
          <w:iCs/>
        </w:rPr>
        <w:t>ibid</w:t>
      </w:r>
      <w:r>
        <w:rPr>
          <w:rFonts w:ascii="Times New Roman" w:hAnsi="Times New Roman" w:cs="Times New Roman"/>
        </w:rPr>
        <w:t>, (Jakarta: Sinar Grafika, 2010), hal 200</w:t>
      </w:r>
    </w:p>
  </w:footnote>
  <w:footnote w:id="31">
    <w:p w14:paraId="653A4C91">
      <w:pPr>
        <w:pStyle w:val="16"/>
      </w:pPr>
      <w:r>
        <w:tab/>
      </w:r>
      <w:r>
        <w:rPr>
          <w:rStyle w:val="15"/>
        </w:rPr>
        <w:footnoteRef/>
      </w:r>
      <w:r>
        <w:t xml:space="preserve"> </w:t>
      </w:r>
      <w:r>
        <w:rPr>
          <w:rFonts w:ascii="Times New Roman" w:hAnsi="Times New Roman" w:cs="Times New Roman"/>
        </w:rPr>
        <w:t xml:space="preserve">Jimly Asshiddiqie, </w:t>
      </w:r>
      <w:r>
        <w:rPr>
          <w:rFonts w:ascii="Times New Roman" w:hAnsi="Times New Roman" w:cs="Times New Roman"/>
          <w:i/>
          <w:iCs/>
        </w:rPr>
        <w:t>ibid</w:t>
      </w:r>
      <w:r>
        <w:rPr>
          <w:rFonts w:ascii="Times New Roman" w:hAnsi="Times New Roman" w:cs="Times New Roman"/>
        </w:rPr>
        <w:t>, (Jakarta: Sinar Grafika, 2010), hal 203</w:t>
      </w:r>
    </w:p>
  </w:footnote>
  <w:footnote w:id="32">
    <w:p w14:paraId="52D17A54">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Andi Hamzah, KUHP dan KUHAP (Rineka Cipta: Jakarta, 2007), hal.101</w:t>
      </w:r>
    </w:p>
  </w:footnote>
  <w:footnote w:id="33">
    <w:p w14:paraId="4642246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Nanda Agung Dewantoro, Masalah Kebebasan Hakim dalam Menangani Suatu Perkara Pidana (Aksara Persada: Jakarta, 2005) hal. 149</w:t>
      </w:r>
    </w:p>
    <w:p w14:paraId="2ACD0C51">
      <w:pPr>
        <w:pStyle w:val="16"/>
      </w:pPr>
    </w:p>
  </w:footnote>
  <w:footnote w:id="34">
    <w:p w14:paraId="1D21E103">
      <w:pPr>
        <w:spacing w:after="0" w:line="240" w:lineRule="auto"/>
        <w:jc w:val="both"/>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Nanda Agung Dewantoro, ibid, (Aksara Persada: Jakarta, 2005) hal. 149</w:t>
      </w:r>
    </w:p>
    <w:p w14:paraId="57DBA860">
      <w:pPr>
        <w:pStyle w:val="16"/>
      </w:pPr>
    </w:p>
  </w:footnote>
  <w:footnote w:id="35">
    <w:p w14:paraId="6B124D3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Suhrawardi K. Lubis, </w:t>
      </w:r>
      <w:r>
        <w:rPr>
          <w:rFonts w:ascii="Times New Roman" w:hAnsi="Times New Roman" w:cs="Times New Roman"/>
          <w:i/>
          <w:iCs/>
          <w:sz w:val="20"/>
          <w:szCs w:val="20"/>
        </w:rPr>
        <w:t>Etika Profesi Hukum</w:t>
      </w:r>
      <w:r>
        <w:rPr>
          <w:rFonts w:ascii="Times New Roman" w:hAnsi="Times New Roman" w:cs="Times New Roman"/>
          <w:sz w:val="20"/>
          <w:szCs w:val="20"/>
        </w:rPr>
        <w:t xml:space="preserve">, (Jakarta: Sinar Grafika, 2009), hlm. 8. </w:t>
      </w:r>
    </w:p>
    <w:p w14:paraId="73F2D092">
      <w:pPr>
        <w:pStyle w:val="16"/>
      </w:pPr>
    </w:p>
  </w:footnote>
  <w:footnote w:id="36">
    <w:p w14:paraId="10E14F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Ishaq, </w:t>
      </w:r>
      <w:r>
        <w:rPr>
          <w:rFonts w:ascii="Times New Roman" w:hAnsi="Times New Roman" w:cs="Times New Roman"/>
          <w:i/>
          <w:iCs/>
          <w:sz w:val="20"/>
          <w:szCs w:val="20"/>
        </w:rPr>
        <w:t xml:space="preserve">Pendidikan Keadvokatan, </w:t>
      </w:r>
      <w:r>
        <w:rPr>
          <w:rFonts w:ascii="Times New Roman" w:hAnsi="Times New Roman" w:cs="Times New Roman"/>
          <w:sz w:val="20"/>
          <w:szCs w:val="20"/>
        </w:rPr>
        <w:t xml:space="preserve">(Jakarta: Sinar Grafika, 2010), hlm. 3 </w:t>
      </w:r>
    </w:p>
    <w:p w14:paraId="454D9615">
      <w:pPr>
        <w:pStyle w:val="16"/>
      </w:pPr>
    </w:p>
  </w:footnote>
  <w:footnote w:id="37">
    <w:p w14:paraId="7D3B2FAD">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Ishaq, </w:t>
      </w:r>
      <w:r>
        <w:rPr>
          <w:rFonts w:ascii="Times New Roman" w:hAnsi="Times New Roman" w:cs="Times New Roman"/>
          <w:i/>
          <w:iCs/>
        </w:rPr>
        <w:t xml:space="preserve">ibid, </w:t>
      </w:r>
      <w:r>
        <w:rPr>
          <w:rFonts w:ascii="Times New Roman" w:hAnsi="Times New Roman" w:cs="Times New Roman"/>
        </w:rPr>
        <w:t>(Jakarta: Sinar Grafika, 2010), hlm. 3</w:t>
      </w:r>
    </w:p>
  </w:footnote>
  <w:footnote w:id="38">
    <w:p w14:paraId="678D993F">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Ishaq, </w:t>
      </w:r>
      <w:r>
        <w:rPr>
          <w:rFonts w:ascii="Times New Roman" w:hAnsi="Times New Roman" w:cs="Times New Roman"/>
          <w:i/>
          <w:iCs/>
        </w:rPr>
        <w:t xml:space="preserve">op.cit, </w:t>
      </w:r>
      <w:r>
        <w:rPr>
          <w:rFonts w:ascii="Times New Roman" w:hAnsi="Times New Roman" w:cs="Times New Roman"/>
        </w:rPr>
        <w:t>(Jakarta: Sinar Grafika, 2010), hlm. 7</w:t>
      </w:r>
    </w:p>
  </w:footnote>
  <w:footnote w:id="39">
    <w:p w14:paraId="38CC6DF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Binoto Nadapdap, </w:t>
      </w:r>
      <w:r>
        <w:rPr>
          <w:rFonts w:ascii="Times New Roman" w:hAnsi="Times New Roman" w:cs="Times New Roman"/>
          <w:i/>
          <w:iCs/>
          <w:sz w:val="20"/>
          <w:szCs w:val="20"/>
        </w:rPr>
        <w:t xml:space="preserve">Menjajaki Seluk Beluk Honorarium Advokat, </w:t>
      </w:r>
      <w:r>
        <w:rPr>
          <w:rFonts w:ascii="Times New Roman" w:hAnsi="Times New Roman" w:cs="Times New Roman"/>
          <w:sz w:val="20"/>
          <w:szCs w:val="20"/>
        </w:rPr>
        <w:t xml:space="preserve">(Jakarta: Jala Permata, 2008), hlm. 25 </w:t>
      </w:r>
    </w:p>
    <w:p w14:paraId="5337A884">
      <w:pPr>
        <w:pStyle w:val="16"/>
      </w:pPr>
    </w:p>
  </w:footnote>
  <w:footnote w:id="40">
    <w:p w14:paraId="52B7EF2F">
      <w:pPr>
        <w:spacing w:after="0" w:line="240" w:lineRule="auto"/>
        <w:jc w:val="both"/>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Binoto Nadapdap, </w:t>
      </w:r>
      <w:r>
        <w:rPr>
          <w:rFonts w:ascii="Times New Roman" w:hAnsi="Times New Roman" w:cs="Times New Roman"/>
          <w:i/>
          <w:iCs/>
          <w:sz w:val="20"/>
          <w:szCs w:val="20"/>
        </w:rPr>
        <w:t xml:space="preserve">ibid, </w:t>
      </w:r>
      <w:r>
        <w:rPr>
          <w:rFonts w:ascii="Times New Roman" w:hAnsi="Times New Roman" w:cs="Times New Roman"/>
          <w:sz w:val="20"/>
          <w:szCs w:val="20"/>
        </w:rPr>
        <w:t xml:space="preserve">(Jakarta: Jala Permata, 2008), hlm. 25 </w:t>
      </w:r>
    </w:p>
  </w:footnote>
  <w:footnote w:id="41">
    <w:p w14:paraId="2663175C">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Rizal fahrisa, istilah preman di indonesia muncul sejak masa voc </w:t>
      </w:r>
      <w:r>
        <w:fldChar w:fldCharType="begin"/>
      </w:r>
      <w:r>
        <w:instrText xml:space="preserve"> HYPERLINK "http://www.antarasumsel.com/berita/274102/istilah-preman-di-indonesia-muncul-sejak-%20masa-voc%20(20" </w:instrText>
      </w:r>
      <w:r>
        <w:fldChar w:fldCharType="separate"/>
      </w:r>
      <w:r>
        <w:rPr>
          <w:rStyle w:val="18"/>
          <w:rFonts w:ascii="Times New Roman" w:hAnsi="Times New Roman" w:cs="Times New Roman"/>
          <w:sz w:val="20"/>
          <w:szCs w:val="20"/>
        </w:rPr>
        <w:t>www.antarasumsel.com/berita/274102/istilah-preman-di-indonesia-muncul-sejak- masa-voc (20</w:t>
      </w:r>
      <w:r>
        <w:rPr>
          <w:rStyle w:val="18"/>
          <w:rFonts w:ascii="Times New Roman" w:hAnsi="Times New Roman" w:cs="Times New Roman"/>
          <w:sz w:val="20"/>
          <w:szCs w:val="20"/>
        </w:rPr>
        <w:fldChar w:fldCharType="end"/>
      </w:r>
      <w:r>
        <w:rPr>
          <w:rFonts w:ascii="Times New Roman" w:hAnsi="Times New Roman" w:cs="Times New Roman"/>
          <w:sz w:val="20"/>
          <w:szCs w:val="20"/>
        </w:rPr>
        <w:t xml:space="preserve">  Januari 2025) </w:t>
      </w:r>
    </w:p>
  </w:footnote>
  <w:footnote w:id="42">
    <w:p w14:paraId="7B2851C7">
      <w:pPr>
        <w:spacing w:after="0" w:line="240" w:lineRule="auto"/>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18 http://robertusat.blogspot.com/2013/10/pengertian-premanisme.html  (20 Januari 2025) </w:t>
      </w:r>
    </w:p>
  </w:footnote>
  <w:footnote w:id="43">
    <w:p w14:paraId="0577ED82">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http://robertusat.blogspot.com/2013/10/pengertian-premanisme.html (24 Januari 2025) </w:t>
      </w:r>
    </w:p>
  </w:footnote>
  <w:footnote w:id="44">
    <w:p w14:paraId="26BCCD0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Widayatmo, Santyo, "Pendekatan Humanis Sebagai Upaya Non-Penal Sebagai Implementasi Nilai-Nilai Pancasila Dalam Mengurangi Kriminalitas Dan Premanisme." Jurnal Kebhinnekaan dan Wawasan Kebangsaan, Vol. 1 No.2 (2022), hal. 1 </w:t>
      </w:r>
    </w:p>
  </w:footnote>
  <w:footnote w:id="45">
    <w:p w14:paraId="276B3D1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Hidayah, Muhammad Rezki, and Muhamad Hasan Sebyar, "Implementasi Pasal 30 Ayat 1 UUD 1945", Jurnal ilmu hukum dan sosial, Vol.1 No.4 (November, 2023), hal. 69 </w:t>
      </w:r>
    </w:p>
    <w:p w14:paraId="72AC8444">
      <w:pPr>
        <w:pStyle w:val="16"/>
        <w:rPr>
          <w:rFonts w:ascii="Times New Roman" w:hAnsi="Times New Roman" w:cs="Times New Roman"/>
        </w:rPr>
      </w:pPr>
    </w:p>
  </w:footnote>
  <w:footnote w:id="46">
    <w:p w14:paraId="39F909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De Carvalho, Zinedine, "Upaya Kepolisian Resort Belu Dalam Memberantas Perilaku Premanisme Di Kota Atambua (Studi Kasus di Polres Belu)." Jurnal Hukum Online, Vol.1 No.3 (Juli, 2023), hal 660 </w:t>
      </w:r>
    </w:p>
    <w:p w14:paraId="3BD1AEE8">
      <w:pPr>
        <w:pStyle w:val="16"/>
        <w:rPr>
          <w:rFonts w:ascii="Times New Roman" w:hAnsi="Times New Roman" w:cs="Times New Roman"/>
        </w:rPr>
      </w:pPr>
    </w:p>
  </w:footnote>
  <w:footnote w:id="47">
    <w:p w14:paraId="62519F63">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http://robertusat.blogspot.com/2013/10/pengertian-premanisme.html (24 Januari 2025) </w:t>
      </w:r>
    </w:p>
    <w:p w14:paraId="67060C23">
      <w:pPr>
        <w:pStyle w:val="16"/>
        <w:rPr>
          <w:rFonts w:ascii="Times New Roman" w:hAnsi="Times New Roman" w:cs="Times New Roman"/>
        </w:rPr>
      </w:pPr>
    </w:p>
  </w:footnote>
  <w:footnote w:id="48">
    <w:p w14:paraId="0F25EF7F">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http://robertusat.blogspot.com/2013/10/pengertian-premanisme.html (24 Januari 2025)</w:t>
      </w:r>
    </w:p>
  </w:footnote>
  <w:footnote w:id="49">
    <w:p w14:paraId="29F2C4FE">
      <w:pPr>
        <w:spacing w:after="0" w:line="48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Kitab Undang-Undang Hukum Pidana (KUHP) </w:t>
      </w:r>
    </w:p>
    <w:p w14:paraId="5A4C3163">
      <w:pPr>
        <w:pStyle w:val="1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65115"/>
    <w:multiLevelType w:val="multilevel"/>
    <w:tmpl w:val="0386511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8F43837"/>
    <w:multiLevelType w:val="multilevel"/>
    <w:tmpl w:val="08F4383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9D86395"/>
    <w:multiLevelType w:val="multilevel"/>
    <w:tmpl w:val="09D863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DEA72E6"/>
    <w:multiLevelType w:val="multilevel"/>
    <w:tmpl w:val="0DEA72E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09A6CAB"/>
    <w:multiLevelType w:val="multilevel"/>
    <w:tmpl w:val="209A6CAB"/>
    <w:lvl w:ilvl="0" w:tentative="0">
      <w:start w:val="1"/>
      <w:numFmt w:val="lowerLetter"/>
      <w:lvlText w:val="(%1)"/>
      <w:lvlJc w:val="left"/>
      <w:pPr>
        <w:ind w:left="1250" w:hanging="53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
    <w:nsid w:val="2185286C"/>
    <w:multiLevelType w:val="multilevel"/>
    <w:tmpl w:val="2185286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2EE4A00"/>
    <w:multiLevelType w:val="multilevel"/>
    <w:tmpl w:val="22EE4A0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8796305"/>
    <w:multiLevelType w:val="multilevel"/>
    <w:tmpl w:val="287963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B36011E"/>
    <w:multiLevelType w:val="multilevel"/>
    <w:tmpl w:val="2B36011E"/>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9">
    <w:nsid w:val="2FD83D2F"/>
    <w:multiLevelType w:val="multilevel"/>
    <w:tmpl w:val="2FD83D2F"/>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6C6181C"/>
    <w:multiLevelType w:val="multilevel"/>
    <w:tmpl w:val="36C6181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370D22D8"/>
    <w:multiLevelType w:val="multilevel"/>
    <w:tmpl w:val="370D22D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38B2412C"/>
    <w:multiLevelType w:val="multilevel"/>
    <w:tmpl w:val="38B2412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39B510D2"/>
    <w:multiLevelType w:val="multilevel"/>
    <w:tmpl w:val="39B510D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4819243F"/>
    <w:multiLevelType w:val="multilevel"/>
    <w:tmpl w:val="4819243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4CA1730D"/>
    <w:multiLevelType w:val="multilevel"/>
    <w:tmpl w:val="4CA1730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4CAE04DD"/>
    <w:multiLevelType w:val="multilevel"/>
    <w:tmpl w:val="4CAE04D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50C13BA5"/>
    <w:multiLevelType w:val="multilevel"/>
    <w:tmpl w:val="50C13BA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51E86AC3"/>
    <w:multiLevelType w:val="multilevel"/>
    <w:tmpl w:val="51E86AC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57E76FC9"/>
    <w:multiLevelType w:val="multilevel"/>
    <w:tmpl w:val="57E76FC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5B6A42C3"/>
    <w:multiLevelType w:val="multilevel"/>
    <w:tmpl w:val="5B6A42C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5C684D64"/>
    <w:multiLevelType w:val="multilevel"/>
    <w:tmpl w:val="5C684D6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65715EE8"/>
    <w:multiLevelType w:val="multilevel"/>
    <w:tmpl w:val="65715EE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692F6C7E"/>
    <w:multiLevelType w:val="multilevel"/>
    <w:tmpl w:val="692F6C7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705E1803"/>
    <w:multiLevelType w:val="multilevel"/>
    <w:tmpl w:val="705E180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713B3595"/>
    <w:multiLevelType w:val="multilevel"/>
    <w:tmpl w:val="713B35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7E217F7F"/>
    <w:multiLevelType w:val="multilevel"/>
    <w:tmpl w:val="7E217F7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9"/>
  </w:num>
  <w:num w:numId="2">
    <w:abstractNumId w:val="26"/>
  </w:num>
  <w:num w:numId="3">
    <w:abstractNumId w:val="7"/>
  </w:num>
  <w:num w:numId="4">
    <w:abstractNumId w:val="11"/>
  </w:num>
  <w:num w:numId="5">
    <w:abstractNumId w:val="8"/>
  </w:num>
  <w:num w:numId="6">
    <w:abstractNumId w:val="12"/>
  </w:num>
  <w:num w:numId="7">
    <w:abstractNumId w:val="21"/>
  </w:num>
  <w:num w:numId="8">
    <w:abstractNumId w:val="1"/>
  </w:num>
  <w:num w:numId="9">
    <w:abstractNumId w:val="6"/>
  </w:num>
  <w:num w:numId="10">
    <w:abstractNumId w:val="16"/>
  </w:num>
  <w:num w:numId="11">
    <w:abstractNumId w:val="22"/>
  </w:num>
  <w:num w:numId="12">
    <w:abstractNumId w:val="0"/>
  </w:num>
  <w:num w:numId="13">
    <w:abstractNumId w:val="25"/>
  </w:num>
  <w:num w:numId="14">
    <w:abstractNumId w:val="13"/>
  </w:num>
  <w:num w:numId="15">
    <w:abstractNumId w:val="18"/>
  </w:num>
  <w:num w:numId="16">
    <w:abstractNumId w:val="20"/>
  </w:num>
  <w:num w:numId="17">
    <w:abstractNumId w:val="5"/>
  </w:num>
  <w:num w:numId="18">
    <w:abstractNumId w:val="10"/>
  </w:num>
  <w:num w:numId="19">
    <w:abstractNumId w:val="2"/>
  </w:num>
  <w:num w:numId="20">
    <w:abstractNumId w:val="23"/>
  </w:num>
  <w:num w:numId="21">
    <w:abstractNumId w:val="15"/>
  </w:num>
  <w:num w:numId="22">
    <w:abstractNumId w:val="3"/>
  </w:num>
  <w:num w:numId="23">
    <w:abstractNumId w:val="4"/>
  </w:num>
  <w:num w:numId="24">
    <w:abstractNumId w:val="24"/>
  </w:num>
  <w:num w:numId="25">
    <w:abstractNumId w:val="19"/>
  </w:num>
  <w:num w:numId="26">
    <w:abstractNumId w:val="14"/>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sIDUxcS67Aly4LDrhVE3ZJXWCBs=" w:salt="Jph6Qi8Ynm/L7Qx3YJ4P5g=="/>
  <w:defaultTabStop w:val="720"/>
  <w:characterSpacingControl w:val="doNotCompress"/>
  <w:footnotePr>
    <w:footnote w:id="100"/>
    <w:footnote w:id="10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D5"/>
    <w:rsid w:val="00001C3E"/>
    <w:rsid w:val="0001408C"/>
    <w:rsid w:val="000206E4"/>
    <w:rsid w:val="00056BDE"/>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F01"/>
    <w:rsid w:val="003E149E"/>
    <w:rsid w:val="003E1FF4"/>
    <w:rsid w:val="003F2E9C"/>
    <w:rsid w:val="00402B3F"/>
    <w:rsid w:val="00410910"/>
    <w:rsid w:val="004278E2"/>
    <w:rsid w:val="004323EF"/>
    <w:rsid w:val="00447431"/>
    <w:rsid w:val="004506C3"/>
    <w:rsid w:val="00461C41"/>
    <w:rsid w:val="00463DA6"/>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08EB"/>
    <w:rsid w:val="005968F5"/>
    <w:rsid w:val="005A1DD5"/>
    <w:rsid w:val="005A47DE"/>
    <w:rsid w:val="005A4AA8"/>
    <w:rsid w:val="005B25FF"/>
    <w:rsid w:val="005C69DC"/>
    <w:rsid w:val="005E2B32"/>
    <w:rsid w:val="005F1D88"/>
    <w:rsid w:val="006246E5"/>
    <w:rsid w:val="006403CC"/>
    <w:rsid w:val="00644BB9"/>
    <w:rsid w:val="00647A95"/>
    <w:rsid w:val="00651F05"/>
    <w:rsid w:val="00653891"/>
    <w:rsid w:val="00693FAF"/>
    <w:rsid w:val="006973EB"/>
    <w:rsid w:val="006A1F6A"/>
    <w:rsid w:val="006A5F4B"/>
    <w:rsid w:val="006A7444"/>
    <w:rsid w:val="006B48A2"/>
    <w:rsid w:val="006D7051"/>
    <w:rsid w:val="006E5A7B"/>
    <w:rsid w:val="006F4508"/>
    <w:rsid w:val="00712BA0"/>
    <w:rsid w:val="00713015"/>
    <w:rsid w:val="00715FC5"/>
    <w:rsid w:val="00716CFD"/>
    <w:rsid w:val="00717FCB"/>
    <w:rsid w:val="00725D4D"/>
    <w:rsid w:val="007376F4"/>
    <w:rsid w:val="00762643"/>
    <w:rsid w:val="007718E3"/>
    <w:rsid w:val="00783571"/>
    <w:rsid w:val="00793E2B"/>
    <w:rsid w:val="007949FF"/>
    <w:rsid w:val="00796CF1"/>
    <w:rsid w:val="007B39F7"/>
    <w:rsid w:val="00803D6A"/>
    <w:rsid w:val="00804A04"/>
    <w:rsid w:val="008125BD"/>
    <w:rsid w:val="008136EB"/>
    <w:rsid w:val="00813C1C"/>
    <w:rsid w:val="0083659B"/>
    <w:rsid w:val="008447ED"/>
    <w:rsid w:val="008508F0"/>
    <w:rsid w:val="00882D1C"/>
    <w:rsid w:val="008B04A1"/>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9F28BC"/>
    <w:rsid w:val="00A37C15"/>
    <w:rsid w:val="00A55B74"/>
    <w:rsid w:val="00A67D67"/>
    <w:rsid w:val="00A732B8"/>
    <w:rsid w:val="00A76263"/>
    <w:rsid w:val="00A80186"/>
    <w:rsid w:val="00A83081"/>
    <w:rsid w:val="00A87C80"/>
    <w:rsid w:val="00AC24D2"/>
    <w:rsid w:val="00AC48B6"/>
    <w:rsid w:val="00AE34B9"/>
    <w:rsid w:val="00AE39B6"/>
    <w:rsid w:val="00B04EB8"/>
    <w:rsid w:val="00B067B1"/>
    <w:rsid w:val="00B11630"/>
    <w:rsid w:val="00B23263"/>
    <w:rsid w:val="00B252BA"/>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D0AAF"/>
    <w:rsid w:val="00FD6293"/>
    <w:rsid w:val="575E7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link w:val="2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7"/>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8"/>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24"/>
    <w:semiHidden/>
    <w:unhideWhenUsed/>
    <w:qFormat/>
    <w:uiPriority w:val="99"/>
    <w:pPr>
      <w:spacing w:after="0" w:line="240" w:lineRule="auto"/>
    </w:pPr>
    <w:rPr>
      <w:rFonts w:ascii="Tahoma" w:hAnsi="Tahoma" w:cs="Tahoma"/>
      <w:sz w:val="16"/>
      <w:szCs w:val="16"/>
    </w:rPr>
  </w:style>
  <w:style w:type="paragraph" w:styleId="14">
    <w:name w:val="footer"/>
    <w:basedOn w:val="1"/>
    <w:link w:val="44"/>
    <w:unhideWhenUsed/>
    <w:uiPriority w:val="99"/>
    <w:pPr>
      <w:tabs>
        <w:tab w:val="center" w:pos="4680"/>
        <w:tab w:val="right" w:pos="9360"/>
      </w:tabs>
      <w:spacing w:after="0" w:line="240" w:lineRule="auto"/>
    </w:pPr>
  </w:style>
  <w:style w:type="character" w:styleId="15">
    <w:name w:val="footnote reference"/>
    <w:basedOn w:val="11"/>
    <w:semiHidden/>
    <w:unhideWhenUsed/>
    <w:qFormat/>
    <w:uiPriority w:val="99"/>
    <w:rPr>
      <w:vertAlign w:val="superscript"/>
    </w:rPr>
  </w:style>
  <w:style w:type="paragraph" w:styleId="16">
    <w:name w:val="footnote text"/>
    <w:basedOn w:val="1"/>
    <w:link w:val="25"/>
    <w:semiHidden/>
    <w:unhideWhenUsed/>
    <w:qFormat/>
    <w:uiPriority w:val="99"/>
    <w:pPr>
      <w:spacing w:after="0" w:line="240" w:lineRule="auto"/>
    </w:pPr>
    <w:rPr>
      <w:sz w:val="20"/>
      <w:szCs w:val="20"/>
    </w:rPr>
  </w:style>
  <w:style w:type="paragraph" w:styleId="17">
    <w:name w:val="header"/>
    <w:basedOn w:val="1"/>
    <w:link w:val="45"/>
    <w:unhideWhenUsed/>
    <w:uiPriority w:val="99"/>
    <w:pPr>
      <w:tabs>
        <w:tab w:val="center" w:pos="4680"/>
        <w:tab w:val="right" w:pos="9360"/>
      </w:tabs>
      <w:spacing w:after="0" w:line="240" w:lineRule="auto"/>
    </w:p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character" w:styleId="19">
    <w:name w:val="page number"/>
    <w:basedOn w:val="11"/>
    <w:semiHidden/>
    <w:unhideWhenUsed/>
    <w:uiPriority w:val="99"/>
  </w:style>
  <w:style w:type="paragraph" w:styleId="20">
    <w:name w:val="Subtitle"/>
    <w:basedOn w:val="1"/>
    <w:next w:val="1"/>
    <w:link w:val="3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itle"/>
    <w:basedOn w:val="1"/>
    <w:next w:val="1"/>
    <w:link w:val="3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2">
    <w:name w:val="toc 1"/>
    <w:basedOn w:val="1"/>
    <w:next w:val="1"/>
    <w:autoRedefine/>
    <w:semiHidden/>
    <w:unhideWhenUsed/>
    <w:uiPriority w:val="39"/>
    <w:pPr>
      <w:spacing w:after="100"/>
    </w:pPr>
  </w:style>
  <w:style w:type="paragraph" w:styleId="23">
    <w:name w:val="List Paragraph"/>
    <w:basedOn w:val="1"/>
    <w:qFormat/>
    <w:uiPriority w:val="34"/>
    <w:pPr>
      <w:ind w:left="720"/>
      <w:contextualSpacing/>
    </w:pPr>
  </w:style>
  <w:style w:type="character" w:customStyle="1" w:styleId="24">
    <w:name w:val="Balloon Text Char"/>
    <w:basedOn w:val="11"/>
    <w:link w:val="13"/>
    <w:semiHidden/>
    <w:qFormat/>
    <w:uiPriority w:val="99"/>
    <w:rPr>
      <w:rFonts w:ascii="Tahoma" w:hAnsi="Tahoma" w:cs="Tahoma"/>
      <w:kern w:val="2"/>
      <w:sz w:val="16"/>
      <w:szCs w:val="16"/>
      <w14:ligatures w14:val="standardContextual"/>
    </w:rPr>
  </w:style>
  <w:style w:type="character" w:customStyle="1" w:styleId="25">
    <w:name w:val="Footnote Text Char"/>
    <w:basedOn w:val="11"/>
    <w:link w:val="16"/>
    <w:semiHidden/>
    <w:qFormat/>
    <w:uiPriority w:val="99"/>
    <w:rPr>
      <w:kern w:val="2"/>
      <w:sz w:val="20"/>
      <w:szCs w:val="20"/>
      <w14:ligatures w14:val="standardContextual"/>
    </w:rPr>
  </w:style>
  <w:style w:type="character" w:customStyle="1" w:styleId="26">
    <w:name w:val="Heading 1 Char"/>
    <w:basedOn w:val="11"/>
    <w:link w:val="2"/>
    <w:qFormat/>
    <w:uiPriority w:val="9"/>
    <w:rPr>
      <w:rFonts w:asciiTheme="majorHAnsi" w:hAnsiTheme="majorHAnsi" w:eastAsiaTheme="majorEastAsia" w:cstheme="majorBidi"/>
      <w:color w:val="376092" w:themeColor="accent1" w:themeShade="BF"/>
      <w:kern w:val="2"/>
      <w:sz w:val="40"/>
      <w:szCs w:val="40"/>
      <w14:ligatures w14:val="standardContextual"/>
    </w:rPr>
  </w:style>
  <w:style w:type="character" w:customStyle="1" w:styleId="27">
    <w:name w:val="Heading 2 Char"/>
    <w:basedOn w:val="11"/>
    <w:link w:val="3"/>
    <w:semiHidden/>
    <w:qFormat/>
    <w:uiPriority w:val="9"/>
    <w:rPr>
      <w:rFonts w:asciiTheme="majorHAnsi" w:hAnsiTheme="majorHAnsi" w:eastAsiaTheme="majorEastAsia" w:cstheme="majorBidi"/>
      <w:color w:val="376092" w:themeColor="accent1" w:themeShade="BF"/>
      <w:kern w:val="2"/>
      <w:sz w:val="32"/>
      <w:szCs w:val="32"/>
      <w14:ligatures w14:val="standardContextual"/>
    </w:rPr>
  </w:style>
  <w:style w:type="character" w:customStyle="1" w:styleId="28">
    <w:name w:val="Heading 3 Char"/>
    <w:basedOn w:val="11"/>
    <w:link w:val="4"/>
    <w:semiHidden/>
    <w:qFormat/>
    <w:uiPriority w:val="9"/>
    <w:rPr>
      <w:rFonts w:eastAsiaTheme="majorEastAsia" w:cstheme="majorBidi"/>
      <w:color w:val="376092" w:themeColor="accent1" w:themeShade="BF"/>
      <w:kern w:val="2"/>
      <w:sz w:val="28"/>
      <w:szCs w:val="28"/>
      <w14:ligatures w14:val="standardContextual"/>
    </w:rPr>
  </w:style>
  <w:style w:type="character" w:customStyle="1" w:styleId="29">
    <w:name w:val="Heading 4 Char"/>
    <w:basedOn w:val="11"/>
    <w:link w:val="5"/>
    <w:semiHidden/>
    <w:qFormat/>
    <w:uiPriority w:val="9"/>
    <w:rPr>
      <w:rFonts w:eastAsiaTheme="majorEastAsia" w:cstheme="majorBidi"/>
      <w:i/>
      <w:iCs/>
      <w:color w:val="376092" w:themeColor="accent1" w:themeShade="BF"/>
      <w:kern w:val="2"/>
      <w14:ligatures w14:val="standardContextual"/>
    </w:rPr>
  </w:style>
  <w:style w:type="character" w:customStyle="1" w:styleId="30">
    <w:name w:val="Heading 5 Char"/>
    <w:basedOn w:val="11"/>
    <w:link w:val="6"/>
    <w:semiHidden/>
    <w:qFormat/>
    <w:uiPriority w:val="9"/>
    <w:rPr>
      <w:rFonts w:eastAsiaTheme="majorEastAsia" w:cstheme="majorBidi"/>
      <w:color w:val="376092" w:themeColor="accent1" w:themeShade="BF"/>
      <w:kern w:val="2"/>
      <w14:ligatures w14:val="standardContextual"/>
    </w:rPr>
  </w:style>
  <w:style w:type="character" w:customStyle="1" w:styleId="31">
    <w:name w:val="Heading 6 Char"/>
    <w:basedOn w:val="11"/>
    <w:link w:val="7"/>
    <w:semiHidden/>
    <w:uiPriority w:val="9"/>
    <w:rPr>
      <w:rFonts w:eastAsiaTheme="majorEastAsia" w:cstheme="majorBidi"/>
      <w:i/>
      <w:iCs/>
      <w:color w:val="595959" w:themeColor="text1" w:themeTint="A6"/>
      <w:kern w:val="2"/>
      <w14:textFill>
        <w14:solidFill>
          <w14:schemeClr w14:val="tx1">
            <w14:lumMod w14:val="65000"/>
            <w14:lumOff w14:val="35000"/>
          </w14:schemeClr>
        </w14:solidFill>
      </w14:textFill>
      <w14:ligatures w14:val="standardContextual"/>
    </w:rPr>
  </w:style>
  <w:style w:type="character" w:customStyle="1" w:styleId="32">
    <w:name w:val="Heading 7 Char"/>
    <w:basedOn w:val="11"/>
    <w:link w:val="8"/>
    <w:semiHidden/>
    <w:uiPriority w:val="9"/>
    <w:rPr>
      <w:rFonts w:eastAsiaTheme="majorEastAsia" w:cstheme="majorBidi"/>
      <w:color w:val="595959" w:themeColor="text1" w:themeTint="A6"/>
      <w:kern w:val="2"/>
      <w14:textFill>
        <w14:solidFill>
          <w14:schemeClr w14:val="tx1">
            <w14:lumMod w14:val="65000"/>
            <w14:lumOff w14:val="35000"/>
          </w14:schemeClr>
        </w14:solidFill>
      </w14:textFill>
      <w14:ligatures w14:val="standardContextual"/>
    </w:rPr>
  </w:style>
  <w:style w:type="character" w:customStyle="1" w:styleId="33">
    <w:name w:val="Heading 8 Char"/>
    <w:basedOn w:val="11"/>
    <w:link w:val="9"/>
    <w:semiHidden/>
    <w:uiPriority w:val="9"/>
    <w:rPr>
      <w:rFonts w:eastAsiaTheme="majorEastAsia" w:cstheme="majorBidi"/>
      <w:i/>
      <w:iCs/>
      <w:color w:val="262626" w:themeColor="text1" w:themeTint="D9"/>
      <w:kern w:val="2"/>
      <w14:textFill>
        <w14:solidFill>
          <w14:schemeClr w14:val="tx1">
            <w14:lumMod w14:val="85000"/>
            <w14:lumOff w14:val="15000"/>
          </w14:schemeClr>
        </w14:solidFill>
      </w14:textFill>
      <w14:ligatures w14:val="standardContextual"/>
    </w:rPr>
  </w:style>
  <w:style w:type="character" w:customStyle="1" w:styleId="34">
    <w:name w:val="Heading 9 Char"/>
    <w:basedOn w:val="11"/>
    <w:link w:val="10"/>
    <w:semiHidden/>
    <w:uiPriority w:val="9"/>
    <w:rPr>
      <w:rFonts w:eastAsiaTheme="majorEastAsia" w:cstheme="majorBidi"/>
      <w:color w:val="262626" w:themeColor="text1" w:themeTint="D9"/>
      <w:kern w:val="2"/>
      <w14:textFill>
        <w14:solidFill>
          <w14:schemeClr w14:val="tx1">
            <w14:lumMod w14:val="85000"/>
            <w14:lumOff w14:val="15000"/>
          </w14:schemeClr>
        </w14:solidFill>
      </w14:textFill>
      <w14:ligatures w14:val="standardContextual"/>
    </w:rPr>
  </w:style>
  <w:style w:type="character" w:customStyle="1" w:styleId="35">
    <w:name w:val="Title Char"/>
    <w:basedOn w:val="11"/>
    <w:link w:val="21"/>
    <w:uiPriority w:val="10"/>
    <w:rPr>
      <w:rFonts w:asciiTheme="majorHAnsi" w:hAnsiTheme="majorHAnsi" w:eastAsiaTheme="majorEastAsia" w:cstheme="majorBidi"/>
      <w:spacing w:val="-10"/>
      <w:kern w:val="28"/>
      <w:sz w:val="56"/>
      <w:szCs w:val="56"/>
      <w14:ligatures w14:val="standardContextual"/>
    </w:rPr>
  </w:style>
  <w:style w:type="character" w:customStyle="1" w:styleId="36">
    <w:name w:val="Subtitle Char"/>
    <w:basedOn w:val="11"/>
    <w:link w:val="20"/>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37">
    <w:name w:val="Quote"/>
    <w:basedOn w:val="1"/>
    <w:next w:val="1"/>
    <w:link w:val="3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8">
    <w:name w:val="Quote Char"/>
    <w:basedOn w:val="11"/>
    <w:link w:val="37"/>
    <w:uiPriority w:val="29"/>
    <w:rPr>
      <w:i/>
      <w:iCs/>
      <w:color w:val="404040" w:themeColor="text1" w:themeTint="BF"/>
      <w:kern w:val="2"/>
      <w14:textFill>
        <w14:solidFill>
          <w14:schemeClr w14:val="tx1">
            <w14:lumMod w14:val="75000"/>
            <w14:lumOff w14:val="25000"/>
          </w14:schemeClr>
        </w14:solidFill>
      </w14:textFill>
      <w14:ligatures w14:val="standardContextual"/>
    </w:rPr>
  </w:style>
  <w:style w:type="character" w:customStyle="1" w:styleId="39">
    <w:name w:val="Intense Emphasis"/>
    <w:basedOn w:val="11"/>
    <w:qFormat/>
    <w:uiPriority w:val="21"/>
    <w:rPr>
      <w:i/>
      <w:iCs/>
      <w:color w:val="376092" w:themeColor="accent1" w:themeShade="BF"/>
    </w:rPr>
  </w:style>
  <w:style w:type="paragraph" w:styleId="40">
    <w:name w:val="Intense Quote"/>
    <w:basedOn w:val="1"/>
    <w:next w:val="1"/>
    <w:link w:val="4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41">
    <w:name w:val="Intense Quote Char"/>
    <w:basedOn w:val="11"/>
    <w:link w:val="40"/>
    <w:uiPriority w:val="30"/>
    <w:rPr>
      <w:i/>
      <w:iCs/>
      <w:color w:val="376092" w:themeColor="accent1" w:themeShade="BF"/>
      <w:kern w:val="2"/>
      <w14:ligatures w14:val="standardContextual"/>
    </w:rPr>
  </w:style>
  <w:style w:type="character" w:customStyle="1" w:styleId="42">
    <w:name w:val="Intense Reference"/>
    <w:basedOn w:val="11"/>
    <w:qFormat/>
    <w:uiPriority w:val="32"/>
    <w:rPr>
      <w:b/>
      <w:bCs/>
      <w:smallCaps/>
      <w:color w:val="376092" w:themeColor="accent1" w:themeShade="BF"/>
      <w:spacing w:val="5"/>
    </w:rPr>
  </w:style>
  <w:style w:type="character" w:customStyle="1" w:styleId="43">
    <w:name w:val="Unresolved Mention"/>
    <w:basedOn w:val="11"/>
    <w:semiHidden/>
    <w:unhideWhenUsed/>
    <w:uiPriority w:val="99"/>
    <w:rPr>
      <w:color w:val="605E5C"/>
      <w:shd w:val="clear" w:color="auto" w:fill="E1DFDD"/>
    </w:rPr>
  </w:style>
  <w:style w:type="character" w:customStyle="1" w:styleId="44">
    <w:name w:val="Footer Char"/>
    <w:basedOn w:val="11"/>
    <w:link w:val="14"/>
    <w:uiPriority w:val="99"/>
    <w:rPr>
      <w:kern w:val="2"/>
      <w14:ligatures w14:val="standardContextual"/>
    </w:rPr>
  </w:style>
  <w:style w:type="character" w:customStyle="1" w:styleId="45">
    <w:name w:val="Header Char"/>
    <w:basedOn w:val="11"/>
    <w:link w:val="17"/>
    <w:uiPriority w:val="99"/>
    <w:rPr>
      <w:kern w:val="2"/>
      <w14:ligatures w14:val="standardContextual"/>
    </w:rPr>
  </w:style>
  <w:style w:type="paragraph" w:customStyle="1" w:styleId="46">
    <w:name w:val="TOC Heading"/>
    <w:basedOn w:val="2"/>
    <w:next w:val="1"/>
    <w:unhideWhenUsed/>
    <w:qFormat/>
    <w:uiPriority w:val="39"/>
    <w:pPr>
      <w:spacing w:before="240" w:after="0"/>
      <w:outlineLvl w:val="9"/>
    </w:pPr>
    <w:rPr>
      <w:kern w:val="0"/>
      <w:sz w:val="32"/>
      <w:szCs w:val="32"/>
      <w14:ligatures w14:val="none"/>
    </w:rPr>
  </w:style>
  <w:style w:type="paragraph" w:customStyle="1" w:styleId="47">
    <w:name w:val="msonormal"/>
    <w:basedOn w:val="1"/>
    <w:uiPriority w:val="0"/>
    <w:pPr>
      <w:spacing w:before="100" w:beforeAutospacing="1" w:after="100" w:afterAutospacing="1" w:line="240" w:lineRule="auto"/>
    </w:pPr>
    <w:rPr>
      <w:rFonts w:ascii="Times New Roman" w:hAnsi="Times New Roman" w:eastAsia="Times New Roman" w:cs="Times New Roman"/>
      <w:kern w:val="0"/>
      <w:sz w:val="24"/>
      <w:szCs w:val="24"/>
      <w:lang w:val="zh-CN" w:eastAsia="zh-CN"/>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49</Pages>
  <Words>8818</Words>
  <Characters>58346</Characters>
  <Lines>477</Lines>
  <Paragraphs>134</Paragraphs>
  <TotalTime>0</TotalTime>
  <ScaleCrop>false</ScaleCrop>
  <LinksUpToDate>false</LinksUpToDate>
  <CharactersWithSpaces>67117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2026-09-16T06:19:00Z</dcterms:created>
  <dc:creator>OPERATOR</dc:creator>
  <cp:lastModifiedBy>Administrator</cp:lastModifiedBy>
  <dcterms:modified xsi:type="dcterms:W3CDTF">2026-09-21T08:57:02Z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98B63D637E2D4AF1B16136045E9740DE_13</vt:lpwstr>
  </property>
</Properties>
</file>